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bookmarkStart w:colFirst="0" w:colLast="0" w:name="_gjdgxs" w:id="0"/>
      <w:bookmarkEnd w:id="0"/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Cash Flow Forecast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3728720</wp:posOffset>
            </wp:positionH>
            <wp:positionV relativeFrom="paragraph">
              <wp:posOffset>0</wp:posOffset>
            </wp:positionV>
            <wp:extent cx="2459990" cy="1638300"/>
            <wp:effectExtent b="0" l="0" r="0" t="0"/>
            <wp:wrapSquare wrapText="bothSides" distB="0" distT="0" distL="114300" distR="114300"/>
            <wp:docPr descr="Image result for florists cartoon" id="1" name="image1.jpg"/>
            <a:graphic>
              <a:graphicData uri="http://schemas.openxmlformats.org/drawingml/2006/picture">
                <pic:pic>
                  <pic:nvPicPr>
                    <pic:cNvPr descr="Image result for florists cartoon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59990" cy="1638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Isabella’s florist</w:t>
      </w:r>
    </w:p>
    <w:p w:rsidR="00000000" w:rsidDel="00000000" w:rsidP="00000000" w:rsidRDefault="00000000" w:rsidRPr="00000000" w14:paraId="0000000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 the information below to complete the Cash Flow Forecast </w:t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The opening Balance at the start of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February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 £500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A grant is given for £1500 at the start of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May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Florist sales:</w:t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- February = £3,500</w:t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- March = £800</w:t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April = £1,500</w:t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- May = £2,870</w:t>
        <w:tab/>
        <w:tab/>
        <w:tab/>
        <w:tab/>
      </w:r>
    </w:p>
    <w:p w:rsidR="00000000" w:rsidDel="00000000" w:rsidP="00000000" w:rsidRDefault="00000000" w:rsidRPr="00000000" w14:paraId="0000000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Rent is £300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each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Wages are £450 each month except for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May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when they are £1200</w:t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9.0" w:type="dxa"/>
        <w:jc w:val="left"/>
        <w:tblInd w:w="0.0" w:type="dxa"/>
        <w:tblLayout w:type="fixed"/>
        <w:tblLook w:val="0400"/>
      </w:tblPr>
      <w:tblGrid>
        <w:gridCol w:w="2608"/>
        <w:gridCol w:w="1284"/>
        <w:gridCol w:w="1140"/>
        <w:gridCol w:w="986"/>
        <w:gridCol w:w="1036"/>
        <w:gridCol w:w="935"/>
        <w:gridCol w:w="1050"/>
        <w:tblGridChange w:id="0">
          <w:tblGrid>
            <w:gridCol w:w="2608"/>
            <w:gridCol w:w="1284"/>
            <w:gridCol w:w="1140"/>
            <w:gridCol w:w="986"/>
            <w:gridCol w:w="1036"/>
            <w:gridCol w:w="935"/>
            <w:gridCol w:w="1050"/>
          </w:tblGrid>
        </w:tblGridChange>
      </w:tblGrid>
      <w:tr>
        <w:trPr>
          <w:trHeight w:val="352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bottom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vAlign w:val="bottom"/>
          </w:tcPr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£ February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vAlign w:val="bottom"/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£ March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vAlign w:val="bottom"/>
          </w:tcPr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£ April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vAlign w:val="bottom"/>
          </w:tcPr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£ May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vAlign w:val="bottom"/>
          </w:tcPr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£ June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vAlign w:val="bottom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£ July</w:t>
            </w:r>
          </w:p>
        </w:tc>
      </w:tr>
      <w:tr>
        <w:trPr>
          <w:trHeight w:val="319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 Grant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</w:t>
            </w:r>
          </w:p>
        </w:tc>
      </w:tr>
      <w:tr>
        <w:trPr>
          <w:trHeight w:val="319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 Sales of DVD’s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52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  <w:b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6"/>
                <w:szCs w:val="26"/>
                <w:rtl w:val="0"/>
              </w:rPr>
              <w:t xml:space="preserve">TOTAL RECEIPTS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2A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2F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52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0">
            <w:pPr>
              <w:rPr>
                <w:rFonts w:ascii="Calibri" w:cs="Calibri" w:eastAsia="Calibri" w:hAnsi="Calibri"/>
                <w:b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19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 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19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E">
            <w:pPr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 Wages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19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sz w:val="26"/>
                <w:szCs w:val="26"/>
                <w:rtl w:val="0"/>
              </w:rPr>
              <w:t xml:space="preserve"> Heating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52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C">
            <w:pPr>
              <w:rPr>
                <w:rFonts w:ascii="Calibri" w:cs="Calibri" w:eastAsia="Calibri" w:hAnsi="Calibri"/>
                <w:b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6"/>
                <w:szCs w:val="26"/>
                <w:rtl w:val="0"/>
              </w:rPr>
              <w:t xml:space="preserve">TOTAL PAYMENTS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4D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4E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94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3">
            <w:pPr>
              <w:rPr>
                <w:rFonts w:ascii="Calibri" w:cs="Calibri" w:eastAsia="Calibri" w:hAnsi="Calibri"/>
                <w:b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6"/>
                <w:szCs w:val="26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52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A">
            <w:pPr>
              <w:rPr>
                <w:rFonts w:ascii="Calibri" w:cs="Calibri" w:eastAsia="Calibri" w:hAnsi="Calibri"/>
                <w:b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6"/>
                <w:szCs w:val="26"/>
                <w:rtl w:val="0"/>
              </w:rPr>
              <w:t xml:space="preserve">NET CASH FLOW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52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1">
            <w:pPr>
              <w:rPr>
                <w:rFonts w:ascii="Calibri" w:cs="Calibri" w:eastAsia="Calibri" w:hAnsi="Calibri"/>
                <w:b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6"/>
                <w:szCs w:val="26"/>
                <w:rtl w:val="0"/>
              </w:rPr>
              <w:t xml:space="preserve">OPENING BALANCE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52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8">
            <w:pPr>
              <w:rPr>
                <w:rFonts w:ascii="Calibri" w:cs="Calibri" w:eastAsia="Calibri" w:hAnsi="Calibri"/>
                <w:b w:val="1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6"/>
                <w:szCs w:val="26"/>
                <w:rtl w:val="0"/>
              </w:rPr>
              <w:t xml:space="preserve">CLOSING BALANCE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6A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99cc" w:val="clear"/>
            <w:vAlign w:val="bottom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Heating is £550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each month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tabs>
          <w:tab w:val="left" w:pos="1620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77">
      <w:pPr>
        <w:tabs>
          <w:tab w:val="left" w:pos="162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24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21"/>
        <w:gridCol w:w="4621"/>
        <w:tblGridChange w:id="0">
          <w:tblGrid>
            <w:gridCol w:w="4621"/>
            <w:gridCol w:w="4621"/>
          </w:tblGrid>
        </w:tblGridChange>
      </w:tblGrid>
      <w:tr>
        <w:tc>
          <w:tcPr>
            <w:shd w:fill="00b0f0" w:val="clear"/>
          </w:tcPr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Total Outflow</w:t>
            </w:r>
          </w:p>
        </w:tc>
        <w:tc>
          <w:tcPr/>
          <w:p w:rsidR="00000000" w:rsidDel="00000000" w:rsidP="00000000" w:rsidRDefault="00000000" w:rsidRPr="00000000" w14:paraId="0000008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All expenses added together</w:t>
            </w:r>
          </w:p>
          <w:p w:rsidR="00000000" w:rsidDel="00000000" w:rsidP="00000000" w:rsidRDefault="00000000" w:rsidRPr="00000000" w14:paraId="0000008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8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Net Cash flow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Inflows minus outflows (Inflow-outflow)</w:t>
            </w:r>
          </w:p>
          <w:p w:rsidR="00000000" w:rsidDel="00000000" w:rsidP="00000000" w:rsidRDefault="00000000" w:rsidRPr="00000000" w14:paraId="0000008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Receipts minus payments</w:t>
            </w:r>
          </w:p>
        </w:tc>
      </w:tr>
      <w:tr>
        <w:tc>
          <w:tcPr>
            <w:shd w:fill="ff0000" w:val="clear"/>
          </w:tcPr>
          <w:p w:rsidR="00000000" w:rsidDel="00000000" w:rsidP="00000000" w:rsidRDefault="00000000" w:rsidRPr="00000000" w14:paraId="0000008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Opening Bank Balance</w:t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 the closing bank balance of the previous month</w:t>
            </w:r>
          </w:p>
        </w:tc>
      </w:tr>
      <w:tr>
        <w:tc>
          <w:tcPr>
            <w:shd w:fill="ffc000" w:val="clear"/>
          </w:tcPr>
          <w:p w:rsidR="00000000" w:rsidDel="00000000" w:rsidP="00000000" w:rsidRDefault="00000000" w:rsidRPr="00000000" w14:paraId="0000008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Closing Bank Balance</w:t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Opening bank balance + Net cash flow</w:t>
            </w:r>
          </w:p>
          <w:p w:rsidR="00000000" w:rsidDel="00000000" w:rsidP="00000000" w:rsidRDefault="00000000" w:rsidRPr="00000000" w14:paraId="0000008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Calibri"/>
  <w:font w:name="Courie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ourier" w:cs="Courier" w:eastAsia="Courier" w:hAnsi="Courier"/>
        <w:sz w:val="24"/>
        <w:szCs w:val="24"/>
        <w:lang w:val="en-GB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