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Actividad: Capacidades y limitaciones que influyen en la adopción de ciberseguridad</w:t>
      </w:r>
    </w:p>
    <w:p>
      <w:pPr>
        <w:spacing w:after="200"/>
      </w:pPr>
      <w:r>
        <w:t xml:space="preserve">Aspectos Sociales de Ciberseguridad</w:t>
      </w:r>
    </w:p>
    <w:p>
      <w:pPr>
        <w:spacing w:after="200"/>
      </w:pPr>
      <w:r>
        <w:rPr>
          <w:b/>
          <w:bCs/>
        </w:rPr>
        <w:t xml:space="preserve">Sector de población elegido: </w:t>
      </w:r>
      <w:r>
        <w:t xml:space="preserve">Adultos mayores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2621"/>
        <w:gridCol w:w="2434"/>
        <w:gridCol w:w="2808"/>
      </w:tblGrid>
      <w:tr>
        <w:trPr>
          <w:tblHeader/>
        </w:trPr>
        <w:tc>
          <w:tcPr>
            <w:tcW w:type="dxa" w:w="1498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Población</w:t>
            </w:r>
          </w:p>
        </w:tc>
        <w:tc>
          <w:tcPr>
            <w:tcW w:type="dxa" w:w="2621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Capacidad / Limitación</w:t>
            </w:r>
          </w:p>
        </w:tc>
        <w:tc>
          <w:tcPr>
            <w:tcW w:type="dxa" w:w="2434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Mecanismo de ciberseguridad</w:t>
            </w:r>
          </w:p>
        </w:tc>
        <w:tc>
          <w:tcPr>
            <w:tcW w:type="dxa" w:w="2808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¿Cómo puede influir?</w:t>
            </w:r>
          </w:p>
        </w:tc>
      </w:tr>
      <w:tr>
        <w:tc>
          <w:tcPr>
            <w:tcW w:type="dxa" w:w="1498"/>
          </w:tcPr>
          <w:p>
            <w:r>
              <w:t xml:space="preserve">Adultos mayores</w:t>
            </w:r>
          </w:p>
        </w:tc>
        <w:tc>
          <w:tcPr>
            <w:tcW w:type="dxa" w:w="2621"/>
          </w:tcPr>
          <w:p>
            <w:r>
              <w:t xml:space="preserve">Confianza en figuras de autoridad y desconocimiento de técnicas de ingeniería social</w:t>
            </w:r>
          </w:p>
        </w:tc>
        <w:tc>
          <w:tcPr>
            <w:tcW w:type="dxa" w:w="2434"/>
          </w:tcPr>
          <w:p>
            <w:r>
              <w:t xml:space="preserve">Capacitación en detección de phishing y llamadas fraudulentas (vishing)</w:t>
            </w:r>
          </w:p>
        </w:tc>
        <w:tc>
          <w:tcPr>
            <w:tcW w:type="dxa" w:w="2808"/>
          </w:tcPr>
          <w:p>
            <w:r>
              <w:t xml:space="preserve">Sin esta capacitación, son blanco fácil de estafas que suplantan bancos, familiares o instituciones de gobierno.</w:t>
            </w:r>
          </w:p>
        </w:tc>
      </w:tr>
      <w:tr>
        <w:tc>
          <w:tcPr>
            <w:tcW w:type="dxa" w:w="1498"/>
          </w:tcPr>
          <w:p>
            <w:r>
              <w:t xml:space="preserve">Adultos mayores</w:t>
            </w:r>
          </w:p>
        </w:tc>
        <w:tc>
          <w:tcPr>
            <w:tcW w:type="dxa" w:w="2621"/>
          </w:tcPr>
          <w:p>
            <w:r>
              <w:t xml:space="preserve">Baja alfabetización digital: desconocen cómo configurar privacidad, verificar enlaces o identificar apps falsas</w:t>
            </w:r>
          </w:p>
        </w:tc>
        <w:tc>
          <w:tcPr>
            <w:tcW w:type="dxa" w:w="2434"/>
          </w:tcPr>
          <w:p>
            <w:r>
              <w:t xml:space="preserve">Gestores de contraseñas y autenticación multifactor (2FA)</w:t>
            </w:r>
          </w:p>
        </w:tc>
        <w:tc>
          <w:tcPr>
            <w:tcW w:type="dxa" w:w="2808"/>
          </w:tcPr>
          <w:p>
            <w:r>
              <w:t xml:space="preserve">La dificultad para usar estas herramientas hace que muchos las eviten, dejando cuentas expuestas con contraseñas débiles o reutilizadas.</w:t>
            </w:r>
          </w:p>
        </w:tc>
      </w:tr>
      <w:tr>
        <w:tc>
          <w:tcPr>
            <w:tcW w:type="dxa" w:w="1498"/>
          </w:tcPr>
          <w:p>
            <w:r>
              <w:t xml:space="preserve">Adultos mayores</w:t>
            </w:r>
          </w:p>
        </w:tc>
        <w:tc>
          <w:tcPr>
            <w:tcW w:type="dxa" w:w="2621"/>
          </w:tcPr>
          <w:p>
            <w:r>
              <w:t xml:space="preserve">Aislamiento social, que aumenta la dependencia emocional de contactos en línea</w:t>
            </w:r>
          </w:p>
        </w:tc>
        <w:tc>
          <w:tcPr>
            <w:tcW w:type="dxa" w:w="2434"/>
          </w:tcPr>
          <w:p>
            <w:r>
              <w:t xml:space="preserve">Protocolos familiares de verificación (contacto de confianza, 'detenerse y verificar')</w:t>
            </w:r>
          </w:p>
        </w:tc>
        <w:tc>
          <w:tcPr>
            <w:tcW w:type="dxa" w:w="2808"/>
          </w:tcPr>
          <w:p>
            <w:r>
              <w:t xml:space="preserve">Facilita que ciberdelincuentes usen manipulación emocional para lograr transferencias de dinero o entrega de datos.</w:t>
            </w:r>
          </w:p>
        </w:tc>
      </w:tr>
      <w:tr>
        <w:tc>
          <w:tcPr>
            <w:tcW w:type="dxa" w:w="1498"/>
          </w:tcPr>
          <w:p>
            <w:r>
              <w:t xml:space="preserve">Adultos mayores</w:t>
            </w:r>
          </w:p>
        </w:tc>
        <w:tc>
          <w:tcPr>
            <w:tcW w:type="dxa" w:w="2621"/>
          </w:tcPr>
          <w:p>
            <w:r>
              <w:t xml:space="preserve">Deterioro sensorial y motriz (vista, audición, destreza fina)</w:t>
            </w:r>
          </w:p>
        </w:tc>
        <w:tc>
          <w:tcPr>
            <w:tcW w:type="dxa" w:w="2434"/>
          </w:tcPr>
          <w:p>
            <w:r>
              <w:t xml:space="preserve">Seguridad usable: interfaces simples, alertas legibles, letra grande, menos pasos</w:t>
            </w:r>
          </w:p>
        </w:tc>
        <w:tc>
          <w:tcPr>
            <w:tcW w:type="dxa" w:w="2808"/>
          </w:tcPr>
          <w:p>
            <w:r>
              <w:t xml:space="preserve">Sin diseño accesible, ignoran advertencias de seguridad o cometen errores al configurar protecciones.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Fuentes</w:t>
      </w:r>
    </w:p>
    <w:p>
      <w:r>
        <w:t xml:space="preserve">Gaceta UNAM (2022). Se profundiza la brecha digital en la tercera edad. https://www.gaceta.unam.mx/se-profundiza-la-brecha-digital-en-la-tercera-edad/</w:t>
      </w:r>
    </w:p>
    <w:p>
      <w:r>
        <w:t xml:space="preserve">La Silla Rota (2023). Brecha digital en personas adultas mayores. https://lasillarota.com/opinion/columnas/2023/7/13/brecha-digital-en-las-personas-adultas-mayores-437982.html</w:t>
      </w:r>
    </w:p>
    <w:p>
      <w:r>
        <w:t xml:space="preserve">Municipios Puebla / ESET (2025). La soledad y la brecha digital impulsan las estafas a personas mayores. https://m.municipiospuebla.mx/nota/nacion/la-soledad-y-la-brecha-digital-impulsan-las-estafas-personas-mayores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2026-08-28T16:53:17.736Z</dcterms:created>
  <dcterms:modified xsi:type="dcterms:W3CDTF">2026-08-28T16:53:17.756Z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