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Deployment Evidence</w:t>
      </w:r>
    </w:p>
    <w:p>
      <w:r>
        <w:t>Release review requires a named owner and a reversible deployment plan.</w:t>
      </w:r>
    </w:p>
    <w:tbl>
      <w:tr>
        <w:tc>
          <w:p>
            <w:r>
              <w:t>Artifact</w:t>
            </w:r>
          </w:p>
        </w:tc>
        <w:tc>
          <w:p>
            <w:r>
              <w:t>Locator</w:t>
            </w:r>
          </w:p>
        </w:tc>
      </w:tr>
      <w:tr>
        <w:tc>
          <w:p>
            <w:r>
              <w:t>Runbook</w:t>
            </w:r>
          </w:p>
        </w:tc>
        <w:tc>
          <w:p>
            <w:r>
              <w:t>RB-17</w:t>
            </w:r>
          </w:p>
        </w:tc>
      </w:tr>
    </w:tbl>
    <w:p>
      <w:pPr>
        <w:pStyle w:val="Heading2"/>
      </w:pPr>
      <w:r>
        <w:t>Incident Learning</w:t>
      </w:r>
    </w:p>
    <w:p>
      <w:r>
        <w:t>Post-incident actions are tracked to closure in this synthetic example.</w:t>
      </w:r>
    </w:p>
    <w:sectPr/>
  </w:body>
</w:document>
</file>