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bookmarkStart w:id="1" w:name="DOC_TOP"/>
      <w:r>
        <w:rPr>
          <w:lang w:val="en-US"/>
        </w:rPr>
        <w:t xml:space="preserve">Response to RFQ-18649 - Application and Infrastructure Services Assessment</w:t>
      </w:r>
      <w:bookmarkEnd w:id="1"/>
    </w:p>
    <w:p>
      <w:pPr>
        <w:pStyle w:val="Normal"/>
      </w:pPr>
      <w:r>
        <w:rPr>
          <w:lang w:val="en-US"/>
        </w:rPr>
        <w:t xml:space="preserve">Solicitation: RFQ-18649</w:t>
      </w:r>
    </w:p>
    <w:p>
      <w:pPr>
        <w:pStyle w:val="Normal"/>
      </w:pPr>
      <w:r>
        <w:rPr>
          <w:lang w:val="en-US"/>
        </w:rPr>
        <w:t xml:space="preserve">Bidder: Northgate Assessment Partners LLC (FICTIONAL)</w:t>
      </w:r>
    </w:p>
    <w:p>
      <w:pPr>
        <w:pStyle w:val="Normal"/>
      </w:pPr>
      <w:r>
        <w:rPr>
          <w:lang w:val="en-US"/>
        </w:rPr>
        <w:t xml:space="preserve">Submission status: DRAFT - NOT SUBMITTED</w:t>
      </w:r>
    </w:p>
    <w:p>
      <w:pPr>
        <w:pStyle w:val="Normal"/>
      </w:pPr>
      <w:r>
        <w:rPr>
          <w:lang w:val="en-US"/>
        </w:rPr>
        <w:t xml:space="preserve">Assembled by: bid_pack.py (uiowa-136-bid-pack/1)</w:t>
      </w:r>
    </w:p>
    <w:p>
      <w:pPr>
        <w:pStyle w:val="Normal"/>
      </w:pPr>
      <w:r>
        <w:rPr>
          <w:lang w:val="en-US"/>
        </w:rPr>
        <w:t xml:space="preserve">SYNTHETIC FIXTURE - FICTION. Northgate Assessment Partners LLC does not exist. No content in this pack is a representation about any real bidder, any real University of Iowa requirement, or any real document. It exists to exercise the assembler.</w:t>
      </w:r>
    </w:p>
    <w:p>
      <w:r>
        <w:br w:type="page"/>
      </w:r>
    </w:p>
    <w:p>
      <w:pPr>
        <w:pStyle w:val="Heading1"/>
      </w:pPr>
      <w:bookmarkStart w:id="2" w:name="TOC"/>
      <w:r>
        <w:rPr>
          <w:lang w:val="en-US"/>
        </w:rPr>
        <w:t xml:space="preserve">Document Map</w:t>
      </w:r>
      <w:bookmarkEnd w:id="2"/>
    </w:p>
    <w:p>
      <w:pPr>
        <w:pStyle w:val="Normal"/>
      </w:pPr>
      <w:r>
        <w:rPr>
          <w:lang w:val="en-US"/>
        </w:rPr>
        <w:t xml:space="preserve">Every row below is a live link in the PDF and a bookmark in the .docx.</w:t>
      </w:r>
    </w:p>
    <w:p>
      <w:pPr>
        <w:pStyle w:val="Normal"/>
      </w:pPr>
      <w:hyperlink w:anchor="S_COVER">
        <w:r>
          <w:rPr>
            <w:rFonts w:ascii="Courier New" w:hAnsi="Courier New"/>
            <w:sz w:val="16"/>
            <w:rStyle w:val="Hyperlink"/>
          </w:rPr>
          <w:t xml:space="preserve"> 1  Cover Letter ..................................................    3</w:t>
        </w:r>
      </w:hyperlink>
    </w:p>
    <w:p>
      <w:pPr>
        <w:pStyle w:val="Normal"/>
      </w:pPr>
      <w:hyperlink w:anchor="S_EXEC">
        <w:r>
          <w:rPr>
            <w:rFonts w:ascii="Courier New" w:hAnsi="Courier New"/>
            <w:sz w:val="16"/>
            <w:rStyle w:val="Hyperlink"/>
          </w:rPr>
          <w:t xml:space="preserve"> 2  Executive Summary .............................................    4</w:t>
        </w:r>
      </w:hyperlink>
    </w:p>
    <w:p>
      <w:pPr>
        <w:pStyle w:val="Normal"/>
      </w:pPr>
      <w:hyperlink w:anchor="S_QUAL">
        <w:r>
          <w:rPr>
            <w:rFonts w:ascii="Courier New" w:hAnsi="Courier New"/>
            <w:sz w:val="16"/>
            <w:rStyle w:val="Hyperlink"/>
          </w:rPr>
          <w:t xml:space="preserve"> 3  Firm Qualifications ...........................................    5</w:t>
        </w:r>
      </w:hyperlink>
    </w:p>
    <w:p>
      <w:pPr>
        <w:pStyle w:val="Normal"/>
      </w:pPr>
      <w:hyperlink w:anchor="S_SCOPE">
        <w:r>
          <w:rPr>
            <w:rFonts w:ascii="Courier New" w:hAnsi="Courier New"/>
            <w:sz w:val="16"/>
            <w:rStyle w:val="Hyperlink"/>
          </w:rPr>
          <w:t xml:space="preserve"> 4  Scope of Work and Methodology .................................    6</w:t>
        </w:r>
      </w:hyperlink>
    </w:p>
    <w:p>
      <w:pPr>
        <w:pStyle w:val="Normal"/>
      </w:pPr>
      <w:hyperlink w:anchor="S_STAFF">
        <w:r>
          <w:rPr>
            <w:rFonts w:ascii="Courier New" w:hAnsi="Courier New"/>
            <w:sz w:val="16"/>
            <w:rStyle w:val="Hyperlink"/>
          </w:rPr>
          <w:t xml:space="preserve"> 5  Staffing and Key Personnel ....................................    7</w:t>
        </w:r>
      </w:hyperlink>
    </w:p>
    <w:p>
      <w:pPr>
        <w:pStyle w:val="Normal"/>
      </w:pPr>
      <w:hyperlink w:anchor="S_PRICE">
        <w:r>
          <w:rPr>
            <w:rFonts w:ascii="Courier New" w:hAnsi="Courier New"/>
            <w:sz w:val="16"/>
            <w:rStyle w:val="Hyperlink"/>
          </w:rPr>
          <w:t xml:space="preserve"> 6  Price Proposal ................................................    8</w:t>
        </w:r>
      </w:hyperlink>
    </w:p>
    <w:p>
      <w:pPr>
        <w:pStyle w:val="Normal"/>
      </w:pPr>
      <w:hyperlink w:anchor="S_EXCEPT">
        <w:r>
          <w:rPr>
            <w:rFonts w:ascii="Courier New" w:hAnsi="Courier New"/>
            <w:sz w:val="16"/>
            <w:rStyle w:val="Hyperlink"/>
          </w:rPr>
          <w:t xml:space="preserve"> 7  Exceptions and Assumptions ....................................    9</w:t>
        </w:r>
      </w:hyperlink>
    </w:p>
    <w:p>
      <w:pPr>
        <w:pStyle w:val="Heading1"/>
      </w:pPr>
      <w:bookmarkStart w:id="3" w:name="ATTIDX"/>
      <w:r>
        <w:rPr>
          <w:lang w:val="en-US"/>
        </w:rPr>
        <w:t xml:space="preserve">Attachment Index</w:t>
      </w:r>
      <w:bookmarkEnd w:id="3"/>
    </w:p>
    <w:p>
      <w:pPr>
        <w:pStyle w:val="Normal"/>
      </w:pPr>
      <w:r>
        <w:rPr>
          <w:lang w:val="en-US"/>
        </w:rPr>
        <w:t xml:space="preserve">UNKNOWN means no file was supplied, so size and digest could not be measured. It is not zero and it is not a pass.</w:t>
      </w:r>
    </w:p>
    <w:p>
      <w:pPr>
        <w:pStyle w:val="Normal"/>
      </w:pPr>
      <w:r>
        <w:rPr>
          <w:rFonts w:ascii="Courier New" w:hAnsi="Courier New"/>
          <w:sz w:val="16"/>
          <w:lang w:val="en-US"/>
        </w:rPr>
        <w:t xml:space="preserve">ID           STATUS                     BYTES      SHA256[:16]     </w:t>
      </w:r>
    </w:p>
    <w:p>
      <w:pPr>
        <w:pStyle w:val="Normal"/>
      </w:pPr>
      <w:r>
        <w:rPr>
          <w:rFonts w:ascii="Courier New" w:hAnsi="Courier New"/>
          <w:sz w:val="16"/>
          <w:lang w:val="en-US"/>
        </w:rPr>
        <w:t xml:space="preserve">------------------------------------------------------------------</w:t>
      </w:r>
    </w:p>
    <w:p>
      <w:pPr>
        <w:pStyle w:val="Normal"/>
      </w:pPr>
      <w:bookmarkStart w:id="4" w:name="IDX_ATT_FIN_01"/>
      <w:r>
        <w:rPr>
          <w:rFonts w:ascii="Courier New" w:hAnsi="Courier New"/>
          <w:sz w:val="16"/>
          <w:lang w:val="en-US"/>
        </w:rPr>
        <w:t xml:space="preserve">ATT-FIN-01   SUPPLIED                   385        110d1deb877bf3b6</w:t>
      </w:r>
      <w:bookmarkEnd w:id="4"/>
    </w:p>
    <w:p>
      <w:pPr>
        <w:pStyle w:val="Normal"/>
      </w:pPr>
      <w:r>
        <w:rPr>
          <w:rFonts w:ascii="Courier New" w:hAnsi="Courier New"/>
          <w:sz w:val="16"/>
          <w:lang w:val="en-US"/>
        </w:rPr>
        <w:t xml:space="preserve">             Financial Capacity Letter [financial, required] -&gt; A01-financial-capacity-letter.txt</w:t>
      </w:r>
    </w:p>
    <w:p>
      <w:pPr>
        <w:pStyle w:val="Normal"/>
      </w:pPr>
      <w:bookmarkStart w:id="5" w:name="IDX_ATT_FIN_02"/>
      <w:r>
        <w:rPr>
          <w:rFonts w:ascii="Courier New" w:hAnsi="Courier New"/>
          <w:sz w:val="16"/>
          <w:lang w:val="en-US"/>
        </w:rPr>
        <w:t xml:space="preserve">ATT-FIN-02   PLACEHOLDER-NOT SUPPLIED   UNKNOWN    UNKNOWN         </w:t>
      </w:r>
      <w:bookmarkEnd w:id="5"/>
    </w:p>
    <w:p>
      <w:pPr>
        <w:pStyle w:val="Normal"/>
      </w:pPr>
      <w:r>
        <w:rPr>
          <w:rFonts w:ascii="Courier New" w:hAnsi="Courier New"/>
          <w:sz w:val="16"/>
          <w:lang w:val="en-US"/>
        </w:rPr>
        <w:t xml:space="preserve">             Certified Cost Rate Schedule [financial, required] -&gt; (no file supplied)</w:t>
      </w:r>
    </w:p>
    <w:p>
      <w:pPr>
        <w:pStyle w:val="Normal"/>
      </w:pPr>
      <w:bookmarkStart w:id="6" w:name="IDX_ATT_QUAL_01"/>
      <w:r>
        <w:rPr>
          <w:rFonts w:ascii="Courier New" w:hAnsi="Courier New"/>
          <w:sz w:val="16"/>
          <w:lang w:val="en-US"/>
        </w:rPr>
        <w:t xml:space="preserve">ATT-QUAL-01  SUPPLIED                   316        735ea0aa278ac0f7</w:t>
      </w:r>
      <w:bookmarkEnd w:id="6"/>
    </w:p>
    <w:p>
      <w:pPr>
        <w:pStyle w:val="Normal"/>
      </w:pPr>
      <w:r>
        <w:rPr>
          <w:rFonts w:ascii="Courier New" w:hAnsi="Courier New"/>
          <w:sz w:val="16"/>
          <w:lang w:val="en-US"/>
        </w:rPr>
        <w:t xml:space="preserve">             Vendor Registration and Taxpayer Identification [qualification, required] -&gt; A03-vendor-registration-and-taxpayer-identification.txt</w:t>
      </w:r>
    </w:p>
    <w:p>
      <w:pPr>
        <w:pStyle w:val="Normal"/>
      </w:pPr>
      <w:bookmarkStart w:id="7" w:name="IDX_ATT_QUAL_02"/>
      <w:r>
        <w:rPr>
          <w:rFonts w:ascii="Courier New" w:hAnsi="Courier New"/>
          <w:sz w:val="16"/>
          <w:lang w:val="en-US"/>
        </w:rPr>
        <w:t xml:space="preserve">ATT-QUAL-02  PLACEHOLDER-NOT SUPPLIED   UNKNOWN    UNKNOWN         </w:t>
      </w:r>
      <w:bookmarkEnd w:id="7"/>
    </w:p>
    <w:p>
      <w:pPr>
        <w:pStyle w:val="Normal"/>
      </w:pPr>
      <w:r>
        <w:rPr>
          <w:rFonts w:ascii="Courier New" w:hAnsi="Courier New"/>
          <w:sz w:val="16"/>
          <w:lang w:val="en-US"/>
        </w:rPr>
        <w:t xml:space="preserve">             Certificate of Insurance [qualification, required] -&gt; (no file supplied)</w:t>
      </w:r>
    </w:p>
    <w:p>
      <w:pPr>
        <w:pStyle w:val="Normal"/>
      </w:pPr>
      <w:bookmarkStart w:id="8" w:name="IDX_ATT_QUAL_03"/>
      <w:r>
        <w:rPr>
          <w:rFonts w:ascii="Courier New" w:hAnsi="Courier New"/>
          <w:sz w:val="16"/>
          <w:lang w:val="en-US"/>
        </w:rPr>
        <w:t xml:space="preserve">ATT-QUAL-03  PLACEHOLDER-NOT SUPPLIED   UNKNOWN    UNKNOWN         </w:t>
      </w:r>
      <w:bookmarkEnd w:id="8"/>
    </w:p>
    <w:p>
      <w:pPr>
        <w:pStyle w:val="Normal"/>
      </w:pPr>
      <w:r>
        <w:rPr>
          <w:rFonts w:ascii="Courier New" w:hAnsi="Courier New"/>
          <w:sz w:val="16"/>
          <w:lang w:val="en-US"/>
        </w:rPr>
        <w:t xml:space="preserve">             Key Personnel Resumes [qualification, required] -&gt; (no file supplied)</w:t>
      </w:r>
    </w:p>
    <w:p>
      <w:pPr>
        <w:pStyle w:val="Normal"/>
      </w:pPr>
      <w:bookmarkStart w:id="9" w:name="IDX_ATT_REF_01"/>
      <w:r>
        <w:rPr>
          <w:rFonts w:ascii="Courier New" w:hAnsi="Courier New"/>
          <w:sz w:val="16"/>
          <w:lang w:val="en-US"/>
        </w:rPr>
        <w:t xml:space="preserve">ATT-REF-01   SUPPLIED                   286        52627cda38b5c84a</w:t>
      </w:r>
      <w:bookmarkEnd w:id="9"/>
    </w:p>
    <w:p>
      <w:pPr>
        <w:pStyle w:val="Normal"/>
      </w:pPr>
      <w:r>
        <w:rPr>
          <w:rFonts w:ascii="Courier New" w:hAnsi="Courier New"/>
          <w:sz w:val="16"/>
          <w:lang w:val="en-US"/>
        </w:rPr>
        <w:t xml:space="preserve">             Client References [qualification, optional] -&gt; A06-client-references.txt</w:t>
      </w:r>
    </w:p>
    <w:p>
      <w:pPr>
        <w:pStyle w:val="Heading2"/>
      </w:pPr>
      <w:r>
        <w:rPr>
          <w:lang w:val="en-US"/>
        </w:rPr>
        <w:t xml:space="preserve">Submission completeness</w:t>
      </w:r>
    </w:p>
    <w:p>
      <w:pPr>
        <w:pStyle w:val="Normal"/>
      </w:pPr>
      <w:r>
        <w:rPr>
          <w:lang w:val="en-US"/>
        </w:rPr>
        <w:t xml:space="preserve">Status: SUBMISSION_INCOMPLETE</w:t>
      </w:r>
    </w:p>
    <w:p>
      <w:pPr>
        <w:pStyle w:val="Normal"/>
      </w:pPr>
      <w:r>
        <w:rPr>
          <w:lang w:val="en-US"/>
        </w:rPr>
        <w:t xml:space="preserve">Required attachments declared: 5. Present: 2. Not supplied: 3.</w:t>
      </w:r>
    </w:p>
    <w:p>
      <w:pPr>
        <w:pStyle w:val="Normal"/>
      </w:pPr>
      <w:r>
        <w:rPr>
          <w:lang w:val="en-US"/>
        </w:rPr>
        <w:t xml:space="preserve">Not supplied: ATT-FIN-02, ATT-QUAL-02, ATT-QUAL-03</w:t>
      </w:r>
    </w:p>
    <w:p>
      <w:r>
        <w:br w:type="page"/>
      </w:r>
    </w:p>
    <w:p>
      <w:pPr>
        <w:pStyle w:val="Heading1"/>
      </w:pPr>
      <w:bookmarkStart w:id="10" w:name="S_COVER"/>
      <w:r>
        <w:rPr>
          <w:lang w:val="en-US"/>
        </w:rPr>
        <w:t xml:space="preserve">1. Cover Letter</w:t>
      </w:r>
      <w:bookmarkEnd w:id="10"/>
    </w:p>
    <w:p>
      <w:pPr>
        <w:pStyle w:val="Normal"/>
      </w:pPr>
      <w:r>
        <w:rPr>
          <w:lang w:val="en-US"/>
        </w:rPr>
        <w:t xml:space="preserve">Northgate Assessment Partners LLC submits this response to Solicitation RFQ-18649 for an Application and Infrastructure Services assessment. This cover letter, the sections that follow, and the attachment index in the front matter are the complete submission as assembled on the date shown on the title page.</w:t>
      </w:r>
    </w:p>
    <w:p>
      <w:pPr>
        <w:pStyle w:val="Normal"/>
      </w:pPr>
      <w:r>
        <w:rPr>
          <w:lang w:val="en-US"/>
        </w:rPr>
        <w:t xml:space="preserve">Every attachment named in this proposal is listed in the attachment index with its supply status. Where a document has not yet been supplied, the index says so in that row rather than omitting the row. Nothing in this submission stands in for a document that does not exist.</w:t>
      </w:r>
    </w:p>
    <w:p>
      <w:pPr>
        <w:pStyle w:val="Normal"/>
      </w:pPr>
      <w:r>
        <w:rPr>
          <w:lang w:val="en-US"/>
        </w:rPr>
        <w:t xml:space="preserve">The scope we are proposing is described in Section 4 (Scope of Work and Methodology), page 6. Our pricing basis is in Section 6 (Price Proposal), page 8.</w:t>
      </w:r>
    </w:p>
    <w:p>
      <w:pPr>
        <w:pStyle w:val="Heading2"/>
      </w:pPr>
      <w:r>
        <w:rPr>
          <w:lang w:val="en-US"/>
        </w:rPr>
        <w:t xml:space="preserve">Cross-references</w:t>
      </w:r>
    </w:p>
    <w:p>
      <w:pPr>
        <w:pStyle w:val="Normal"/>
      </w:pPr>
      <w:hyperlink w:anchor="S_SCOPE">
        <w:r>
          <w:rPr>
            <w:rStyle w:val="Hyperlink"/>
          </w:rPr>
          <w:t xml:space="preserve">-&gt; S-SCOPE: Scope of Work and Methodology</w:t>
        </w:r>
      </w:hyperlink>
    </w:p>
    <w:p>
      <w:pPr>
        <w:pStyle w:val="Normal"/>
      </w:pPr>
      <w:hyperlink w:anchor="S_PRICE">
        <w:r>
          <w:rPr>
            <w:rStyle w:val="Hyperlink"/>
          </w:rPr>
          <w:t xml:space="preserve">-&gt; S-PRICE: Price Proposal</w:t>
        </w:r>
      </w:hyperlink>
    </w:p>
    <w:p>
      <w:r>
        <w:br w:type="page"/>
      </w:r>
    </w:p>
    <w:p>
      <w:pPr>
        <w:pStyle w:val="Heading1"/>
      </w:pPr>
      <w:bookmarkStart w:id="11" w:name="S_EXEC"/>
      <w:r>
        <w:rPr>
          <w:lang w:val="en-US"/>
        </w:rPr>
        <w:t xml:space="preserve">2. Executive Summary</w:t>
      </w:r>
      <w:bookmarkEnd w:id="11"/>
    </w:p>
    <w:p>
      <w:pPr>
        <w:pStyle w:val="Normal"/>
      </w:pPr>
      <w:r>
        <w:rPr>
          <w:lang w:val="en-US"/>
        </w:rPr>
        <w:t xml:space="preserve">This proposal offers a four-area assessment - applications, infrastructure, operational practice, and current AI use - delivered over an eight-week engagement with two scheduled readouts. The assessment produces findings that are traceable to a named source, and a recommendation register in which every recommendation cites the findings that motivated it.</w:t>
      </w:r>
    </w:p>
    <w:p>
      <w:pPr>
        <w:pStyle w:val="Normal"/>
      </w:pPr>
      <w:r>
        <w:rPr>
          <w:lang w:val="en-US"/>
        </w:rPr>
        <w:t xml:space="preserve">We do not produce a single maturity score. Where evidence for an area was not collected, the deliverable records that the area was not assessed. An area that nobody was asked about is reported as not assessed; it is not reported as a low score. This is the difference between an assessment and a spreadsheet that resembles one, and it is the reason our reports survive a second reading six months later.</w:t>
      </w:r>
    </w:p>
    <w:p>
      <w:pPr>
        <w:pStyle w:val="Normal"/>
      </w:pPr>
      <w:r>
        <w:rPr>
          <w:lang w:val="en-US"/>
        </w:rPr>
        <w:t xml:space="preserve">Our approach and the sequence of work are set out in Section 4 (Scope of Work and Methodology), page 6. The people who would do the work, and the basis for their availability, are in Section 5 (Staffing and Key Personnel), page 7. Our financial standing is evidenced in Attachment ATT-FIN-01 (Financial Capacity Letter) - see attachment index, page 2.</w:t>
      </w:r>
    </w:p>
    <w:p>
      <w:pPr>
        <w:pStyle w:val="Heading2"/>
      </w:pPr>
      <w:r>
        <w:rPr>
          <w:lang w:val="en-US"/>
        </w:rPr>
        <w:t xml:space="preserve">Cross-references</w:t>
      </w:r>
    </w:p>
    <w:p>
      <w:pPr>
        <w:pStyle w:val="Normal"/>
      </w:pPr>
      <w:hyperlink w:anchor="S_SCOPE">
        <w:r>
          <w:rPr>
            <w:rStyle w:val="Hyperlink"/>
          </w:rPr>
          <w:t xml:space="preserve">-&gt; S-SCOPE: Scope of Work and Methodology</w:t>
        </w:r>
      </w:hyperlink>
    </w:p>
    <w:p>
      <w:pPr>
        <w:pStyle w:val="Normal"/>
      </w:pPr>
      <w:hyperlink w:anchor="S_STAFF">
        <w:r>
          <w:rPr>
            <w:rStyle w:val="Hyperlink"/>
          </w:rPr>
          <w:t xml:space="preserve">-&gt; S-STAFF: Staffing and Key Personnel</w:t>
        </w:r>
      </w:hyperlink>
    </w:p>
    <w:p>
      <w:pPr>
        <w:pStyle w:val="Normal"/>
      </w:pPr>
      <w:hyperlink w:anchor="IDX_ATT_FIN_01">
        <w:r>
          <w:rPr>
            <w:rStyle w:val="Hyperlink"/>
          </w:rPr>
          <w:t xml:space="preserve">-&gt; ATT-FIN-01: Financial Capacity Letter</w:t>
        </w:r>
      </w:hyperlink>
    </w:p>
    <w:p>
      <w:r>
        <w:br w:type="page"/>
      </w:r>
    </w:p>
    <w:p>
      <w:pPr>
        <w:pStyle w:val="Heading1"/>
      </w:pPr>
      <w:bookmarkStart w:id="12" w:name="S_QUAL"/>
      <w:r>
        <w:rPr>
          <w:lang w:val="en-US"/>
        </w:rPr>
        <w:t xml:space="preserve">3. Firm Qualifications</w:t>
      </w:r>
      <w:bookmarkEnd w:id="12"/>
    </w:p>
    <w:p>
      <w:pPr>
        <w:pStyle w:val="Normal"/>
      </w:pPr>
      <w:r>
        <w:rPr>
          <w:lang w:val="en-US"/>
        </w:rPr>
        <w:t xml:space="preserve">Northgate Assessment Partners LLC is a fictional firm created for this synthetic fixture. Any resemblance to a real assessment vendor is unintended. The firm profile below exists so the assembler has realistic material to lay out; it is not a representation about any real company's experience.</w:t>
      </w:r>
    </w:p>
    <w:p>
      <w:pPr>
        <w:pStyle w:val="Normal"/>
      </w:pPr>
      <w:r>
        <w:rPr>
          <w:lang w:val="en-US"/>
        </w:rPr>
        <w:t xml:space="preserve">The firm profile states six comparable higher-education engagements over four years. The supporting evidence for those engagements - client references and the named-personnel resumes - is carried as attachments rather than asserted in the body text, so a reviewer can check the claim against a document instead of against a sentence.</w:t>
      </w:r>
    </w:p>
    <w:p>
      <w:pPr>
        <w:pStyle w:val="Normal"/>
      </w:pPr>
      <w:r>
        <w:rPr>
          <w:lang w:val="en-US"/>
        </w:rPr>
        <w:t xml:space="preserve">Client references are at Attachment ATT-REF-01 (Client References) - see attachment index, page 2. Resumes for the named personnel are at Attachment ATT-QUAL-03 (Key Personnel Resumes) - PLACEHOLDER, NOT SUPPLIED - see attachment index, page 2.</w:t>
      </w:r>
    </w:p>
    <w:p>
      <w:pPr>
        <w:pStyle w:val="Heading2"/>
      </w:pPr>
      <w:r>
        <w:rPr>
          <w:lang w:val="en-US"/>
        </w:rPr>
        <w:t xml:space="preserve">Cross-references</w:t>
      </w:r>
    </w:p>
    <w:p>
      <w:pPr>
        <w:pStyle w:val="Normal"/>
      </w:pPr>
      <w:hyperlink w:anchor="IDX_ATT_REF_01">
        <w:r>
          <w:rPr>
            <w:rStyle w:val="Hyperlink"/>
          </w:rPr>
          <w:t xml:space="preserve">-&gt; ATT-REF-01: Client References</w:t>
        </w:r>
      </w:hyperlink>
    </w:p>
    <w:p>
      <w:pPr>
        <w:pStyle w:val="Normal"/>
      </w:pPr>
      <w:hyperlink w:anchor="IDX_ATT_QUAL_03">
        <w:r>
          <w:rPr>
            <w:rStyle w:val="Hyperlink"/>
          </w:rPr>
          <w:t xml:space="preserve">-&gt; ATT-QUAL-03: Key Personnel Resumes</w:t>
        </w:r>
      </w:hyperlink>
    </w:p>
    <w:p>
      <w:r>
        <w:br w:type="page"/>
      </w:r>
    </w:p>
    <w:p>
      <w:pPr>
        <w:pStyle w:val="Heading1"/>
      </w:pPr>
      <w:bookmarkStart w:id="13" w:name="S_SCOPE"/>
      <w:r>
        <w:rPr>
          <w:lang w:val="en-US"/>
        </w:rPr>
        <w:t xml:space="preserve">4. Scope of Work and Methodology</w:t>
      </w:r>
      <w:bookmarkEnd w:id="13"/>
    </w:p>
    <w:p>
      <w:pPr>
        <w:pStyle w:val="Normal"/>
      </w:pPr>
      <w:r>
        <w:rPr>
          <w:lang w:val="en-US"/>
        </w:rPr>
        <w:t xml:space="preserve">The engagement runs in four phases. Phase one is intake: we collect the inventory of applications and infrastructure services in scope, together with whatever operational records already exist - change records, incident records, backup and restoration records, and any existing architecture documentation. We do not require these to be complete. We require them to be labelled, so that a gap is recorded as a gap.</w:t>
      </w:r>
    </w:p>
    <w:p>
      <w:pPr>
        <w:pStyle w:val="Normal"/>
      </w:pPr>
      <w:r>
        <w:rPr>
          <w:lang w:val="en-US"/>
        </w:rPr>
        <w:t xml:space="preserve">Phase two is interviews. We speak with the service owners for each in-scope area. Where a service owner is unavailable within the engagement window, the area is recorded as not assessed and the reason is named in the report. We do not infer an answer from an adjacent team and attribute it to the area we could not reach.</w:t>
      </w:r>
    </w:p>
    <w:p>
      <w:pPr>
        <w:pStyle w:val="Normal"/>
      </w:pPr>
      <w:r>
        <w:rPr>
          <w:lang w:val="en-US"/>
        </w:rPr>
        <w:t xml:space="preserve">Phase three is analysis. Each finding is written with its source attached: the document, the record, or the named interview it came from. A finding with no traceable source does not enter the register.</w:t>
      </w:r>
    </w:p>
    <w:p>
      <w:pPr>
        <w:pStyle w:val="Normal"/>
      </w:pPr>
      <w:r>
        <w:rPr>
          <w:lang w:val="en-US"/>
        </w:rPr>
        <w:t xml:space="preserve">Phase four is reporting and readout. The deliverable set is the written report, the recommendation register, and the readout deck. The register orders recommendations by the stated priority basis and shows the weights used, so the ordering can be argued with rather than merely received.</w:t>
      </w:r>
    </w:p>
    <w:p>
      <w:pPr>
        <w:pStyle w:val="Normal"/>
      </w:pPr>
      <w:r>
        <w:rPr>
          <w:lang w:val="en-US"/>
        </w:rPr>
        <w:t xml:space="preserve">Staffing for each phase is in Section 5 (Staffing and Key Personnel), page 7. The fee basis for each phase is in Section 6 (Price Proposal), page 8. The detailed phase-by-phase deliverable list is in [UNRESOLVED REFERENCE: S-APPENDIX-C].</w:t>
      </w:r>
    </w:p>
    <w:p>
      <w:pPr>
        <w:pStyle w:val="Heading2"/>
      </w:pPr>
      <w:r>
        <w:rPr>
          <w:lang w:val="en-US"/>
        </w:rPr>
        <w:t xml:space="preserve">Cross-references</w:t>
      </w:r>
    </w:p>
    <w:p>
      <w:pPr>
        <w:pStyle w:val="Normal"/>
      </w:pPr>
      <w:hyperlink w:anchor="S_STAFF">
        <w:r>
          <w:rPr>
            <w:rStyle w:val="Hyperlink"/>
          </w:rPr>
          <w:t xml:space="preserve">-&gt; S-STAFF: Staffing and Key Personnel</w:t>
        </w:r>
      </w:hyperlink>
    </w:p>
    <w:p>
      <w:pPr>
        <w:pStyle w:val="Normal"/>
      </w:pPr>
      <w:hyperlink w:anchor="S_PRICE">
        <w:r>
          <w:rPr>
            <w:rStyle w:val="Hyperlink"/>
          </w:rPr>
          <w:t xml:space="preserve">-&gt; S-PRICE: Price Proposal</w:t>
        </w:r>
      </w:hyperlink>
    </w:p>
    <w:p>
      <w:pPr>
        <w:pStyle w:val="Normal"/>
      </w:pPr>
      <w:r>
        <w:rPr>
          <w:lang w:val="en-US"/>
        </w:rPr>
        <w:t xml:space="preserve">-&gt; S-APPENDIX-C: UNRESOLVED - no destination exists in this pack</w:t>
      </w:r>
    </w:p>
    <w:p>
      <w:r>
        <w:br w:type="page"/>
      </w:r>
    </w:p>
    <w:p>
      <w:pPr>
        <w:pStyle w:val="Heading1"/>
      </w:pPr>
      <w:bookmarkStart w:id="14" w:name="S_STAFF"/>
      <w:r>
        <w:rPr>
          <w:lang w:val="en-US"/>
        </w:rPr>
        <w:t xml:space="preserve">5. Staffing and Key Personnel</w:t>
      </w:r>
      <w:bookmarkEnd w:id="14"/>
    </w:p>
    <w:p>
      <w:pPr>
        <w:pStyle w:val="Normal"/>
      </w:pPr>
      <w:r>
        <w:rPr>
          <w:lang w:val="en-US"/>
        </w:rPr>
        <w:t xml:space="preserve">The engagement is staffed by a principal assessor at 0.4 FTE, a senior analyst at 0.8 FTE, and an infrastructure specialist at 0.3 FTE for the six weeks covering phases one to three. The principal assessor is the single point of contact and attends both readouts.</w:t>
      </w:r>
    </w:p>
    <w:p>
      <w:pPr>
        <w:pStyle w:val="Normal"/>
      </w:pPr>
      <w:r>
        <w:rPr>
          <w:lang w:val="en-US"/>
        </w:rPr>
        <w:t xml:space="preserve">Named-personnel resumes are carried as Attachment ATT-QUAL-03 (Key Personnel Resumes) - PLACEHOLDER, NOT SUPPLIED - see attachment index, page 2 rather than summarised here, because a summary of a resume is not evidence of a person's experience.</w:t>
      </w:r>
    </w:p>
    <w:p>
      <w:pPr>
        <w:pStyle w:val="Normal"/>
      </w:pPr>
      <w:r>
        <w:rPr>
          <w:lang w:val="en-US"/>
        </w:rPr>
        <w:t xml:space="preserve">Availability is stated as a commitment of capacity for the engagement window. It is not a schedule of appointments, and no interview dates are asserted anywhere in this submission - those are set with the University after award.</w:t>
      </w:r>
    </w:p>
    <w:p>
      <w:pPr>
        <w:pStyle w:val="Heading2"/>
      </w:pPr>
      <w:r>
        <w:rPr>
          <w:lang w:val="en-US"/>
        </w:rPr>
        <w:t xml:space="preserve">Cross-references</w:t>
      </w:r>
    </w:p>
    <w:p>
      <w:pPr>
        <w:pStyle w:val="Normal"/>
      </w:pPr>
      <w:hyperlink w:anchor="IDX_ATT_QUAL_03">
        <w:r>
          <w:rPr>
            <w:rStyle w:val="Hyperlink"/>
          </w:rPr>
          <w:t xml:space="preserve">-&gt; ATT-QUAL-03: Key Personnel Resumes</w:t>
        </w:r>
      </w:hyperlink>
    </w:p>
    <w:p>
      <w:r>
        <w:br w:type="page"/>
      </w:r>
    </w:p>
    <w:p>
      <w:pPr>
        <w:pStyle w:val="Heading1"/>
      </w:pPr>
      <w:bookmarkStart w:id="15" w:name="S_PRICE"/>
      <w:r>
        <w:rPr>
          <w:lang w:val="en-US"/>
        </w:rPr>
        <w:t xml:space="preserve">6. Price Proposal</w:t>
      </w:r>
      <w:bookmarkEnd w:id="15"/>
    </w:p>
    <w:p>
      <w:pPr>
        <w:pStyle w:val="Normal"/>
      </w:pPr>
      <w:r>
        <w:rPr>
          <w:lang w:val="en-US"/>
        </w:rPr>
        <w:t xml:space="preserve">Pricing is fixed-fee by phase, with the rate basis carried in the certified cost rate schedule rather than restated in the body. The fee schedule covers the four phases in Section 4 (Scope of Work and Methodology), page 6 and the two readouts.</w:t>
      </w:r>
    </w:p>
    <w:p>
      <w:pPr>
        <w:pStyle w:val="Normal"/>
      </w:pPr>
      <w:r>
        <w:rPr>
          <w:lang w:val="en-US"/>
        </w:rPr>
        <w:t xml:space="preserve">Expenses for onsite days are quoted separately and are not included in the phase fees. No onsite day is assumed in the base fee; onsite days are priced only if requested.</w:t>
      </w:r>
    </w:p>
    <w:p>
      <w:pPr>
        <w:pStyle w:val="Normal"/>
      </w:pPr>
      <w:r>
        <w:rPr>
          <w:lang w:val="en-US"/>
        </w:rPr>
        <w:t xml:space="preserve">The certified cost rate schedule is Attachment ATT-FIN-02 (Certified Cost Rate Schedule) - PLACEHOLDER, NOT SUPPLIED - see attachment index, page 2. Our audited financial capacity evidence is Attachment ATT-FIN-01 (Financial Capacity Letter) - see attachment index, page 2.</w:t>
      </w:r>
    </w:p>
    <w:p>
      <w:pPr>
        <w:pStyle w:val="Heading2"/>
      </w:pPr>
      <w:r>
        <w:rPr>
          <w:lang w:val="en-US"/>
        </w:rPr>
        <w:t xml:space="preserve">Cross-references</w:t>
      </w:r>
    </w:p>
    <w:p>
      <w:pPr>
        <w:pStyle w:val="Normal"/>
      </w:pPr>
      <w:hyperlink w:anchor="S_SCOPE">
        <w:r>
          <w:rPr>
            <w:rStyle w:val="Hyperlink"/>
          </w:rPr>
          <w:t xml:space="preserve">-&gt; S-SCOPE: Scope of Work and Methodology</w:t>
        </w:r>
      </w:hyperlink>
    </w:p>
    <w:p>
      <w:pPr>
        <w:pStyle w:val="Normal"/>
      </w:pPr>
      <w:hyperlink w:anchor="IDX_ATT_FIN_02">
        <w:r>
          <w:rPr>
            <w:rStyle w:val="Hyperlink"/>
          </w:rPr>
          <w:t xml:space="preserve">-&gt; ATT-FIN-02: Certified Cost Rate Schedule</w:t>
        </w:r>
      </w:hyperlink>
    </w:p>
    <w:p>
      <w:pPr>
        <w:pStyle w:val="Normal"/>
      </w:pPr>
      <w:hyperlink w:anchor="IDX_ATT_FIN_01">
        <w:r>
          <w:rPr>
            <w:rStyle w:val="Hyperlink"/>
          </w:rPr>
          <w:t xml:space="preserve">-&gt; ATT-FIN-01: Financial Capacity Letter</w:t>
        </w:r>
      </w:hyperlink>
    </w:p>
    <w:p>
      <w:r>
        <w:br w:type="page"/>
      </w:r>
    </w:p>
    <w:p>
      <w:pPr>
        <w:pStyle w:val="Heading1"/>
      </w:pPr>
      <w:bookmarkStart w:id="16" w:name="S_EXCEPT"/>
      <w:r>
        <w:rPr>
          <w:lang w:val="en-US"/>
        </w:rPr>
        <w:t xml:space="preserve">7. Exceptions and Assumptions</w:t>
      </w:r>
      <w:bookmarkEnd w:id="16"/>
    </w:p>
    <w:p>
      <w:pPr>
        <w:pStyle w:val="Normal"/>
      </w:pPr>
      <w:r>
        <w:rPr>
          <w:lang w:val="en-US"/>
        </w:rPr>
        <w:t xml:space="preserve">We take no exception to the terms of the solicitation as published.</w:t>
      </w:r>
    </w:p>
    <w:p>
      <w:pPr>
        <w:pStyle w:val="Normal"/>
      </w:pPr>
      <w:r>
        <w:rPr>
          <w:lang w:val="en-US"/>
        </w:rPr>
        <w:t xml:space="preserve">Two assumptions are stated so they can be tested rather than discovered late. First, that read access to existing operational records can be arranged within the first two weeks; where it cannot, the affected area is reported as not assessed rather than estimated. Second, that the University's own list of in-scope services is authoritative; we do not substitute our own inventory for it.</w:t>
      </w:r>
    </w:p>
    <w:p>
      <w:pPr>
        <w:pStyle w:val="Normal"/>
      </w:pPr>
      <w:r>
        <w:rPr>
          <w:lang w:val="en-US"/>
        </w:rPr>
        <w:t xml:space="preserve">The fee consequences of either assumption failing are not priced in this submission and are UNKNOWN until the in-scope list is fixed. Our pricing basis is in Section 6 (Price Proposal), page 8.</w:t>
      </w:r>
    </w:p>
    <w:p>
      <w:pPr>
        <w:pStyle w:val="Heading2"/>
      </w:pPr>
      <w:r>
        <w:rPr>
          <w:lang w:val="en-US"/>
        </w:rPr>
        <w:t xml:space="preserve">Cross-references</w:t>
      </w:r>
    </w:p>
    <w:p>
      <w:pPr>
        <w:pStyle w:val="Normal"/>
      </w:pPr>
      <w:hyperlink w:anchor="S_PRICE">
        <w:r>
          <w:rPr>
            <w:rStyle w:val="Hyperlink"/>
          </w:rPr>
          <w:t xml:space="preserve">-&gt; S-PRICE: Price Proposal</w:t>
        </w:r>
      </w:hyperlink>
    </w:p>
    <w:sectPr>
      <w:pgSz w:w="12240" w:h="15840"/>
    </w:sectPr>
  </w:body>
</w:document>
</file>

<file path=word/styles.xml><?xml version="1.0" encoding="utf-8"?>
<w:styles xmlns:w="http://schemas.openxmlformats.org/wordprocessingml/2006/main">
  <w:style w:type="paragraph" w:default="1" w:styleId="Normal">
    <w:name w:val="Normal"/>
    <w:rPr>
      <w:sz w:val="22"/>
    </w:rPr>
  </w:style>
  <w:style w:type="paragraph" w:styleId="Heading1">
    <w:name w:val="heading 1"/>
    <w:basedOn w:val="Normal"/>
    <w:pPr>
      <w:outlineLvl w:val="0"/>
    </w:pPr>
    <w:rPr>
      <w:b/>
      <w:sz w:val="32"/>
    </w:rPr>
  </w:style>
  <w:style w:type="paragraph" w:styleId="Heading2">
    <w:name w:val="heading 2"/>
    <w:basedOn w:val="Normal"/>
    <w:pPr>
      <w:outlineLvl w:val="1"/>
    </w:pPr>
    <w:rPr>
      <w:b/>
      <w:sz w:val="26"/>
    </w:rPr>
  </w:style>
  <w:style w:type="paragraph" w:styleId="Heading3">
    <w:name w:val="heading 3"/>
    <w:basedOn w:val="Normal"/>
    <w:pPr>
      <w:outlineLvl w:val="2"/>
    </w:pPr>
    <w:rPr>
      <w:b/>
      <w:sz w:val="24"/>
    </w:rPr>
  </w:style>
  <w:style w:type="character" w:styleId="Hyperlink">
    <w:name w:val="Hyperlink"/>
    <w:rPr>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Response to RFQ-18649 - Application and Infrastructure Services Assessment</dc:title>
  <dc:creator>Northgate Assessment Partners LLC (FICTIONAL)</dc:creator>
</cp:coreProperties>
</file>