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2025 年中国研究生数学建模竞赛 C 题</w:t>
        <w:br/>
        <w:t>围岩裂隙精准识别与三维模型重构</w:t>
      </w:r>
    </w:p>
    <w:p>
      <w:pPr>
        <w:jc w:val="center"/>
      </w:pPr>
      <w:r>
        <w:rPr>
          <w:i/>
        </w:rPr>
        <w:t>基于 NumPy 与 Pillow 的可复现基线实验报告</w:t>
      </w:r>
    </w:p>
    <w:p/>
    <w:p>
      <w:pPr>
        <w:pStyle w:val="Heading1"/>
      </w:pPr>
      <w:r>
        <w:t>摘要</w:t>
      </w:r>
    </w:p>
    <w:p>
      <w:pPr>
        <w:ind w:firstLine="420"/>
      </w:pPr>
      <w:r>
        <w:t>针对钻孔成像展开图中的裂隙识别、参数表征、粗糙度评价和多钻孔连通性分析问题，本文建立了一套不依赖深度学习框架的可复现基线流程。问题一使用图像梯度和分位数阈值生成像素边缘掩膜，在 10 张附件 1 图像上的平均边缘覆盖率为 10.04%，下采样连通域数量均值为 303.8。问题二将每列最暗像素作为粗略观测点，利用线性化正弦模型估计振幅、周期、相位和中心线位置，10 张图像的拟合决定系数 R² 范围为 0.0050—0.1963，说明简单暗像素基线不足以直接完成可靠裂隙拟合。问题三基于梯度轮廓进行等间距采样，发现样本数从 32 增至 256 时 JRC 估计由 713.00 变为 1926.19，表明轮廓提取和采样策略是粗糙度评价的主要敏感因素。问题四以钻孔分段的边缘密度差异构造启发式连通评分，并生成六孔三维投影示意图；该评分用于候选补孔排序，不应解释为经过现场标定的真实概率。本文的主要价值是建立数据、代码、结果表和 Word 论文之间的可追溯链路，并明确了后续 U-Net、DBSCAN、RANSAC 和概率图模型的增强方向。</w:t>
      </w:r>
    </w:p>
    <w:p>
      <w:pPr>
        <w:ind w:firstLine="420"/>
      </w:pPr>
      <w:r>
        <w:t>关键词：围岩裂隙；像素分割；正弦拟合；JRC；连通性；三维重构；可复现基线</w:t>
      </w:r>
    </w:p>
    <w:p>
      <w:pPr>
        <w:pStyle w:val="Heading1"/>
      </w:pPr>
      <w:r>
        <w:t>1 研究背景与问题重述</w:t>
      </w:r>
    </w:p>
    <w:p>
      <w:pPr>
        <w:ind w:firstLine="420"/>
      </w:pPr>
      <w:r>
        <w:t>煤矿巷道围岩中的裂隙会影响冒顶、突水和瓦斯运移风险。钻孔成像将孔壁三维结构展开为二维图像，为裂隙识别和空间重构提供了数据基础，但图像同时包含岩石纹理、泥浆污染、钻进痕迹和拼接线等干扰。题目要求从像素级识别出发，逐步完成正弦状裂隙参数拟合、复杂裂隙粗糙度计算、多钻孔连通性分析以及补充钻孔位置选择。</w:t>
      </w:r>
    </w:p>
    <w:p>
      <w:pPr>
        <w:ind w:firstLine="420"/>
      </w:pPr>
      <w:r>
        <w:t>本文将四个问题视为一条数据链路：问题一提供裂隙候选区域，问题二提取规则裂隙几何参数，问题三评价复杂裂隙粗糙度，问题四把单孔结果映射到统一空间并进行网络推断。由于当前环境缺少深度学习和科学计算扩展库，本文先完成纯 NumPy/Pillow 基线，所有结果均来自实际运行脚本。</w:t>
      </w:r>
    </w:p>
    <w:p>
      <w:pPr>
        <w:pStyle w:val="Heading1"/>
      </w:pPr>
      <w:r>
        <w:t>2 符号与数据说明</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315A83"/>
          </w:tcPr>
          <w:p>
            <w:pPr>
              <w:jc w:val="center"/>
            </w:pPr>
            <w:r/>
            <w:r>
              <w:rPr>
                <w:rFonts w:ascii="宋体" w:hAnsi="宋体" w:eastAsia="宋体"/>
                <w:b/>
                <w:color w:val="FFFFFF"/>
                <w:sz w:val="18"/>
              </w:rPr>
              <w:t>符号</w:t>
            </w:r>
          </w:p>
        </w:tc>
        <w:tc>
          <w:tcPr>
            <w:tcW w:type="dxa" w:w="3118"/>
            <w:vAlign w:val="center"/>
            <w:shd w:fill="315A83"/>
          </w:tcPr>
          <w:p>
            <w:pPr>
              <w:jc w:val="center"/>
            </w:pPr>
            <w:r/>
            <w:r>
              <w:rPr>
                <w:rFonts w:ascii="宋体" w:hAnsi="宋体" w:eastAsia="宋体"/>
                <w:b/>
                <w:color w:val="FFFFFF"/>
                <w:sz w:val="18"/>
              </w:rPr>
              <w:t>含义</w:t>
            </w:r>
          </w:p>
        </w:tc>
        <w:tc>
          <w:tcPr>
            <w:tcW w:type="dxa" w:w="3118"/>
            <w:vAlign w:val="center"/>
            <w:shd w:fill="315A83"/>
          </w:tcPr>
          <w:p>
            <w:pPr>
              <w:jc w:val="center"/>
            </w:pPr>
            <w:r/>
            <w:r>
              <w:rPr>
                <w:rFonts w:ascii="宋体" w:hAnsi="宋体" w:eastAsia="宋体"/>
                <w:b/>
                <w:color w:val="FFFFFF"/>
                <w:sz w:val="18"/>
              </w:rPr>
              <w:t>单位</w:t>
            </w:r>
          </w:p>
        </w:tc>
      </w:tr>
      <w:tr>
        <w:tc>
          <w:tcPr>
            <w:tcW w:type="dxa" w:w="3118"/>
            <w:vAlign w:val="center"/>
          </w:tcPr>
          <w:p>
            <w:pPr>
              <w:jc w:val="center"/>
            </w:pPr>
            <w:r/>
            <w:r>
              <w:rPr>
                <w:rFonts w:ascii="宋体" w:hAnsi="宋体" w:eastAsia="宋体"/>
                <w:b w:val="0"/>
                <w:color w:val="000000"/>
                <w:sz w:val="18"/>
              </w:rPr>
              <w:t>x</w:t>
            </w:r>
          </w:p>
        </w:tc>
        <w:tc>
          <w:tcPr>
            <w:tcW w:type="dxa" w:w="3118"/>
            <w:vAlign w:val="center"/>
          </w:tcPr>
          <w:p>
            <w:pPr>
              <w:jc w:val="center"/>
            </w:pPr>
            <w:r/>
            <w:r>
              <w:rPr>
                <w:rFonts w:ascii="宋体" w:hAnsi="宋体" w:eastAsia="宋体"/>
                <w:b w:val="0"/>
                <w:color w:val="000000"/>
                <w:sz w:val="18"/>
              </w:rPr>
              <w:t>钻孔周向展开坐标</w:t>
            </w:r>
          </w:p>
        </w:tc>
        <w:tc>
          <w:tcPr>
            <w:tcW w:type="dxa" w:w="3118"/>
            <w:vAlign w:val="center"/>
          </w:tcPr>
          <w:p>
            <w:pPr>
              <w:jc w:val="center"/>
            </w:pPr>
            <w:r/>
            <w:r>
              <w:rPr>
                <w:rFonts w:ascii="宋体" w:hAnsi="宋体" w:eastAsia="宋体"/>
                <w:b w:val="0"/>
                <w:color w:val="000000"/>
                <w:sz w:val="18"/>
              </w:rPr>
              <w:t>mm</w:t>
            </w:r>
          </w:p>
        </w:tc>
      </w:tr>
      <w:tr>
        <w:tc>
          <w:tcPr>
            <w:tcW w:type="dxa" w:w="3118"/>
            <w:vAlign w:val="center"/>
            <w:shd w:fill="EAF1F7"/>
          </w:tcPr>
          <w:p>
            <w:pPr>
              <w:jc w:val="center"/>
            </w:pPr>
            <w:r/>
            <w:r>
              <w:rPr>
                <w:rFonts w:ascii="宋体" w:hAnsi="宋体" w:eastAsia="宋体"/>
                <w:b w:val="0"/>
                <w:color w:val="000000"/>
                <w:sz w:val="18"/>
              </w:rPr>
              <w:t>y</w:t>
            </w:r>
          </w:p>
        </w:tc>
        <w:tc>
          <w:tcPr>
            <w:tcW w:type="dxa" w:w="3118"/>
            <w:vAlign w:val="center"/>
            <w:shd w:fill="EAF1F7"/>
          </w:tcPr>
          <w:p>
            <w:pPr>
              <w:jc w:val="center"/>
            </w:pPr>
            <w:r/>
            <w:r>
              <w:rPr>
                <w:rFonts w:ascii="宋体" w:hAnsi="宋体" w:eastAsia="宋体"/>
                <w:b w:val="0"/>
                <w:color w:val="000000"/>
                <w:sz w:val="18"/>
              </w:rPr>
              <w:t>钻孔轴向深度坐标</w:t>
            </w:r>
          </w:p>
        </w:tc>
        <w:tc>
          <w:tcPr>
            <w:tcW w:type="dxa" w:w="3118"/>
            <w:vAlign w:val="center"/>
            <w:shd w:fill="EAF1F7"/>
          </w:tcPr>
          <w:p>
            <w:pPr>
              <w:jc w:val="center"/>
            </w:pPr>
            <w:r/>
            <w:r>
              <w:rPr>
                <w:rFonts w:ascii="宋体" w:hAnsi="宋体" w:eastAsia="宋体"/>
                <w:b w:val="0"/>
                <w:color w:val="000000"/>
                <w:sz w:val="18"/>
              </w:rPr>
              <w:t>mm</w:t>
            </w:r>
          </w:p>
        </w:tc>
      </w:tr>
      <w:tr>
        <w:tc>
          <w:tcPr>
            <w:tcW w:type="dxa" w:w="3118"/>
            <w:vAlign w:val="center"/>
          </w:tcPr>
          <w:p>
            <w:pPr>
              <w:jc w:val="center"/>
            </w:pPr>
            <w:r/>
            <w:r>
              <w:rPr>
                <w:rFonts w:ascii="宋体" w:hAnsi="宋体" w:eastAsia="宋体"/>
                <w:b w:val="0"/>
                <w:color w:val="000000"/>
                <w:sz w:val="18"/>
              </w:rPr>
              <w:t>R</w:t>
            </w:r>
          </w:p>
        </w:tc>
        <w:tc>
          <w:tcPr>
            <w:tcW w:type="dxa" w:w="3118"/>
            <w:vAlign w:val="center"/>
          </w:tcPr>
          <w:p>
            <w:pPr>
              <w:jc w:val="center"/>
            </w:pPr>
            <w:r/>
            <w:r>
              <w:rPr>
                <w:rFonts w:ascii="宋体" w:hAnsi="宋体" w:eastAsia="宋体"/>
                <w:b w:val="0"/>
                <w:color w:val="000000"/>
                <w:sz w:val="18"/>
              </w:rPr>
              <w:t>正弦裂隙振幅</w:t>
            </w:r>
          </w:p>
        </w:tc>
        <w:tc>
          <w:tcPr>
            <w:tcW w:type="dxa" w:w="3118"/>
            <w:vAlign w:val="center"/>
          </w:tcPr>
          <w:p>
            <w:pPr>
              <w:jc w:val="center"/>
            </w:pPr>
            <w:r/>
            <w:r>
              <w:rPr>
                <w:rFonts w:ascii="宋体" w:hAnsi="宋体" w:eastAsia="宋体"/>
                <w:b w:val="0"/>
                <w:color w:val="000000"/>
                <w:sz w:val="18"/>
              </w:rPr>
              <w:t>mm</w:t>
            </w:r>
          </w:p>
        </w:tc>
      </w:tr>
      <w:tr>
        <w:tc>
          <w:tcPr>
            <w:tcW w:type="dxa" w:w="3118"/>
            <w:vAlign w:val="center"/>
            <w:shd w:fill="EAF1F7"/>
          </w:tcPr>
          <w:p>
            <w:pPr>
              <w:jc w:val="center"/>
            </w:pPr>
            <w:r/>
            <w:r>
              <w:rPr>
                <w:rFonts w:ascii="宋体" w:hAnsi="宋体" w:eastAsia="宋体"/>
                <w:b w:val="0"/>
                <w:color w:val="000000"/>
                <w:sz w:val="18"/>
              </w:rPr>
              <w:t>P</w:t>
            </w:r>
          </w:p>
        </w:tc>
        <w:tc>
          <w:tcPr>
            <w:tcW w:type="dxa" w:w="3118"/>
            <w:vAlign w:val="center"/>
            <w:shd w:fill="EAF1F7"/>
          </w:tcPr>
          <w:p>
            <w:pPr>
              <w:jc w:val="center"/>
            </w:pPr>
            <w:r/>
            <w:r>
              <w:rPr>
                <w:rFonts w:ascii="宋体" w:hAnsi="宋体" w:eastAsia="宋体"/>
                <w:b w:val="0"/>
                <w:color w:val="000000"/>
                <w:sz w:val="18"/>
              </w:rPr>
              <w:t>正弦裂隙周期</w:t>
            </w:r>
          </w:p>
        </w:tc>
        <w:tc>
          <w:tcPr>
            <w:tcW w:type="dxa" w:w="3118"/>
            <w:vAlign w:val="center"/>
            <w:shd w:fill="EAF1F7"/>
          </w:tcPr>
          <w:p>
            <w:pPr>
              <w:jc w:val="center"/>
            </w:pPr>
            <w:r/>
            <w:r>
              <w:rPr>
                <w:rFonts w:ascii="宋体" w:hAnsi="宋体" w:eastAsia="宋体"/>
                <w:b w:val="0"/>
                <w:color w:val="000000"/>
                <w:sz w:val="18"/>
              </w:rPr>
              <w:t>mm</w:t>
            </w:r>
          </w:p>
        </w:tc>
      </w:tr>
      <w:tr>
        <w:tc>
          <w:tcPr>
            <w:tcW w:type="dxa" w:w="3118"/>
            <w:vAlign w:val="center"/>
          </w:tcPr>
          <w:p>
            <w:pPr>
              <w:jc w:val="center"/>
            </w:pPr>
            <w:r/>
            <w:r>
              <w:rPr>
                <w:rFonts w:ascii="宋体" w:hAnsi="宋体" w:eastAsia="宋体"/>
                <w:b w:val="0"/>
                <w:color w:val="000000"/>
                <w:sz w:val="18"/>
              </w:rPr>
              <w:t>β</w:t>
            </w:r>
          </w:p>
        </w:tc>
        <w:tc>
          <w:tcPr>
            <w:tcW w:type="dxa" w:w="3118"/>
            <w:vAlign w:val="center"/>
          </w:tcPr>
          <w:p>
            <w:pPr>
              <w:jc w:val="center"/>
            </w:pPr>
            <w:r/>
            <w:r>
              <w:rPr>
                <w:rFonts w:ascii="宋体" w:hAnsi="宋体" w:eastAsia="宋体"/>
                <w:b w:val="0"/>
                <w:color w:val="000000"/>
                <w:sz w:val="18"/>
              </w:rPr>
              <w:t>正弦裂隙相位</w:t>
            </w:r>
          </w:p>
        </w:tc>
        <w:tc>
          <w:tcPr>
            <w:tcW w:type="dxa" w:w="3118"/>
            <w:vAlign w:val="center"/>
          </w:tcPr>
          <w:p>
            <w:pPr>
              <w:jc w:val="center"/>
            </w:pPr>
            <w:r/>
            <w:r>
              <w:rPr>
                <w:rFonts w:ascii="宋体" w:hAnsi="宋体" w:eastAsia="宋体"/>
                <w:b w:val="0"/>
                <w:color w:val="000000"/>
                <w:sz w:val="18"/>
              </w:rPr>
              <w:t>rad</w:t>
            </w:r>
          </w:p>
        </w:tc>
      </w:tr>
      <w:tr>
        <w:tc>
          <w:tcPr>
            <w:tcW w:type="dxa" w:w="3118"/>
            <w:vAlign w:val="center"/>
            <w:shd w:fill="EAF1F7"/>
          </w:tcPr>
          <w:p>
            <w:pPr>
              <w:jc w:val="center"/>
            </w:pPr>
            <w:r/>
            <w:r>
              <w:rPr>
                <w:rFonts w:ascii="宋体" w:hAnsi="宋体" w:eastAsia="宋体"/>
                <w:b w:val="0"/>
                <w:color w:val="000000"/>
                <w:sz w:val="18"/>
              </w:rPr>
              <w:t>C</w:t>
            </w:r>
          </w:p>
        </w:tc>
        <w:tc>
          <w:tcPr>
            <w:tcW w:type="dxa" w:w="3118"/>
            <w:vAlign w:val="center"/>
            <w:shd w:fill="EAF1F7"/>
          </w:tcPr>
          <w:p>
            <w:pPr>
              <w:jc w:val="center"/>
            </w:pPr>
            <w:r/>
            <w:r>
              <w:rPr>
                <w:rFonts w:ascii="宋体" w:hAnsi="宋体" w:eastAsia="宋体"/>
                <w:b w:val="0"/>
                <w:color w:val="000000"/>
                <w:sz w:val="18"/>
              </w:rPr>
              <w:t>正弦裂隙中心线位置</w:t>
            </w:r>
          </w:p>
        </w:tc>
        <w:tc>
          <w:tcPr>
            <w:tcW w:type="dxa" w:w="3118"/>
            <w:vAlign w:val="center"/>
            <w:shd w:fill="EAF1F7"/>
          </w:tcPr>
          <w:p>
            <w:pPr>
              <w:jc w:val="center"/>
            </w:pPr>
            <w:r/>
            <w:r>
              <w:rPr>
                <w:rFonts w:ascii="宋体" w:hAnsi="宋体" w:eastAsia="宋体"/>
                <w:b w:val="0"/>
                <w:color w:val="000000"/>
                <w:sz w:val="18"/>
              </w:rPr>
              <w:t>mm</w:t>
            </w:r>
          </w:p>
        </w:tc>
      </w:tr>
      <w:tr>
        <w:tc>
          <w:tcPr>
            <w:tcW w:type="dxa" w:w="3118"/>
            <w:vAlign w:val="center"/>
          </w:tcPr>
          <w:p>
            <w:pPr>
              <w:jc w:val="center"/>
            </w:pPr>
            <w:r/>
            <w:r>
              <w:rPr>
                <w:rFonts w:ascii="宋体" w:hAnsi="宋体" w:eastAsia="宋体"/>
                <w:b w:val="0"/>
                <w:color w:val="000000"/>
                <w:sz w:val="18"/>
              </w:rPr>
              <w:t>Z₂</w:t>
            </w:r>
          </w:p>
        </w:tc>
        <w:tc>
          <w:tcPr>
            <w:tcW w:type="dxa" w:w="3118"/>
            <w:vAlign w:val="center"/>
          </w:tcPr>
          <w:p>
            <w:pPr>
              <w:jc w:val="center"/>
            </w:pPr>
            <w:r/>
            <w:r>
              <w:rPr>
                <w:rFonts w:ascii="宋体" w:hAnsi="宋体" w:eastAsia="宋体"/>
                <w:b w:val="0"/>
                <w:color w:val="000000"/>
                <w:sz w:val="18"/>
              </w:rPr>
              <w:t>裂隙轮廓二阶统计参数</w:t>
            </w:r>
          </w:p>
        </w:tc>
        <w:tc>
          <w:tcPr>
            <w:tcW w:type="dxa" w:w="3118"/>
            <w:vAlign w:val="center"/>
          </w:tcPr>
          <w:p>
            <w:pPr>
              <w:jc w:val="center"/>
            </w:pPr>
            <w:r/>
            <w:r>
              <w:rPr>
                <w:rFonts w:ascii="宋体" w:hAnsi="宋体" w:eastAsia="宋体"/>
                <w:b w:val="0"/>
                <w:color w:val="000000"/>
                <w:sz w:val="18"/>
              </w:rPr>
              <w:t>—</w:t>
            </w:r>
          </w:p>
        </w:tc>
      </w:tr>
      <w:tr>
        <w:tc>
          <w:tcPr>
            <w:tcW w:type="dxa" w:w="3118"/>
            <w:vAlign w:val="center"/>
            <w:shd w:fill="EAF1F7"/>
          </w:tcPr>
          <w:p>
            <w:pPr>
              <w:jc w:val="center"/>
            </w:pPr>
            <w:r/>
            <w:r>
              <w:rPr>
                <w:rFonts w:ascii="宋体" w:hAnsi="宋体" w:eastAsia="宋体"/>
                <w:b w:val="0"/>
                <w:color w:val="000000"/>
                <w:sz w:val="18"/>
              </w:rPr>
              <w:t>JRC</w:t>
            </w:r>
          </w:p>
        </w:tc>
        <w:tc>
          <w:tcPr>
            <w:tcW w:type="dxa" w:w="3118"/>
            <w:vAlign w:val="center"/>
            <w:shd w:fill="EAF1F7"/>
          </w:tcPr>
          <w:p>
            <w:pPr>
              <w:jc w:val="center"/>
            </w:pPr>
            <w:r/>
            <w:r>
              <w:rPr>
                <w:rFonts w:ascii="宋体" w:hAnsi="宋体" w:eastAsia="宋体"/>
                <w:b w:val="0"/>
                <w:color w:val="000000"/>
                <w:sz w:val="18"/>
              </w:rPr>
              <w:t>裂隙粗糙度系数</w:t>
            </w:r>
          </w:p>
        </w:tc>
        <w:tc>
          <w:tcPr>
            <w:tcW w:type="dxa" w:w="3118"/>
            <w:vAlign w:val="center"/>
            <w:shd w:fill="EAF1F7"/>
          </w:tcPr>
          <w:p>
            <w:pPr>
              <w:jc w:val="center"/>
            </w:pPr>
            <w:r/>
            <w:r>
              <w:rPr>
                <w:rFonts w:ascii="宋体" w:hAnsi="宋体" w:eastAsia="宋体"/>
                <w:b w:val="0"/>
                <w:color w:val="000000"/>
                <w:sz w:val="18"/>
              </w:rPr>
              <w:t>—</w:t>
            </w:r>
          </w:p>
        </w:tc>
      </w:tr>
    </w:tbl>
    <w:p>
      <w:pPr>
        <w:spacing w:after="40"/>
      </w:pP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315A83"/>
          </w:tcPr>
          <w:p>
            <w:pPr>
              <w:jc w:val="center"/>
            </w:pPr>
            <w:r/>
            <w:r>
              <w:rPr>
                <w:rFonts w:ascii="宋体" w:hAnsi="宋体" w:eastAsia="宋体"/>
                <w:b/>
                <w:color w:val="FFFFFF"/>
                <w:sz w:val="18"/>
              </w:rPr>
              <w:t>附件</w:t>
            </w:r>
          </w:p>
        </w:tc>
        <w:tc>
          <w:tcPr>
            <w:tcW w:type="dxa" w:w="3118"/>
            <w:vAlign w:val="center"/>
            <w:shd w:fill="315A83"/>
          </w:tcPr>
          <w:p>
            <w:pPr>
              <w:jc w:val="center"/>
            </w:pPr>
            <w:r/>
            <w:r>
              <w:rPr>
                <w:rFonts w:ascii="宋体" w:hAnsi="宋体" w:eastAsia="宋体"/>
                <w:b/>
                <w:color w:val="FFFFFF"/>
                <w:sz w:val="18"/>
              </w:rPr>
              <w:t>用途</w:t>
            </w:r>
          </w:p>
        </w:tc>
        <w:tc>
          <w:tcPr>
            <w:tcW w:type="dxa" w:w="3118"/>
            <w:vAlign w:val="center"/>
            <w:shd w:fill="315A83"/>
          </w:tcPr>
          <w:p>
            <w:pPr>
              <w:jc w:val="center"/>
            </w:pPr>
            <w:r/>
            <w:r>
              <w:rPr>
                <w:rFonts w:ascii="宋体" w:hAnsi="宋体" w:eastAsia="宋体"/>
                <w:b/>
                <w:color w:val="FFFFFF"/>
                <w:sz w:val="18"/>
              </w:rPr>
              <w:t>实际清单</w:t>
            </w:r>
          </w:p>
        </w:tc>
      </w:tr>
      <w:tr>
        <w:tc>
          <w:tcPr>
            <w:tcW w:type="dxa" w:w="3118"/>
            <w:vAlign w:val="center"/>
          </w:tcPr>
          <w:p>
            <w:pPr>
              <w:jc w:val="center"/>
            </w:pPr>
            <w:r/>
            <w:r>
              <w:rPr>
                <w:rFonts w:ascii="宋体" w:hAnsi="宋体" w:eastAsia="宋体"/>
                <w:b w:val="0"/>
                <w:color w:val="000000"/>
                <w:sz w:val="18"/>
              </w:rPr>
              <w:t>附件 1</w:t>
            </w:r>
          </w:p>
        </w:tc>
        <w:tc>
          <w:tcPr>
            <w:tcW w:type="dxa" w:w="3118"/>
            <w:vAlign w:val="center"/>
          </w:tcPr>
          <w:p>
            <w:pPr>
              <w:jc w:val="center"/>
            </w:pPr>
            <w:r/>
            <w:r>
              <w:rPr>
                <w:rFonts w:ascii="宋体" w:hAnsi="宋体" w:eastAsia="宋体"/>
                <w:b w:val="0"/>
                <w:color w:val="000000"/>
                <w:sz w:val="18"/>
              </w:rPr>
              <w:t>像素级裂隙识别</w:t>
            </w:r>
          </w:p>
        </w:tc>
        <w:tc>
          <w:tcPr>
            <w:tcW w:type="dxa" w:w="3118"/>
            <w:vAlign w:val="center"/>
          </w:tcPr>
          <w:p>
            <w:pPr>
              <w:jc w:val="center"/>
            </w:pPr>
            <w:r/>
            <w:r>
              <w:rPr>
                <w:rFonts w:ascii="宋体" w:hAnsi="宋体" w:eastAsia="宋体"/>
                <w:b w:val="0"/>
                <w:color w:val="000000"/>
                <w:sz w:val="18"/>
              </w:rPr>
              <w:t>10 张，244×1350 像素</w:t>
            </w:r>
          </w:p>
        </w:tc>
      </w:tr>
      <w:tr>
        <w:tc>
          <w:tcPr>
            <w:tcW w:type="dxa" w:w="3118"/>
            <w:vAlign w:val="center"/>
            <w:shd w:fill="EAF1F7"/>
          </w:tcPr>
          <w:p>
            <w:pPr>
              <w:jc w:val="center"/>
            </w:pPr>
            <w:r/>
            <w:r>
              <w:rPr>
                <w:rFonts w:ascii="宋体" w:hAnsi="宋体" w:eastAsia="宋体"/>
                <w:b w:val="0"/>
                <w:color w:val="000000"/>
                <w:sz w:val="18"/>
              </w:rPr>
              <w:t>附件 2</w:t>
            </w:r>
          </w:p>
        </w:tc>
        <w:tc>
          <w:tcPr>
            <w:tcW w:type="dxa" w:w="3118"/>
            <w:vAlign w:val="center"/>
            <w:shd w:fill="EAF1F7"/>
          </w:tcPr>
          <w:p>
            <w:pPr>
              <w:jc w:val="center"/>
            </w:pPr>
            <w:r/>
            <w:r>
              <w:rPr>
                <w:rFonts w:ascii="宋体" w:hAnsi="宋体" w:eastAsia="宋体"/>
                <w:b w:val="0"/>
                <w:color w:val="000000"/>
                <w:sz w:val="18"/>
              </w:rPr>
              <w:t>正弦状裂隙参数</w:t>
            </w:r>
          </w:p>
        </w:tc>
        <w:tc>
          <w:tcPr>
            <w:tcW w:type="dxa" w:w="3118"/>
            <w:vAlign w:val="center"/>
            <w:shd w:fill="EAF1F7"/>
          </w:tcPr>
          <w:p>
            <w:pPr>
              <w:jc w:val="center"/>
            </w:pPr>
            <w:r/>
            <w:r>
              <w:rPr>
                <w:rFonts w:ascii="宋体" w:hAnsi="宋体" w:eastAsia="宋体"/>
                <w:b w:val="0"/>
                <w:color w:val="000000"/>
                <w:sz w:val="18"/>
              </w:rPr>
              <w:t>10 张，244×1350 像素</w:t>
            </w:r>
          </w:p>
        </w:tc>
      </w:tr>
      <w:tr>
        <w:tc>
          <w:tcPr>
            <w:tcW w:type="dxa" w:w="3118"/>
            <w:vAlign w:val="center"/>
          </w:tcPr>
          <w:p>
            <w:pPr>
              <w:jc w:val="center"/>
            </w:pPr>
            <w:r/>
            <w:r>
              <w:rPr>
                <w:rFonts w:ascii="宋体" w:hAnsi="宋体" w:eastAsia="宋体"/>
                <w:b w:val="0"/>
                <w:color w:val="000000"/>
                <w:sz w:val="18"/>
              </w:rPr>
              <w:t>附件 3</w:t>
            </w:r>
          </w:p>
        </w:tc>
        <w:tc>
          <w:tcPr>
            <w:tcW w:type="dxa" w:w="3118"/>
            <w:vAlign w:val="center"/>
          </w:tcPr>
          <w:p>
            <w:pPr>
              <w:jc w:val="center"/>
            </w:pPr>
            <w:r/>
            <w:r>
              <w:rPr>
                <w:rFonts w:ascii="宋体" w:hAnsi="宋体" w:eastAsia="宋体"/>
                <w:b w:val="0"/>
                <w:color w:val="000000"/>
                <w:sz w:val="18"/>
              </w:rPr>
              <w:t>复杂裂隙粗糙度</w:t>
            </w:r>
          </w:p>
        </w:tc>
        <w:tc>
          <w:tcPr>
            <w:tcW w:type="dxa" w:w="3118"/>
            <w:vAlign w:val="center"/>
          </w:tcPr>
          <w:p>
            <w:pPr>
              <w:jc w:val="center"/>
            </w:pPr>
            <w:r/>
            <w:r>
              <w:rPr>
                <w:rFonts w:ascii="宋体" w:hAnsi="宋体" w:eastAsia="宋体"/>
                <w:b w:val="0"/>
                <w:color w:val="000000"/>
                <w:sz w:val="18"/>
              </w:rPr>
              <w:t>11 张，244×1350 像素</w:t>
            </w:r>
          </w:p>
        </w:tc>
      </w:tr>
      <w:tr>
        <w:tc>
          <w:tcPr>
            <w:tcW w:type="dxa" w:w="3118"/>
            <w:vAlign w:val="center"/>
            <w:shd w:fill="EAF1F7"/>
          </w:tcPr>
          <w:p>
            <w:pPr>
              <w:jc w:val="center"/>
            </w:pPr>
            <w:r/>
            <w:r>
              <w:rPr>
                <w:rFonts w:ascii="宋体" w:hAnsi="宋体" w:eastAsia="宋体"/>
                <w:b w:val="0"/>
                <w:color w:val="000000"/>
                <w:sz w:val="18"/>
              </w:rPr>
              <w:t>附件 4</w:t>
            </w:r>
          </w:p>
        </w:tc>
        <w:tc>
          <w:tcPr>
            <w:tcW w:type="dxa" w:w="3118"/>
            <w:vAlign w:val="center"/>
            <w:shd w:fill="EAF1F7"/>
          </w:tcPr>
          <w:p>
            <w:pPr>
              <w:jc w:val="center"/>
            </w:pPr>
            <w:r/>
            <w:r>
              <w:rPr>
                <w:rFonts w:ascii="宋体" w:hAnsi="宋体" w:eastAsia="宋体"/>
                <w:b w:val="0"/>
                <w:color w:val="000000"/>
                <w:sz w:val="18"/>
              </w:rPr>
              <w:t>多钻孔连通与重构</w:t>
            </w:r>
          </w:p>
        </w:tc>
        <w:tc>
          <w:tcPr>
            <w:tcW w:type="dxa" w:w="3118"/>
            <w:vAlign w:val="center"/>
            <w:shd w:fill="EAF1F7"/>
          </w:tcPr>
          <w:p>
            <w:pPr>
              <w:jc w:val="center"/>
            </w:pPr>
            <w:r/>
            <w:r>
              <w:rPr>
                <w:rFonts w:ascii="宋体" w:hAnsi="宋体" w:eastAsia="宋体"/>
                <w:b w:val="0"/>
                <w:color w:val="000000"/>
                <w:sz w:val="18"/>
              </w:rPr>
              <w:t>6 孔 40 段，864×9167 像素</w:t>
            </w:r>
          </w:p>
        </w:tc>
      </w:tr>
    </w:tbl>
    <w:p>
      <w:pPr>
        <w:spacing w:after="40"/>
      </w:pPr>
    </w:p>
    <w:p>
      <w:pPr>
        <w:ind w:firstLine="420"/>
      </w:pPr>
      <w:r>
        <w:t>题面给出钻孔直径 30 mm、周长约 94.25 mm；附件 1—3 单孔深度约 500 mm，附件 4 每段 1000 mm，4 号孔总深度 5000 mm，其余钻孔总深度 7000 mm。数据包未提交进 Git 仓库，实验通过临时目录读取。</w:t>
      </w:r>
    </w:p>
    <w:p>
      <w:pPr>
        <w:pStyle w:val="Heading1"/>
      </w:pPr>
      <w:r>
        <w:t>3 模型假设与总体流程</w:t>
      </w:r>
    </w:p>
    <w:p>
      <w:pPr>
        <w:ind w:firstLine="420"/>
      </w:pPr>
      <w:r>
        <w:t>假设一：在基线实验中，图像灰度梯度较大的区域可以作为裂隙或纹理候选，但该候选不等同于真实裂隙。假设二：规则裂隙在展开图中可以用固定周期的正弦函数近似，但暗像素观测会受到多条裂隙和噪声干扰。假设三：相邻钻孔相同深度段的边缘密度相似性可以作为连通性排序的弱证据，不能替代现场标定。</w:t>
      </w:r>
    </w:p>
    <w:p>
      <w:pPr>
        <w:ind w:firstLine="420"/>
      </w:pPr>
      <w:r>
        <w:t>总体流程为：读取图像并保留原始数据；计算二维灰度梯度；生成分位数边缘掩膜；输出像素覆盖率和连通域统计；再分别进入正弦拟合、采样敏感性和跨孔评分模块。所有随机性均未引入，脚本和输出 CSV 保存在 reports/2025-C 下。</w:t>
      </w:r>
    </w:p>
    <w:p>
      <w:pPr>
        <w:pStyle w:val="Heading1"/>
      </w:pPr>
      <w:r>
        <w:t>4 问题一 裂隙像素识别</w:t>
      </w:r>
    </w:p>
    <w:p>
      <w:pPr>
        <w:ind w:firstLine="420"/>
      </w:pPr>
      <w:r>
        <w:t>设灰度图像为 I(x,y)，使用中心差分近似水平和竖直梯度，定义边缘强度 E(x,y) = sqrt(Gx(x,y)^2 + Gy(x,y)^2)。对每张图像取 E 的 90% 分位数作为阈值 τ，得到基线掩膜 M(x,y) = 1[E(x,y) ≥ τ]。该策略不需要标签，适合验证数据链路，但会同时保留岩石纹理和钻进痕迹。</w:t>
      </w:r>
    </w:p>
    <w:p>
      <w:pPr>
        <w:ind w:firstLine="420"/>
      </w:pPr>
      <w:r>
        <w:t>10 张图像的平均边缘覆盖率为 10.04%，下采样后连通域均值为 303.8。覆盖率接近固定的 10% 是分位数阈值直接造成的统计性质，不能解释为裂隙面积比例；因此该结果只用于检查输入、输出尺寸和后续流程。</w:t>
      </w:r>
    </w:p>
    <w:p>
      <w:pPr>
        <w:jc w:val="center"/>
      </w:pPr>
      <w:r>
        <w:drawing>
          <wp:inline xmlns:a="http://schemas.openxmlformats.org/drawingml/2006/main" xmlns:pic="http://schemas.openxmlformats.org/drawingml/2006/picture">
            <wp:extent cx="5486400" cy="4145280"/>
            <wp:docPr id="1" name="Picture 1"/>
            <wp:cNvGraphicFramePr>
              <a:graphicFrameLocks noChangeAspect="1"/>
            </wp:cNvGraphicFramePr>
            <a:graphic>
              <a:graphicData uri="http://schemas.openxmlformats.org/drawingml/2006/picture">
                <pic:pic>
                  <pic:nvPicPr>
                    <pic:cNvPr id="0" name="q1_mask_preview.png"/>
                    <pic:cNvPicPr/>
                  </pic:nvPicPr>
                  <pic:blipFill>
                    <a:blip r:embed="rId10"/>
                    <a:stretch>
                      <a:fillRect/>
                    </a:stretch>
                  </pic:blipFill>
                  <pic:spPr>
                    <a:xfrm>
                      <a:off x="0" y="0"/>
                      <a:ext cx="5486400" cy="4145280"/>
                    </a:xfrm>
                    <a:prstGeom prst="rect"/>
                  </pic:spPr>
                </pic:pic>
              </a:graphicData>
            </a:graphic>
          </wp:inline>
        </w:drawing>
      </w:r>
    </w:p>
    <w:p>
      <w:pPr>
        <w:spacing w:before="40" w:after="160"/>
        <w:jc w:val="center"/>
      </w:pPr>
      <w:r>
        <w:rPr>
          <w:rFonts w:ascii="宋体" w:hAnsi="宋体" w:eastAsia="宋体"/>
          <w:b/>
          <w:sz w:val="18"/>
        </w:rPr>
        <w:t>图 4-1 附件 1 图 1-1 基线掩膜的三段预览</w:t>
      </w:r>
    </w:p>
    <w:p>
      <w:pPr>
        <w:jc w:val="center"/>
      </w:pPr>
      <w:r>
        <w:drawing>
          <wp:inline xmlns:a="http://schemas.openxmlformats.org/drawingml/2006/main" xmlns:pic="http://schemas.openxmlformats.org/drawingml/2006/picture">
            <wp:extent cx="5486400" cy="2834640"/>
            <wp:docPr id="2" name="Picture 2"/>
            <wp:cNvGraphicFramePr>
              <a:graphicFrameLocks noChangeAspect="1"/>
            </wp:cNvGraphicFramePr>
            <a:graphic>
              <a:graphicData uri="http://schemas.openxmlformats.org/drawingml/2006/picture">
                <pic:pic>
                  <pic:nvPicPr>
                    <pic:cNvPr id="0" name="q1_edge_coverage.png"/>
                    <pic:cNvPicPr/>
                  </pic:nvPicPr>
                  <pic:blipFill>
                    <a:blip r:embed="rId11"/>
                    <a:stretch>
                      <a:fillRect/>
                    </a:stretch>
                  </pic:blipFill>
                  <pic:spPr>
                    <a:xfrm>
                      <a:off x="0" y="0"/>
                      <a:ext cx="5486400" cy="2834640"/>
                    </a:xfrm>
                    <a:prstGeom prst="rect"/>
                  </pic:spPr>
                </pic:pic>
              </a:graphicData>
            </a:graphic>
          </wp:inline>
        </w:drawing>
      </w:r>
    </w:p>
    <w:p>
      <w:pPr>
        <w:spacing w:before="40" w:after="160"/>
        <w:jc w:val="center"/>
      </w:pPr>
      <w:r>
        <w:rPr>
          <w:rFonts w:ascii="宋体" w:hAnsi="宋体" w:eastAsia="宋体"/>
          <w:b/>
          <w:sz w:val="18"/>
        </w:rPr>
        <w:t>图 4-2 十张附件 1 图像的边缘覆盖率</w:t>
      </w:r>
    </w:p>
    <w:p>
      <w:pPr>
        <w:ind w:firstLine="420"/>
      </w:pPr>
      <w:r>
        <w:t>改进方向是使用带标注的 U-Net 或轻量 U-Net，并按钻孔或原图分组划分训练集和验证集；同时使用 Dice/Focal 类损失处理裂隙像素稀疏问题。当前数据未提供可直接读取的像素标签，因此本文不计算 Accuracy、IoU 或 F1，以免制造虚假精度。</w:t>
      </w:r>
    </w:p>
    <w:p>
      <w:pPr>
        <w:pStyle w:val="Heading1"/>
      </w:pPr>
      <w:r>
        <w:t>5 问题二 正弦状裂隙参数初估</w:t>
      </w:r>
    </w:p>
    <w:p>
      <w:pPr>
        <w:ind w:firstLine="420"/>
      </w:pPr>
      <w:r>
        <w:t>题目给出的正弦模型为 y = R sin(2πx/P + β) + C。基线将每一列灰度最小的像素作为观测点，并将周期 P 固定为图像宽度 244 像素。利用 sin(a+b) 展开后，模型可以写成 y = a sin(2πx/P) + b cos(2πx/P) + C，再使用最小二乘求解 a、b、C，最后得到 R = sqrt(a²+b²) 和 β = atan2(b,a)。</w:t>
      </w:r>
    </w:p>
    <w:p>
      <m:oMathPara>
        <m:oMath>
          <m:r>
            <m:t>y = R sin(2πx/P + β) + C</m:t>
          </m:r>
        </m:oMath>
      </m:oMathPara>
    </w:p>
    <w:p>
      <w:pPr>
        <w:ind w:firstLine="420"/>
      </w:pPr>
      <w:r>
        <w:t>10 张图像的 R² 范围为 0.0050—0.1963，最大值仍低于 0.20。说明“每列最暗像素 + 单一正弦”不能有效分离多条裂隙、纹理和泥浆干扰。该负结果具有诊断价值：后续应先做语义分割和连通域/DBSCAN 聚类，再对每条裂隙使用 RANSAC 或鲁棒非线性拟合。</w:t>
      </w:r>
    </w:p>
    <w:p>
      <w:pPr>
        <w:jc w:val="center"/>
      </w:pPr>
      <w:r>
        <w:drawing>
          <wp:inline xmlns:a="http://schemas.openxmlformats.org/drawingml/2006/main" xmlns:pic="http://schemas.openxmlformats.org/drawingml/2006/picture">
            <wp:extent cx="5486400" cy="2834640"/>
            <wp:docPr id="3" name="Picture 3"/>
            <wp:cNvGraphicFramePr>
              <a:graphicFrameLocks noChangeAspect="1"/>
            </wp:cNvGraphicFramePr>
            <a:graphic>
              <a:graphicData uri="http://schemas.openxmlformats.org/drawingml/2006/picture">
                <pic:pic>
                  <pic:nvPicPr>
                    <pic:cNvPr id="0" name="q2_r2.png"/>
                    <pic:cNvPicPr/>
                  </pic:nvPicPr>
                  <pic:blipFill>
                    <a:blip r:embed="rId12"/>
                    <a:stretch>
                      <a:fillRect/>
                    </a:stretch>
                  </pic:blipFill>
                  <pic:spPr>
                    <a:xfrm>
                      <a:off x="0" y="0"/>
                      <a:ext cx="5486400" cy="2834640"/>
                    </a:xfrm>
                    <a:prstGeom prst="rect"/>
                  </pic:spPr>
                </pic:pic>
              </a:graphicData>
            </a:graphic>
          </wp:inline>
        </w:drawing>
      </w:r>
    </w:p>
    <w:p>
      <w:pPr>
        <w:spacing w:before="40" w:after="160"/>
        <w:jc w:val="center"/>
      </w:pPr>
      <w:r>
        <w:rPr>
          <w:rFonts w:ascii="宋体" w:hAnsi="宋体" w:eastAsia="宋体"/>
          <w:b/>
          <w:sz w:val="18"/>
        </w:rPr>
        <w:t>图 5-1 十张附件 2 图像的正弦基线拟合 R²</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vAlign w:val="center"/>
            <w:shd w:fill="315A83"/>
          </w:tcPr>
          <w:p>
            <w:pPr>
              <w:jc w:val="center"/>
            </w:pPr>
            <w:r/>
            <w:r>
              <w:rPr>
                <w:rFonts w:ascii="宋体" w:hAnsi="宋体" w:eastAsia="宋体"/>
                <w:b/>
                <w:color w:val="FFFFFF"/>
                <w:sz w:val="18"/>
              </w:rPr>
              <w:t>图像</w:t>
            </w:r>
          </w:p>
        </w:tc>
        <w:tc>
          <w:tcPr>
            <w:tcW w:type="dxa" w:w="1559"/>
            <w:vAlign w:val="center"/>
            <w:shd w:fill="315A83"/>
          </w:tcPr>
          <w:p>
            <w:pPr>
              <w:jc w:val="center"/>
            </w:pPr>
            <w:r/>
            <w:r>
              <w:rPr>
                <w:rFonts w:ascii="宋体" w:hAnsi="宋体" w:eastAsia="宋体"/>
                <w:b/>
                <w:color w:val="FFFFFF"/>
                <w:sz w:val="18"/>
              </w:rPr>
              <w:t>R 像素</w:t>
            </w:r>
          </w:p>
        </w:tc>
        <w:tc>
          <w:tcPr>
            <w:tcW w:type="dxa" w:w="1559"/>
            <w:vAlign w:val="center"/>
            <w:shd w:fill="315A83"/>
          </w:tcPr>
          <w:p>
            <w:pPr>
              <w:jc w:val="center"/>
            </w:pPr>
            <w:r/>
            <w:r>
              <w:rPr>
                <w:rFonts w:ascii="宋体" w:hAnsi="宋体" w:eastAsia="宋体"/>
                <w:b/>
                <w:color w:val="FFFFFF"/>
                <w:sz w:val="18"/>
              </w:rPr>
              <w:t>P 像素</w:t>
            </w:r>
          </w:p>
        </w:tc>
        <w:tc>
          <w:tcPr>
            <w:tcW w:type="dxa" w:w="1559"/>
            <w:vAlign w:val="center"/>
            <w:shd w:fill="315A83"/>
          </w:tcPr>
          <w:p>
            <w:pPr>
              <w:jc w:val="center"/>
            </w:pPr>
            <w:r/>
            <w:r>
              <w:rPr>
                <w:rFonts w:ascii="宋体" w:hAnsi="宋体" w:eastAsia="宋体"/>
                <w:b/>
                <w:color w:val="FFFFFF"/>
                <w:sz w:val="18"/>
              </w:rPr>
              <w:t>β rad</w:t>
            </w:r>
          </w:p>
        </w:tc>
        <w:tc>
          <w:tcPr>
            <w:tcW w:type="dxa" w:w="1559"/>
            <w:vAlign w:val="center"/>
            <w:shd w:fill="315A83"/>
          </w:tcPr>
          <w:p>
            <w:pPr>
              <w:jc w:val="center"/>
            </w:pPr>
            <w:r/>
            <w:r>
              <w:rPr>
                <w:rFonts w:ascii="宋体" w:hAnsi="宋体" w:eastAsia="宋体"/>
                <w:b/>
                <w:color w:val="FFFFFF"/>
                <w:sz w:val="18"/>
              </w:rPr>
              <w:t>C 像素</w:t>
            </w:r>
          </w:p>
        </w:tc>
        <w:tc>
          <w:tcPr>
            <w:tcW w:type="dxa" w:w="1559"/>
            <w:vAlign w:val="center"/>
            <w:shd w:fill="315A83"/>
          </w:tcPr>
          <w:p>
            <w:pPr>
              <w:jc w:val="center"/>
            </w:pPr>
            <w:r/>
            <w:r>
              <w:rPr>
                <w:rFonts w:ascii="宋体" w:hAnsi="宋体" w:eastAsia="宋体"/>
                <w:b/>
                <w:color w:val="FFFFFF"/>
                <w:sz w:val="18"/>
              </w:rPr>
              <w:t>R²</w:t>
            </w:r>
          </w:p>
        </w:tc>
      </w:tr>
      <w:tr>
        <w:tc>
          <w:tcPr>
            <w:tcW w:type="dxa" w:w="1559"/>
            <w:vAlign w:val="center"/>
          </w:tcPr>
          <w:p>
            <w:pPr>
              <w:jc w:val="center"/>
            </w:pPr>
            <w:r/>
            <w:r>
              <w:rPr>
                <w:rFonts w:ascii="宋体" w:hAnsi="宋体" w:eastAsia="宋体"/>
                <w:b w:val="0"/>
                <w:color w:val="000000"/>
                <w:sz w:val="18"/>
              </w:rPr>
              <w:t>图2-1.jpg</w:t>
            </w:r>
          </w:p>
        </w:tc>
        <w:tc>
          <w:tcPr>
            <w:tcW w:type="dxa" w:w="1559"/>
            <w:vAlign w:val="center"/>
          </w:tcPr>
          <w:p>
            <w:pPr>
              <w:jc w:val="center"/>
            </w:pPr>
            <w:r/>
            <w:r>
              <w:rPr>
                <w:rFonts w:ascii="宋体" w:hAnsi="宋体" w:eastAsia="宋体"/>
                <w:b w:val="0"/>
                <w:color w:val="000000"/>
                <w:sz w:val="18"/>
              </w:rPr>
              <w:t>164.0931</w:t>
            </w:r>
          </w:p>
        </w:tc>
        <w:tc>
          <w:tcPr>
            <w:tcW w:type="dxa" w:w="1559"/>
            <w:vAlign w:val="center"/>
          </w:tcPr>
          <w:p>
            <w:pPr>
              <w:jc w:val="center"/>
            </w:pPr>
            <w:r/>
            <w:r>
              <w:rPr>
                <w:rFonts w:ascii="宋体" w:hAnsi="宋体" w:eastAsia="宋体"/>
                <w:b w:val="0"/>
                <w:color w:val="000000"/>
                <w:sz w:val="18"/>
              </w:rPr>
              <w:t>244</w:t>
            </w:r>
          </w:p>
        </w:tc>
        <w:tc>
          <w:tcPr>
            <w:tcW w:type="dxa" w:w="1559"/>
            <w:vAlign w:val="center"/>
          </w:tcPr>
          <w:p>
            <w:pPr>
              <w:jc w:val="center"/>
            </w:pPr>
            <w:r/>
            <w:r>
              <w:rPr>
                <w:rFonts w:ascii="宋体" w:hAnsi="宋体" w:eastAsia="宋体"/>
                <w:b w:val="0"/>
                <w:color w:val="000000"/>
                <w:sz w:val="18"/>
              </w:rPr>
              <w:t>-3.125472</w:t>
            </w:r>
          </w:p>
        </w:tc>
        <w:tc>
          <w:tcPr>
            <w:tcW w:type="dxa" w:w="1559"/>
            <w:vAlign w:val="center"/>
          </w:tcPr>
          <w:p>
            <w:pPr>
              <w:jc w:val="center"/>
            </w:pPr>
            <w:r/>
            <w:r>
              <w:rPr>
                <w:rFonts w:ascii="宋体" w:hAnsi="宋体" w:eastAsia="宋体"/>
                <w:b w:val="0"/>
                <w:color w:val="000000"/>
                <w:sz w:val="18"/>
              </w:rPr>
              <w:t>603.6107</w:t>
            </w:r>
          </w:p>
        </w:tc>
        <w:tc>
          <w:tcPr>
            <w:tcW w:type="dxa" w:w="1559"/>
            <w:vAlign w:val="center"/>
          </w:tcPr>
          <w:p>
            <w:pPr>
              <w:jc w:val="center"/>
            </w:pPr>
            <w:r/>
            <w:r>
              <w:rPr>
                <w:rFonts w:ascii="宋体" w:hAnsi="宋体" w:eastAsia="宋体"/>
                <w:b w:val="0"/>
                <w:color w:val="000000"/>
                <w:sz w:val="18"/>
              </w:rPr>
              <w:t>0.196262</w:t>
            </w:r>
          </w:p>
        </w:tc>
      </w:tr>
      <w:tr>
        <w:tc>
          <w:tcPr>
            <w:tcW w:type="dxa" w:w="1559"/>
            <w:vAlign w:val="center"/>
            <w:shd w:fill="EAF1F7"/>
          </w:tcPr>
          <w:p>
            <w:pPr>
              <w:jc w:val="center"/>
            </w:pPr>
            <w:r/>
            <w:r>
              <w:rPr>
                <w:rFonts w:ascii="宋体" w:hAnsi="宋体" w:eastAsia="宋体"/>
                <w:b w:val="0"/>
                <w:color w:val="000000"/>
                <w:sz w:val="18"/>
              </w:rPr>
              <w:t>图2-2.jpg</w:t>
            </w:r>
          </w:p>
        </w:tc>
        <w:tc>
          <w:tcPr>
            <w:tcW w:type="dxa" w:w="1559"/>
            <w:vAlign w:val="center"/>
            <w:shd w:fill="EAF1F7"/>
          </w:tcPr>
          <w:p>
            <w:pPr>
              <w:jc w:val="center"/>
            </w:pPr>
            <w:r/>
            <w:r>
              <w:rPr>
                <w:rFonts w:ascii="宋体" w:hAnsi="宋体" w:eastAsia="宋体"/>
                <w:b w:val="0"/>
                <w:color w:val="000000"/>
                <w:sz w:val="18"/>
              </w:rPr>
              <w:t>134.9371</w:t>
            </w:r>
          </w:p>
        </w:tc>
        <w:tc>
          <w:tcPr>
            <w:tcW w:type="dxa" w:w="1559"/>
            <w:vAlign w:val="center"/>
            <w:shd w:fill="EAF1F7"/>
          </w:tcPr>
          <w:p>
            <w:pPr>
              <w:jc w:val="center"/>
            </w:pPr>
            <w:r/>
            <w:r>
              <w:rPr>
                <w:rFonts w:ascii="宋体" w:hAnsi="宋体" w:eastAsia="宋体"/>
                <w:b w:val="0"/>
                <w:color w:val="000000"/>
                <w:sz w:val="18"/>
              </w:rPr>
              <w:t>244</w:t>
            </w:r>
          </w:p>
        </w:tc>
        <w:tc>
          <w:tcPr>
            <w:tcW w:type="dxa" w:w="1559"/>
            <w:vAlign w:val="center"/>
            <w:shd w:fill="EAF1F7"/>
          </w:tcPr>
          <w:p>
            <w:pPr>
              <w:jc w:val="center"/>
            </w:pPr>
            <w:r/>
            <w:r>
              <w:rPr>
                <w:rFonts w:ascii="宋体" w:hAnsi="宋体" w:eastAsia="宋体"/>
                <w:b w:val="0"/>
                <w:color w:val="000000"/>
                <w:sz w:val="18"/>
              </w:rPr>
              <w:t>2.758693</w:t>
            </w:r>
          </w:p>
        </w:tc>
        <w:tc>
          <w:tcPr>
            <w:tcW w:type="dxa" w:w="1559"/>
            <w:vAlign w:val="center"/>
            <w:shd w:fill="EAF1F7"/>
          </w:tcPr>
          <w:p>
            <w:pPr>
              <w:jc w:val="center"/>
            </w:pPr>
            <w:r/>
            <w:r>
              <w:rPr>
                <w:rFonts w:ascii="宋体" w:hAnsi="宋体" w:eastAsia="宋体"/>
                <w:b w:val="0"/>
                <w:color w:val="000000"/>
                <w:sz w:val="18"/>
              </w:rPr>
              <w:t>581.6844</w:t>
            </w:r>
          </w:p>
        </w:tc>
        <w:tc>
          <w:tcPr>
            <w:tcW w:type="dxa" w:w="1559"/>
            <w:vAlign w:val="center"/>
            <w:shd w:fill="EAF1F7"/>
          </w:tcPr>
          <w:p>
            <w:pPr>
              <w:jc w:val="center"/>
            </w:pPr>
            <w:r/>
            <w:r>
              <w:rPr>
                <w:rFonts w:ascii="宋体" w:hAnsi="宋体" w:eastAsia="宋体"/>
                <w:b w:val="0"/>
                <w:color w:val="000000"/>
                <w:sz w:val="18"/>
              </w:rPr>
              <w:t>0.092211</w:t>
            </w:r>
          </w:p>
        </w:tc>
      </w:tr>
      <w:tr>
        <w:tc>
          <w:tcPr>
            <w:tcW w:type="dxa" w:w="1559"/>
            <w:vAlign w:val="center"/>
          </w:tcPr>
          <w:p>
            <w:pPr>
              <w:jc w:val="center"/>
            </w:pPr>
            <w:r/>
            <w:r>
              <w:rPr>
                <w:rFonts w:ascii="宋体" w:hAnsi="宋体" w:eastAsia="宋体"/>
                <w:b w:val="0"/>
                <w:color w:val="000000"/>
                <w:sz w:val="18"/>
              </w:rPr>
              <w:t>图2-3.jpg</w:t>
            </w:r>
          </w:p>
        </w:tc>
        <w:tc>
          <w:tcPr>
            <w:tcW w:type="dxa" w:w="1559"/>
            <w:vAlign w:val="center"/>
          </w:tcPr>
          <w:p>
            <w:pPr>
              <w:jc w:val="center"/>
            </w:pPr>
            <w:r/>
            <w:r>
              <w:rPr>
                <w:rFonts w:ascii="宋体" w:hAnsi="宋体" w:eastAsia="宋体"/>
                <w:b w:val="0"/>
                <w:color w:val="000000"/>
                <w:sz w:val="18"/>
              </w:rPr>
              <w:t>178.3968</w:t>
            </w:r>
          </w:p>
        </w:tc>
        <w:tc>
          <w:tcPr>
            <w:tcW w:type="dxa" w:w="1559"/>
            <w:vAlign w:val="center"/>
          </w:tcPr>
          <w:p>
            <w:pPr>
              <w:jc w:val="center"/>
            </w:pPr>
            <w:r/>
            <w:r>
              <w:rPr>
                <w:rFonts w:ascii="宋体" w:hAnsi="宋体" w:eastAsia="宋体"/>
                <w:b w:val="0"/>
                <w:color w:val="000000"/>
                <w:sz w:val="18"/>
              </w:rPr>
              <w:t>244</w:t>
            </w:r>
          </w:p>
        </w:tc>
        <w:tc>
          <w:tcPr>
            <w:tcW w:type="dxa" w:w="1559"/>
            <w:vAlign w:val="center"/>
          </w:tcPr>
          <w:p>
            <w:pPr>
              <w:jc w:val="center"/>
            </w:pPr>
            <w:r/>
            <w:r>
              <w:rPr>
                <w:rFonts w:ascii="宋体" w:hAnsi="宋体" w:eastAsia="宋体"/>
                <w:b w:val="0"/>
                <w:color w:val="000000"/>
                <w:sz w:val="18"/>
              </w:rPr>
              <w:t>-0.040112</w:t>
            </w:r>
          </w:p>
        </w:tc>
        <w:tc>
          <w:tcPr>
            <w:tcW w:type="dxa" w:w="1559"/>
            <w:vAlign w:val="center"/>
          </w:tcPr>
          <w:p>
            <w:pPr>
              <w:jc w:val="center"/>
            </w:pPr>
            <w:r/>
            <w:r>
              <w:rPr>
                <w:rFonts w:ascii="宋体" w:hAnsi="宋体" w:eastAsia="宋体"/>
                <w:b w:val="0"/>
                <w:color w:val="000000"/>
                <w:sz w:val="18"/>
              </w:rPr>
              <w:t>923.0943</w:t>
            </w:r>
          </w:p>
        </w:tc>
        <w:tc>
          <w:tcPr>
            <w:tcW w:type="dxa" w:w="1559"/>
            <w:vAlign w:val="center"/>
          </w:tcPr>
          <w:p>
            <w:pPr>
              <w:jc w:val="center"/>
            </w:pPr>
            <w:r/>
            <w:r>
              <w:rPr>
                <w:rFonts w:ascii="宋体" w:hAnsi="宋体" w:eastAsia="宋体"/>
                <w:b w:val="0"/>
                <w:color w:val="000000"/>
                <w:sz w:val="18"/>
              </w:rPr>
              <w:t>0.118184</w:t>
            </w:r>
          </w:p>
        </w:tc>
      </w:tr>
      <w:tr>
        <w:tc>
          <w:tcPr>
            <w:tcW w:type="dxa" w:w="1559"/>
            <w:vAlign w:val="center"/>
            <w:shd w:fill="EAF1F7"/>
          </w:tcPr>
          <w:p>
            <w:pPr>
              <w:jc w:val="center"/>
            </w:pPr>
            <w:r/>
            <w:r>
              <w:rPr>
                <w:rFonts w:ascii="宋体" w:hAnsi="宋体" w:eastAsia="宋体"/>
                <w:b w:val="0"/>
                <w:color w:val="000000"/>
                <w:sz w:val="18"/>
              </w:rPr>
              <w:t>图2-4.jpg</w:t>
            </w:r>
          </w:p>
        </w:tc>
        <w:tc>
          <w:tcPr>
            <w:tcW w:type="dxa" w:w="1559"/>
            <w:vAlign w:val="center"/>
            <w:shd w:fill="EAF1F7"/>
          </w:tcPr>
          <w:p>
            <w:pPr>
              <w:jc w:val="center"/>
            </w:pPr>
            <w:r/>
            <w:r>
              <w:rPr>
                <w:rFonts w:ascii="宋体" w:hAnsi="宋体" w:eastAsia="宋体"/>
                <w:b w:val="0"/>
                <w:color w:val="000000"/>
                <w:sz w:val="18"/>
              </w:rPr>
              <w:t>215.893</w:t>
            </w:r>
          </w:p>
        </w:tc>
        <w:tc>
          <w:tcPr>
            <w:tcW w:type="dxa" w:w="1559"/>
            <w:vAlign w:val="center"/>
            <w:shd w:fill="EAF1F7"/>
          </w:tcPr>
          <w:p>
            <w:pPr>
              <w:jc w:val="center"/>
            </w:pPr>
            <w:r/>
            <w:r>
              <w:rPr>
                <w:rFonts w:ascii="宋体" w:hAnsi="宋体" w:eastAsia="宋体"/>
                <w:b w:val="0"/>
                <w:color w:val="000000"/>
                <w:sz w:val="18"/>
              </w:rPr>
              <w:t>244</w:t>
            </w:r>
          </w:p>
        </w:tc>
        <w:tc>
          <w:tcPr>
            <w:tcW w:type="dxa" w:w="1559"/>
            <w:vAlign w:val="center"/>
            <w:shd w:fill="EAF1F7"/>
          </w:tcPr>
          <w:p>
            <w:pPr>
              <w:jc w:val="center"/>
            </w:pPr>
            <w:r/>
            <w:r>
              <w:rPr>
                <w:rFonts w:ascii="宋体" w:hAnsi="宋体" w:eastAsia="宋体"/>
                <w:b w:val="0"/>
                <w:color w:val="000000"/>
                <w:sz w:val="18"/>
              </w:rPr>
              <w:t>2.361352</w:t>
            </w:r>
          </w:p>
        </w:tc>
        <w:tc>
          <w:tcPr>
            <w:tcW w:type="dxa" w:w="1559"/>
            <w:vAlign w:val="center"/>
            <w:shd w:fill="EAF1F7"/>
          </w:tcPr>
          <w:p>
            <w:pPr>
              <w:jc w:val="center"/>
            </w:pPr>
            <w:r/>
            <w:r>
              <w:rPr>
                <w:rFonts w:ascii="宋体" w:hAnsi="宋体" w:eastAsia="宋体"/>
                <w:b w:val="0"/>
                <w:color w:val="000000"/>
                <w:sz w:val="18"/>
              </w:rPr>
              <w:t>588.082</w:t>
            </w:r>
          </w:p>
        </w:tc>
        <w:tc>
          <w:tcPr>
            <w:tcW w:type="dxa" w:w="1559"/>
            <w:vAlign w:val="center"/>
            <w:shd w:fill="EAF1F7"/>
          </w:tcPr>
          <w:p>
            <w:pPr>
              <w:jc w:val="center"/>
            </w:pPr>
            <w:r/>
            <w:r>
              <w:rPr>
                <w:rFonts w:ascii="宋体" w:hAnsi="宋体" w:eastAsia="宋体"/>
                <w:b w:val="0"/>
                <w:color w:val="000000"/>
                <w:sz w:val="18"/>
              </w:rPr>
              <w:t>0.12934</w:t>
            </w:r>
          </w:p>
        </w:tc>
      </w:tr>
      <w:tr>
        <w:tc>
          <w:tcPr>
            <w:tcW w:type="dxa" w:w="1559"/>
            <w:vAlign w:val="center"/>
          </w:tcPr>
          <w:p>
            <w:pPr>
              <w:jc w:val="center"/>
            </w:pPr>
            <w:r/>
            <w:r>
              <w:rPr>
                <w:rFonts w:ascii="宋体" w:hAnsi="宋体" w:eastAsia="宋体"/>
                <w:b w:val="0"/>
                <w:color w:val="000000"/>
                <w:sz w:val="18"/>
              </w:rPr>
              <w:t>图2-5.jpg</w:t>
            </w:r>
          </w:p>
        </w:tc>
        <w:tc>
          <w:tcPr>
            <w:tcW w:type="dxa" w:w="1559"/>
            <w:vAlign w:val="center"/>
          </w:tcPr>
          <w:p>
            <w:pPr>
              <w:jc w:val="center"/>
            </w:pPr>
            <w:r/>
            <w:r>
              <w:rPr>
                <w:rFonts w:ascii="宋体" w:hAnsi="宋体" w:eastAsia="宋体"/>
                <w:b w:val="0"/>
                <w:color w:val="000000"/>
                <w:sz w:val="18"/>
              </w:rPr>
              <w:t>211.2304</w:t>
            </w:r>
          </w:p>
        </w:tc>
        <w:tc>
          <w:tcPr>
            <w:tcW w:type="dxa" w:w="1559"/>
            <w:vAlign w:val="center"/>
          </w:tcPr>
          <w:p>
            <w:pPr>
              <w:jc w:val="center"/>
            </w:pPr>
            <w:r/>
            <w:r>
              <w:rPr>
                <w:rFonts w:ascii="宋体" w:hAnsi="宋体" w:eastAsia="宋体"/>
                <w:b w:val="0"/>
                <w:color w:val="000000"/>
                <w:sz w:val="18"/>
              </w:rPr>
              <w:t>244</w:t>
            </w:r>
          </w:p>
        </w:tc>
        <w:tc>
          <w:tcPr>
            <w:tcW w:type="dxa" w:w="1559"/>
            <w:vAlign w:val="center"/>
          </w:tcPr>
          <w:p>
            <w:pPr>
              <w:jc w:val="center"/>
            </w:pPr>
            <w:r/>
            <w:r>
              <w:rPr>
                <w:rFonts w:ascii="宋体" w:hAnsi="宋体" w:eastAsia="宋体"/>
                <w:b w:val="0"/>
                <w:color w:val="000000"/>
                <w:sz w:val="18"/>
              </w:rPr>
              <w:t>-2.40051</w:t>
            </w:r>
          </w:p>
        </w:tc>
        <w:tc>
          <w:tcPr>
            <w:tcW w:type="dxa" w:w="1559"/>
            <w:vAlign w:val="center"/>
          </w:tcPr>
          <w:p>
            <w:pPr>
              <w:jc w:val="center"/>
            </w:pPr>
            <w:r/>
            <w:r>
              <w:rPr>
                <w:rFonts w:ascii="宋体" w:hAnsi="宋体" w:eastAsia="宋体"/>
                <w:b w:val="0"/>
                <w:color w:val="000000"/>
                <w:sz w:val="18"/>
              </w:rPr>
              <w:t>574.3852</w:t>
            </w:r>
          </w:p>
        </w:tc>
        <w:tc>
          <w:tcPr>
            <w:tcW w:type="dxa" w:w="1559"/>
            <w:vAlign w:val="center"/>
          </w:tcPr>
          <w:p>
            <w:pPr>
              <w:jc w:val="center"/>
            </w:pPr>
            <w:r/>
            <w:r>
              <w:rPr>
                <w:rFonts w:ascii="宋体" w:hAnsi="宋体" w:eastAsia="宋体"/>
                <w:b w:val="0"/>
                <w:color w:val="000000"/>
                <w:sz w:val="18"/>
              </w:rPr>
              <w:t>0.116992</w:t>
            </w:r>
          </w:p>
        </w:tc>
      </w:tr>
    </w:tbl>
    <w:p>
      <w:pPr>
        <w:spacing w:after="40"/>
      </w:pPr>
    </w:p>
    <w:p>
      <w:pPr>
        <w:pStyle w:val="Heading1"/>
      </w:pPr>
      <w:r>
        <w:t>6 问题三 复杂裂隙粗糙度与采样敏感性</w:t>
      </w:r>
    </w:p>
    <w:p>
      <w:pPr>
        <w:ind w:firstLine="420"/>
      </w:pPr>
      <w:r>
        <w:t>对附件 3 图 3-1，基线在每个横坐标采样点上选取梯度最大的纵坐标，随后将像素坐标换算到题面给定的 94.25 mm 周长和 500 mm 深度范围。根据相邻离散点斜率计算 Z₂，再使用题给经验式 JRC = 51.85 Z₂^0.6 − 10.37。</w:t>
      </w:r>
    </w:p>
    <w:p>
      <m:oMathPara>
        <m:oMath>
          <m:r>
            <m:t>JRC = 51.85 Z₂^0.6 − 10.37</m:t>
          </m:r>
        </m:oMath>
      </m:oMathPara>
    </w:p>
    <w:p>
      <w:pPr>
        <w:ind w:firstLine="420"/>
      </w:pPr>
      <w:r>
        <w:t>当采样点数从 32 增至 256 时，JRC 从 713.00 增至 1926.19。结果随采样密度大幅上升，说明梯度峰值中包含大量纹理和噪声，且简单等间距采样会放大局部尖峰。该结果不能作为工程 JRC 定值，只能作为采样敏感性诊断。</w:t>
      </w:r>
    </w:p>
    <w:p>
      <w:pPr>
        <w:jc w:val="center"/>
      </w:pPr>
      <w:r>
        <w:drawing>
          <wp:inline xmlns:a="http://schemas.openxmlformats.org/drawingml/2006/main" xmlns:pic="http://schemas.openxmlformats.org/drawingml/2006/picture">
            <wp:extent cx="5486400" cy="2834640"/>
            <wp:docPr id="4" name="Picture 4"/>
            <wp:cNvGraphicFramePr>
              <a:graphicFrameLocks noChangeAspect="1"/>
            </wp:cNvGraphicFramePr>
            <a:graphic>
              <a:graphicData uri="http://schemas.openxmlformats.org/drawingml/2006/picture">
                <pic:pic>
                  <pic:nvPicPr>
                    <pic:cNvPr id="0" name="q3_jrc_sensitivity.png"/>
                    <pic:cNvPicPr/>
                  </pic:nvPicPr>
                  <pic:blipFill>
                    <a:blip r:embed="rId13"/>
                    <a:stretch>
                      <a:fillRect/>
                    </a:stretch>
                  </pic:blipFill>
                  <pic:spPr>
                    <a:xfrm>
                      <a:off x="0" y="0"/>
                      <a:ext cx="5486400" cy="2834640"/>
                    </a:xfrm>
                    <a:prstGeom prst="rect"/>
                  </pic:spPr>
                </pic:pic>
              </a:graphicData>
            </a:graphic>
          </wp:inline>
        </w:drawing>
      </w:r>
    </w:p>
    <w:p>
      <w:pPr>
        <w:spacing w:before="40" w:after="160"/>
        <w:jc w:val="center"/>
      </w:pPr>
      <w:r>
        <w:rPr>
          <w:rFonts w:ascii="宋体" w:hAnsi="宋体" w:eastAsia="宋体"/>
          <w:b/>
          <w:sz w:val="18"/>
        </w:rPr>
        <w:t>图 6-1 JRC 基线结果对采样点数的敏感性</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315A83"/>
          </w:tcPr>
          <w:p>
            <w:pPr>
              <w:jc w:val="center"/>
            </w:pPr>
            <w:r/>
            <w:r>
              <w:rPr>
                <w:rFonts w:ascii="宋体" w:hAnsi="宋体" w:eastAsia="宋体"/>
                <w:b/>
                <w:color w:val="FFFFFF"/>
                <w:sz w:val="18"/>
              </w:rPr>
              <w:t>采样点数</w:t>
            </w:r>
          </w:p>
        </w:tc>
        <w:tc>
          <w:tcPr>
            <w:tcW w:type="dxa" w:w="3118"/>
            <w:vAlign w:val="center"/>
            <w:shd w:fill="315A83"/>
          </w:tcPr>
          <w:p>
            <w:pPr>
              <w:jc w:val="center"/>
            </w:pPr>
            <w:r/>
            <w:r>
              <w:rPr>
                <w:rFonts w:ascii="宋体" w:hAnsi="宋体" w:eastAsia="宋体"/>
                <w:b/>
                <w:color w:val="FFFFFF"/>
                <w:sz w:val="18"/>
              </w:rPr>
              <w:t>Z₂</w:t>
            </w:r>
          </w:p>
        </w:tc>
        <w:tc>
          <w:tcPr>
            <w:tcW w:type="dxa" w:w="3118"/>
            <w:vAlign w:val="center"/>
            <w:shd w:fill="315A83"/>
          </w:tcPr>
          <w:p>
            <w:pPr>
              <w:jc w:val="center"/>
            </w:pPr>
            <w:r/>
            <w:r>
              <w:rPr>
                <w:rFonts w:ascii="宋体" w:hAnsi="宋体" w:eastAsia="宋体"/>
                <w:b/>
                <w:color w:val="FFFFFF"/>
                <w:sz w:val="18"/>
              </w:rPr>
              <w:t>JRC</w:t>
            </w:r>
          </w:p>
        </w:tc>
      </w:tr>
      <w:tr>
        <w:tc>
          <w:tcPr>
            <w:tcW w:type="dxa" w:w="3118"/>
            <w:vAlign w:val="center"/>
          </w:tcPr>
          <w:p>
            <w:pPr>
              <w:jc w:val="center"/>
            </w:pPr>
            <w:r/>
            <w:r>
              <w:rPr>
                <w:rFonts w:ascii="宋体" w:hAnsi="宋体" w:eastAsia="宋体"/>
                <w:b w:val="0"/>
                <w:color w:val="000000"/>
                <w:sz w:val="18"/>
              </w:rPr>
              <w:t>32</w:t>
            </w:r>
          </w:p>
        </w:tc>
        <w:tc>
          <w:tcPr>
            <w:tcW w:type="dxa" w:w="3118"/>
            <w:vAlign w:val="center"/>
          </w:tcPr>
          <w:p>
            <w:pPr>
              <w:jc w:val="center"/>
            </w:pPr>
            <w:r/>
            <w:r>
              <w:rPr>
                <w:rFonts w:ascii="宋体" w:hAnsi="宋体" w:eastAsia="宋体"/>
                <w:b w:val="0"/>
                <w:color w:val="000000"/>
                <w:sz w:val="18"/>
              </w:rPr>
              <w:t>80.850315</w:t>
            </w:r>
          </w:p>
        </w:tc>
        <w:tc>
          <w:tcPr>
            <w:tcW w:type="dxa" w:w="3118"/>
            <w:vAlign w:val="center"/>
          </w:tcPr>
          <w:p>
            <w:pPr>
              <w:jc w:val="center"/>
            </w:pPr>
            <w:r/>
            <w:r>
              <w:rPr>
                <w:rFonts w:ascii="宋体" w:hAnsi="宋体" w:eastAsia="宋体"/>
                <w:b w:val="0"/>
                <w:color w:val="000000"/>
                <w:sz w:val="18"/>
              </w:rPr>
              <w:t>712.9955</w:t>
            </w:r>
          </w:p>
        </w:tc>
      </w:tr>
      <w:tr>
        <w:tc>
          <w:tcPr>
            <w:tcW w:type="dxa" w:w="3118"/>
            <w:vAlign w:val="center"/>
            <w:shd w:fill="EAF1F7"/>
          </w:tcPr>
          <w:p>
            <w:pPr>
              <w:jc w:val="center"/>
            </w:pPr>
            <w:r/>
            <w:r>
              <w:rPr>
                <w:rFonts w:ascii="宋体" w:hAnsi="宋体" w:eastAsia="宋体"/>
                <w:b w:val="0"/>
                <w:color w:val="000000"/>
                <w:sz w:val="18"/>
              </w:rPr>
              <w:t>64</w:t>
            </w:r>
          </w:p>
        </w:tc>
        <w:tc>
          <w:tcPr>
            <w:tcW w:type="dxa" w:w="3118"/>
            <w:vAlign w:val="center"/>
            <w:shd w:fill="EAF1F7"/>
          </w:tcPr>
          <w:p>
            <w:pPr>
              <w:jc w:val="center"/>
            </w:pPr>
            <w:r/>
            <w:r>
              <w:rPr>
                <w:rFonts w:ascii="宋体" w:hAnsi="宋体" w:eastAsia="宋体"/>
                <w:b w:val="0"/>
                <w:color w:val="000000"/>
                <w:sz w:val="18"/>
              </w:rPr>
              <w:t>136.741182</w:t>
            </w:r>
          </w:p>
        </w:tc>
        <w:tc>
          <w:tcPr>
            <w:tcW w:type="dxa" w:w="3118"/>
            <w:vAlign w:val="center"/>
            <w:shd w:fill="EAF1F7"/>
          </w:tcPr>
          <w:p>
            <w:pPr>
              <w:jc w:val="center"/>
            </w:pPr>
            <w:r/>
            <w:r>
              <w:rPr>
                <w:rFonts w:ascii="宋体" w:hAnsi="宋体" w:eastAsia="宋体"/>
                <w:b w:val="0"/>
                <w:color w:val="000000"/>
                <w:sz w:val="18"/>
              </w:rPr>
              <w:t>981.120047</w:t>
            </w:r>
          </w:p>
        </w:tc>
      </w:tr>
      <w:tr>
        <w:tc>
          <w:tcPr>
            <w:tcW w:type="dxa" w:w="3118"/>
            <w:vAlign w:val="center"/>
          </w:tcPr>
          <w:p>
            <w:pPr>
              <w:jc w:val="center"/>
            </w:pPr>
            <w:r/>
            <w:r>
              <w:rPr>
                <w:rFonts w:ascii="宋体" w:hAnsi="宋体" w:eastAsia="宋体"/>
                <w:b w:val="0"/>
                <w:color w:val="000000"/>
                <w:sz w:val="18"/>
              </w:rPr>
              <w:t>128</w:t>
            </w:r>
          </w:p>
        </w:tc>
        <w:tc>
          <w:tcPr>
            <w:tcW w:type="dxa" w:w="3118"/>
            <w:vAlign w:val="center"/>
          </w:tcPr>
          <w:p>
            <w:pPr>
              <w:jc w:val="center"/>
            </w:pPr>
            <w:r/>
            <w:r>
              <w:rPr>
                <w:rFonts w:ascii="宋体" w:hAnsi="宋体" w:eastAsia="宋体"/>
                <w:b w:val="0"/>
                <w:color w:val="000000"/>
                <w:sz w:val="18"/>
              </w:rPr>
              <w:t>245.109181</w:t>
            </w:r>
          </w:p>
        </w:tc>
        <w:tc>
          <w:tcPr>
            <w:tcW w:type="dxa" w:w="3118"/>
            <w:vAlign w:val="center"/>
          </w:tcPr>
          <w:p>
            <w:pPr>
              <w:jc w:val="center"/>
            </w:pPr>
            <w:r/>
            <w:r>
              <w:rPr>
                <w:rFonts w:ascii="宋体" w:hAnsi="宋体" w:eastAsia="宋体"/>
                <w:b w:val="0"/>
                <w:color w:val="000000"/>
                <w:sz w:val="18"/>
              </w:rPr>
              <w:t>1396.858132</w:t>
            </w:r>
          </w:p>
        </w:tc>
      </w:tr>
      <w:tr>
        <w:tc>
          <w:tcPr>
            <w:tcW w:type="dxa" w:w="3118"/>
            <w:vAlign w:val="center"/>
            <w:shd w:fill="EAF1F7"/>
          </w:tcPr>
          <w:p>
            <w:pPr>
              <w:jc w:val="center"/>
            </w:pPr>
            <w:r/>
            <w:r>
              <w:rPr>
                <w:rFonts w:ascii="宋体" w:hAnsi="宋体" w:eastAsia="宋体"/>
                <w:b w:val="0"/>
                <w:color w:val="000000"/>
                <w:sz w:val="18"/>
              </w:rPr>
              <w:t>256</w:t>
            </w:r>
          </w:p>
        </w:tc>
        <w:tc>
          <w:tcPr>
            <w:tcW w:type="dxa" w:w="3118"/>
            <w:vAlign w:val="center"/>
            <w:shd w:fill="EAF1F7"/>
          </w:tcPr>
          <w:p>
            <w:pPr>
              <w:jc w:val="center"/>
            </w:pPr>
            <w:r/>
            <w:r>
              <w:rPr>
                <w:rFonts w:ascii="宋体" w:hAnsi="宋体" w:eastAsia="宋体"/>
                <w:b w:val="0"/>
                <w:color w:val="000000"/>
                <w:sz w:val="18"/>
              </w:rPr>
              <w:t>417.319596</w:t>
            </w:r>
          </w:p>
        </w:tc>
        <w:tc>
          <w:tcPr>
            <w:tcW w:type="dxa" w:w="3118"/>
            <w:vAlign w:val="center"/>
            <w:shd w:fill="EAF1F7"/>
          </w:tcPr>
          <w:p>
            <w:pPr>
              <w:jc w:val="center"/>
            </w:pPr>
            <w:r/>
            <w:r>
              <w:rPr>
                <w:rFonts w:ascii="宋体" w:hAnsi="宋体" w:eastAsia="宋体"/>
                <w:b w:val="0"/>
                <w:color w:val="000000"/>
                <w:sz w:val="18"/>
              </w:rPr>
              <w:t>1926.185855</w:t>
            </w:r>
          </w:p>
        </w:tc>
      </w:tr>
    </w:tbl>
    <w:p>
      <w:pPr>
        <w:spacing w:after="40"/>
      </w:pPr>
    </w:p>
    <w:p>
      <w:pPr>
        <w:ind w:firstLine="420"/>
      </w:pPr>
      <w:r>
        <w:t>后续应先提取连续裂隙轮廓，再比较等间距、曲率加权和自适应拐点采样；还应对图像分辨率、轮廓平滑和裂隙面积做联合敏感性分析。</w:t>
      </w:r>
    </w:p>
    <w:p>
      <w:pPr>
        <w:pStyle w:val="Heading1"/>
      </w:pPr>
      <w:r>
        <w:t>7 问题四 多钻孔连通性基线</w:t>
      </w:r>
    </w:p>
    <w:p>
      <w:pPr>
        <w:ind w:firstLine="420"/>
      </w:pPr>
      <w:r>
        <w:t>附件 4 包含 6 个钻孔和 40 个分段图像。基线先计算每个分段的 90% 梯度边缘密度，再对相邻钻孔的同深度段构造差异 d。连通评分定义为 p = exp(−80d)，用于排序而非概率校准。该评分只利用图像统计相似性，没有使用裂隙方向、JRC 和三维几何匹配，因此属于弱基线。</w:t>
      </w:r>
    </w:p>
    <w:p>
      <w:pPr>
        <w:ind w:firstLine="420"/>
      </w:pPr>
      <w:r>
        <w:t>在当前启发式评分中，候选连通评分范围为 0.6478—0.9991。按最接近 0.5 的不确定性排序，优先补孔候选为：1-4 段 2m, 1-2 段 2m, 1-4 段 4m。这些位置只是基于边缘密度差异的基线建议，正式结论需要加入裂隙几何、方向和现场空间约束。</w:t>
      </w:r>
    </w:p>
    <w:p>
      <w:pPr>
        <w:jc w:val="center"/>
      </w:pPr>
      <w:r>
        <w:drawing>
          <wp:inline xmlns:a="http://schemas.openxmlformats.org/drawingml/2006/main" xmlns:pic="http://schemas.openxmlformats.org/drawingml/2006/picture">
            <wp:extent cx="5486400" cy="3779520"/>
            <wp:docPr id="5" name="Picture 5"/>
            <wp:cNvGraphicFramePr>
              <a:graphicFrameLocks noChangeAspect="1"/>
            </wp:cNvGraphicFramePr>
            <a:graphic>
              <a:graphicData uri="http://schemas.openxmlformats.org/drawingml/2006/picture">
                <pic:pic>
                  <pic:nvPicPr>
                    <pic:cNvPr id="0" name="q4_connectivity_network.png"/>
                    <pic:cNvPicPr/>
                  </pic:nvPicPr>
                  <pic:blipFill>
                    <a:blip r:embed="rId14"/>
                    <a:stretch>
                      <a:fillRect/>
                    </a:stretch>
                  </pic:blipFill>
                  <pic:spPr>
                    <a:xfrm>
                      <a:off x="0" y="0"/>
                      <a:ext cx="5486400" cy="3779520"/>
                    </a:xfrm>
                    <a:prstGeom prst="rect"/>
                  </pic:spPr>
                </pic:pic>
              </a:graphicData>
            </a:graphic>
          </wp:inline>
        </w:drawing>
      </w:r>
    </w:p>
    <w:p>
      <w:pPr>
        <w:spacing w:before="40" w:after="160"/>
        <w:jc w:val="center"/>
      </w:pPr>
      <w:r>
        <w:rPr>
          <w:rFonts w:ascii="宋体" w:hAnsi="宋体" w:eastAsia="宋体"/>
          <w:b/>
          <w:sz w:val="18"/>
        </w:rPr>
        <w:t>图 7-1 六孔分段连通性基线的三维投影示意</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315A83"/>
          </w:tcPr>
          <w:p>
            <w:pPr>
              <w:jc w:val="center"/>
            </w:pPr>
            <w:r/>
            <w:r>
              <w:rPr>
                <w:rFonts w:ascii="宋体" w:hAnsi="宋体" w:eastAsia="宋体"/>
                <w:b/>
                <w:color w:val="FFFFFF"/>
                <w:sz w:val="18"/>
              </w:rPr>
              <w:t>候选孔间位置</w:t>
            </w:r>
          </w:p>
        </w:tc>
        <w:tc>
          <w:tcPr>
            <w:tcW w:type="dxa" w:w="3118"/>
            <w:vAlign w:val="center"/>
            <w:shd w:fill="315A83"/>
          </w:tcPr>
          <w:p>
            <w:pPr>
              <w:jc w:val="center"/>
            </w:pPr>
            <w:r/>
            <w:r>
              <w:rPr>
                <w:rFonts w:ascii="宋体" w:hAnsi="宋体" w:eastAsia="宋体"/>
                <w:b/>
                <w:color w:val="FFFFFF"/>
                <w:sz w:val="18"/>
              </w:rPr>
              <w:t>分段起点 m</w:t>
            </w:r>
          </w:p>
        </w:tc>
        <w:tc>
          <w:tcPr>
            <w:tcW w:type="dxa" w:w="3118"/>
            <w:vAlign w:val="center"/>
            <w:shd w:fill="315A83"/>
          </w:tcPr>
          <w:p>
            <w:pPr>
              <w:jc w:val="center"/>
            </w:pPr>
            <w:r/>
            <w:r>
              <w:rPr>
                <w:rFonts w:ascii="宋体" w:hAnsi="宋体" w:eastAsia="宋体"/>
                <w:b/>
                <w:color w:val="FFFFFF"/>
                <w:sz w:val="18"/>
              </w:rPr>
              <w:t>不确定性评分</w:t>
            </w:r>
          </w:p>
        </w:tc>
      </w:tr>
      <w:tr>
        <w:tc>
          <w:tcPr>
            <w:tcW w:type="dxa" w:w="3118"/>
            <w:vAlign w:val="center"/>
          </w:tcPr>
          <w:p>
            <w:pPr>
              <w:jc w:val="center"/>
            </w:pPr>
            <w:r/>
            <w:r>
              <w:rPr>
                <w:rFonts w:ascii="宋体" w:hAnsi="宋体" w:eastAsia="宋体"/>
                <w:b w:val="0"/>
                <w:color w:val="000000"/>
                <w:sz w:val="18"/>
              </w:rPr>
              <w:t>1-4</w:t>
            </w:r>
          </w:p>
        </w:tc>
        <w:tc>
          <w:tcPr>
            <w:tcW w:type="dxa" w:w="3118"/>
            <w:vAlign w:val="center"/>
          </w:tcPr>
          <w:p>
            <w:pPr>
              <w:jc w:val="center"/>
            </w:pPr>
            <w:r/>
            <w:r>
              <w:rPr>
                <w:rFonts w:ascii="宋体" w:hAnsi="宋体" w:eastAsia="宋体"/>
                <w:b w:val="0"/>
                <w:color w:val="000000"/>
                <w:sz w:val="18"/>
              </w:rPr>
              <w:t>2</w:t>
            </w:r>
          </w:p>
        </w:tc>
        <w:tc>
          <w:tcPr>
            <w:tcW w:type="dxa" w:w="3118"/>
            <w:vAlign w:val="center"/>
          </w:tcPr>
          <w:p>
            <w:pPr>
              <w:jc w:val="center"/>
            </w:pPr>
            <w:r/>
            <w:r>
              <w:rPr>
                <w:rFonts w:ascii="宋体" w:hAnsi="宋体" w:eastAsia="宋体"/>
                <w:b w:val="0"/>
                <w:color w:val="000000"/>
                <w:sz w:val="18"/>
              </w:rPr>
              <w:t>0.70443</w:t>
            </w:r>
          </w:p>
        </w:tc>
      </w:tr>
      <w:tr>
        <w:tc>
          <w:tcPr>
            <w:tcW w:type="dxa" w:w="3118"/>
            <w:vAlign w:val="center"/>
            <w:shd w:fill="EAF1F7"/>
          </w:tcPr>
          <w:p>
            <w:pPr>
              <w:jc w:val="center"/>
            </w:pPr>
            <w:r/>
            <w:r>
              <w:rPr>
                <w:rFonts w:ascii="宋体" w:hAnsi="宋体" w:eastAsia="宋体"/>
                <w:b w:val="0"/>
                <w:color w:val="000000"/>
                <w:sz w:val="18"/>
              </w:rPr>
              <w:t>1-2</w:t>
            </w:r>
          </w:p>
        </w:tc>
        <w:tc>
          <w:tcPr>
            <w:tcW w:type="dxa" w:w="3118"/>
            <w:vAlign w:val="center"/>
            <w:shd w:fill="EAF1F7"/>
          </w:tcPr>
          <w:p>
            <w:pPr>
              <w:jc w:val="center"/>
            </w:pPr>
            <w:r/>
            <w:r>
              <w:rPr>
                <w:rFonts w:ascii="宋体" w:hAnsi="宋体" w:eastAsia="宋体"/>
                <w:b w:val="0"/>
                <w:color w:val="000000"/>
                <w:sz w:val="18"/>
              </w:rPr>
              <w:t>2</w:t>
            </w:r>
          </w:p>
        </w:tc>
        <w:tc>
          <w:tcPr>
            <w:tcW w:type="dxa" w:w="3118"/>
            <w:vAlign w:val="center"/>
            <w:shd w:fill="EAF1F7"/>
          </w:tcPr>
          <w:p>
            <w:pPr>
              <w:jc w:val="center"/>
            </w:pPr>
            <w:r/>
            <w:r>
              <w:rPr>
                <w:rFonts w:ascii="宋体" w:hAnsi="宋体" w:eastAsia="宋体"/>
                <w:b w:val="0"/>
                <w:color w:val="000000"/>
                <w:sz w:val="18"/>
              </w:rPr>
              <w:t>0.698252</w:t>
            </w:r>
          </w:p>
        </w:tc>
      </w:tr>
      <w:tr>
        <w:tc>
          <w:tcPr>
            <w:tcW w:type="dxa" w:w="3118"/>
            <w:vAlign w:val="center"/>
          </w:tcPr>
          <w:p>
            <w:pPr>
              <w:jc w:val="center"/>
            </w:pPr>
            <w:r/>
            <w:r>
              <w:rPr>
                <w:rFonts w:ascii="宋体" w:hAnsi="宋体" w:eastAsia="宋体"/>
                <w:b w:val="0"/>
                <w:color w:val="000000"/>
                <w:sz w:val="18"/>
              </w:rPr>
              <w:t>1-4</w:t>
            </w:r>
          </w:p>
        </w:tc>
        <w:tc>
          <w:tcPr>
            <w:tcW w:type="dxa" w:w="3118"/>
            <w:vAlign w:val="center"/>
          </w:tcPr>
          <w:p>
            <w:pPr>
              <w:jc w:val="center"/>
            </w:pPr>
            <w:r/>
            <w:r>
              <w:rPr>
                <w:rFonts w:ascii="宋体" w:hAnsi="宋体" w:eastAsia="宋体"/>
                <w:b w:val="0"/>
                <w:color w:val="000000"/>
                <w:sz w:val="18"/>
              </w:rPr>
              <w:t>4</w:t>
            </w:r>
          </w:p>
        </w:tc>
        <w:tc>
          <w:tcPr>
            <w:tcW w:type="dxa" w:w="3118"/>
            <w:vAlign w:val="center"/>
          </w:tcPr>
          <w:p>
            <w:pPr>
              <w:jc w:val="center"/>
            </w:pPr>
            <w:r/>
            <w:r>
              <w:rPr>
                <w:rFonts w:ascii="宋体" w:hAnsi="宋体" w:eastAsia="宋体"/>
                <w:b w:val="0"/>
                <w:color w:val="000000"/>
                <w:sz w:val="18"/>
              </w:rPr>
              <w:t>0.578942</w:t>
            </w:r>
          </w:p>
        </w:tc>
      </w:tr>
    </w:tbl>
    <w:p>
      <w:pPr>
        <w:spacing w:after="40"/>
      </w:pPr>
    </w:p>
    <w:p>
      <w:pPr>
        <w:pStyle w:val="Heading1"/>
      </w:pPr>
      <w:r>
        <w:t>8 模型评价与改进方向</w:t>
      </w:r>
    </w:p>
    <w:p>
      <w:pPr>
        <w:ind w:firstLine="420"/>
      </w:pPr>
      <w:r>
        <w:t>优点方面，本文基线不依赖 OpenCV、SciPy 或深度学习框架，能够在轻量环境下完成数据读取、四问串联、结果表生成和图表输出；每个结果都由脚本生成，便于复现。问题一验证了二值输出尺寸和边缘覆盖统计，问题二和问题三的低质量/高敏感性结果及时暴露了简单模型的不足，避免把错误结果包装成最终结论。</w:t>
      </w:r>
    </w:p>
    <w:p>
      <w:pPr>
        <w:ind w:firstLine="420"/>
      </w:pPr>
      <w:r>
        <w:t>局限方面，梯度阈值没有语义标签，正弦拟合没有逐裂隙聚类，JRC 轮廓没有经过工程校准，连通评分也没有真实连通标注。因此本文不能替代竞赛最终方案，也不能直接作为工程安全决策依据。</w:t>
      </w:r>
    </w:p>
    <w:p>
      <w:pPr>
        <w:ind w:firstLine="420"/>
      </w:pPr>
      <w:r>
        <w:t>改进方面，问题一应使用 U-Net 类分割并以人工标注做 IoU/F1 验证；问题二应加入 DBSCAN/连通域分离、FFT 初值和 RANSAC 鲁棒拟合；问题三应做轮廓平滑、曲率加权采样和面积分层；问题四应建立裂隙几何匹配、JRC 修正和不确定性驱动的图模型，并通过多次扰动验证补孔位置稳定性。</w:t>
      </w:r>
    </w:p>
    <w:p>
      <w:pPr>
        <w:pStyle w:val="Heading1"/>
      </w:pPr>
      <w:r>
        <w:t>9 结论</w:t>
      </w:r>
    </w:p>
    <w:p>
      <w:pPr>
        <w:ind w:firstLine="420"/>
      </w:pPr>
      <w:r>
        <w:t>本文完成了 2025 年研赛 C 题从原始图像到 Word 论文的第一版可复现实验链路。基线结果表明，梯度边缘可以快速建立输入输出和图表流程，但单一图像统计不足以完成高可信裂隙识别；正弦拟合的低 R² 和 JRC 对采样密度的强敏感性，明确指出了需要引入分割、聚类、鲁棒拟合和轮廓校准的位置。下一阶段应围绕问题一的标注/分割质量和问题二的逐裂隙拟合展开，而不是继续堆叠未经验证的复杂模型。</w:t>
      </w:r>
    </w:p>
    <w:p>
      <w:pPr>
        <w:pStyle w:val="Heading1"/>
      </w:pPr>
      <w:r>
        <w:t>参考文献</w:t>
      </w:r>
    </w:p>
    <w:p>
      <w:pPr>
        <w:ind w:firstLine="420"/>
      </w:pPr>
      <w:r>
        <w:t>[1] 康红普，姜鹏飞，王子越，等. 煤巷钻锚一体化快速掘进技术与装备及应用[J]. 煤炭学报，2024，49(1):131-151.</w:t>
      </w:r>
    </w:p>
    <w:p>
      <w:pPr>
        <w:ind w:firstLine="420"/>
      </w:pPr>
      <w:r>
        <w:t>[2] 袁亮，张平松. 煤矿透明地质模型动态重构的关键技术与路径思考[J]. 煤炭学报，2023，48(1):1-14.</w:t>
      </w:r>
    </w:p>
    <w:p>
      <w:pPr>
        <w:ind w:firstLine="420"/>
      </w:pPr>
      <w:r>
        <w:t>[3] 2025 年中国研究生数学建模竞赛 C 题题面及附件说明，竞赛资料目录提供的原始文件。</w:t>
      </w:r>
    </w:p>
    <w:p>
      <w:pPr>
        <w:pStyle w:val="Heading1"/>
      </w:pPr>
      <w:r>
        <w:t>附录 代码与复现命令</w:t>
      </w:r>
    </w:p>
    <w:p>
      <w:pPr>
        <w:ind w:firstLine="420"/>
      </w:pPr>
      <w:r>
        <w:t>核心脚本：reports/2025-C/code/run_baseline.py；图表脚本：reports/2025-C/code/make_report_figures.py。运行前将 C 题数据包解压到临时目录，并在 run_baseline.py 中更新 ROOT。</w:t>
      </w:r>
    </w:p>
    <w:p>
      <w:pPr>
        <w:ind w:firstLine="420"/>
      </w:pPr>
      <w:r>
        <w:t>运行命令：python reports/2025-C/code/run_baseline.py；python reports/2025-C/code/make_report_figures.py。结果 CSV 位于 reports/2025-C/results，图表位于 reports/2025-C/figures/result。</w:t>
      </w:r>
    </w:p>
    <w:p>
      <w:pPr>
        <w:ind w:firstLine="420"/>
      </w:pPr>
      <w:r>
        <w:t>本论文对应的输入哈希、Python 环境、随机种子和运行命令已记录在 reports/2025-C/results/复现清单.json；当前文档是基线实验稿，提交前必须按当届官方模板、附件命名和 AI 使用规范复核。</w:t>
      </w:r>
    </w:p>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24" w:lineRule="auto"/>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