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2025 年中国研究生数学建模竞赛 C 题</w:t>
        <w:br/>
        <w:t>围岩裂隙精准识别与三维模型重构</w:t>
      </w:r>
    </w:p>
    <w:p>
      <w:pPr>
        <w:jc w:val="center"/>
      </w:pPr>
      <w:r>
        <w:rPr>
          <w:i/>
        </w:rPr>
        <w:t>国奖范式结构化论文草稿  基于真实运行结果  不可直接提交</w:t>
      </w:r>
    </w:p>
    <w:p>
      <w:pPr>
        <w:pStyle w:val="Heading1"/>
      </w:pPr>
      <w:r>
        <w:t>摘要</w:t>
      </w:r>
    </w:p>
    <w:p>
      <w:pPr>
        <w:spacing w:line="348" w:lineRule="auto" w:after="120"/>
        <w:ind w:firstLine="420"/>
      </w:pPr>
      <w:r>
        <w:t>围岩裂隙的识别、定量表征和空间重构是煤矿巷道安全评价的重要基础。针对题目给出的四类任务，本文建立从数据审计、图像预处理、裂隙候选提取、几何参数拟合到多钻孔空间推断的统一流程。数据审计扫描 71 张图像，确认附件 1—3 的尺寸为 244×1350，附件 4 的尺寸为 864×9167，并发现附件 1 图 1-2 与附件 3 图 3-3 完全重复。问题一采用 CLAHE、双边滤波、黑帽变换、Otsu、Canny 和形态学方法生成 10 张同尺寸候选掩膜，平均覆盖率为 40.70%。问题二使用 DBSCAN 和 RANSAC 对候选边缘进行聚类与正弦拟合，共保留 17 个候选簇，平均 R² 为 0.1537。问题三对 11 张图像提取复杂轮廓并比较采样方案，JRC 基线范围为 60.98—325.25。问题四对七组相邻钻孔对构造相对连通评分，范围为 0.6767—0.9324。由于附件未提供独立像素标签，问题一的监督精度尚未具备；由于 Q2—Q4 尚缺工程标定和现场验证，本文定位为国奖范式结构化草稿，所有限制均在文中明确列出。</w:t>
      </w:r>
    </w:p>
    <w:p>
      <w:pPr>
        <w:spacing w:line="348" w:lineRule="auto" w:after="120"/>
        <w:ind w:firstLine="420"/>
      </w:pPr>
      <w:r>
        <w:t>关键词：围岩裂隙；图像处理；正弦拟合；粗糙度系数；钻孔网络；不确定性分析</w:t>
      </w:r>
    </w:p>
    <w:p>
      <w:pPr>
        <w:pStyle w:val="Heading1"/>
      </w:pPr>
      <w:r>
        <w:t>目录</w:t>
      </w:r>
    </w:p>
    <w:p>
      <w:pPr>
        <w:pStyle w:val="ListBullet"/>
        <w:spacing w:after="80"/>
        <w:ind w:left="420"/>
      </w:pPr>
      <w:r>
        <w:t>1 问题重述与总体技术路线</w:t>
      </w:r>
    </w:p>
    <w:p>
      <w:pPr>
        <w:pStyle w:val="ListBullet"/>
        <w:spacing w:after="80"/>
        <w:ind w:left="420"/>
      </w:pPr>
      <w:r>
        <w:t>2 数据观察与预处理</w:t>
      </w:r>
    </w:p>
    <w:p>
      <w:pPr>
        <w:pStyle w:val="ListBullet"/>
        <w:spacing w:after="80"/>
        <w:ind w:left="420"/>
      </w:pPr>
      <w:r>
        <w:t>3 模型假设与符号说明</w:t>
      </w:r>
    </w:p>
    <w:p>
      <w:pPr>
        <w:pStyle w:val="ListBullet"/>
        <w:spacing w:after="80"/>
        <w:ind w:left="420"/>
      </w:pPr>
      <w:r>
        <w:t>4 问题一 裂隙像素识别</w:t>
      </w:r>
    </w:p>
    <w:p>
      <w:pPr>
        <w:pStyle w:val="ListBullet"/>
        <w:spacing w:after="80"/>
        <w:ind w:left="420"/>
      </w:pPr>
      <w:r>
        <w:t>5 问题二 正弦状裂隙定量分析</w:t>
      </w:r>
    </w:p>
    <w:p>
      <w:pPr>
        <w:pStyle w:val="ListBullet"/>
        <w:spacing w:after="80"/>
        <w:ind w:left="420"/>
      </w:pPr>
      <w:r>
        <w:t>6 问题三 复杂裂隙粗糙度评价</w:t>
      </w:r>
    </w:p>
    <w:p>
      <w:pPr>
        <w:pStyle w:val="ListBullet"/>
        <w:spacing w:after="80"/>
        <w:ind w:left="420"/>
      </w:pPr>
      <w:r>
        <w:t>7 问题四 多钻孔连通性与三维重构</w:t>
      </w:r>
    </w:p>
    <w:p>
      <w:pPr>
        <w:pStyle w:val="ListBullet"/>
        <w:spacing w:after="80"/>
        <w:ind w:left="420"/>
      </w:pPr>
      <w:r>
        <w:t>8 模型验证、敏感性与工程解释</w:t>
      </w:r>
    </w:p>
    <w:p>
      <w:pPr>
        <w:pStyle w:val="ListBullet"/>
        <w:spacing w:after="80"/>
        <w:ind w:left="420"/>
      </w:pPr>
      <w:r>
        <w:t>9 模型评价、创新与推广</w:t>
      </w:r>
    </w:p>
    <w:p>
      <w:pPr>
        <w:pStyle w:val="ListBullet"/>
        <w:spacing w:after="80"/>
        <w:ind w:left="420"/>
      </w:pPr>
      <w:r>
        <w:t>参考文献</w:t>
      </w:r>
    </w:p>
    <w:p>
      <w:pPr>
        <w:pStyle w:val="ListBullet"/>
        <w:spacing w:after="80"/>
        <w:ind w:left="420"/>
      </w:pPr>
      <w:r>
        <w:t>附录 代码与复现说明</w:t>
      </w:r>
    </w:p>
    <w:p>
      <w:pPr>
        <w:pStyle w:val="Heading1"/>
      </w:pPr>
      <w:r>
        <w:t>1 问题重述与总体技术路线</w:t>
      </w:r>
    </w:p>
    <w:p>
      <w:pPr>
        <w:spacing w:line="348" w:lineRule="auto" w:after="120"/>
        <w:ind w:firstLine="420"/>
      </w:pPr>
      <w:r>
        <w:t>题目围绕钻孔成像展开图中的裂隙网络提出四个递进问题。第一问要求把裂隙像素从岩石纹理、泥浆和钻进痕迹中分离出来；第二问要求对规则的正弦状裂隙进行聚类和参数表征；第三问要求对复杂轮廓计算粗糙度并分析离散采样影响；第四问要求把六个钻孔的信息统一到空间坐标中，估计相邻裂隙的连通性并选择补充钻孔位置。</w:t>
      </w:r>
    </w:p>
    <w:p>
      <w:pPr>
        <w:spacing w:line="348" w:lineRule="auto" w:after="120"/>
        <w:ind w:firstLine="420"/>
      </w:pPr>
      <w:r>
        <w:t>总体技术路线不是四个互相独立的算法，而是一条逐级传递的不确定性链路。Q1 的候选区域影响 Q2、Q3 的轮廓；Q2 的相位、中心线和周期为 Q4 的几何匹配提供先验；Q3 的 JRC 为连通性风险提供补充特征；Q4 将这些结果汇总为可解释的空间网络。</w:t>
      </w:r>
    </w:p>
    <w:p>
      <w:pPr>
        <w:jc w:val="center"/>
      </w:pPr>
      <w:r>
        <w:drawing>
          <wp:inline xmlns:a="http://schemas.openxmlformats.org/drawingml/2006/main" xmlns:pic="http://schemas.openxmlformats.org/drawingml/2006/picture">
            <wp:extent cx="5577840" cy="4567514"/>
            <wp:docPr id="1" name="Picture 1"/>
            <wp:cNvGraphicFramePr>
              <a:graphicFrameLocks noChangeAspect="1"/>
            </wp:cNvGraphicFramePr>
            <a:graphic>
              <a:graphicData uri="http://schemas.openxmlformats.org/drawingml/2006/picture">
                <pic:pic>
                  <pic:nvPicPr>
                    <pic:cNvPr id="0" name="fig_route.png"/>
                    <pic:cNvPicPr/>
                  </pic:nvPicPr>
                  <pic:blipFill>
                    <a:blip r:embed="rId10"/>
                    <a:stretch>
                      <a:fillRect/>
                    </a:stretch>
                  </pic:blipFill>
                  <pic:spPr>
                    <a:xfrm>
                      <a:off x="0" y="0"/>
                      <a:ext cx="5577840" cy="4567514"/>
                    </a:xfrm>
                    <a:prstGeom prst="rect"/>
                  </pic:spPr>
                </pic:pic>
              </a:graphicData>
            </a:graphic>
          </wp:inline>
        </w:drawing>
      </w:r>
    </w:p>
    <w:p>
      <w:pPr>
        <w:jc w:val="center"/>
      </w:pPr>
      <w:r>
        <w:rPr>
          <w:rFonts w:ascii="宋体" w:hAnsi="宋体" w:eastAsia="宋体"/>
          <w:b/>
          <w:sz w:val="18"/>
        </w:rPr>
        <w:t>图 1-1 四问统一技术路线图</w:t>
      </w:r>
    </w:p>
    <w:p>
      <w:pPr>
        <w:spacing w:line="348" w:lineRule="auto" w:after="120"/>
        <w:ind w:firstLine="420"/>
      </w:pPr>
      <w:r>
        <w:t>在每个阶段，本文都保留基线、结果和失败边界。基线用于验证输入输出接口，增强模型只有在对比结果和稳定性证据支持时才进入候选方案。</w:t>
      </w:r>
    </w:p>
    <w:p>
      <w:pPr>
        <w:pStyle w:val="Heading1"/>
      </w:pPr>
      <w:r>
        <w:t>2 数据观察与预处理</w:t>
      </w:r>
    </w:p>
    <w:p>
      <w:pPr>
        <w:spacing w:line="348" w:lineRule="auto" w:after="120"/>
        <w:ind w:firstLine="420"/>
      </w:pPr>
      <w:r>
        <w:t>数据审计首先记录每个文件的相对路径、SHA-256、图像尺寸、灰度分布和 Canny 边缘密度。附件 1、2、3 是单孔 500 mm 深度的展开图，附件 4 是六个钻孔的分段图像。重复图像的存在说明跨附件随机切分会造成信息泄漏，因此后续验证必须按原图和钻孔分组。</w:t>
      </w:r>
    </w:p>
    <w:tbl>
      <w:tblPr>
        <w:tblStyle w:val="TableGrid"/>
        <w:tblW w:type="auto" w:w="0"/>
        <w:tblLook w:firstColumn="1" w:firstRow="1" w:lastColumn="0" w:lastRow="0" w:noHBand="0" w:noVBand="1" w:val="04A0"/>
      </w:tblPr>
      <w:tblGrid>
        <w:gridCol w:w="2339"/>
        <w:gridCol w:w="2339"/>
        <w:gridCol w:w="2339"/>
        <w:gridCol w:w="2339"/>
      </w:tblGrid>
      <w:tr>
        <w:tc>
          <w:tcPr>
            <w:tcW w:type="dxa" w:w="2339"/>
            <w:vAlign w:val="center"/>
            <w:shd w:fill="315A83"/>
          </w:tcPr>
          <w:p>
            <w:pPr>
              <w:jc w:val="center"/>
            </w:pPr>
            <w:r>
              <w:rPr>
                <w:color w:val="FFFFFF"/>
              </w:rPr>
            </w:r>
            <w:r>
              <w:rPr>
                <w:rFonts w:ascii="宋体" w:hAnsi="宋体" w:eastAsia="宋体"/>
                <w:b/>
                <w:sz w:val="18"/>
              </w:rPr>
              <w:t>附件</w:t>
            </w:r>
          </w:p>
        </w:tc>
        <w:tc>
          <w:tcPr>
            <w:tcW w:type="dxa" w:w="2339"/>
            <w:vAlign w:val="center"/>
            <w:shd w:fill="315A83"/>
          </w:tcPr>
          <w:p>
            <w:pPr>
              <w:jc w:val="center"/>
            </w:pPr>
            <w:r>
              <w:rPr>
                <w:color w:val="FFFFFF"/>
              </w:rPr>
            </w:r>
            <w:r>
              <w:rPr>
                <w:rFonts w:ascii="宋体" w:hAnsi="宋体" w:eastAsia="宋体"/>
                <w:b/>
                <w:sz w:val="18"/>
              </w:rPr>
              <w:t>样本数</w:t>
            </w:r>
          </w:p>
        </w:tc>
        <w:tc>
          <w:tcPr>
            <w:tcW w:type="dxa" w:w="2339"/>
            <w:vAlign w:val="center"/>
            <w:shd w:fill="315A83"/>
          </w:tcPr>
          <w:p>
            <w:pPr>
              <w:jc w:val="center"/>
            </w:pPr>
            <w:r>
              <w:rPr>
                <w:color w:val="FFFFFF"/>
              </w:rPr>
            </w:r>
            <w:r>
              <w:rPr>
                <w:rFonts w:ascii="宋体" w:hAnsi="宋体" w:eastAsia="宋体"/>
                <w:b/>
                <w:sz w:val="18"/>
              </w:rPr>
              <w:t>尺寸</w:t>
            </w:r>
          </w:p>
        </w:tc>
        <w:tc>
          <w:tcPr>
            <w:tcW w:type="dxa" w:w="2339"/>
            <w:vAlign w:val="center"/>
            <w:shd w:fill="315A83"/>
          </w:tcPr>
          <w:p>
            <w:pPr>
              <w:jc w:val="center"/>
            </w:pPr>
            <w:r>
              <w:rPr>
                <w:color w:val="FFFFFF"/>
              </w:rPr>
            </w:r>
            <w:r>
              <w:rPr>
                <w:rFonts w:ascii="宋体" w:hAnsi="宋体" w:eastAsia="宋体"/>
                <w:b/>
                <w:sz w:val="18"/>
              </w:rPr>
              <w:t>主要用途</w:t>
            </w:r>
          </w:p>
        </w:tc>
      </w:tr>
      <w:tr>
        <w:tc>
          <w:tcPr>
            <w:tcW w:type="dxa" w:w="2339"/>
            <w:vAlign w:val="center"/>
          </w:tcPr>
          <w:p>
            <w:pPr>
              <w:jc w:val="center"/>
            </w:pPr>
            <w:r/>
            <w:r>
              <w:rPr>
                <w:rFonts w:ascii="宋体" w:hAnsi="宋体" w:eastAsia="宋体"/>
                <w:b w:val="0"/>
                <w:sz w:val="18"/>
              </w:rPr>
              <w:t>附件1</w:t>
            </w:r>
          </w:p>
        </w:tc>
        <w:tc>
          <w:tcPr>
            <w:tcW w:type="dxa" w:w="2339"/>
            <w:vAlign w:val="center"/>
          </w:tcPr>
          <w:p>
            <w:pPr>
              <w:jc w:val="center"/>
            </w:pPr>
            <w:r/>
            <w:r>
              <w:rPr>
                <w:rFonts w:ascii="宋体" w:hAnsi="宋体" w:eastAsia="宋体"/>
                <w:b w:val="0"/>
                <w:sz w:val="18"/>
              </w:rPr>
              <w:t>10</w:t>
            </w:r>
          </w:p>
        </w:tc>
        <w:tc>
          <w:tcPr>
            <w:tcW w:type="dxa" w:w="2339"/>
            <w:vAlign w:val="center"/>
          </w:tcPr>
          <w:p>
            <w:pPr>
              <w:jc w:val="center"/>
            </w:pPr>
            <w:r/>
            <w:r>
              <w:rPr>
                <w:rFonts w:ascii="宋体" w:hAnsi="宋体" w:eastAsia="宋体"/>
                <w:b w:val="0"/>
                <w:sz w:val="18"/>
              </w:rPr>
              <w:t>244×1350</w:t>
            </w:r>
          </w:p>
        </w:tc>
        <w:tc>
          <w:tcPr>
            <w:tcW w:type="dxa" w:w="2339"/>
            <w:vAlign w:val="center"/>
          </w:tcPr>
          <w:p>
            <w:pPr>
              <w:jc w:val="center"/>
            </w:pPr>
            <w:r/>
            <w:r>
              <w:rPr>
                <w:rFonts w:ascii="宋体" w:hAnsi="宋体" w:eastAsia="宋体"/>
                <w:b w:val="0"/>
                <w:sz w:val="18"/>
              </w:rPr>
              <w:t>像素候选分割</w:t>
            </w:r>
          </w:p>
        </w:tc>
      </w:tr>
      <w:tr>
        <w:tc>
          <w:tcPr>
            <w:tcW w:type="dxa" w:w="2339"/>
            <w:vAlign w:val="center"/>
            <w:shd w:fill="EAF1F7"/>
          </w:tcPr>
          <w:p>
            <w:pPr>
              <w:jc w:val="center"/>
            </w:pPr>
            <w:r/>
            <w:r>
              <w:rPr>
                <w:rFonts w:ascii="宋体" w:hAnsi="宋体" w:eastAsia="宋体"/>
                <w:b w:val="0"/>
                <w:sz w:val="18"/>
              </w:rPr>
              <w:t>附件2</w:t>
            </w:r>
          </w:p>
        </w:tc>
        <w:tc>
          <w:tcPr>
            <w:tcW w:type="dxa" w:w="2339"/>
            <w:vAlign w:val="center"/>
            <w:shd w:fill="EAF1F7"/>
          </w:tcPr>
          <w:p>
            <w:pPr>
              <w:jc w:val="center"/>
            </w:pPr>
            <w:r/>
            <w:r>
              <w:rPr>
                <w:rFonts w:ascii="宋体" w:hAnsi="宋体" w:eastAsia="宋体"/>
                <w:b w:val="0"/>
                <w:sz w:val="18"/>
              </w:rPr>
              <w:t>10</w:t>
            </w:r>
          </w:p>
        </w:tc>
        <w:tc>
          <w:tcPr>
            <w:tcW w:type="dxa" w:w="2339"/>
            <w:vAlign w:val="center"/>
            <w:shd w:fill="EAF1F7"/>
          </w:tcPr>
          <w:p>
            <w:pPr>
              <w:jc w:val="center"/>
            </w:pPr>
            <w:r/>
            <w:r>
              <w:rPr>
                <w:rFonts w:ascii="宋体" w:hAnsi="宋体" w:eastAsia="宋体"/>
                <w:b w:val="0"/>
                <w:sz w:val="18"/>
              </w:rPr>
              <w:t>244×1350</w:t>
            </w:r>
          </w:p>
        </w:tc>
        <w:tc>
          <w:tcPr>
            <w:tcW w:type="dxa" w:w="2339"/>
            <w:vAlign w:val="center"/>
            <w:shd w:fill="EAF1F7"/>
          </w:tcPr>
          <w:p>
            <w:pPr>
              <w:jc w:val="center"/>
            </w:pPr>
            <w:r/>
            <w:r>
              <w:rPr>
                <w:rFonts w:ascii="宋体" w:hAnsi="宋体" w:eastAsia="宋体"/>
                <w:b w:val="0"/>
                <w:sz w:val="18"/>
              </w:rPr>
              <w:t>正弦裂隙拟合</w:t>
            </w:r>
          </w:p>
        </w:tc>
      </w:tr>
      <w:tr>
        <w:tc>
          <w:tcPr>
            <w:tcW w:type="dxa" w:w="2339"/>
            <w:vAlign w:val="center"/>
          </w:tcPr>
          <w:p>
            <w:pPr>
              <w:jc w:val="center"/>
            </w:pPr>
            <w:r/>
            <w:r>
              <w:rPr>
                <w:rFonts w:ascii="宋体" w:hAnsi="宋体" w:eastAsia="宋体"/>
                <w:b w:val="0"/>
                <w:sz w:val="18"/>
              </w:rPr>
              <w:t>附件3</w:t>
            </w:r>
          </w:p>
        </w:tc>
        <w:tc>
          <w:tcPr>
            <w:tcW w:type="dxa" w:w="2339"/>
            <w:vAlign w:val="center"/>
          </w:tcPr>
          <w:p>
            <w:pPr>
              <w:jc w:val="center"/>
            </w:pPr>
            <w:r/>
            <w:r>
              <w:rPr>
                <w:rFonts w:ascii="宋体" w:hAnsi="宋体" w:eastAsia="宋体"/>
                <w:b w:val="0"/>
                <w:sz w:val="18"/>
              </w:rPr>
              <w:t>11</w:t>
            </w:r>
          </w:p>
        </w:tc>
        <w:tc>
          <w:tcPr>
            <w:tcW w:type="dxa" w:w="2339"/>
            <w:vAlign w:val="center"/>
          </w:tcPr>
          <w:p>
            <w:pPr>
              <w:jc w:val="center"/>
            </w:pPr>
            <w:r/>
            <w:r>
              <w:rPr>
                <w:rFonts w:ascii="宋体" w:hAnsi="宋体" w:eastAsia="宋体"/>
                <w:b w:val="0"/>
                <w:sz w:val="18"/>
              </w:rPr>
              <w:t>244×1350</w:t>
            </w:r>
          </w:p>
        </w:tc>
        <w:tc>
          <w:tcPr>
            <w:tcW w:type="dxa" w:w="2339"/>
            <w:vAlign w:val="center"/>
          </w:tcPr>
          <w:p>
            <w:pPr>
              <w:jc w:val="center"/>
            </w:pPr>
            <w:r/>
            <w:r>
              <w:rPr>
                <w:rFonts w:ascii="宋体" w:hAnsi="宋体" w:eastAsia="宋体"/>
                <w:b w:val="0"/>
                <w:sz w:val="18"/>
              </w:rPr>
              <w:t>复杂轮廓与 JRC</w:t>
            </w:r>
          </w:p>
        </w:tc>
      </w:tr>
      <w:tr>
        <w:tc>
          <w:tcPr>
            <w:tcW w:type="dxa" w:w="2339"/>
            <w:vAlign w:val="center"/>
            <w:shd w:fill="EAF1F7"/>
          </w:tcPr>
          <w:p>
            <w:pPr>
              <w:jc w:val="center"/>
            </w:pPr>
            <w:r/>
            <w:r>
              <w:rPr>
                <w:rFonts w:ascii="宋体" w:hAnsi="宋体" w:eastAsia="宋体"/>
                <w:b w:val="0"/>
                <w:sz w:val="18"/>
              </w:rPr>
              <w:t>附件4</w:t>
            </w:r>
          </w:p>
        </w:tc>
        <w:tc>
          <w:tcPr>
            <w:tcW w:type="dxa" w:w="2339"/>
            <w:vAlign w:val="center"/>
            <w:shd w:fill="EAF1F7"/>
          </w:tcPr>
          <w:p>
            <w:pPr>
              <w:jc w:val="center"/>
            </w:pPr>
            <w:r/>
            <w:r>
              <w:rPr>
                <w:rFonts w:ascii="宋体" w:hAnsi="宋体" w:eastAsia="宋体"/>
                <w:b w:val="0"/>
                <w:sz w:val="18"/>
              </w:rPr>
              <w:t>40</w:t>
            </w:r>
          </w:p>
        </w:tc>
        <w:tc>
          <w:tcPr>
            <w:tcW w:type="dxa" w:w="2339"/>
            <w:vAlign w:val="center"/>
            <w:shd w:fill="EAF1F7"/>
          </w:tcPr>
          <w:p>
            <w:pPr>
              <w:jc w:val="center"/>
            </w:pPr>
            <w:r/>
            <w:r>
              <w:rPr>
                <w:rFonts w:ascii="宋体" w:hAnsi="宋体" w:eastAsia="宋体"/>
                <w:b w:val="0"/>
                <w:sz w:val="18"/>
              </w:rPr>
              <w:t>864×9167</w:t>
            </w:r>
          </w:p>
        </w:tc>
        <w:tc>
          <w:tcPr>
            <w:tcW w:type="dxa" w:w="2339"/>
            <w:vAlign w:val="center"/>
            <w:shd w:fill="EAF1F7"/>
          </w:tcPr>
          <w:p>
            <w:pPr>
              <w:jc w:val="center"/>
            </w:pPr>
            <w:r/>
            <w:r>
              <w:rPr>
                <w:rFonts w:ascii="宋体" w:hAnsi="宋体" w:eastAsia="宋体"/>
                <w:b w:val="0"/>
                <w:sz w:val="18"/>
              </w:rPr>
              <w:t>跨孔连通与重构</w:t>
            </w:r>
          </w:p>
        </w:tc>
      </w:tr>
    </w:tbl>
    <w:p/>
    <w:p>
      <w:pPr>
        <w:spacing w:line="348" w:lineRule="auto" w:after="120"/>
        <w:ind w:firstLine="420"/>
      </w:pPr>
      <w:r>
        <w:t>附件统计结果显示，附件 1 的候选掩膜覆盖率范围为 24.88%—60.06%，附件 2 的正弦候选簇拟合 R² 存在明显的图像间差异，附件 3 的 JRC 对采样点数和轮廓质量敏感。预处理阶段不改变原始文件，只输出到项目的 figures 和 results 目录。</w:t>
      </w:r>
    </w:p>
    <w:p>
      <w:pPr>
        <w:jc w:val="center"/>
      </w:pPr>
      <w:r>
        <w:drawing>
          <wp:inline xmlns:a="http://schemas.openxmlformats.org/drawingml/2006/main" xmlns:pic="http://schemas.openxmlformats.org/drawingml/2006/picture">
            <wp:extent cx="5577840" cy="2594344"/>
            <wp:docPr id="2" name="Picture 2"/>
            <wp:cNvGraphicFramePr>
              <a:graphicFrameLocks noChangeAspect="1"/>
            </wp:cNvGraphicFramePr>
            <a:graphic>
              <a:graphicData uri="http://schemas.openxmlformats.org/drawingml/2006/picture">
                <pic:pic>
                  <pic:nvPicPr>
                    <pic:cNvPr id="0" name="fig_q1_coverage.png"/>
                    <pic:cNvPicPr/>
                  </pic:nvPicPr>
                  <pic:blipFill>
                    <a:blip r:embed="rId11"/>
                    <a:stretch>
                      <a:fillRect/>
                    </a:stretch>
                  </pic:blipFill>
                  <pic:spPr>
                    <a:xfrm>
                      <a:off x="0" y="0"/>
                      <a:ext cx="5577840" cy="2594344"/>
                    </a:xfrm>
                    <a:prstGeom prst="rect"/>
                  </pic:spPr>
                </pic:pic>
              </a:graphicData>
            </a:graphic>
          </wp:inline>
        </w:drawing>
      </w:r>
    </w:p>
    <w:p>
      <w:pPr>
        <w:jc w:val="center"/>
      </w:pPr>
      <w:r>
        <w:rPr>
          <w:rFonts w:ascii="宋体" w:hAnsi="宋体" w:eastAsia="宋体"/>
          <w:b/>
          <w:sz w:val="18"/>
        </w:rPr>
        <w:t>图 2-1 附件 1 候选掩膜覆盖率</w:t>
      </w:r>
    </w:p>
    <w:p>
      <w:pPr>
        <w:spacing w:line="348" w:lineRule="auto" w:after="120"/>
        <w:ind w:firstLine="420"/>
      </w:pPr>
      <w:r>
        <w:t>数据观察阶段的关键结论是：图像纹理强度差异大，单一阈值不适合所有样本；Q2 中部分图像不存在稳定的长曲线候选；Q3 轮廓离散化会放大局部斜率；Q4 的图像相似性只能作为连通性弱证据。</w:t>
      </w:r>
    </w:p>
    <w:p>
      <w:pPr>
        <w:pStyle w:val="Heading1"/>
      </w:pPr>
      <w:r>
        <w:t>3 模型假设与符号说明</w:t>
      </w:r>
    </w:p>
    <w:p>
      <w:pPr>
        <w:spacing w:line="348" w:lineRule="auto" w:after="120"/>
        <w:ind w:firstLine="420"/>
      </w:pPr>
      <w:r>
        <w:t>假设一：经过局部对比度增强和边缘检测后，真实裂隙在候选区域中具有足够的连续性，但不排除纹理和泥浆伪影。假设二：完整正弦状裂隙的周期接近钻孔周长 94.25 mm，周期约束需要通过拟合残差检查。假设三：相邻钻孔同深度段的几何和图像特征相似性可用于构造相对连通评分，但没有现场标注时不把评分解释为真实概率。</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Pr>
                <w:color w:val="FFFFFF"/>
              </w:rPr>
            </w:r>
            <w:r>
              <w:rPr>
                <w:rFonts w:ascii="宋体" w:hAnsi="宋体" w:eastAsia="宋体"/>
                <w:b/>
                <w:sz w:val="18"/>
              </w:rPr>
              <w:t>符号</w:t>
            </w:r>
          </w:p>
        </w:tc>
        <w:tc>
          <w:tcPr>
            <w:tcW w:type="dxa" w:w="3118"/>
            <w:vAlign w:val="center"/>
            <w:shd w:fill="315A83"/>
          </w:tcPr>
          <w:p>
            <w:pPr>
              <w:jc w:val="center"/>
            </w:pPr>
            <w:r>
              <w:rPr>
                <w:color w:val="FFFFFF"/>
              </w:rPr>
            </w:r>
            <w:r>
              <w:rPr>
                <w:rFonts w:ascii="宋体" w:hAnsi="宋体" w:eastAsia="宋体"/>
                <w:b/>
                <w:sz w:val="18"/>
              </w:rPr>
              <w:t>含义</w:t>
            </w:r>
          </w:p>
        </w:tc>
        <w:tc>
          <w:tcPr>
            <w:tcW w:type="dxa" w:w="3118"/>
            <w:vAlign w:val="center"/>
            <w:shd w:fill="315A83"/>
          </w:tcPr>
          <w:p>
            <w:pPr>
              <w:jc w:val="center"/>
            </w:pPr>
            <w:r>
              <w:rPr>
                <w:color w:val="FFFFFF"/>
              </w:rPr>
            </w:r>
            <w:r>
              <w:rPr>
                <w:rFonts w:ascii="宋体" w:hAnsi="宋体" w:eastAsia="宋体"/>
                <w:b/>
                <w:sz w:val="18"/>
              </w:rPr>
              <w:t>单位</w:t>
            </w:r>
          </w:p>
        </w:tc>
      </w:tr>
      <w:tr>
        <w:tc>
          <w:tcPr>
            <w:tcW w:type="dxa" w:w="3118"/>
            <w:vAlign w:val="center"/>
          </w:tcPr>
          <w:p>
            <w:pPr>
              <w:jc w:val="center"/>
            </w:pPr>
            <w:r/>
            <w:r>
              <w:rPr>
                <w:rFonts w:ascii="宋体" w:hAnsi="宋体" w:eastAsia="宋体"/>
                <w:b w:val="0"/>
                <w:sz w:val="18"/>
              </w:rPr>
              <w:t>I(x,y)</w:t>
            </w:r>
          </w:p>
        </w:tc>
        <w:tc>
          <w:tcPr>
            <w:tcW w:type="dxa" w:w="3118"/>
            <w:vAlign w:val="center"/>
          </w:tcPr>
          <w:p>
            <w:pPr>
              <w:jc w:val="center"/>
            </w:pPr>
            <w:r/>
            <w:r>
              <w:rPr>
                <w:rFonts w:ascii="宋体" w:hAnsi="宋体" w:eastAsia="宋体"/>
                <w:b w:val="0"/>
                <w:sz w:val="18"/>
              </w:rPr>
              <w:t>灰度图像</w:t>
            </w:r>
          </w:p>
        </w:tc>
        <w:tc>
          <w:tcPr>
            <w:tcW w:type="dxa" w:w="3118"/>
            <w:vAlign w:val="center"/>
          </w:tcPr>
          <w:p>
            <w:pPr>
              <w:jc w:val="center"/>
            </w:pPr>
            <w:r/>
            <w:r>
              <w:rPr>
                <w:rFonts w:ascii="宋体" w:hAnsi="宋体" w:eastAsia="宋体"/>
                <w:b w:val="0"/>
                <w:sz w:val="18"/>
              </w:rPr>
              <w:t>—</w:t>
            </w:r>
          </w:p>
        </w:tc>
      </w:tr>
      <w:tr>
        <w:tc>
          <w:tcPr>
            <w:tcW w:type="dxa" w:w="3118"/>
            <w:vAlign w:val="center"/>
            <w:shd w:fill="EAF1F7"/>
          </w:tcPr>
          <w:p>
            <w:pPr>
              <w:jc w:val="center"/>
            </w:pPr>
            <w:r/>
            <w:r>
              <w:rPr>
                <w:rFonts w:ascii="宋体" w:hAnsi="宋体" w:eastAsia="宋体"/>
                <w:b w:val="0"/>
                <w:sz w:val="18"/>
              </w:rPr>
              <w:t>R</w:t>
            </w:r>
          </w:p>
        </w:tc>
        <w:tc>
          <w:tcPr>
            <w:tcW w:type="dxa" w:w="3118"/>
            <w:vAlign w:val="center"/>
            <w:shd w:fill="EAF1F7"/>
          </w:tcPr>
          <w:p>
            <w:pPr>
              <w:jc w:val="center"/>
            </w:pPr>
            <w:r/>
            <w:r>
              <w:rPr>
                <w:rFonts w:ascii="宋体" w:hAnsi="宋体" w:eastAsia="宋体"/>
                <w:b w:val="0"/>
                <w:sz w:val="18"/>
              </w:rPr>
              <w:t>正弦裂隙振幅</w:t>
            </w:r>
          </w:p>
        </w:tc>
        <w:tc>
          <w:tcPr>
            <w:tcW w:type="dxa" w:w="3118"/>
            <w:vAlign w:val="center"/>
            <w:shd w:fill="EAF1F7"/>
          </w:tcPr>
          <w:p>
            <w:pPr>
              <w:jc w:val="center"/>
            </w:pPr>
            <w:r/>
            <w:r>
              <w:rPr>
                <w:rFonts w:ascii="宋体" w:hAnsi="宋体" w:eastAsia="宋体"/>
                <w:b w:val="0"/>
                <w:sz w:val="18"/>
              </w:rPr>
              <w:t>mm</w:t>
            </w:r>
          </w:p>
        </w:tc>
      </w:tr>
      <w:tr>
        <w:tc>
          <w:tcPr>
            <w:tcW w:type="dxa" w:w="3118"/>
            <w:vAlign w:val="center"/>
          </w:tcPr>
          <w:p>
            <w:pPr>
              <w:jc w:val="center"/>
            </w:pPr>
            <w:r/>
            <w:r>
              <w:rPr>
                <w:rFonts w:ascii="宋体" w:hAnsi="宋体" w:eastAsia="宋体"/>
                <w:b w:val="0"/>
                <w:sz w:val="18"/>
              </w:rPr>
              <w:t>P</w:t>
            </w:r>
          </w:p>
        </w:tc>
        <w:tc>
          <w:tcPr>
            <w:tcW w:type="dxa" w:w="3118"/>
            <w:vAlign w:val="center"/>
          </w:tcPr>
          <w:p>
            <w:pPr>
              <w:jc w:val="center"/>
            </w:pPr>
            <w:r/>
            <w:r>
              <w:rPr>
                <w:rFonts w:ascii="宋体" w:hAnsi="宋体" w:eastAsia="宋体"/>
                <w:b w:val="0"/>
                <w:sz w:val="18"/>
              </w:rPr>
              <w:t>正弦裂隙周期</w:t>
            </w:r>
          </w:p>
        </w:tc>
        <w:tc>
          <w:tcPr>
            <w:tcW w:type="dxa" w:w="3118"/>
            <w:vAlign w:val="center"/>
          </w:tcPr>
          <w:p>
            <w:pPr>
              <w:jc w:val="center"/>
            </w:pPr>
            <w:r/>
            <w:r>
              <w:rPr>
                <w:rFonts w:ascii="宋体" w:hAnsi="宋体" w:eastAsia="宋体"/>
                <w:b w:val="0"/>
                <w:sz w:val="18"/>
              </w:rPr>
              <w:t>mm</w:t>
            </w:r>
          </w:p>
        </w:tc>
      </w:tr>
      <w:tr>
        <w:tc>
          <w:tcPr>
            <w:tcW w:type="dxa" w:w="3118"/>
            <w:vAlign w:val="center"/>
            <w:shd w:fill="EAF1F7"/>
          </w:tcPr>
          <w:p>
            <w:pPr>
              <w:jc w:val="center"/>
            </w:pPr>
            <w:r/>
            <w:r>
              <w:rPr>
                <w:rFonts w:ascii="宋体" w:hAnsi="宋体" w:eastAsia="宋体"/>
                <w:b w:val="0"/>
                <w:sz w:val="18"/>
              </w:rPr>
              <w:t>β</w:t>
            </w:r>
          </w:p>
        </w:tc>
        <w:tc>
          <w:tcPr>
            <w:tcW w:type="dxa" w:w="3118"/>
            <w:vAlign w:val="center"/>
            <w:shd w:fill="EAF1F7"/>
          </w:tcPr>
          <w:p>
            <w:pPr>
              <w:jc w:val="center"/>
            </w:pPr>
            <w:r/>
            <w:r>
              <w:rPr>
                <w:rFonts w:ascii="宋体" w:hAnsi="宋体" w:eastAsia="宋体"/>
                <w:b w:val="0"/>
                <w:sz w:val="18"/>
              </w:rPr>
              <w:t>正弦裂隙相位</w:t>
            </w:r>
          </w:p>
        </w:tc>
        <w:tc>
          <w:tcPr>
            <w:tcW w:type="dxa" w:w="3118"/>
            <w:vAlign w:val="center"/>
            <w:shd w:fill="EAF1F7"/>
          </w:tcPr>
          <w:p>
            <w:pPr>
              <w:jc w:val="center"/>
            </w:pPr>
            <w:r/>
            <w:r>
              <w:rPr>
                <w:rFonts w:ascii="宋体" w:hAnsi="宋体" w:eastAsia="宋体"/>
                <w:b w:val="0"/>
                <w:sz w:val="18"/>
              </w:rPr>
              <w:t>rad</w:t>
            </w:r>
          </w:p>
        </w:tc>
      </w:tr>
      <w:tr>
        <w:tc>
          <w:tcPr>
            <w:tcW w:type="dxa" w:w="3118"/>
            <w:vAlign w:val="center"/>
          </w:tcPr>
          <w:p>
            <w:pPr>
              <w:jc w:val="center"/>
            </w:pPr>
            <w:r/>
            <w:r>
              <w:rPr>
                <w:rFonts w:ascii="宋体" w:hAnsi="宋体" w:eastAsia="宋体"/>
                <w:b w:val="0"/>
                <w:sz w:val="18"/>
              </w:rPr>
              <w:t>C</w:t>
            </w:r>
          </w:p>
        </w:tc>
        <w:tc>
          <w:tcPr>
            <w:tcW w:type="dxa" w:w="3118"/>
            <w:vAlign w:val="center"/>
          </w:tcPr>
          <w:p>
            <w:pPr>
              <w:jc w:val="center"/>
            </w:pPr>
            <w:r/>
            <w:r>
              <w:rPr>
                <w:rFonts w:ascii="宋体" w:hAnsi="宋体" w:eastAsia="宋体"/>
                <w:b w:val="0"/>
                <w:sz w:val="18"/>
              </w:rPr>
              <w:t>中心线位置</w:t>
            </w:r>
          </w:p>
        </w:tc>
        <w:tc>
          <w:tcPr>
            <w:tcW w:type="dxa" w:w="3118"/>
            <w:vAlign w:val="center"/>
          </w:tcPr>
          <w:p>
            <w:pPr>
              <w:jc w:val="center"/>
            </w:pPr>
            <w:r/>
            <w:r>
              <w:rPr>
                <w:rFonts w:ascii="宋体" w:hAnsi="宋体" w:eastAsia="宋体"/>
                <w:b w:val="0"/>
                <w:sz w:val="18"/>
              </w:rPr>
              <w:t>mm</w:t>
            </w:r>
          </w:p>
        </w:tc>
      </w:tr>
      <w:tr>
        <w:tc>
          <w:tcPr>
            <w:tcW w:type="dxa" w:w="3118"/>
            <w:vAlign w:val="center"/>
            <w:shd w:fill="EAF1F7"/>
          </w:tcPr>
          <w:p>
            <w:pPr>
              <w:jc w:val="center"/>
            </w:pPr>
            <w:r/>
            <w:r>
              <w:rPr>
                <w:rFonts w:ascii="宋体" w:hAnsi="宋体" w:eastAsia="宋体"/>
                <w:b w:val="0"/>
                <w:sz w:val="18"/>
              </w:rPr>
              <w:t>Z₂</w:t>
            </w:r>
          </w:p>
        </w:tc>
        <w:tc>
          <w:tcPr>
            <w:tcW w:type="dxa" w:w="3118"/>
            <w:vAlign w:val="center"/>
            <w:shd w:fill="EAF1F7"/>
          </w:tcPr>
          <w:p>
            <w:pPr>
              <w:jc w:val="center"/>
            </w:pPr>
            <w:r/>
            <w:r>
              <w:rPr>
                <w:rFonts w:ascii="宋体" w:hAnsi="宋体" w:eastAsia="宋体"/>
                <w:b w:val="0"/>
                <w:sz w:val="18"/>
              </w:rPr>
              <w:t>轮廓均方根斜率</w:t>
            </w:r>
          </w:p>
        </w:tc>
        <w:tc>
          <w:tcPr>
            <w:tcW w:type="dxa" w:w="3118"/>
            <w:vAlign w:val="center"/>
            <w:shd w:fill="EAF1F7"/>
          </w:tcPr>
          <w:p>
            <w:pPr>
              <w:jc w:val="center"/>
            </w:pPr>
            <w:r/>
            <w:r>
              <w:rPr>
                <w:rFonts w:ascii="宋体" w:hAnsi="宋体" w:eastAsia="宋体"/>
                <w:b w:val="0"/>
                <w:sz w:val="18"/>
              </w:rPr>
              <w:t>—</w:t>
            </w:r>
          </w:p>
        </w:tc>
      </w:tr>
      <w:tr>
        <w:tc>
          <w:tcPr>
            <w:tcW w:type="dxa" w:w="3118"/>
            <w:vAlign w:val="center"/>
          </w:tcPr>
          <w:p>
            <w:pPr>
              <w:jc w:val="center"/>
            </w:pPr>
            <w:r/>
            <w:r>
              <w:rPr>
                <w:rFonts w:ascii="宋体" w:hAnsi="宋体" w:eastAsia="宋体"/>
                <w:b w:val="0"/>
                <w:sz w:val="18"/>
              </w:rPr>
              <w:t>JRC</w:t>
            </w:r>
          </w:p>
        </w:tc>
        <w:tc>
          <w:tcPr>
            <w:tcW w:type="dxa" w:w="3118"/>
            <w:vAlign w:val="center"/>
          </w:tcPr>
          <w:p>
            <w:pPr>
              <w:jc w:val="center"/>
            </w:pPr>
            <w:r/>
            <w:r>
              <w:rPr>
                <w:rFonts w:ascii="宋体" w:hAnsi="宋体" w:eastAsia="宋体"/>
                <w:b w:val="0"/>
                <w:sz w:val="18"/>
              </w:rPr>
              <w:t>裂隙粗糙度系数</w:t>
            </w:r>
          </w:p>
        </w:tc>
        <w:tc>
          <w:tcPr>
            <w:tcW w:type="dxa" w:w="3118"/>
            <w:vAlign w:val="center"/>
          </w:tcPr>
          <w:p>
            <w:pPr>
              <w:jc w:val="center"/>
            </w:pPr>
            <w:r/>
            <w:r>
              <w:rPr>
                <w:rFonts w:ascii="宋体" w:hAnsi="宋体" w:eastAsia="宋体"/>
                <w:b w:val="0"/>
                <w:sz w:val="18"/>
              </w:rPr>
              <w:t>—</w:t>
            </w:r>
          </w:p>
        </w:tc>
      </w:tr>
      <w:tr>
        <w:tc>
          <w:tcPr>
            <w:tcW w:type="dxa" w:w="3118"/>
            <w:vAlign w:val="center"/>
            <w:shd w:fill="EAF1F7"/>
          </w:tcPr>
          <w:p>
            <w:pPr>
              <w:jc w:val="center"/>
            </w:pPr>
            <w:r/>
            <w:r>
              <w:rPr>
                <w:rFonts w:ascii="宋体" w:hAnsi="宋体" w:eastAsia="宋体"/>
                <w:b w:val="0"/>
                <w:sz w:val="18"/>
              </w:rPr>
              <w:t>p_rel</w:t>
            </w:r>
          </w:p>
        </w:tc>
        <w:tc>
          <w:tcPr>
            <w:tcW w:type="dxa" w:w="3118"/>
            <w:vAlign w:val="center"/>
            <w:shd w:fill="EAF1F7"/>
          </w:tcPr>
          <w:p>
            <w:pPr>
              <w:jc w:val="center"/>
            </w:pPr>
            <w:r/>
            <w:r>
              <w:rPr>
                <w:rFonts w:ascii="宋体" w:hAnsi="宋体" w:eastAsia="宋体"/>
                <w:b w:val="0"/>
                <w:sz w:val="18"/>
              </w:rPr>
              <w:t>相对连通评分</w:t>
            </w:r>
          </w:p>
        </w:tc>
        <w:tc>
          <w:tcPr>
            <w:tcW w:type="dxa" w:w="3118"/>
            <w:vAlign w:val="center"/>
            <w:shd w:fill="EAF1F7"/>
          </w:tcPr>
          <w:p>
            <w:pPr>
              <w:jc w:val="center"/>
            </w:pPr>
            <w:r/>
            <w:r>
              <w:rPr>
                <w:rFonts w:ascii="宋体" w:hAnsi="宋体" w:eastAsia="宋体"/>
                <w:b w:val="0"/>
                <w:sz w:val="18"/>
              </w:rPr>
              <w:t>—</w:t>
            </w:r>
          </w:p>
        </w:tc>
      </w:tr>
    </w:tbl>
    <w:p/>
    <w:p>
      <w:pPr>
        <w:pStyle w:val="Heading1"/>
      </w:pPr>
      <w:r>
        <w:t>4 问题一 裂隙像素识别</w:t>
      </w:r>
    </w:p>
    <w:p>
      <w:pPr>
        <w:pStyle w:val="Heading2"/>
      </w:pPr>
      <w:r>
        <w:t>4.1 问题分析</w:t>
      </w:r>
    </w:p>
    <w:p>
      <w:pPr>
        <w:spacing w:line="348" w:lineRule="auto" w:after="120"/>
        <w:ind w:firstLine="420"/>
      </w:pPr>
      <w:r>
        <w:t>裂隙与纹理、泥浆和拼接线在灰度图上可能具有相似的局部边缘，因此问题一不能简单等同于二值阈值分割。本文先建立候选区域生成器，重点保证原图、像素坐标和输出附件之间的一致性；在此基础上，正式方案再引入人工标注和监督分割模型。</w:t>
      </w:r>
    </w:p>
    <w:p>
      <w:pPr>
        <w:pStyle w:val="Heading2"/>
      </w:pPr>
      <w:r>
        <w:t>4.2 预处理与候选掩膜</w:t>
      </w:r>
    </w:p>
    <w:p>
      <w:pPr>
        <w:spacing w:line="348" w:lineRule="auto" w:after="120"/>
        <w:ind w:firstLine="420"/>
      </w:pPr>
      <w:r>
        <w:t>问题一的目标是生成与原图像素尺寸一致的黑白二值图。本文将局部对比度增强、纹理抑制、暗线增强和边缘检测组合为候选分割链。CLAHE 处理局部亮度不均，双边滤波保留边缘并降低高频纹理，黑帽变换提取相对暗的细长结构，Otsu 给出自适应阈值，Canny 提供梯度边缘，最后通过闭开运算和连通域面积阈值清理噪声。</w:t>
      </w:r>
    </w:p>
    <w:p>
      <w:pPr>
        <w:spacing w:line="348" w:lineRule="auto" w:after="120"/>
        <w:ind w:firstLine="420"/>
      </w:pPr>
      <w:r>
        <w:t>候选掩膜定义为下式，其中 M 的尺寸与输入图像完全一致：</w:t>
      </w:r>
    </w:p>
    <w:p>
      <m:oMathPara>
        <m:oMath>
          <m:r>
            <m:t>M(x,y)=Open(Close(BlackHat(CLAHE(I)) ∪ Canny(I)))</m:t>
          </m:r>
        </m:oMath>
      </m:oMathPara>
    </w:p>
    <w:p>
      <w:pPr>
        <w:spacing w:line="348" w:lineRule="auto" w:after="120"/>
        <w:ind w:firstLine="420"/>
      </w:pPr>
      <w:r>
        <w:t>10 张图像均成功生成候选掩膜。平均候选覆盖率为 40.70%，覆盖率范围为 24.88%—60.06%，总连通域数量为 3788。覆盖率差异反映纹理和污染差异，不能直接解释为裂隙面积比例。</w:t>
      </w:r>
    </w:p>
    <w:p>
      <w:pPr>
        <w:jc w:val="center"/>
      </w:pPr>
      <w:r>
        <w:drawing>
          <wp:inline xmlns:a="http://schemas.openxmlformats.org/drawingml/2006/main" xmlns:pic="http://schemas.openxmlformats.org/drawingml/2006/picture">
            <wp:extent cx="5577840" cy="6246448"/>
            <wp:docPr id="3" name="Picture 3"/>
            <wp:cNvGraphicFramePr>
              <a:graphicFrameLocks noChangeAspect="1"/>
            </wp:cNvGraphicFramePr>
            <a:graphic>
              <a:graphicData uri="http://schemas.openxmlformats.org/drawingml/2006/picture">
                <pic:pic>
                  <pic:nvPicPr>
                    <pic:cNvPr id="0" name="fig_q1_flow.png"/>
                    <pic:cNvPicPr/>
                  </pic:nvPicPr>
                  <pic:blipFill>
                    <a:blip r:embed="rId12"/>
                    <a:stretch>
                      <a:fillRect/>
                    </a:stretch>
                  </pic:blipFill>
                  <pic:spPr>
                    <a:xfrm>
                      <a:off x="0" y="0"/>
                      <a:ext cx="5577840" cy="6246448"/>
                    </a:xfrm>
                    <a:prstGeom prst="rect"/>
                  </pic:spPr>
                </pic:pic>
              </a:graphicData>
            </a:graphic>
          </wp:inline>
        </w:drawing>
      </w:r>
    </w:p>
    <w:p>
      <w:pPr>
        <w:jc w:val="center"/>
      </w:pPr>
      <w:r>
        <w:rPr>
          <w:rFonts w:ascii="宋体" w:hAnsi="宋体" w:eastAsia="宋体"/>
          <w:b/>
          <w:sz w:val="18"/>
        </w:rPr>
        <w:t>图 4-1 问题一候选分割流程</w:t>
      </w:r>
    </w:p>
    <w:p>
      <w:pPr>
        <w:jc w:val="center"/>
      </w:pPr>
      <w:r>
        <w:drawing>
          <wp:inline xmlns:a="http://schemas.openxmlformats.org/drawingml/2006/main" xmlns:pic="http://schemas.openxmlformats.org/drawingml/2006/picture">
            <wp:extent cx="5577840" cy="3056291"/>
            <wp:docPr id="4" name="Picture 4"/>
            <wp:cNvGraphicFramePr>
              <a:graphicFrameLocks noChangeAspect="1"/>
            </wp:cNvGraphicFramePr>
            <a:graphic>
              <a:graphicData uri="http://schemas.openxmlformats.org/drawingml/2006/picture">
                <pic:pic>
                  <pic:nvPicPr>
                    <pic:cNvPr id="0" name="fig_q1_montage.png"/>
                    <pic:cNvPicPr/>
                  </pic:nvPicPr>
                  <pic:blipFill>
                    <a:blip r:embed="rId13"/>
                    <a:stretch>
                      <a:fillRect/>
                    </a:stretch>
                  </pic:blipFill>
                  <pic:spPr>
                    <a:xfrm>
                      <a:off x="0" y="0"/>
                      <a:ext cx="5577840" cy="3056291"/>
                    </a:xfrm>
                    <a:prstGeom prst="rect"/>
                  </pic:spPr>
                </pic:pic>
              </a:graphicData>
            </a:graphic>
          </wp:inline>
        </w:drawing>
      </w:r>
    </w:p>
    <w:p>
      <w:pPr>
        <w:jc w:val="center"/>
      </w:pPr>
      <w:r>
        <w:rPr>
          <w:rFonts w:ascii="宋体" w:hAnsi="宋体" w:eastAsia="宋体"/>
          <w:b/>
          <w:sz w:val="18"/>
        </w:rPr>
        <w:t>图 4-2 十张附件 1 候选掩膜拼图</w:t>
      </w:r>
    </w:p>
    <w:p>
      <w:pPr>
        <w:spacing w:line="348" w:lineRule="auto" w:after="120"/>
        <w:ind w:firstLine="420"/>
      </w:pPr>
      <w:r>
        <w:t>验证方面，当前数据没有独立像素标签，因此无法合法计算 IoU、Dice、Precision、Recall 或 Accuracy。下一步必须建立人工标注协议，按原图分组留出验证集，并以候选分割作为基线比较轻量 U-Net 或 DeepLabV3+。</w:t>
      </w:r>
    </w:p>
    <w:p>
      <w:pPr>
        <w:pStyle w:val="Heading2"/>
      </w:pPr>
      <w:r>
        <w:t>4.3 参数敏感性与失败样本</w:t>
      </w:r>
    </w:p>
    <w:p>
      <w:pPr>
        <w:spacing w:line="348" w:lineRule="auto" w:after="120"/>
        <w:ind w:firstLine="420"/>
      </w:pPr>
      <w:r>
        <w:t>应对 Canny 高低阈值、黑帽结构元素尺寸、形态学面积下限和局部对比度参数做单因素与联合扰动。若掩膜覆盖率在小幅参数变化下剧烈变化，说明模型对图像质量敏感，需要回到数据增强或学习型分割模型。</w:t>
      </w:r>
    </w:p>
    <w:p>
      <w:pPr>
        <w:spacing w:line="348" w:lineRule="auto" w:after="120"/>
        <w:ind w:firstLine="420"/>
      </w:pPr>
      <w:r>
        <w:t>问题小结：Q1 已完成全量候选输出和尺寸检查，但监督验证未完成，当前结果只能支持后续轮廓处理，不能作为最终智能识别结论。</w:t>
      </w:r>
    </w:p>
    <w:p>
      <w:pPr>
        <w:pStyle w:val="Heading1"/>
      </w:pPr>
      <w:r>
        <w:t>5 问题二 正弦状裂隙定量分析</w:t>
      </w:r>
    </w:p>
    <w:p>
      <w:pPr>
        <w:pStyle w:val="Heading2"/>
      </w:pPr>
      <w:r>
        <w:t>5.1 问题分析与聚类对象</w:t>
      </w:r>
    </w:p>
    <w:p>
      <w:pPr>
        <w:spacing w:line="348" w:lineRule="auto" w:after="120"/>
        <w:ind w:firstLine="420"/>
      </w:pPr>
      <w:r>
        <w:t>正弦状裂隙的周期性只对连续裂隙轮廓成立，纹理边缘和拼接线不应被强行拟合。因此先聚类再拟合是必要步骤。DBSCAN 不要求预先给出簇数，并能将稀疏点标记为噪声；其 eps 和 min_samples 必须结合图像尺度、簇跨度和拟合质量检查。</w:t>
      </w:r>
    </w:p>
    <w:p>
      <w:pPr>
        <w:pStyle w:val="Heading2"/>
      </w:pPr>
      <w:r>
        <w:t>5.2 坐标标定与参数反演</w:t>
      </w:r>
    </w:p>
    <w:p>
      <w:pPr>
        <w:spacing w:line="348" w:lineRule="auto" w:after="120"/>
        <w:ind w:firstLine="420"/>
      </w:pPr>
      <w:r>
        <w:t>问题二首先对附件 2 图像进行高斯平滑和 Canny 边缘提取，再将边缘点按六倍步长降采样，归一化坐标后使用 DBSCAN 聚类。eps=0.055、min_samples=20，点数小于 80 的簇被剔除。为了降低离群点影响，每个簇使用 RANSAC 估计正弦线性化模型。</w:t>
      </w:r>
    </w:p>
    <w:p>
      <w:pPr>
        <w:spacing w:line="348" w:lineRule="auto" w:after="120"/>
        <w:ind w:firstLine="420"/>
      </w:pPr>
      <w:r>
        <w:t>正弦模型写为：</w:t>
      </w:r>
    </w:p>
    <w:p>
      <m:oMathPara>
        <m:oMath>
          <m:r>
            <m:t>y=R sin(2πx/P+β)+C=a sin(2πx/P)+b cos(2πx/P)+C</m:t>
          </m:r>
        </m:oMath>
      </m:oMathPara>
    </w:p>
    <w:p>
      <w:pPr>
        <w:spacing w:line="348" w:lineRule="auto" w:after="120"/>
        <w:ind w:firstLine="420"/>
      </w:pPr>
      <w:r>
        <w:t>固定 P=94.25 mm 后，RANSAC 回归估计 a、b、C，并通过 R=sqrt(a²+b²)、β=atan2(b,a) 恢复参数。每幅图最多保留 R² 最高的三个候选簇。</w:t>
      </w:r>
    </w:p>
    <w:p>
      <w:pPr>
        <w:spacing w:line="348" w:lineRule="auto" w:after="120"/>
        <w:ind w:firstLine="420"/>
      </w:pPr>
      <w:r>
        <w:t>本轮共保留 17 个候选簇，覆盖 9 幅图像，平均 R² 为 0.1537，平均 RMSE 为 73.88 mm。最优候选为 图2-8 的簇 0，R²=0.6863。</w:t>
      </w:r>
    </w:p>
    <w:p>
      <w:pPr>
        <w:jc w:val="center"/>
      </w:pPr>
      <w:r>
        <w:drawing>
          <wp:inline xmlns:a="http://schemas.openxmlformats.org/drawingml/2006/main" xmlns:pic="http://schemas.openxmlformats.org/drawingml/2006/picture">
            <wp:extent cx="5577840" cy="4789711"/>
            <wp:docPr id="5" name="Picture 5"/>
            <wp:cNvGraphicFramePr>
              <a:graphicFrameLocks noChangeAspect="1"/>
            </wp:cNvGraphicFramePr>
            <a:graphic>
              <a:graphicData uri="http://schemas.openxmlformats.org/drawingml/2006/picture">
                <pic:pic>
                  <pic:nvPicPr>
                    <pic:cNvPr id="0" name="fig_q2_flow.png"/>
                    <pic:cNvPicPr/>
                  </pic:nvPicPr>
                  <pic:blipFill>
                    <a:blip r:embed="rId14"/>
                    <a:stretch>
                      <a:fillRect/>
                    </a:stretch>
                  </pic:blipFill>
                  <pic:spPr>
                    <a:xfrm>
                      <a:off x="0" y="0"/>
                      <a:ext cx="5577840" cy="4789711"/>
                    </a:xfrm>
                    <a:prstGeom prst="rect"/>
                  </pic:spPr>
                </pic:pic>
              </a:graphicData>
            </a:graphic>
          </wp:inline>
        </w:drawing>
      </w:r>
    </w:p>
    <w:p>
      <w:pPr>
        <w:jc w:val="center"/>
      </w:pPr>
      <w:r>
        <w:rPr>
          <w:rFonts w:ascii="宋体" w:hAnsi="宋体" w:eastAsia="宋体"/>
          <w:b/>
          <w:sz w:val="18"/>
        </w:rPr>
        <w:t>图 5-1 问题二聚类与鲁棒拟合流程</w:t>
      </w:r>
    </w:p>
    <w:p>
      <w:pPr>
        <w:jc w:val="center"/>
      </w:pPr>
      <w:r>
        <w:drawing>
          <wp:inline xmlns:a="http://schemas.openxmlformats.org/drawingml/2006/main" xmlns:pic="http://schemas.openxmlformats.org/drawingml/2006/picture">
            <wp:extent cx="5577840" cy="2724061"/>
            <wp:docPr id="6" name="Picture 6"/>
            <wp:cNvGraphicFramePr>
              <a:graphicFrameLocks noChangeAspect="1"/>
            </wp:cNvGraphicFramePr>
            <a:graphic>
              <a:graphicData uri="http://schemas.openxmlformats.org/drawingml/2006/picture">
                <pic:pic>
                  <pic:nvPicPr>
                    <pic:cNvPr id="0" name="fig_q2_r2.png"/>
                    <pic:cNvPicPr/>
                  </pic:nvPicPr>
                  <pic:blipFill>
                    <a:blip r:embed="rId15"/>
                    <a:stretch>
                      <a:fillRect/>
                    </a:stretch>
                  </pic:blipFill>
                  <pic:spPr>
                    <a:xfrm>
                      <a:off x="0" y="0"/>
                      <a:ext cx="5577840" cy="2724061"/>
                    </a:xfrm>
                    <a:prstGeom prst="rect"/>
                  </pic:spPr>
                </pic:pic>
              </a:graphicData>
            </a:graphic>
          </wp:inline>
        </w:drawing>
      </w:r>
    </w:p>
    <w:p>
      <w:pPr>
        <w:jc w:val="center"/>
      </w:pPr>
      <w:r>
        <w:rPr>
          <w:rFonts w:ascii="宋体" w:hAnsi="宋体" w:eastAsia="宋体"/>
          <w:b/>
          <w:sz w:val="18"/>
        </w:rPr>
        <w:t>图 5-2 各图像候选簇 R² 对比</w:t>
      </w:r>
    </w:p>
    <w:p>
      <w:pPr>
        <w:jc w:val="center"/>
      </w:pPr>
      <w:r>
        <w:drawing>
          <wp:inline xmlns:a="http://schemas.openxmlformats.org/drawingml/2006/main" xmlns:pic="http://schemas.openxmlformats.org/drawingml/2006/picture">
            <wp:extent cx="5577840" cy="2974848"/>
            <wp:docPr id="7" name="Picture 7"/>
            <wp:cNvGraphicFramePr>
              <a:graphicFrameLocks noChangeAspect="1"/>
            </wp:cNvGraphicFramePr>
            <a:graphic>
              <a:graphicData uri="http://schemas.openxmlformats.org/drawingml/2006/picture">
                <pic:pic>
                  <pic:nvPicPr>
                    <pic:cNvPr id="0" name="fig_q2_sine.png"/>
                    <pic:cNvPicPr/>
                  </pic:nvPicPr>
                  <pic:blipFill>
                    <a:blip r:embed="rId16"/>
                    <a:stretch>
                      <a:fillRect/>
                    </a:stretch>
                  </pic:blipFill>
                  <pic:spPr>
                    <a:xfrm>
                      <a:off x="0" y="0"/>
                      <a:ext cx="5577840" cy="2974848"/>
                    </a:xfrm>
                    <a:prstGeom prst="rect"/>
                  </pic:spPr>
                </pic:pic>
              </a:graphicData>
            </a:graphic>
          </wp:inline>
        </w:drawing>
      </w:r>
    </w:p>
    <w:p>
      <w:pPr>
        <w:jc w:val="center"/>
      </w:pPr>
      <w:r>
        <w:rPr>
          <w:rFonts w:ascii="宋体" w:hAnsi="宋体" w:eastAsia="宋体"/>
          <w:b/>
          <w:sz w:val="18"/>
        </w:rPr>
        <w:t>图 5-3 高 R² 候选簇的正弦参数曲线</w:t>
      </w:r>
    </w:p>
    <w:p>
      <w:pPr>
        <w:spacing w:line="348" w:lineRule="auto" w:after="120"/>
        <w:ind w:firstLine="420"/>
      </w:pPr>
      <w:r>
        <w:t>结果显示部分图像的候选簇仍然包含纹理和拼接边缘，导致 R² 较低或 RMSE 较大。正式表 1 需要先通过轮廓连续性、周期搜索和人工抽检合并候选簇，再逐裂隙报告 R、P、β、C、RMSE 和 R²。</w:t>
      </w:r>
    </w:p>
    <w:p>
      <w:pPr>
        <w:pStyle w:val="Heading2"/>
      </w:pPr>
      <w:r>
        <w:t>5.3 验证、误差来源与问题小结</w:t>
      </w:r>
    </w:p>
    <w:p>
      <w:pPr>
        <w:spacing w:line="348" w:lineRule="auto" w:after="120"/>
        <w:ind w:firstLine="420"/>
      </w:pPr>
      <w:r>
        <w:t>误差主要来自边缘点不等于裂隙中心线、DBSCAN 簇可能混入多条结构，以及固定周期假设对局部遮挡不够灵活。正式验证应保存原图、聚类标签、拟合曲线和残差图，并由独立审阅者检查每条曲线是否具有地质意义。</w:t>
      </w:r>
    </w:p>
    <w:p>
      <w:pPr>
        <w:spacing w:line="348" w:lineRule="auto" w:after="120"/>
        <w:ind w:firstLine="420"/>
      </w:pPr>
      <w:r>
        <w:t>问题小结：Q2 已建立从聚类到鲁棒拟合的可运行框架，但候选簇质量尚不足以支撑最终裂隙参数表。</w:t>
      </w:r>
    </w:p>
    <w:p>
      <w:pPr>
        <w:pStyle w:val="Heading1"/>
      </w:pPr>
      <w:r>
        <w:t>6 问题三 复杂裂隙粗糙度评价</w:t>
      </w:r>
    </w:p>
    <w:p>
      <w:pPr>
        <w:pStyle w:val="Heading2"/>
      </w:pPr>
      <w:r>
        <w:t>6.1 轮廓提取与坐标处理</w:t>
      </w:r>
    </w:p>
    <w:p>
      <w:pPr>
        <w:spacing w:line="348" w:lineRule="auto" w:after="120"/>
        <w:ind w:firstLine="420"/>
      </w:pPr>
      <w:r>
        <w:t>复杂裂隙的粗糙度评价依赖一条连续、方向正确的轮廓。本文选择面积最大的候选轮廓作为可复现基线，正式方案还需结合位置、长度、连续性和人工复核。重复横坐标先合并，避免斜率计算出现零分母。</w:t>
      </w:r>
    </w:p>
    <w:p>
      <w:pPr>
        <w:pStyle w:val="Heading2"/>
      </w:pPr>
      <w:r>
        <w:t>6.2 采样策略与 JRC</w:t>
      </w:r>
    </w:p>
    <w:p>
      <w:pPr>
        <w:spacing w:line="348" w:lineRule="auto" w:after="120"/>
        <w:ind w:firstLine="420"/>
      </w:pPr>
      <w:r>
        <w:t>问题三对附件 3 图像进行高斯平滑和 Canny 轮廓提取，筛选长度不小于 30 的轮廓并选面积最大的轮廓作为候选。为了避免相同横坐标引起零分母，先按横坐标合并点并取纵坐标中位数，再将像素坐标映射到钻孔周长和孔深。</w:t>
      </w:r>
    </w:p>
    <w:p>
      <w:pPr>
        <w:spacing w:line="348" w:lineRule="auto" w:after="120"/>
        <w:ind w:firstLine="420"/>
      </w:pPr>
      <w:r>
        <w:t>离散轮廓的粗糙度参数和 JRC 计算为：</w:t>
      </w:r>
    </w:p>
    <w:p>
      <m:oMathPara>
        <m:oMath>
          <m:r>
            <m:t>Z₂=sqrt((1/N)Σ[((yᵢ₊₁−yᵢ)/(xᵢ₊₁−xᵢ))²]),   JRC=51.85Z₂^0.6−10.37</m:t>
          </m:r>
        </m:oMath>
      </m:oMathPara>
    </w:p>
    <w:p>
      <w:pPr>
        <w:spacing w:line="348" w:lineRule="auto" w:after="120"/>
        <w:ind w:firstLine="420"/>
      </w:pPr>
      <w:r>
        <w:t>11 张图像均提取到候选轮廓，共生成 44 组采样结果。所有方案的 JRC 范围为 60.98—325.25，均匀采样均值为 192.97，曲率自适应采样均值为 192.38。</w:t>
      </w:r>
    </w:p>
    <w:p>
      <w:pPr>
        <w:jc w:val="center"/>
      </w:pPr>
      <w:r>
        <w:drawing>
          <wp:inline xmlns:a="http://schemas.openxmlformats.org/drawingml/2006/main" xmlns:pic="http://schemas.openxmlformats.org/drawingml/2006/picture">
            <wp:extent cx="5577840" cy="5962519"/>
            <wp:docPr id="8" name="Picture 8"/>
            <wp:cNvGraphicFramePr>
              <a:graphicFrameLocks noChangeAspect="1"/>
            </wp:cNvGraphicFramePr>
            <a:graphic>
              <a:graphicData uri="http://schemas.openxmlformats.org/drawingml/2006/picture">
                <pic:pic>
                  <pic:nvPicPr>
                    <pic:cNvPr id="0" name="fig_q3_flow.png"/>
                    <pic:cNvPicPr/>
                  </pic:nvPicPr>
                  <pic:blipFill>
                    <a:blip r:embed="rId17"/>
                    <a:stretch>
                      <a:fillRect/>
                    </a:stretch>
                  </pic:blipFill>
                  <pic:spPr>
                    <a:xfrm>
                      <a:off x="0" y="0"/>
                      <a:ext cx="5577840" cy="5962519"/>
                    </a:xfrm>
                    <a:prstGeom prst="rect"/>
                  </pic:spPr>
                </pic:pic>
              </a:graphicData>
            </a:graphic>
          </wp:inline>
        </w:drawing>
      </w:r>
    </w:p>
    <w:p>
      <w:pPr>
        <w:jc w:val="center"/>
      </w:pPr>
      <w:r>
        <w:rPr>
          <w:rFonts w:ascii="宋体" w:hAnsi="宋体" w:eastAsia="宋体"/>
          <w:b/>
          <w:sz w:val="18"/>
        </w:rPr>
        <w:t>图 6-1 问题三轮廓与 JRC 计算流程</w:t>
      </w:r>
    </w:p>
    <w:p>
      <w:pPr>
        <w:jc w:val="center"/>
      </w:pPr>
      <w:r>
        <w:drawing>
          <wp:inline xmlns:a="http://schemas.openxmlformats.org/drawingml/2006/main" xmlns:pic="http://schemas.openxmlformats.org/drawingml/2006/picture">
            <wp:extent cx="5577840" cy="2231136"/>
            <wp:docPr id="9" name="Picture 9"/>
            <wp:cNvGraphicFramePr>
              <a:graphicFrameLocks noChangeAspect="1"/>
            </wp:cNvGraphicFramePr>
            <a:graphic>
              <a:graphicData uri="http://schemas.openxmlformats.org/drawingml/2006/picture">
                <pic:pic>
                  <pic:nvPicPr>
                    <pic:cNvPr id="0" name="fig_q3_sens.png"/>
                    <pic:cNvPicPr/>
                  </pic:nvPicPr>
                  <pic:blipFill>
                    <a:blip r:embed="rId18"/>
                    <a:stretch>
                      <a:fillRect/>
                    </a:stretch>
                  </pic:blipFill>
                  <pic:spPr>
                    <a:xfrm>
                      <a:off x="0" y="0"/>
                      <a:ext cx="5577840" cy="2231136"/>
                    </a:xfrm>
                    <a:prstGeom prst="rect"/>
                  </pic:spPr>
                </pic:pic>
              </a:graphicData>
            </a:graphic>
          </wp:inline>
        </w:drawing>
      </w:r>
    </w:p>
    <w:p>
      <w:pPr>
        <w:jc w:val="center"/>
      </w:pPr>
      <w:r>
        <w:rPr>
          <w:rFonts w:ascii="宋体" w:hAnsi="宋体" w:eastAsia="宋体"/>
          <w:b/>
          <w:sz w:val="18"/>
        </w:rPr>
        <w:t>图 6-2 不同采样方案的 JRC 敏感性</w:t>
      </w:r>
    </w:p>
    <w:p>
      <w:pPr>
        <w:spacing w:line="348" w:lineRule="auto" w:after="120"/>
        <w:ind w:firstLine="420"/>
      </w:pPr>
      <w:r>
        <w:t>采样点数增大并不一定提高可靠性，因为边缘噪声会被斜率平方放大。正式方案应报告轮廓平滑参数、曲率加权规则、面积分层结果和异常轮廓，并把 JRC 与 Barton 标准线或工程标注进行校准。</w:t>
      </w:r>
    </w:p>
    <w:p>
      <w:pPr>
        <w:spacing w:line="348" w:lineRule="auto" w:after="120"/>
        <w:ind w:firstLine="420"/>
      </w:pPr>
      <w:r>
        <w:t>采样点数增大不一定提高可靠性，因为 JRC 使用斜率平方，噪声尖峰会被放大。正式方案需要联合分析平滑尺度、面积和采样密度。</w:t>
      </w:r>
    </w:p>
    <w:p>
      <w:pPr>
        <w:pStyle w:val="Heading2"/>
      </w:pPr>
      <w:r>
        <w:t>6.3 验证与问题小结</w:t>
      </w:r>
    </w:p>
    <w:p>
      <w:pPr>
        <w:spacing w:line="348" w:lineRule="auto" w:after="120"/>
        <w:ind w:firstLine="420"/>
      </w:pPr>
      <w:r>
        <w:t>若无法获得 Barton 标准轮廓或现场粗糙度标定，应将 JRC 表述为图像派生的相对粗糙度，而不是工程等级。问题小结：Q3 已完成轮廓提取和采样比较，但工程标定和面积效应仍需补充。</w:t>
      </w:r>
    </w:p>
    <w:p>
      <w:pPr>
        <w:pStyle w:val="Heading1"/>
      </w:pPr>
      <w:r>
        <w:t>7 问题四 多钻孔连通性与三维重构</w:t>
      </w:r>
    </w:p>
    <w:p>
      <w:pPr>
        <w:pStyle w:val="Heading2"/>
      </w:pPr>
      <w:r>
        <w:t>7.1 空间布置与匹配对象</w:t>
      </w:r>
    </w:p>
    <w:p>
      <w:pPr>
        <w:spacing w:line="348" w:lineRule="auto" w:after="120"/>
        <w:ind w:firstLine="420"/>
      </w:pPr>
      <w:r>
        <w:t>六个钻孔按 2×3 阵列布置，孔间距为 1000 mm。附件 4 每张图对应 1000 mm 孔深，4 号孔深度较短。匹配时必须区分孔号、分段起点和图像方向，不能仅按文件名排序。</w:t>
      </w:r>
    </w:p>
    <w:p>
      <w:pPr>
        <w:pStyle w:val="Heading2"/>
      </w:pPr>
      <w:r>
        <w:t>7.2 相对评分与不确定性</w:t>
      </w:r>
    </w:p>
    <w:p>
      <w:pPr>
        <w:spacing w:line="348" w:lineRule="auto" w:after="120"/>
        <w:ind w:firstLine="420"/>
      </w:pPr>
      <w:r>
        <w:t>问题四将六个钻孔的空间坐标统一到同一坐标系，对每个分段计算边缘密度、平均亮度和竖直梯度，并对七组相邻钻孔对的同深度段进行匹配。设两段图像的特征差异为 d，构造相对连通评分：</w:t>
      </w:r>
    </w:p>
    <w:p>
      <w:pPr>
        <w:spacing w:line="348" w:lineRule="auto" w:after="120"/>
        <w:ind w:firstLine="420"/>
      </w:pPr>
      <w:r/>
    </w:p>
    <w:p>
      <m:oMathPara>
        <m:oMath>
          <m:r>
            <m:t>p_rel=exp(−50d),   d=|Δρ_edge|+0.002|ΔI|/255</m:t>
          </m:r>
        </m:oMath>
      </m:oMathPara>
    </w:p>
    <w:p>
      <w:pPr>
        <w:spacing w:line="348" w:lineRule="auto" w:after="120"/>
        <w:ind w:firstLine="420"/>
      </w:pPr>
      <w:r>
        <w:t>七组相邻孔对均生成了评分，范围为 0.6767—0.9324，均值为 0.7845。按最接近 0.5 的不确定性排序，前三个候选为 1-2、2-3 和 3-6。</w:t>
      </w:r>
    </w:p>
    <w:p>
      <w:pPr>
        <w:jc w:val="center"/>
      </w:pPr>
      <w:r>
        <w:drawing>
          <wp:inline xmlns:a="http://schemas.openxmlformats.org/drawingml/2006/main" xmlns:pic="http://schemas.openxmlformats.org/drawingml/2006/picture">
            <wp:extent cx="5577840" cy="4476897"/>
            <wp:docPr id="10" name="Picture 10"/>
            <wp:cNvGraphicFramePr>
              <a:graphicFrameLocks noChangeAspect="1"/>
            </wp:cNvGraphicFramePr>
            <a:graphic>
              <a:graphicData uri="http://schemas.openxmlformats.org/drawingml/2006/picture">
                <pic:pic>
                  <pic:nvPicPr>
                    <pic:cNvPr id="0" name="fig_q4_flow.png"/>
                    <pic:cNvPicPr/>
                  </pic:nvPicPr>
                  <pic:blipFill>
                    <a:blip r:embed="rId19"/>
                    <a:stretch>
                      <a:fillRect/>
                    </a:stretch>
                  </pic:blipFill>
                  <pic:spPr>
                    <a:xfrm>
                      <a:off x="0" y="0"/>
                      <a:ext cx="5577840" cy="4476897"/>
                    </a:xfrm>
                    <a:prstGeom prst="rect"/>
                  </pic:spPr>
                </pic:pic>
              </a:graphicData>
            </a:graphic>
          </wp:inline>
        </w:drawing>
      </w:r>
    </w:p>
    <w:p>
      <w:pPr>
        <w:jc w:val="center"/>
      </w:pPr>
      <w:r>
        <w:rPr>
          <w:rFonts w:ascii="宋体" w:hAnsi="宋体" w:eastAsia="宋体"/>
          <w:b/>
          <w:sz w:val="18"/>
        </w:rPr>
        <w:t>图 7-1 问题四连通评分与补孔流程</w:t>
      </w:r>
    </w:p>
    <w:p>
      <w:pPr>
        <w:jc w:val="center"/>
      </w:pPr>
      <w:r>
        <w:drawing>
          <wp:inline xmlns:a="http://schemas.openxmlformats.org/drawingml/2006/main" xmlns:pic="http://schemas.openxmlformats.org/drawingml/2006/picture">
            <wp:extent cx="5577840" cy="2594344"/>
            <wp:docPr id="11" name="Picture 11"/>
            <wp:cNvGraphicFramePr>
              <a:graphicFrameLocks noChangeAspect="1"/>
            </wp:cNvGraphicFramePr>
            <a:graphic>
              <a:graphicData uri="http://schemas.openxmlformats.org/drawingml/2006/picture">
                <pic:pic>
                  <pic:nvPicPr>
                    <pic:cNvPr id="0" name="fig_q4_scores.png"/>
                    <pic:cNvPicPr/>
                  </pic:nvPicPr>
                  <pic:blipFill>
                    <a:blip r:embed="rId20"/>
                    <a:stretch>
                      <a:fillRect/>
                    </a:stretch>
                  </pic:blipFill>
                  <pic:spPr>
                    <a:xfrm>
                      <a:off x="0" y="0"/>
                      <a:ext cx="5577840" cy="2594344"/>
                    </a:xfrm>
                    <a:prstGeom prst="rect"/>
                  </pic:spPr>
                </pic:pic>
              </a:graphicData>
            </a:graphic>
          </wp:inline>
        </w:drawing>
      </w:r>
    </w:p>
    <w:p>
      <w:pPr>
        <w:jc w:val="center"/>
      </w:pPr>
      <w:r>
        <w:rPr>
          <w:rFonts w:ascii="宋体" w:hAnsi="宋体" w:eastAsia="宋体"/>
          <w:b/>
          <w:sz w:val="18"/>
        </w:rPr>
        <w:t>图 7-2 相邻钻孔对相对连通评分</w:t>
      </w:r>
    </w:p>
    <w:p>
      <w:pPr>
        <w:jc w:val="center"/>
      </w:pPr>
      <w:r>
        <w:drawing>
          <wp:inline xmlns:a="http://schemas.openxmlformats.org/drawingml/2006/main" xmlns:pic="http://schemas.openxmlformats.org/drawingml/2006/picture">
            <wp:extent cx="5577840" cy="3880237"/>
            <wp:docPr id="12" name="Picture 12"/>
            <wp:cNvGraphicFramePr>
              <a:graphicFrameLocks noChangeAspect="1"/>
            </wp:cNvGraphicFramePr>
            <a:graphic>
              <a:graphicData uri="http://schemas.openxmlformats.org/drawingml/2006/picture">
                <pic:pic>
                  <pic:nvPicPr>
                    <pic:cNvPr id="0" name="fig_q4_3d.png"/>
                    <pic:cNvPicPr/>
                  </pic:nvPicPr>
                  <pic:blipFill>
                    <a:blip r:embed="rId21"/>
                    <a:stretch>
                      <a:fillRect/>
                    </a:stretch>
                  </pic:blipFill>
                  <pic:spPr>
                    <a:xfrm>
                      <a:off x="0" y="0"/>
                      <a:ext cx="5577840" cy="3880237"/>
                    </a:xfrm>
                    <a:prstGeom prst="rect"/>
                  </pic:spPr>
                </pic:pic>
              </a:graphicData>
            </a:graphic>
          </wp:inline>
        </w:drawing>
      </w:r>
    </w:p>
    <w:p>
      <w:pPr>
        <w:jc w:val="center"/>
      </w:pPr>
      <w:r>
        <w:rPr>
          <w:rFonts w:ascii="宋体" w:hAnsi="宋体" w:eastAsia="宋体"/>
          <w:b/>
          <w:sz w:val="18"/>
        </w:rPr>
        <w:t>图 7-3 六钻孔空间布置与相对连通网络</w:t>
      </w:r>
    </w:p>
    <w:p>
      <w:pPr>
        <w:spacing w:line="348" w:lineRule="auto" w:after="120"/>
        <w:ind w:firstLine="420"/>
      </w:pPr>
      <w:r>
        <w:t>当前评分没有整合裂隙方向、相位、JRC、三维姿态和现场连通标签，因而只能作为相对证据。正式模型应将裂隙片段作为节点、几何匹配作为候选边，并用标定数据或重复情景建立概率校准；补孔优化还需加入工程成本、施工可达性和覆盖收益约束。</w:t>
      </w:r>
    </w:p>
    <w:p>
      <w:pPr>
        <w:spacing w:line="348" w:lineRule="auto" w:after="120"/>
        <w:ind w:firstLine="420"/>
      </w:pPr>
      <w:r>
        <w:t>相对评分只能识别需要进一步观测的孔对。正式模型应引入裂隙方向、相位、JRC、三维姿态和现场连通标签，并用可靠性曲线或 Brier 分数校准概率。问题小结：Q4 已完成数据链路、相邻孔评分和三维可视化，但尚未形成可用于工程决策的概率模型。</w:t>
      </w:r>
    </w:p>
    <w:p>
      <w:pPr>
        <w:pStyle w:val="Heading1"/>
      </w:pPr>
      <w:r>
        <w:t>8 模型验证、敏感性与工程解释</w:t>
      </w:r>
    </w:p>
    <w:p>
      <w:pPr>
        <w:spacing w:line="348" w:lineRule="auto" w:after="120"/>
        <w:ind w:firstLine="420"/>
      </w:pPr>
      <w:r>
        <w:t>四问的验证必须与任务类型匹配。Q1 需要像素标签和独立验证；Q2 需要逐裂隙拟合残差、R²、RMSE 和参数稳定性；Q3 需要采样密度、平滑参数和面积效应敏感性；Q4 需要概率校准、几何回代误差、阈值扰动和补孔收益/成本比较。当前已实际完成的验证主要是输入覆盖、尺寸一致、重复文件审计、RANSAC 拟合统计和采样敏感性，尚未满足正式交稿标准。</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Pr>
                <w:color w:val="FFFFFF"/>
              </w:rPr>
            </w:r>
            <w:r>
              <w:rPr>
                <w:rFonts w:ascii="宋体" w:hAnsi="宋体" w:eastAsia="宋体"/>
                <w:b/>
                <w:sz w:val="18"/>
              </w:rPr>
              <w:t>问题</w:t>
            </w:r>
          </w:p>
        </w:tc>
        <w:tc>
          <w:tcPr>
            <w:tcW w:type="dxa" w:w="3118"/>
            <w:vAlign w:val="center"/>
            <w:shd w:fill="315A83"/>
          </w:tcPr>
          <w:p>
            <w:pPr>
              <w:jc w:val="center"/>
            </w:pPr>
            <w:r>
              <w:rPr>
                <w:color w:val="FFFFFF"/>
              </w:rPr>
            </w:r>
            <w:r>
              <w:rPr>
                <w:rFonts w:ascii="宋体" w:hAnsi="宋体" w:eastAsia="宋体"/>
                <w:b/>
                <w:sz w:val="18"/>
              </w:rPr>
              <w:t>已完成验证</w:t>
            </w:r>
          </w:p>
        </w:tc>
        <w:tc>
          <w:tcPr>
            <w:tcW w:type="dxa" w:w="3118"/>
            <w:vAlign w:val="center"/>
            <w:shd w:fill="315A83"/>
          </w:tcPr>
          <w:p>
            <w:pPr>
              <w:jc w:val="center"/>
            </w:pPr>
            <w:r>
              <w:rPr>
                <w:color w:val="FFFFFF"/>
              </w:rPr>
            </w:r>
            <w:r>
              <w:rPr>
                <w:rFonts w:ascii="宋体" w:hAnsi="宋体" w:eastAsia="宋体"/>
                <w:b/>
                <w:sz w:val="18"/>
              </w:rPr>
              <w:t>仍需补齐</w:t>
            </w:r>
          </w:p>
        </w:tc>
      </w:tr>
      <w:tr>
        <w:tc>
          <w:tcPr>
            <w:tcW w:type="dxa" w:w="3118"/>
            <w:vAlign w:val="center"/>
          </w:tcPr>
          <w:p>
            <w:pPr>
              <w:jc w:val="center"/>
            </w:pPr>
            <w:r/>
            <w:r>
              <w:rPr>
                <w:rFonts w:ascii="宋体" w:hAnsi="宋体" w:eastAsia="宋体"/>
                <w:b w:val="0"/>
                <w:sz w:val="18"/>
              </w:rPr>
              <w:t>Q1</w:t>
            </w:r>
          </w:p>
        </w:tc>
        <w:tc>
          <w:tcPr>
            <w:tcW w:type="dxa" w:w="3118"/>
            <w:vAlign w:val="center"/>
          </w:tcPr>
          <w:p>
            <w:pPr>
              <w:jc w:val="center"/>
            </w:pPr>
            <w:r/>
            <w:r>
              <w:rPr>
                <w:rFonts w:ascii="宋体" w:hAnsi="宋体" w:eastAsia="宋体"/>
                <w:b w:val="0"/>
                <w:sz w:val="18"/>
              </w:rPr>
              <w:t>尺寸、覆盖率、候选连通域</w:t>
            </w:r>
          </w:p>
        </w:tc>
        <w:tc>
          <w:tcPr>
            <w:tcW w:type="dxa" w:w="3118"/>
            <w:vAlign w:val="center"/>
          </w:tcPr>
          <w:p>
            <w:pPr>
              <w:jc w:val="center"/>
            </w:pPr>
            <w:r/>
            <w:r>
              <w:rPr>
                <w:rFonts w:ascii="宋体" w:hAnsi="宋体" w:eastAsia="宋体"/>
                <w:b w:val="0"/>
                <w:sz w:val="18"/>
              </w:rPr>
              <w:t>独立标签、IoU/Dice/F1、失败样本</w:t>
            </w:r>
          </w:p>
        </w:tc>
      </w:tr>
      <w:tr>
        <w:tc>
          <w:tcPr>
            <w:tcW w:type="dxa" w:w="3118"/>
            <w:vAlign w:val="center"/>
            <w:shd w:fill="EAF1F7"/>
          </w:tcPr>
          <w:p>
            <w:pPr>
              <w:jc w:val="center"/>
            </w:pPr>
            <w:r/>
            <w:r>
              <w:rPr>
                <w:rFonts w:ascii="宋体" w:hAnsi="宋体" w:eastAsia="宋体"/>
                <w:b w:val="0"/>
                <w:sz w:val="18"/>
              </w:rPr>
              <w:t>Q2</w:t>
            </w:r>
          </w:p>
        </w:tc>
        <w:tc>
          <w:tcPr>
            <w:tcW w:type="dxa" w:w="3118"/>
            <w:vAlign w:val="center"/>
            <w:shd w:fill="EAF1F7"/>
          </w:tcPr>
          <w:p>
            <w:pPr>
              <w:jc w:val="center"/>
            </w:pPr>
            <w:r/>
            <w:r>
              <w:rPr>
                <w:rFonts w:ascii="宋体" w:hAnsi="宋体" w:eastAsia="宋体"/>
                <w:b w:val="0"/>
                <w:sz w:val="18"/>
              </w:rPr>
              <w:t>R²、RMSE、内点比例</w:t>
            </w:r>
          </w:p>
        </w:tc>
        <w:tc>
          <w:tcPr>
            <w:tcW w:type="dxa" w:w="3118"/>
            <w:vAlign w:val="center"/>
            <w:shd w:fill="EAF1F7"/>
          </w:tcPr>
          <w:p>
            <w:pPr>
              <w:jc w:val="center"/>
            </w:pPr>
            <w:r/>
            <w:r>
              <w:rPr>
                <w:rFonts w:ascii="宋体" w:hAnsi="宋体" w:eastAsia="宋体"/>
                <w:b w:val="0"/>
                <w:sz w:val="18"/>
              </w:rPr>
              <w:t>逐裂隙聚类、周期搜索、人工复核</w:t>
            </w:r>
          </w:p>
        </w:tc>
      </w:tr>
      <w:tr>
        <w:tc>
          <w:tcPr>
            <w:tcW w:type="dxa" w:w="3118"/>
            <w:vAlign w:val="center"/>
          </w:tcPr>
          <w:p>
            <w:pPr>
              <w:jc w:val="center"/>
            </w:pPr>
            <w:r/>
            <w:r>
              <w:rPr>
                <w:rFonts w:ascii="宋体" w:hAnsi="宋体" w:eastAsia="宋体"/>
                <w:b w:val="0"/>
                <w:sz w:val="18"/>
              </w:rPr>
              <w:t>Q3</w:t>
            </w:r>
          </w:p>
        </w:tc>
        <w:tc>
          <w:tcPr>
            <w:tcW w:type="dxa" w:w="3118"/>
            <w:vAlign w:val="center"/>
          </w:tcPr>
          <w:p>
            <w:pPr>
              <w:jc w:val="center"/>
            </w:pPr>
            <w:r/>
            <w:r>
              <w:rPr>
                <w:rFonts w:ascii="宋体" w:hAnsi="宋体" w:eastAsia="宋体"/>
                <w:b w:val="0"/>
                <w:sz w:val="18"/>
              </w:rPr>
              <w:t>采样点数敏感性</w:t>
            </w:r>
          </w:p>
        </w:tc>
        <w:tc>
          <w:tcPr>
            <w:tcW w:type="dxa" w:w="3118"/>
            <w:vAlign w:val="center"/>
          </w:tcPr>
          <w:p>
            <w:pPr>
              <w:jc w:val="center"/>
            </w:pPr>
            <w:r/>
            <w:r>
              <w:rPr>
                <w:rFonts w:ascii="宋体" w:hAnsi="宋体" w:eastAsia="宋体"/>
                <w:b w:val="0"/>
                <w:sz w:val="18"/>
              </w:rPr>
              <w:t>平滑/面积敏感性、工程标定</w:t>
            </w:r>
          </w:p>
        </w:tc>
      </w:tr>
      <w:tr>
        <w:tc>
          <w:tcPr>
            <w:tcW w:type="dxa" w:w="3118"/>
            <w:vAlign w:val="center"/>
            <w:shd w:fill="EAF1F7"/>
          </w:tcPr>
          <w:p>
            <w:pPr>
              <w:jc w:val="center"/>
            </w:pPr>
            <w:r/>
            <w:r>
              <w:rPr>
                <w:rFonts w:ascii="宋体" w:hAnsi="宋体" w:eastAsia="宋体"/>
                <w:b w:val="0"/>
                <w:sz w:val="18"/>
              </w:rPr>
              <w:t>Q4</w:t>
            </w:r>
          </w:p>
        </w:tc>
        <w:tc>
          <w:tcPr>
            <w:tcW w:type="dxa" w:w="3118"/>
            <w:vAlign w:val="center"/>
            <w:shd w:fill="EAF1F7"/>
          </w:tcPr>
          <w:p>
            <w:pPr>
              <w:jc w:val="center"/>
            </w:pPr>
            <w:r/>
            <w:r>
              <w:rPr>
                <w:rFonts w:ascii="宋体" w:hAnsi="宋体" w:eastAsia="宋体"/>
                <w:b w:val="0"/>
                <w:sz w:val="18"/>
              </w:rPr>
              <w:t>评分范围、不确定性排序</w:t>
            </w:r>
          </w:p>
        </w:tc>
        <w:tc>
          <w:tcPr>
            <w:tcW w:type="dxa" w:w="3118"/>
            <w:vAlign w:val="center"/>
            <w:shd w:fill="EAF1F7"/>
          </w:tcPr>
          <w:p>
            <w:pPr>
              <w:jc w:val="center"/>
            </w:pPr>
            <w:r/>
            <w:r>
              <w:rPr>
                <w:rFonts w:ascii="宋体" w:hAnsi="宋体" w:eastAsia="宋体"/>
                <w:b w:val="0"/>
                <w:sz w:val="18"/>
              </w:rPr>
              <w:t>概率校准、几何回代、成本约束</w:t>
            </w:r>
          </w:p>
        </w:tc>
      </w:tr>
    </w:tbl>
    <w:p/>
    <w:p>
      <w:pPr>
        <w:spacing w:line="348" w:lineRule="auto" w:after="120"/>
        <w:ind w:firstLine="420"/>
      </w:pPr>
      <w:r>
        <w:t>工程解释必须遵守结论边界：候选掩膜只表示算法认为可能存在裂隙的区域；低 R² 表示正弦假设或轮廓分离不充分；JRC 变化表示采样和轮廓误差敏感；相对连通评分只能用于安排进一步检测优先级。</w:t>
      </w:r>
    </w:p>
    <w:p>
      <w:pPr>
        <w:pStyle w:val="Heading1"/>
      </w:pPr>
      <w:r>
        <w:t>9 模型评价、创新与推广</w:t>
      </w:r>
    </w:p>
    <w:p>
      <w:pPr>
        <w:spacing w:line="348" w:lineRule="auto" w:after="120"/>
        <w:ind w:firstLine="420"/>
      </w:pPr>
      <w:r>
        <w:t>本文的可复现性体现在输入哈希、代码入口、参数和 CSV 结果之间的对应关系。方法上的初步创新包括把四问组织为一条裂隙信息链、用候选簇的 RANSAC 内点统计过滤异常边缘、在 JRC 计算前合并重复横坐标、以及把跨孔评分转化为不确定性驱动的补孔候选。由于缺少标注和现场校准，这些内容目前属于可验证的方案设计，不应写成已经证明有效的创新结论。</w:t>
      </w:r>
    </w:p>
    <w:p>
      <w:pPr>
        <w:spacing w:line="348" w:lineRule="auto" w:after="120"/>
        <w:ind w:firstLine="420"/>
      </w:pPr>
      <w:r>
        <w:t>推广方向包括：使用带标注的 U-Net/DeepLabV3+ 完成像素分割；使用 DBSCAN、GMM 和几何连续性完成逐裂隙聚类；使用 RANSAC、Huber 或非线性最小二乘提高正弦拟合鲁棒性；使用曲率自适应采样和标准轮廓校准 JRC；使用贝叶斯图模型或校准分类器估计连通概率，并用整数规划选择补孔方案。</w:t>
      </w:r>
    </w:p>
    <w:p>
      <w:pPr>
        <w:pStyle w:val="Heading1"/>
      </w:pPr>
      <w:r>
        <w:t>参考文献</w:t>
      </w:r>
    </w:p>
    <w:p>
      <w:pPr>
        <w:spacing w:line="348" w:lineRule="auto" w:after="120"/>
        <w:ind w:firstLine="420"/>
      </w:pPr>
      <w:r>
        <w:t>[1] 康红普，姜鹏飞，王子越，等. 煤巷钻锚一体化快速掘进技术与装备及应用[J]. 煤炭学报，2024，49(1):131-151。</w:t>
      </w:r>
    </w:p>
    <w:p>
      <w:pPr>
        <w:spacing w:line="348" w:lineRule="auto" w:after="120"/>
        <w:ind w:firstLine="420"/>
      </w:pPr>
      <w:r>
        <w:t>[2] 袁亮，张平松. 煤矿透明地质模型动态重构的关键技术与路径思考[J]. 煤炭学报，2023，48(1):1-14。</w:t>
      </w:r>
    </w:p>
    <w:p>
      <w:pPr>
        <w:spacing w:line="348" w:lineRule="auto" w:after="120"/>
        <w:ind w:firstLine="420"/>
      </w:pPr>
      <w:r>
        <w:t>[3] Canny J. A computational approach to edge detection[J]. IEEE TPAMI, 1986, 8(6):679-698。</w:t>
      </w:r>
    </w:p>
    <w:p>
      <w:pPr>
        <w:spacing w:line="348" w:lineRule="auto" w:after="120"/>
        <w:ind w:firstLine="420"/>
      </w:pPr>
      <w:r>
        <w:t>[4] Ronneberger O, Fischer P, Brox T. U-Net: Convolutional networks for biomedical image segmentation[C]. MICCAI, 2015。</w:t>
      </w:r>
    </w:p>
    <w:p>
      <w:pPr>
        <w:spacing w:line="348" w:lineRule="auto" w:after="120"/>
        <w:ind w:firstLine="420"/>
      </w:pPr>
      <w:r>
        <w:t>[5] Ester M, Kriegel H-P, Sander J, et al. A density-based algorithm for discovering clusters in large spatial databases[C]. KDD, 1996。</w:t>
      </w:r>
    </w:p>
    <w:p>
      <w:pPr>
        <w:spacing w:line="348" w:lineRule="auto" w:after="120"/>
        <w:ind w:firstLine="420"/>
      </w:pPr>
      <w:r>
        <w:t>[6] Fischler M A, Bolles R C. Random sample consensus[J]. Communications of the ACM, 1981, 24(6):381-395。</w:t>
      </w:r>
    </w:p>
    <w:p>
      <w:pPr>
        <w:spacing w:line="348" w:lineRule="auto" w:after="120"/>
        <w:ind w:firstLine="420"/>
      </w:pPr>
      <w:r>
        <w:t>[7] Barton N, Choubey V. The shear strength of rock joints in theory and practice[J]. Rock Mechanics, 1977, 10:1-54。</w:t>
      </w:r>
    </w:p>
    <w:p>
      <w:pPr>
        <w:spacing w:line="348" w:lineRule="auto" w:after="120"/>
        <w:ind w:firstLine="420"/>
      </w:pPr>
      <w:r>
        <w:t>[8] 2025 年中国研究生数学建模竞赛 C 题题面及附件说明，竞赛资料目录提供的原始文件。</w:t>
      </w:r>
    </w:p>
    <w:p>
      <w:pPr>
        <w:pStyle w:val="Heading1"/>
      </w:pPr>
      <w:r>
        <w:t>附录 代码与复现说明</w:t>
      </w:r>
    </w:p>
    <w:p>
      <w:pPr>
        <w:spacing w:line="348" w:lineRule="auto" w:after="120"/>
        <w:ind w:firstLine="420"/>
      </w:pPr>
      <w:r>
        <w:t>项目使用 uv 管理 Python 环境，依赖锁定在项目根目录 uv.lock。四问代码入口分别为 projects/2025-C/code/q1_segmentation.py、q2_sine_fit.py、q3_jrc.py 和 q4_connectivity.py；图表入口为 make_project_figures.py 与 make_paper_figures.py；结果汇总为 results/paper_data.json。</w:t>
      </w:r>
    </w:p>
    <w:p>
      <w:pPr>
        <w:spacing w:line="348" w:lineRule="auto" w:after="120"/>
        <w:ind w:firstLine="420"/>
      </w:pPr>
      <w:r>
        <w:t>本稿使用真实附件和实际运行结果，但尚未通过国奖级参赛门禁。正式候选稿必须补齐当届官方规则快照、Q1 独立标注验证、Q2 逐裂隙表征、Q3 工程 JRC 标定、Q4 概率校准、证据矩阵、独立技术审查和独立论文审查。</w:t>
      </w:r>
    </w:p>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48"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