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2025 年中国研究生数学建模竞赛 C 题</w:t>
        <w:br/>
        <w:t>围岩裂隙精准识别与三维模型重构</w:t>
      </w:r>
    </w:p>
    <w:p>
      <w:pPr>
        <w:jc w:val="center"/>
      </w:pPr>
      <w:r>
        <w:rPr>
          <w:i/>
        </w:rPr>
        <w:t>论文草稿 基于真实附件的增强基线 不可直接提交</w:t>
      </w:r>
    </w:p>
    <w:p>
      <w:pPr>
        <w:pStyle w:val="Heading1"/>
      </w:pPr>
      <w:r>
        <w:t>摘要</w:t>
      </w:r>
    </w:p>
    <w:p>
      <w:pPr>
        <w:spacing w:line="324" w:lineRule="auto" w:after="100"/>
        <w:ind w:firstLine="420"/>
      </w:pPr>
      <w:r>
        <w:t>针对钻孔成像展开图中的裂隙识别、正弦参数表征、粗糙度评价和多钻孔连通性问题，本文按照“数据审计—图像处理—几何拟合—空间推断”的链路建立可复现的增强基线。问题一对附件 1 的 10 张图像采用 CLAHE、双边滤波、黑帽变换、Canny 和形态学处理，平均候选掩膜覆盖率为 40.70%。问题二对附件 2 进行 DBSCAN 候选簇提取和 RANSAC 线性化正弦拟合，共保留 17 个候选簇，平均 R² 为 0.1537，平均 RMSE 为 73.89 mm。问题三对附件 3 的 11 张图像提取轮廓并比较采样策略，JRC 基线值范围为 60.98—325.25。问题四对附件 4 的 7 组相邻钻孔构造未标定的相对连通评分，评分范围为 0.6767—0.9324。结果表明，增强图像处理可以建立稳定的数据链路，但逐裂隙分离、JRC 工程标定和连通概率校准仍是正式参赛方案必须补齐的环节。</w:t>
      </w:r>
    </w:p>
    <w:p>
      <w:pPr>
        <w:spacing w:line="324" w:lineRule="auto" w:after="100"/>
        <w:ind w:firstLine="420"/>
      </w:pPr>
      <w:r>
        <w:t>关键词：围岩裂隙；图像分割；DBSCAN；RANSAC；JRC；钻孔连通性；三维重构</w:t>
      </w:r>
    </w:p>
    <w:p>
      <w:pPr>
        <w:pStyle w:val="Heading1"/>
      </w:pPr>
      <w:r>
        <w:t>1 问题重述与总体思路</w:t>
      </w:r>
    </w:p>
    <w:p>
      <w:pPr>
        <w:spacing w:line="324" w:lineRule="auto" w:after="100"/>
        <w:ind w:firstLine="420"/>
      </w:pPr>
      <w:r>
        <w:t>题目以钻孔成像展开图为数据载体，要求从像素级裂隙识别出发，完成规则裂隙参数化、复杂裂隙粗糙度评价以及多钻孔裂隙网络重构。四个问题具有明确的依赖关系：问题一输出的候选裂隙区域是问题二和问题三轮廓处理的基础，问题二和问题三提供的几何与粗糙度特征又是问题四空间连通性推断的输入。</w:t>
      </w:r>
    </w:p>
    <w:p>
      <w:pPr>
        <w:spacing w:line="324" w:lineRule="auto" w:after="100"/>
        <w:ind w:firstLine="420"/>
      </w:pPr>
      <w:r>
        <w:t>本文先完成不依赖深度学习训练标签的增强基线，再把每一问的结果、局限和后续增强方向分开记录。任何未经过标定的分数均以“相对评分”表述，避免把启发式结果写成工程概率。</w:t>
      </w:r>
    </w:p>
    <w:tbl>
      <w:tblPr>
        <w:tblStyle w:val="TableGrid"/>
        <w:tblW w:type="auto" w:w="0"/>
        <w:tblLook w:firstColumn="1" w:firstRow="1" w:lastColumn="0" w:lastRow="0" w:noHBand="0" w:noVBand="1" w:val="04A0"/>
      </w:tblPr>
      <w:tblGrid>
        <w:gridCol w:w="2339"/>
        <w:gridCol w:w="2339"/>
        <w:gridCol w:w="2339"/>
        <w:gridCol w:w="2339"/>
      </w:tblGrid>
      <w:tr>
        <w:tc>
          <w:tcPr>
            <w:tcW w:type="dxa" w:w="2339"/>
            <w:vAlign w:val="center"/>
            <w:shd w:fill="315A83"/>
          </w:tcPr>
          <w:p>
            <w:pPr>
              <w:jc w:val="center"/>
            </w:pPr>
            <w:r/>
            <w:r>
              <w:rPr>
                <w:rFonts w:ascii="宋体" w:hAnsi="宋体" w:eastAsia="宋体"/>
                <w:b/>
                <w:color w:val="FFFFFF"/>
                <w:sz w:val="18"/>
              </w:rPr>
              <w:t>问题</w:t>
            </w:r>
          </w:p>
        </w:tc>
        <w:tc>
          <w:tcPr>
            <w:tcW w:type="dxa" w:w="2339"/>
            <w:vAlign w:val="center"/>
            <w:shd w:fill="315A83"/>
          </w:tcPr>
          <w:p>
            <w:pPr>
              <w:jc w:val="center"/>
            </w:pPr>
            <w:r/>
            <w:r>
              <w:rPr>
                <w:rFonts w:ascii="宋体" w:hAnsi="宋体" w:eastAsia="宋体"/>
                <w:b/>
                <w:color w:val="FFFFFF"/>
                <w:sz w:val="18"/>
              </w:rPr>
              <w:t>输入</w:t>
            </w:r>
          </w:p>
        </w:tc>
        <w:tc>
          <w:tcPr>
            <w:tcW w:type="dxa" w:w="2339"/>
            <w:vAlign w:val="center"/>
            <w:shd w:fill="315A83"/>
          </w:tcPr>
          <w:p>
            <w:pPr>
              <w:jc w:val="center"/>
            </w:pPr>
            <w:r/>
            <w:r>
              <w:rPr>
                <w:rFonts w:ascii="宋体" w:hAnsi="宋体" w:eastAsia="宋体"/>
                <w:b/>
                <w:color w:val="FFFFFF"/>
                <w:sz w:val="18"/>
              </w:rPr>
              <w:t>输出</w:t>
            </w:r>
          </w:p>
        </w:tc>
        <w:tc>
          <w:tcPr>
            <w:tcW w:type="dxa" w:w="2339"/>
            <w:vAlign w:val="center"/>
            <w:shd w:fill="315A83"/>
          </w:tcPr>
          <w:p>
            <w:pPr>
              <w:jc w:val="center"/>
            </w:pPr>
            <w:r/>
            <w:r>
              <w:rPr>
                <w:rFonts w:ascii="宋体" w:hAnsi="宋体" w:eastAsia="宋体"/>
                <w:b/>
                <w:color w:val="FFFFFF"/>
                <w:sz w:val="18"/>
              </w:rPr>
              <w:t>主任务</w:t>
            </w:r>
          </w:p>
        </w:tc>
      </w:tr>
      <w:tr>
        <w:tc>
          <w:tcPr>
            <w:tcW w:type="dxa" w:w="2339"/>
            <w:vAlign w:val="center"/>
          </w:tcPr>
          <w:p>
            <w:pPr>
              <w:jc w:val="center"/>
            </w:pPr>
            <w:r/>
            <w:r>
              <w:rPr>
                <w:rFonts w:ascii="宋体" w:hAnsi="宋体" w:eastAsia="宋体"/>
                <w:b w:val="0"/>
                <w:color w:val="000000"/>
                <w:sz w:val="18"/>
              </w:rPr>
              <w:t>Q1</w:t>
            </w:r>
          </w:p>
        </w:tc>
        <w:tc>
          <w:tcPr>
            <w:tcW w:type="dxa" w:w="2339"/>
            <w:vAlign w:val="center"/>
          </w:tcPr>
          <w:p>
            <w:pPr>
              <w:jc w:val="center"/>
            </w:pPr>
            <w:r/>
            <w:r>
              <w:rPr>
                <w:rFonts w:ascii="宋体" w:hAnsi="宋体" w:eastAsia="宋体"/>
                <w:b w:val="0"/>
                <w:color w:val="000000"/>
                <w:sz w:val="18"/>
              </w:rPr>
              <w:t>附件1，10张图像</w:t>
            </w:r>
          </w:p>
        </w:tc>
        <w:tc>
          <w:tcPr>
            <w:tcW w:type="dxa" w:w="2339"/>
            <w:vAlign w:val="center"/>
          </w:tcPr>
          <w:p>
            <w:pPr>
              <w:jc w:val="center"/>
            </w:pPr>
            <w:r/>
            <w:r>
              <w:rPr>
                <w:rFonts w:ascii="宋体" w:hAnsi="宋体" w:eastAsia="宋体"/>
                <w:b w:val="0"/>
                <w:color w:val="000000"/>
                <w:sz w:val="18"/>
              </w:rPr>
              <w:t>同尺寸候选二值图</w:t>
            </w:r>
          </w:p>
        </w:tc>
        <w:tc>
          <w:tcPr>
            <w:tcW w:type="dxa" w:w="2339"/>
            <w:vAlign w:val="center"/>
          </w:tcPr>
          <w:p>
            <w:pPr>
              <w:jc w:val="center"/>
            </w:pPr>
            <w:r/>
            <w:r>
              <w:rPr>
                <w:rFonts w:ascii="宋体" w:hAnsi="宋体" w:eastAsia="宋体"/>
                <w:b w:val="0"/>
                <w:color w:val="000000"/>
                <w:sz w:val="18"/>
              </w:rPr>
              <w:t>像素级分类识别</w:t>
            </w:r>
          </w:p>
        </w:tc>
      </w:tr>
      <w:tr>
        <w:tc>
          <w:tcPr>
            <w:tcW w:type="dxa" w:w="2339"/>
            <w:vAlign w:val="center"/>
            <w:shd w:fill="EAF1F7"/>
          </w:tcPr>
          <w:p>
            <w:pPr>
              <w:jc w:val="center"/>
            </w:pPr>
            <w:r/>
            <w:r>
              <w:rPr>
                <w:rFonts w:ascii="宋体" w:hAnsi="宋体" w:eastAsia="宋体"/>
                <w:b w:val="0"/>
                <w:color w:val="000000"/>
                <w:sz w:val="18"/>
              </w:rPr>
              <w:t>Q2</w:t>
            </w:r>
          </w:p>
        </w:tc>
        <w:tc>
          <w:tcPr>
            <w:tcW w:type="dxa" w:w="2339"/>
            <w:vAlign w:val="center"/>
            <w:shd w:fill="EAF1F7"/>
          </w:tcPr>
          <w:p>
            <w:pPr>
              <w:jc w:val="center"/>
            </w:pPr>
            <w:r/>
            <w:r>
              <w:rPr>
                <w:rFonts w:ascii="宋体" w:hAnsi="宋体" w:eastAsia="宋体"/>
                <w:b w:val="0"/>
                <w:color w:val="000000"/>
                <w:sz w:val="18"/>
              </w:rPr>
              <w:t>附件2，10张图像</w:t>
            </w:r>
          </w:p>
        </w:tc>
        <w:tc>
          <w:tcPr>
            <w:tcW w:type="dxa" w:w="2339"/>
            <w:vAlign w:val="center"/>
            <w:shd w:fill="EAF1F7"/>
          </w:tcPr>
          <w:p>
            <w:pPr>
              <w:jc w:val="center"/>
            </w:pPr>
            <w:r/>
            <w:r>
              <w:rPr>
                <w:rFonts w:ascii="宋体" w:hAnsi="宋体" w:eastAsia="宋体"/>
                <w:b w:val="0"/>
                <w:color w:val="000000"/>
                <w:sz w:val="18"/>
              </w:rPr>
              <w:t>R、P、β、C及拟合指标</w:t>
            </w:r>
          </w:p>
        </w:tc>
        <w:tc>
          <w:tcPr>
            <w:tcW w:type="dxa" w:w="2339"/>
            <w:vAlign w:val="center"/>
            <w:shd w:fill="EAF1F7"/>
          </w:tcPr>
          <w:p>
            <w:pPr>
              <w:jc w:val="center"/>
            </w:pPr>
            <w:r/>
            <w:r>
              <w:rPr>
                <w:rFonts w:ascii="宋体" w:hAnsi="宋体" w:eastAsia="宋体"/>
                <w:b w:val="0"/>
                <w:color w:val="000000"/>
                <w:sz w:val="18"/>
              </w:rPr>
              <w:t>聚类与几何拟合</w:t>
            </w:r>
          </w:p>
        </w:tc>
      </w:tr>
      <w:tr>
        <w:tc>
          <w:tcPr>
            <w:tcW w:type="dxa" w:w="2339"/>
            <w:vAlign w:val="center"/>
          </w:tcPr>
          <w:p>
            <w:pPr>
              <w:jc w:val="center"/>
            </w:pPr>
            <w:r/>
            <w:r>
              <w:rPr>
                <w:rFonts w:ascii="宋体" w:hAnsi="宋体" w:eastAsia="宋体"/>
                <w:b w:val="0"/>
                <w:color w:val="000000"/>
                <w:sz w:val="18"/>
              </w:rPr>
              <w:t>Q3</w:t>
            </w:r>
          </w:p>
        </w:tc>
        <w:tc>
          <w:tcPr>
            <w:tcW w:type="dxa" w:w="2339"/>
            <w:vAlign w:val="center"/>
          </w:tcPr>
          <w:p>
            <w:pPr>
              <w:jc w:val="center"/>
            </w:pPr>
            <w:r/>
            <w:r>
              <w:rPr>
                <w:rFonts w:ascii="宋体" w:hAnsi="宋体" w:eastAsia="宋体"/>
                <w:b w:val="0"/>
                <w:color w:val="000000"/>
                <w:sz w:val="18"/>
              </w:rPr>
              <w:t>附件3，11张图像</w:t>
            </w:r>
          </w:p>
        </w:tc>
        <w:tc>
          <w:tcPr>
            <w:tcW w:type="dxa" w:w="2339"/>
            <w:vAlign w:val="center"/>
          </w:tcPr>
          <w:p>
            <w:pPr>
              <w:jc w:val="center"/>
            </w:pPr>
            <w:r/>
            <w:r>
              <w:rPr>
                <w:rFonts w:ascii="宋体" w:hAnsi="宋体" w:eastAsia="宋体"/>
                <w:b w:val="0"/>
                <w:color w:val="000000"/>
                <w:sz w:val="18"/>
              </w:rPr>
              <w:t>轮廓、Z₂、JRC和采样比较</w:t>
            </w:r>
          </w:p>
        </w:tc>
        <w:tc>
          <w:tcPr>
            <w:tcW w:type="dxa" w:w="2339"/>
            <w:vAlign w:val="center"/>
          </w:tcPr>
          <w:p>
            <w:pPr>
              <w:jc w:val="center"/>
            </w:pPr>
            <w:r/>
            <w:r>
              <w:rPr>
                <w:rFonts w:ascii="宋体" w:hAnsi="宋体" w:eastAsia="宋体"/>
                <w:b w:val="0"/>
                <w:color w:val="000000"/>
                <w:sz w:val="18"/>
              </w:rPr>
              <w:t>几何统计评价</w:t>
            </w:r>
          </w:p>
        </w:tc>
      </w:tr>
      <w:tr>
        <w:tc>
          <w:tcPr>
            <w:tcW w:type="dxa" w:w="2339"/>
            <w:vAlign w:val="center"/>
            <w:shd w:fill="EAF1F7"/>
          </w:tcPr>
          <w:p>
            <w:pPr>
              <w:jc w:val="center"/>
            </w:pPr>
            <w:r/>
            <w:r>
              <w:rPr>
                <w:rFonts w:ascii="宋体" w:hAnsi="宋体" w:eastAsia="宋体"/>
                <w:b w:val="0"/>
                <w:color w:val="000000"/>
                <w:sz w:val="18"/>
              </w:rPr>
              <w:t>Q4</w:t>
            </w:r>
          </w:p>
        </w:tc>
        <w:tc>
          <w:tcPr>
            <w:tcW w:type="dxa" w:w="2339"/>
            <w:vAlign w:val="center"/>
            <w:shd w:fill="EAF1F7"/>
          </w:tcPr>
          <w:p>
            <w:pPr>
              <w:jc w:val="center"/>
            </w:pPr>
            <w:r/>
            <w:r>
              <w:rPr>
                <w:rFonts w:ascii="宋体" w:hAnsi="宋体" w:eastAsia="宋体"/>
                <w:b w:val="0"/>
                <w:color w:val="000000"/>
                <w:sz w:val="18"/>
              </w:rPr>
              <w:t>附件4，6孔40段图像</w:t>
            </w:r>
          </w:p>
        </w:tc>
        <w:tc>
          <w:tcPr>
            <w:tcW w:type="dxa" w:w="2339"/>
            <w:vAlign w:val="center"/>
            <w:shd w:fill="EAF1F7"/>
          </w:tcPr>
          <w:p>
            <w:pPr>
              <w:jc w:val="center"/>
            </w:pPr>
            <w:r/>
            <w:r>
              <w:rPr>
                <w:rFonts w:ascii="宋体" w:hAnsi="宋体" w:eastAsia="宋体"/>
                <w:b w:val="0"/>
                <w:color w:val="000000"/>
                <w:sz w:val="18"/>
              </w:rPr>
              <w:t>相对连通评分、补孔候选</w:t>
            </w:r>
          </w:p>
        </w:tc>
        <w:tc>
          <w:tcPr>
            <w:tcW w:type="dxa" w:w="2339"/>
            <w:vAlign w:val="center"/>
            <w:shd w:fill="EAF1F7"/>
          </w:tcPr>
          <w:p>
            <w:pPr>
              <w:jc w:val="center"/>
            </w:pPr>
            <w:r/>
            <w:r>
              <w:rPr>
                <w:rFonts w:ascii="宋体" w:hAnsi="宋体" w:eastAsia="宋体"/>
                <w:b w:val="0"/>
                <w:color w:val="000000"/>
                <w:sz w:val="18"/>
              </w:rPr>
              <w:t>图论与空间推断</w:t>
            </w:r>
          </w:p>
        </w:tc>
      </w:tr>
    </w:tbl>
    <w:p/>
    <w:p>
      <w:pPr>
        <w:pStyle w:val="Heading1"/>
      </w:pPr>
      <w:r>
        <w:t>2 数据审计与模型假设</w:t>
      </w:r>
    </w:p>
    <w:p>
      <w:pPr>
        <w:spacing w:line="324" w:lineRule="auto" w:after="100"/>
        <w:ind w:firstLine="420"/>
      </w:pPr>
      <w:r>
        <w:t>数据审计扫描得到 71 张 JPG 图像：附件 1、2、3 分别为 10、10、11 张，附件 4 为 40 张。附件 1—3 的图像尺寸均为 244×1350，附件 4 的图像尺寸为 864×9167。审计发现附件 1 图 1-2 与附件 3 图 3-3 的 SHA-256 完全相同，后续训练和验证必须按原图分组并记录排除策略。</w:t>
      </w:r>
    </w:p>
    <w:p>
      <w:pPr>
        <w:spacing w:line="324" w:lineRule="auto" w:after="100"/>
        <w:ind w:firstLine="420"/>
      </w:pPr>
      <w:r>
        <w:t>假设一：灰度对比度和梯度可以用于构造裂隙候选区域，但候选区域仍包含纹理和泥浆伪影。假设二：完整正弦状裂隙的周期接近钻孔周长 94.25 mm。假设三：相邻钻孔同深度段的图像特征相似性可以作为连通性排序的弱证据，不能替代几何匹配和现场标定。</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符号</w:t>
            </w:r>
          </w:p>
        </w:tc>
        <w:tc>
          <w:tcPr>
            <w:tcW w:type="dxa" w:w="3118"/>
            <w:vAlign w:val="center"/>
            <w:shd w:fill="315A83"/>
          </w:tcPr>
          <w:p>
            <w:pPr>
              <w:jc w:val="center"/>
            </w:pPr>
            <w:r/>
            <w:r>
              <w:rPr>
                <w:rFonts w:ascii="宋体" w:hAnsi="宋体" w:eastAsia="宋体"/>
                <w:b/>
                <w:color w:val="FFFFFF"/>
                <w:sz w:val="18"/>
              </w:rPr>
              <w:t>含义</w:t>
            </w:r>
          </w:p>
        </w:tc>
        <w:tc>
          <w:tcPr>
            <w:tcW w:type="dxa" w:w="3118"/>
            <w:vAlign w:val="center"/>
            <w:shd w:fill="315A83"/>
          </w:tcPr>
          <w:p>
            <w:pPr>
              <w:jc w:val="center"/>
            </w:pPr>
            <w:r/>
            <w:r>
              <w:rPr>
                <w:rFonts w:ascii="宋体" w:hAnsi="宋体" w:eastAsia="宋体"/>
                <w:b/>
                <w:color w:val="FFFFFF"/>
                <w:sz w:val="18"/>
              </w:rPr>
              <w:t>单位</w:t>
            </w:r>
          </w:p>
        </w:tc>
      </w:tr>
      <w:tr>
        <w:tc>
          <w:tcPr>
            <w:tcW w:type="dxa" w:w="3118"/>
            <w:vAlign w:val="center"/>
          </w:tcPr>
          <w:p>
            <w:pPr>
              <w:jc w:val="center"/>
            </w:pPr>
            <w:r/>
            <w:r>
              <w:rPr>
                <w:rFonts w:ascii="宋体" w:hAnsi="宋体" w:eastAsia="宋体"/>
                <w:b w:val="0"/>
                <w:color w:val="000000"/>
                <w:sz w:val="18"/>
              </w:rPr>
              <w:t>x</w:t>
            </w:r>
          </w:p>
        </w:tc>
        <w:tc>
          <w:tcPr>
            <w:tcW w:type="dxa" w:w="3118"/>
            <w:vAlign w:val="center"/>
          </w:tcPr>
          <w:p>
            <w:pPr>
              <w:jc w:val="center"/>
            </w:pPr>
            <w:r/>
            <w:r>
              <w:rPr>
                <w:rFonts w:ascii="宋体" w:hAnsi="宋体" w:eastAsia="宋体"/>
                <w:b w:val="0"/>
                <w:color w:val="000000"/>
                <w:sz w:val="18"/>
              </w:rPr>
              <w:t>周向展开坐标</w:t>
            </w:r>
          </w:p>
        </w:tc>
        <w:tc>
          <w:tcPr>
            <w:tcW w:type="dxa" w:w="3118"/>
            <w:vAlign w:val="center"/>
          </w:tcPr>
          <w:p>
            <w:pPr>
              <w:jc w:val="center"/>
            </w:pPr>
            <w:r/>
            <w:r>
              <w:rPr>
                <w:rFonts w:ascii="宋体" w:hAnsi="宋体" w:eastAsia="宋体"/>
                <w:b w:val="0"/>
                <w:color w:val="000000"/>
                <w:sz w:val="18"/>
              </w:rPr>
              <w:t>mm</w:t>
            </w:r>
          </w:p>
        </w:tc>
      </w:tr>
      <w:tr>
        <w:tc>
          <w:tcPr>
            <w:tcW w:type="dxa" w:w="3118"/>
            <w:vAlign w:val="center"/>
            <w:shd w:fill="EAF1F7"/>
          </w:tcPr>
          <w:p>
            <w:pPr>
              <w:jc w:val="center"/>
            </w:pPr>
            <w:r/>
            <w:r>
              <w:rPr>
                <w:rFonts w:ascii="宋体" w:hAnsi="宋体" w:eastAsia="宋体"/>
                <w:b w:val="0"/>
                <w:color w:val="000000"/>
                <w:sz w:val="18"/>
              </w:rPr>
              <w:t>y</w:t>
            </w:r>
          </w:p>
        </w:tc>
        <w:tc>
          <w:tcPr>
            <w:tcW w:type="dxa" w:w="3118"/>
            <w:vAlign w:val="center"/>
            <w:shd w:fill="EAF1F7"/>
          </w:tcPr>
          <w:p>
            <w:pPr>
              <w:jc w:val="center"/>
            </w:pPr>
            <w:r/>
            <w:r>
              <w:rPr>
                <w:rFonts w:ascii="宋体" w:hAnsi="宋体" w:eastAsia="宋体"/>
                <w:b w:val="0"/>
                <w:color w:val="000000"/>
                <w:sz w:val="18"/>
              </w:rPr>
              <w:t>孔深坐标</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R</w:t>
            </w:r>
          </w:p>
        </w:tc>
        <w:tc>
          <w:tcPr>
            <w:tcW w:type="dxa" w:w="3118"/>
            <w:vAlign w:val="center"/>
          </w:tcPr>
          <w:p>
            <w:pPr>
              <w:jc w:val="center"/>
            </w:pPr>
            <w:r/>
            <w:r>
              <w:rPr>
                <w:rFonts w:ascii="宋体" w:hAnsi="宋体" w:eastAsia="宋体"/>
                <w:b w:val="0"/>
                <w:color w:val="000000"/>
                <w:sz w:val="18"/>
              </w:rPr>
              <w:t>正弦振幅</w:t>
            </w:r>
          </w:p>
        </w:tc>
        <w:tc>
          <w:tcPr>
            <w:tcW w:type="dxa" w:w="3118"/>
            <w:vAlign w:val="center"/>
          </w:tcPr>
          <w:p>
            <w:pPr>
              <w:jc w:val="center"/>
            </w:pPr>
            <w:r/>
            <w:r>
              <w:rPr>
                <w:rFonts w:ascii="宋体" w:hAnsi="宋体" w:eastAsia="宋体"/>
                <w:b w:val="0"/>
                <w:color w:val="000000"/>
                <w:sz w:val="18"/>
              </w:rPr>
              <w:t>mm</w:t>
            </w:r>
          </w:p>
        </w:tc>
      </w:tr>
      <w:tr>
        <w:tc>
          <w:tcPr>
            <w:tcW w:type="dxa" w:w="3118"/>
            <w:vAlign w:val="center"/>
            <w:shd w:fill="EAF1F7"/>
          </w:tcPr>
          <w:p>
            <w:pPr>
              <w:jc w:val="center"/>
            </w:pPr>
            <w:r/>
            <w:r>
              <w:rPr>
                <w:rFonts w:ascii="宋体" w:hAnsi="宋体" w:eastAsia="宋体"/>
                <w:b w:val="0"/>
                <w:color w:val="000000"/>
                <w:sz w:val="18"/>
              </w:rPr>
              <w:t>P</w:t>
            </w:r>
          </w:p>
        </w:tc>
        <w:tc>
          <w:tcPr>
            <w:tcW w:type="dxa" w:w="3118"/>
            <w:vAlign w:val="center"/>
            <w:shd w:fill="EAF1F7"/>
          </w:tcPr>
          <w:p>
            <w:pPr>
              <w:jc w:val="center"/>
            </w:pPr>
            <w:r/>
            <w:r>
              <w:rPr>
                <w:rFonts w:ascii="宋体" w:hAnsi="宋体" w:eastAsia="宋体"/>
                <w:b w:val="0"/>
                <w:color w:val="000000"/>
                <w:sz w:val="18"/>
              </w:rPr>
              <w:t>正弦周期</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β</w:t>
            </w:r>
          </w:p>
        </w:tc>
        <w:tc>
          <w:tcPr>
            <w:tcW w:type="dxa" w:w="3118"/>
            <w:vAlign w:val="center"/>
          </w:tcPr>
          <w:p>
            <w:pPr>
              <w:jc w:val="center"/>
            </w:pPr>
            <w:r/>
            <w:r>
              <w:rPr>
                <w:rFonts w:ascii="宋体" w:hAnsi="宋体" w:eastAsia="宋体"/>
                <w:b w:val="0"/>
                <w:color w:val="000000"/>
                <w:sz w:val="18"/>
              </w:rPr>
              <w:t>相位</w:t>
            </w:r>
          </w:p>
        </w:tc>
        <w:tc>
          <w:tcPr>
            <w:tcW w:type="dxa" w:w="3118"/>
            <w:vAlign w:val="center"/>
          </w:tcPr>
          <w:p>
            <w:pPr>
              <w:jc w:val="center"/>
            </w:pPr>
            <w:r/>
            <w:r>
              <w:rPr>
                <w:rFonts w:ascii="宋体" w:hAnsi="宋体" w:eastAsia="宋体"/>
                <w:b w:val="0"/>
                <w:color w:val="000000"/>
                <w:sz w:val="18"/>
              </w:rPr>
              <w:t>rad</w:t>
            </w:r>
          </w:p>
        </w:tc>
      </w:tr>
      <w:tr>
        <w:tc>
          <w:tcPr>
            <w:tcW w:type="dxa" w:w="3118"/>
            <w:vAlign w:val="center"/>
            <w:shd w:fill="EAF1F7"/>
          </w:tcPr>
          <w:p>
            <w:pPr>
              <w:jc w:val="center"/>
            </w:pPr>
            <w:r/>
            <w:r>
              <w:rPr>
                <w:rFonts w:ascii="宋体" w:hAnsi="宋体" w:eastAsia="宋体"/>
                <w:b w:val="0"/>
                <w:color w:val="000000"/>
                <w:sz w:val="18"/>
              </w:rPr>
              <w:t>C</w:t>
            </w:r>
          </w:p>
        </w:tc>
        <w:tc>
          <w:tcPr>
            <w:tcW w:type="dxa" w:w="3118"/>
            <w:vAlign w:val="center"/>
            <w:shd w:fill="EAF1F7"/>
          </w:tcPr>
          <w:p>
            <w:pPr>
              <w:jc w:val="center"/>
            </w:pPr>
            <w:r/>
            <w:r>
              <w:rPr>
                <w:rFonts w:ascii="宋体" w:hAnsi="宋体" w:eastAsia="宋体"/>
                <w:b w:val="0"/>
                <w:color w:val="000000"/>
                <w:sz w:val="18"/>
              </w:rPr>
              <w:t>中心线</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Z₂</w:t>
            </w:r>
          </w:p>
        </w:tc>
        <w:tc>
          <w:tcPr>
            <w:tcW w:type="dxa" w:w="3118"/>
            <w:vAlign w:val="center"/>
          </w:tcPr>
          <w:p>
            <w:pPr>
              <w:jc w:val="center"/>
            </w:pPr>
            <w:r/>
            <w:r>
              <w:rPr>
                <w:rFonts w:ascii="宋体" w:hAnsi="宋体" w:eastAsia="宋体"/>
                <w:b w:val="0"/>
                <w:color w:val="000000"/>
                <w:sz w:val="18"/>
              </w:rPr>
              <w:t>轮廓统计量</w:t>
            </w:r>
          </w:p>
        </w:tc>
        <w:tc>
          <w:tcPr>
            <w:tcW w:type="dxa" w:w="3118"/>
            <w:vAlign w:val="center"/>
          </w:tcPr>
          <w:p>
            <w:pPr>
              <w:jc w:val="center"/>
            </w:pPr>
            <w:r/>
            <w:r>
              <w:rPr>
                <w:rFonts w:ascii="宋体" w:hAnsi="宋体" w:eastAsia="宋体"/>
                <w:b w:val="0"/>
                <w:color w:val="000000"/>
                <w:sz w:val="18"/>
              </w:rPr>
              <w:t>—</w:t>
            </w:r>
          </w:p>
        </w:tc>
      </w:tr>
      <w:tr>
        <w:tc>
          <w:tcPr>
            <w:tcW w:type="dxa" w:w="3118"/>
            <w:vAlign w:val="center"/>
            <w:shd w:fill="EAF1F7"/>
          </w:tcPr>
          <w:p>
            <w:pPr>
              <w:jc w:val="center"/>
            </w:pPr>
            <w:r/>
            <w:r>
              <w:rPr>
                <w:rFonts w:ascii="宋体" w:hAnsi="宋体" w:eastAsia="宋体"/>
                <w:b w:val="0"/>
                <w:color w:val="000000"/>
                <w:sz w:val="18"/>
              </w:rPr>
              <w:t>JRC</w:t>
            </w:r>
          </w:p>
        </w:tc>
        <w:tc>
          <w:tcPr>
            <w:tcW w:type="dxa" w:w="3118"/>
            <w:vAlign w:val="center"/>
            <w:shd w:fill="EAF1F7"/>
          </w:tcPr>
          <w:p>
            <w:pPr>
              <w:jc w:val="center"/>
            </w:pPr>
            <w:r/>
            <w:r>
              <w:rPr>
                <w:rFonts w:ascii="宋体" w:hAnsi="宋体" w:eastAsia="宋体"/>
                <w:b w:val="0"/>
                <w:color w:val="000000"/>
                <w:sz w:val="18"/>
              </w:rPr>
              <w:t>粗糙度系数</w:t>
            </w:r>
          </w:p>
        </w:tc>
        <w:tc>
          <w:tcPr>
            <w:tcW w:type="dxa" w:w="3118"/>
            <w:vAlign w:val="center"/>
            <w:shd w:fill="EAF1F7"/>
          </w:tcPr>
          <w:p>
            <w:pPr>
              <w:jc w:val="center"/>
            </w:pPr>
            <w:r/>
            <w:r>
              <w:rPr>
                <w:rFonts w:ascii="宋体" w:hAnsi="宋体" w:eastAsia="宋体"/>
                <w:b w:val="0"/>
                <w:color w:val="000000"/>
                <w:sz w:val="18"/>
              </w:rPr>
              <w:t>—</w:t>
            </w:r>
          </w:p>
        </w:tc>
      </w:tr>
    </w:tbl>
    <w:p/>
    <w:p>
      <w:pPr>
        <w:pStyle w:val="Heading1"/>
      </w:pPr>
      <w:r>
        <w:t>3 问题一 裂隙候选分割</w:t>
      </w:r>
    </w:p>
    <w:p>
      <w:pPr>
        <w:spacing w:line="324" w:lineRule="auto" w:after="100"/>
        <w:ind w:firstLine="420"/>
      </w:pPr>
      <w:r>
        <w:t>对灰度图像 I(x,y)，首先使用 CLAHE 增强局部对比度，再用双边滤波削弱纹理噪声。黑帽变换提取暗裂隙结构，Otsu 方法得到自适应阈值；同时用 Canny 提取边缘，二者取并集后进行 3×3 闭运算和开运算。最后使用 8 邻域连通域删除面积小于 12 像素的孤立区域。</w:t>
      </w:r>
    </w:p>
    <w:p>
      <m:oMathPara>
        <m:oMath>
          <m:r>
            <m:t>M(x,y) = MorphOpen(MorphClose(BlackHat(I) ∪ Canny(I)))</m:t>
          </m:r>
        </m:oMath>
      </m:oMathPara>
    </w:p>
    <w:p>
      <w:pPr>
        <w:spacing w:line="324" w:lineRule="auto" w:after="100"/>
        <w:ind w:firstLine="420"/>
      </w:pPr>
      <w:r>
        <w:t>附件 1 的 10 张图像均成功生成同尺寸候选掩膜，平均覆盖率为 40.70%。覆盖率范围较宽，说明纹理强度和泥浆伪影会显著影响阈值结果。由于附件中没有独立像素标签，本节不报告 IoU、Dice、Precision、Recall 或 Accuracy。</w:t>
      </w:r>
    </w:p>
    <w:p>
      <w:pPr>
        <w:jc w:val="center"/>
      </w:pPr>
      <w:r>
        <w:drawing>
          <wp:inline xmlns:a="http://schemas.openxmlformats.org/drawingml/2006/main" xmlns:pic="http://schemas.openxmlformats.org/drawingml/2006/picture">
            <wp:extent cx="5486400" cy="30355082"/>
            <wp:docPr id="1" name="Picture 1"/>
            <wp:cNvGraphicFramePr>
              <a:graphicFrameLocks noChangeAspect="1"/>
            </wp:cNvGraphicFramePr>
            <a:graphic>
              <a:graphicData uri="http://schemas.openxmlformats.org/drawingml/2006/picture">
                <pic:pic>
                  <pic:nvPicPr>
                    <pic:cNvPr id="0" name="q1_图1-1_candidate.png"/>
                    <pic:cNvPicPr/>
                  </pic:nvPicPr>
                  <pic:blipFill>
                    <a:blip r:embed="rId10"/>
                    <a:stretch>
                      <a:fillRect/>
                    </a:stretch>
                  </pic:blipFill>
                  <pic:spPr>
                    <a:xfrm>
                      <a:off x="0" y="0"/>
                      <a:ext cx="5486400" cy="30355082"/>
                    </a:xfrm>
                    <a:prstGeom prst="rect"/>
                  </pic:spPr>
                </pic:pic>
              </a:graphicData>
            </a:graphic>
          </wp:inline>
        </w:drawing>
      </w:r>
    </w:p>
    <w:p>
      <w:pPr>
        <w:spacing w:after="160"/>
        <w:jc w:val="center"/>
      </w:pPr>
      <w:r>
        <w:rPr>
          <w:rFonts w:ascii="宋体" w:hAnsi="宋体" w:eastAsia="宋体"/>
          <w:b/>
          <w:sz w:val="18"/>
        </w:rPr>
        <w:t>图 3-1 附件 1 图 1-1 候选裂隙掩膜</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q1_coverage.png"/>
                    <pic:cNvPicPr/>
                  </pic:nvPicPr>
                  <pic:blipFill>
                    <a:blip r:embed="rId11"/>
                    <a:stretch>
                      <a:fillRect/>
                    </a:stretch>
                  </pic:blipFill>
                  <pic:spPr>
                    <a:xfrm>
                      <a:off x="0" y="0"/>
                      <a:ext cx="5486400" cy="2743200"/>
                    </a:xfrm>
                    <a:prstGeom prst="rect"/>
                  </pic:spPr>
                </pic:pic>
              </a:graphicData>
            </a:graphic>
          </wp:inline>
        </w:drawing>
      </w:r>
    </w:p>
    <w:p>
      <w:pPr>
        <w:spacing w:after="160"/>
        <w:jc w:val="center"/>
      </w:pPr>
      <w:r>
        <w:rPr>
          <w:rFonts w:ascii="宋体" w:hAnsi="宋体" w:eastAsia="宋体"/>
          <w:b/>
          <w:sz w:val="18"/>
        </w:rPr>
        <w:t>图 3-2 十张附件 1 图像的候选掩膜覆盖率</w:t>
      </w:r>
    </w:p>
    <w:p>
      <w:pPr>
        <w:spacing w:line="324" w:lineRule="auto" w:after="100"/>
        <w:ind w:firstLine="420"/>
      </w:pPr>
      <w:r>
        <w:t>若要进入正式参赛候选稿，应补充人工标注协议和独立验证集，并比较轻量 U-Net、DeepLabV3+ 或其他分割模型；标注集必须按原图或钻孔分组，不能把同一张图的裁剪块随机拆到训练集和验证集。</w:t>
      </w:r>
    </w:p>
    <w:p>
      <w:pPr>
        <w:pStyle w:val="Heading1"/>
      </w:pPr>
      <w:r>
        <w:t>4 问题二 正弦状裂隙聚类与鲁棒拟合</w:t>
      </w:r>
    </w:p>
    <w:p>
      <w:pPr>
        <w:spacing w:line="324" w:lineRule="auto" w:after="100"/>
        <w:ind w:firstLine="420"/>
      </w:pPr>
      <w:r>
        <w:t>对附件 2，先对平滑图像进行 Canny 边缘检测，将边缘点归一化到 [0,1]² 后使用 DBSCAN 聚类。聚类参数为 eps=0.055、min_samples=20，点数少于 80 的簇被剔除。对每个候选簇，将题面模型线性化：</w:t>
      </w:r>
    </w:p>
    <w:p>
      <m:oMathPara>
        <m:oMath>
          <m:r>
            <m:t>y = R sin(2πx/P + β) + C = a sin(2πx/P) + b cos(2πx/P) + C</m:t>
          </m:r>
        </m:oMath>
      </m:oMathPara>
    </w:p>
    <w:p>
      <w:pPr>
        <w:spacing w:line="324" w:lineRule="auto" w:after="100"/>
        <w:ind w:firstLine="420"/>
      </w:pPr>
      <w:r>
        <w:t>固定 P=94.25 mm 后，使用 RANSAC 回归估计 a、b、C，再由 R=sqrt(a²+b²)、β=atan2(b,a) 得到参数。每幅图最多保留 R² 最高的 3 个候选簇。该过程共保留 17 个候选簇，覆盖 9 幅图像；平均 R² 为 0.1537，平均 RMSE 为 73.89 mm。</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q2_r2_boxplot.png"/>
                    <pic:cNvPicPr/>
                  </pic:nvPicPr>
                  <pic:blipFill>
                    <a:blip r:embed="rId12"/>
                    <a:stretch>
                      <a:fillRect/>
                    </a:stretch>
                  </pic:blipFill>
                  <pic:spPr>
                    <a:xfrm>
                      <a:off x="0" y="0"/>
                      <a:ext cx="5486400" cy="2743200"/>
                    </a:xfrm>
                    <a:prstGeom prst="rect"/>
                  </pic:spPr>
                </pic:pic>
              </a:graphicData>
            </a:graphic>
          </wp:inline>
        </w:drawing>
      </w:r>
    </w:p>
    <w:p>
      <w:pPr>
        <w:spacing w:after="160"/>
        <w:jc w:val="center"/>
      </w:pPr>
      <w:r>
        <w:rPr>
          <w:rFonts w:ascii="宋体" w:hAnsi="宋体" w:eastAsia="宋体"/>
          <w:b/>
          <w:sz w:val="18"/>
        </w:rPr>
        <w:t>图 4-1 各图像候选簇正弦拟合 R² 分布</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vAlign w:val="center"/>
            <w:shd w:fill="315A83"/>
          </w:tcPr>
          <w:p>
            <w:pPr>
              <w:jc w:val="center"/>
            </w:pPr>
            <w:r/>
            <w:r>
              <w:rPr>
                <w:rFonts w:ascii="宋体" w:hAnsi="宋体" w:eastAsia="宋体"/>
                <w:b/>
                <w:color w:val="FFFFFF"/>
                <w:sz w:val="18"/>
              </w:rPr>
              <w:t>图像</w:t>
            </w:r>
          </w:p>
        </w:tc>
        <w:tc>
          <w:tcPr>
            <w:tcW w:type="dxa" w:w="1871"/>
            <w:vAlign w:val="center"/>
            <w:shd w:fill="315A83"/>
          </w:tcPr>
          <w:p>
            <w:pPr>
              <w:jc w:val="center"/>
            </w:pPr>
            <w:r/>
            <w:r>
              <w:rPr>
                <w:rFonts w:ascii="宋体" w:hAnsi="宋体" w:eastAsia="宋体"/>
                <w:b/>
                <w:color w:val="FFFFFF"/>
                <w:sz w:val="18"/>
              </w:rPr>
              <w:t>簇数</w:t>
            </w:r>
          </w:p>
        </w:tc>
        <w:tc>
          <w:tcPr>
            <w:tcW w:type="dxa" w:w="1871"/>
            <w:vAlign w:val="center"/>
            <w:shd w:fill="315A83"/>
          </w:tcPr>
          <w:p>
            <w:pPr>
              <w:jc w:val="center"/>
            </w:pPr>
            <w:r/>
            <w:r>
              <w:rPr>
                <w:rFonts w:ascii="宋体" w:hAnsi="宋体" w:eastAsia="宋体"/>
                <w:b/>
                <w:color w:val="FFFFFF"/>
                <w:sz w:val="18"/>
              </w:rPr>
              <w:t>R/mm 均值</w:t>
            </w:r>
          </w:p>
        </w:tc>
        <w:tc>
          <w:tcPr>
            <w:tcW w:type="dxa" w:w="1871"/>
            <w:vAlign w:val="center"/>
            <w:shd w:fill="315A83"/>
          </w:tcPr>
          <w:p>
            <w:pPr>
              <w:jc w:val="center"/>
            </w:pPr>
            <w:r/>
            <w:r>
              <w:rPr>
                <w:rFonts w:ascii="宋体" w:hAnsi="宋体" w:eastAsia="宋体"/>
                <w:b/>
                <w:color w:val="FFFFFF"/>
                <w:sz w:val="18"/>
              </w:rPr>
              <w:t>R² 均值</w:t>
            </w:r>
          </w:p>
        </w:tc>
        <w:tc>
          <w:tcPr>
            <w:tcW w:type="dxa" w:w="1871"/>
            <w:vAlign w:val="center"/>
            <w:shd w:fill="315A83"/>
          </w:tcPr>
          <w:p>
            <w:pPr>
              <w:jc w:val="center"/>
            </w:pPr>
            <w:r/>
            <w:r>
              <w:rPr>
                <w:rFonts w:ascii="宋体" w:hAnsi="宋体" w:eastAsia="宋体"/>
                <w:b/>
                <w:color w:val="FFFFFF"/>
                <w:sz w:val="18"/>
              </w:rPr>
              <w:t>RMSE/mm 均值</w:t>
            </w:r>
          </w:p>
        </w:tc>
      </w:tr>
      <w:tr>
        <w:tc>
          <w:tcPr>
            <w:tcW w:type="dxa" w:w="1871"/>
            <w:vAlign w:val="center"/>
          </w:tcPr>
          <w:p>
            <w:pPr>
              <w:jc w:val="center"/>
            </w:pPr>
            <w:r/>
            <w:r>
              <w:rPr>
                <w:rFonts w:ascii="宋体" w:hAnsi="宋体" w:eastAsia="宋体"/>
                <w:b w:val="0"/>
                <w:color w:val="000000"/>
                <w:sz w:val="18"/>
              </w:rPr>
              <w:t>图2-1.jpg</w:t>
            </w:r>
          </w:p>
        </w:tc>
        <w:tc>
          <w:tcPr>
            <w:tcW w:type="dxa" w:w="1871"/>
            <w:vAlign w:val="center"/>
          </w:tcPr>
          <w:p>
            <w:pPr>
              <w:jc w:val="center"/>
            </w:pPr>
            <w:r/>
            <w:r>
              <w:rPr>
                <w:rFonts w:ascii="宋体" w:hAnsi="宋体" w:eastAsia="宋体"/>
                <w:b w:val="0"/>
                <w:color w:val="000000"/>
                <w:sz w:val="18"/>
              </w:rPr>
              <w:t>3</w:t>
            </w:r>
          </w:p>
        </w:tc>
        <w:tc>
          <w:tcPr>
            <w:tcW w:type="dxa" w:w="1871"/>
            <w:vAlign w:val="center"/>
          </w:tcPr>
          <w:p>
            <w:pPr>
              <w:jc w:val="center"/>
            </w:pPr>
            <w:r/>
            <w:r>
              <w:rPr>
                <w:rFonts w:ascii="宋体" w:hAnsi="宋体" w:eastAsia="宋体"/>
                <w:b w:val="0"/>
                <w:color w:val="000000"/>
                <w:sz w:val="18"/>
              </w:rPr>
              <w:t>101.25</w:t>
            </w:r>
          </w:p>
        </w:tc>
        <w:tc>
          <w:tcPr>
            <w:tcW w:type="dxa" w:w="1871"/>
            <w:vAlign w:val="center"/>
          </w:tcPr>
          <w:p>
            <w:pPr>
              <w:jc w:val="center"/>
            </w:pPr>
            <w:r/>
            <w:r>
              <w:rPr>
                <w:rFonts w:ascii="宋体" w:hAnsi="宋体" w:eastAsia="宋体"/>
                <w:b w:val="0"/>
                <w:color w:val="000000"/>
                <w:sz w:val="18"/>
              </w:rPr>
              <w:t>0.0362</w:t>
            </w:r>
          </w:p>
        </w:tc>
        <w:tc>
          <w:tcPr>
            <w:tcW w:type="dxa" w:w="1871"/>
            <w:vAlign w:val="center"/>
          </w:tcPr>
          <w:p>
            <w:pPr>
              <w:jc w:val="center"/>
            </w:pPr>
            <w:r/>
            <w:r>
              <w:rPr>
                <w:rFonts w:ascii="宋体" w:hAnsi="宋体" w:eastAsia="宋体"/>
                <w:b w:val="0"/>
                <w:color w:val="000000"/>
                <w:sz w:val="18"/>
              </w:rPr>
              <w:t>48.50</w:t>
            </w:r>
          </w:p>
        </w:tc>
      </w:tr>
      <w:tr>
        <w:tc>
          <w:tcPr>
            <w:tcW w:type="dxa" w:w="1871"/>
            <w:vAlign w:val="center"/>
            <w:shd w:fill="EAF1F7"/>
          </w:tcPr>
          <w:p>
            <w:pPr>
              <w:jc w:val="center"/>
            </w:pPr>
            <w:r/>
            <w:r>
              <w:rPr>
                <w:rFonts w:ascii="宋体" w:hAnsi="宋体" w:eastAsia="宋体"/>
                <w:b w:val="0"/>
                <w:color w:val="000000"/>
                <w:sz w:val="18"/>
              </w:rPr>
              <w:t>图2-10.jpg</w:t>
            </w:r>
          </w:p>
        </w:tc>
        <w:tc>
          <w:tcPr>
            <w:tcW w:type="dxa" w:w="1871"/>
            <w:vAlign w:val="center"/>
            <w:shd w:fill="EAF1F7"/>
          </w:tcPr>
          <w:p>
            <w:pPr>
              <w:jc w:val="center"/>
            </w:pPr>
            <w:r/>
            <w:r>
              <w:rPr>
                <w:rFonts w:ascii="宋体" w:hAnsi="宋体" w:eastAsia="宋体"/>
                <w:b w:val="0"/>
                <w:color w:val="000000"/>
                <w:sz w:val="18"/>
              </w:rPr>
              <w:t>1</w:t>
            </w:r>
          </w:p>
        </w:tc>
        <w:tc>
          <w:tcPr>
            <w:tcW w:type="dxa" w:w="1871"/>
            <w:vAlign w:val="center"/>
            <w:shd w:fill="EAF1F7"/>
          </w:tcPr>
          <w:p>
            <w:pPr>
              <w:jc w:val="center"/>
            </w:pPr>
            <w:r/>
            <w:r>
              <w:rPr>
                <w:rFonts w:ascii="宋体" w:hAnsi="宋体" w:eastAsia="宋体"/>
                <w:b w:val="0"/>
                <w:color w:val="000000"/>
                <w:sz w:val="18"/>
              </w:rPr>
              <w:t>32.95</w:t>
            </w:r>
          </w:p>
        </w:tc>
        <w:tc>
          <w:tcPr>
            <w:tcW w:type="dxa" w:w="1871"/>
            <w:vAlign w:val="center"/>
            <w:shd w:fill="EAF1F7"/>
          </w:tcPr>
          <w:p>
            <w:pPr>
              <w:jc w:val="center"/>
            </w:pPr>
            <w:r/>
            <w:r>
              <w:rPr>
                <w:rFonts w:ascii="宋体" w:hAnsi="宋体" w:eastAsia="宋体"/>
                <w:b w:val="0"/>
                <w:color w:val="000000"/>
                <w:sz w:val="18"/>
              </w:rPr>
              <w:t>0.0160</w:t>
            </w:r>
          </w:p>
        </w:tc>
        <w:tc>
          <w:tcPr>
            <w:tcW w:type="dxa" w:w="1871"/>
            <w:vAlign w:val="center"/>
            <w:shd w:fill="EAF1F7"/>
          </w:tcPr>
          <w:p>
            <w:pPr>
              <w:jc w:val="center"/>
            </w:pPr>
            <w:r/>
            <w:r>
              <w:rPr>
                <w:rFonts w:ascii="宋体" w:hAnsi="宋体" w:eastAsia="宋体"/>
                <w:b w:val="0"/>
                <w:color w:val="000000"/>
                <w:sz w:val="18"/>
              </w:rPr>
              <w:t>147.00</w:t>
            </w:r>
          </w:p>
        </w:tc>
      </w:tr>
      <w:tr>
        <w:tc>
          <w:tcPr>
            <w:tcW w:type="dxa" w:w="1871"/>
            <w:vAlign w:val="center"/>
          </w:tcPr>
          <w:p>
            <w:pPr>
              <w:jc w:val="center"/>
            </w:pPr>
            <w:r/>
            <w:r>
              <w:rPr>
                <w:rFonts w:ascii="宋体" w:hAnsi="宋体" w:eastAsia="宋体"/>
                <w:b w:val="0"/>
                <w:color w:val="000000"/>
                <w:sz w:val="18"/>
              </w:rPr>
              <w:t>图2-2.jpg</w:t>
            </w:r>
          </w:p>
        </w:tc>
        <w:tc>
          <w:tcPr>
            <w:tcW w:type="dxa" w:w="1871"/>
            <w:vAlign w:val="center"/>
          </w:tcPr>
          <w:p>
            <w:pPr>
              <w:jc w:val="center"/>
            </w:pPr>
            <w:r/>
            <w:r>
              <w:rPr>
                <w:rFonts w:ascii="宋体" w:hAnsi="宋体" w:eastAsia="宋体"/>
                <w:b w:val="0"/>
                <w:color w:val="000000"/>
                <w:sz w:val="18"/>
              </w:rPr>
              <w:t>1</w:t>
            </w:r>
          </w:p>
        </w:tc>
        <w:tc>
          <w:tcPr>
            <w:tcW w:type="dxa" w:w="1871"/>
            <w:vAlign w:val="center"/>
          </w:tcPr>
          <w:p>
            <w:pPr>
              <w:jc w:val="center"/>
            </w:pPr>
            <w:r/>
            <w:r>
              <w:rPr>
                <w:rFonts w:ascii="宋体" w:hAnsi="宋体" w:eastAsia="宋体"/>
                <w:b w:val="0"/>
                <w:color w:val="000000"/>
                <w:sz w:val="18"/>
              </w:rPr>
              <w:t>29.53</w:t>
            </w:r>
          </w:p>
        </w:tc>
        <w:tc>
          <w:tcPr>
            <w:tcW w:type="dxa" w:w="1871"/>
            <w:vAlign w:val="center"/>
          </w:tcPr>
          <w:p>
            <w:pPr>
              <w:jc w:val="center"/>
            </w:pPr>
            <w:r/>
            <w:r>
              <w:rPr>
                <w:rFonts w:ascii="宋体" w:hAnsi="宋体" w:eastAsia="宋体"/>
                <w:b w:val="0"/>
                <w:color w:val="000000"/>
                <w:sz w:val="18"/>
              </w:rPr>
              <w:t>0.0112</w:t>
            </w:r>
          </w:p>
        </w:tc>
        <w:tc>
          <w:tcPr>
            <w:tcW w:type="dxa" w:w="1871"/>
            <w:vAlign w:val="center"/>
          </w:tcPr>
          <w:p>
            <w:pPr>
              <w:jc w:val="center"/>
            </w:pPr>
            <w:r/>
            <w:r>
              <w:rPr>
                <w:rFonts w:ascii="宋体" w:hAnsi="宋体" w:eastAsia="宋体"/>
                <w:b w:val="0"/>
                <w:color w:val="000000"/>
                <w:sz w:val="18"/>
              </w:rPr>
              <w:t>135.97</w:t>
            </w:r>
          </w:p>
        </w:tc>
      </w:tr>
      <w:tr>
        <w:tc>
          <w:tcPr>
            <w:tcW w:type="dxa" w:w="1871"/>
            <w:vAlign w:val="center"/>
            <w:shd w:fill="EAF1F7"/>
          </w:tcPr>
          <w:p>
            <w:pPr>
              <w:jc w:val="center"/>
            </w:pPr>
            <w:r/>
            <w:r>
              <w:rPr>
                <w:rFonts w:ascii="宋体" w:hAnsi="宋体" w:eastAsia="宋体"/>
                <w:b w:val="0"/>
                <w:color w:val="000000"/>
                <w:sz w:val="18"/>
              </w:rPr>
              <w:t>图2-4.jpg</w:t>
            </w:r>
          </w:p>
        </w:tc>
        <w:tc>
          <w:tcPr>
            <w:tcW w:type="dxa" w:w="1871"/>
            <w:vAlign w:val="center"/>
            <w:shd w:fill="EAF1F7"/>
          </w:tcPr>
          <w:p>
            <w:pPr>
              <w:jc w:val="center"/>
            </w:pPr>
            <w:r/>
            <w:r>
              <w:rPr>
                <w:rFonts w:ascii="宋体" w:hAnsi="宋体" w:eastAsia="宋体"/>
                <w:b w:val="0"/>
                <w:color w:val="000000"/>
                <w:sz w:val="18"/>
              </w:rPr>
              <w:t>3</w:t>
            </w:r>
          </w:p>
        </w:tc>
        <w:tc>
          <w:tcPr>
            <w:tcW w:type="dxa" w:w="1871"/>
            <w:vAlign w:val="center"/>
            <w:shd w:fill="EAF1F7"/>
          </w:tcPr>
          <w:p>
            <w:pPr>
              <w:jc w:val="center"/>
            </w:pPr>
            <w:r/>
            <w:r>
              <w:rPr>
                <w:rFonts w:ascii="宋体" w:hAnsi="宋体" w:eastAsia="宋体"/>
                <w:b w:val="0"/>
                <w:color w:val="000000"/>
                <w:sz w:val="18"/>
              </w:rPr>
              <w:t>33.11</w:t>
            </w:r>
          </w:p>
        </w:tc>
        <w:tc>
          <w:tcPr>
            <w:tcW w:type="dxa" w:w="1871"/>
            <w:vAlign w:val="center"/>
            <w:shd w:fill="EAF1F7"/>
          </w:tcPr>
          <w:p>
            <w:pPr>
              <w:jc w:val="center"/>
            </w:pPr>
            <w:r/>
            <w:r>
              <w:rPr>
                <w:rFonts w:ascii="宋体" w:hAnsi="宋体" w:eastAsia="宋体"/>
                <w:b w:val="0"/>
                <w:color w:val="000000"/>
                <w:sz w:val="18"/>
              </w:rPr>
              <w:t>0.1818</w:t>
            </w:r>
          </w:p>
        </w:tc>
        <w:tc>
          <w:tcPr>
            <w:tcW w:type="dxa" w:w="1871"/>
            <w:vAlign w:val="center"/>
            <w:shd w:fill="EAF1F7"/>
          </w:tcPr>
          <w:p>
            <w:pPr>
              <w:jc w:val="center"/>
            </w:pPr>
            <w:r/>
            <w:r>
              <w:rPr>
                <w:rFonts w:ascii="宋体" w:hAnsi="宋体" w:eastAsia="宋体"/>
                <w:b w:val="0"/>
                <w:color w:val="000000"/>
                <w:sz w:val="18"/>
              </w:rPr>
              <w:t>50.79</w:t>
            </w:r>
          </w:p>
        </w:tc>
      </w:tr>
      <w:tr>
        <w:tc>
          <w:tcPr>
            <w:tcW w:type="dxa" w:w="1871"/>
            <w:vAlign w:val="center"/>
          </w:tcPr>
          <w:p>
            <w:pPr>
              <w:jc w:val="center"/>
            </w:pPr>
            <w:r/>
            <w:r>
              <w:rPr>
                <w:rFonts w:ascii="宋体" w:hAnsi="宋体" w:eastAsia="宋体"/>
                <w:b w:val="0"/>
                <w:color w:val="000000"/>
                <w:sz w:val="18"/>
              </w:rPr>
              <w:t>图2-5.jpg</w:t>
            </w:r>
          </w:p>
        </w:tc>
        <w:tc>
          <w:tcPr>
            <w:tcW w:type="dxa" w:w="1871"/>
            <w:vAlign w:val="center"/>
          </w:tcPr>
          <w:p>
            <w:pPr>
              <w:jc w:val="center"/>
            </w:pPr>
            <w:r/>
            <w:r>
              <w:rPr>
                <w:rFonts w:ascii="宋体" w:hAnsi="宋体" w:eastAsia="宋体"/>
                <w:b w:val="0"/>
                <w:color w:val="000000"/>
                <w:sz w:val="18"/>
              </w:rPr>
              <w:t>1</w:t>
            </w:r>
          </w:p>
        </w:tc>
        <w:tc>
          <w:tcPr>
            <w:tcW w:type="dxa" w:w="1871"/>
            <w:vAlign w:val="center"/>
          </w:tcPr>
          <w:p>
            <w:pPr>
              <w:jc w:val="center"/>
            </w:pPr>
            <w:r/>
            <w:r>
              <w:rPr>
                <w:rFonts w:ascii="宋体" w:hAnsi="宋体" w:eastAsia="宋体"/>
                <w:b w:val="0"/>
                <w:color w:val="000000"/>
                <w:sz w:val="18"/>
              </w:rPr>
              <w:t>24.90</w:t>
            </w:r>
          </w:p>
        </w:tc>
        <w:tc>
          <w:tcPr>
            <w:tcW w:type="dxa" w:w="1871"/>
            <w:vAlign w:val="center"/>
          </w:tcPr>
          <w:p>
            <w:pPr>
              <w:jc w:val="center"/>
            </w:pPr>
            <w:r/>
            <w:r>
              <w:rPr>
                <w:rFonts w:ascii="宋体" w:hAnsi="宋体" w:eastAsia="宋体"/>
                <w:b w:val="0"/>
                <w:color w:val="000000"/>
                <w:sz w:val="18"/>
              </w:rPr>
              <w:t>0.0079</w:t>
            </w:r>
          </w:p>
        </w:tc>
        <w:tc>
          <w:tcPr>
            <w:tcW w:type="dxa" w:w="1871"/>
            <w:vAlign w:val="center"/>
          </w:tcPr>
          <w:p>
            <w:pPr>
              <w:jc w:val="center"/>
            </w:pPr>
            <w:r/>
            <w:r>
              <w:rPr>
                <w:rFonts w:ascii="宋体" w:hAnsi="宋体" w:eastAsia="宋体"/>
                <w:b w:val="0"/>
                <w:color w:val="000000"/>
                <w:sz w:val="18"/>
              </w:rPr>
              <w:t>148.17</w:t>
            </w:r>
          </w:p>
        </w:tc>
      </w:tr>
      <w:tr>
        <w:tc>
          <w:tcPr>
            <w:tcW w:type="dxa" w:w="1871"/>
            <w:vAlign w:val="center"/>
            <w:shd w:fill="EAF1F7"/>
          </w:tcPr>
          <w:p>
            <w:pPr>
              <w:jc w:val="center"/>
            </w:pPr>
            <w:r/>
            <w:r>
              <w:rPr>
                <w:rFonts w:ascii="宋体" w:hAnsi="宋体" w:eastAsia="宋体"/>
                <w:b w:val="0"/>
                <w:color w:val="000000"/>
                <w:sz w:val="18"/>
              </w:rPr>
              <w:t>图2-6.jpg</w:t>
            </w:r>
          </w:p>
        </w:tc>
        <w:tc>
          <w:tcPr>
            <w:tcW w:type="dxa" w:w="1871"/>
            <w:vAlign w:val="center"/>
            <w:shd w:fill="EAF1F7"/>
          </w:tcPr>
          <w:p>
            <w:pPr>
              <w:jc w:val="center"/>
            </w:pPr>
            <w:r/>
            <w:r>
              <w:rPr>
                <w:rFonts w:ascii="宋体" w:hAnsi="宋体" w:eastAsia="宋体"/>
                <w:b w:val="0"/>
                <w:color w:val="000000"/>
                <w:sz w:val="18"/>
              </w:rPr>
              <w:t>1</w:t>
            </w:r>
          </w:p>
        </w:tc>
        <w:tc>
          <w:tcPr>
            <w:tcW w:type="dxa" w:w="1871"/>
            <w:vAlign w:val="center"/>
            <w:shd w:fill="EAF1F7"/>
          </w:tcPr>
          <w:p>
            <w:pPr>
              <w:jc w:val="center"/>
            </w:pPr>
            <w:r/>
            <w:r>
              <w:rPr>
                <w:rFonts w:ascii="宋体" w:hAnsi="宋体" w:eastAsia="宋体"/>
                <w:b w:val="0"/>
                <w:color w:val="000000"/>
                <w:sz w:val="18"/>
              </w:rPr>
              <w:t>20.05</w:t>
            </w:r>
          </w:p>
        </w:tc>
        <w:tc>
          <w:tcPr>
            <w:tcW w:type="dxa" w:w="1871"/>
            <w:vAlign w:val="center"/>
            <w:shd w:fill="EAF1F7"/>
          </w:tcPr>
          <w:p>
            <w:pPr>
              <w:jc w:val="center"/>
            </w:pPr>
            <w:r/>
            <w:r>
              <w:rPr>
                <w:rFonts w:ascii="宋体" w:hAnsi="宋体" w:eastAsia="宋体"/>
                <w:b w:val="0"/>
                <w:color w:val="000000"/>
                <w:sz w:val="18"/>
              </w:rPr>
              <w:t>0.0177</w:t>
            </w:r>
          </w:p>
        </w:tc>
        <w:tc>
          <w:tcPr>
            <w:tcW w:type="dxa" w:w="1871"/>
            <w:vAlign w:val="center"/>
            <w:shd w:fill="EAF1F7"/>
          </w:tcPr>
          <w:p>
            <w:pPr>
              <w:jc w:val="center"/>
            </w:pPr>
            <w:r/>
            <w:r>
              <w:rPr>
                <w:rFonts w:ascii="宋体" w:hAnsi="宋体" w:eastAsia="宋体"/>
                <w:b w:val="0"/>
                <w:color w:val="000000"/>
                <w:sz w:val="18"/>
              </w:rPr>
              <w:t>134.03</w:t>
            </w:r>
          </w:p>
        </w:tc>
      </w:tr>
      <w:tr>
        <w:tc>
          <w:tcPr>
            <w:tcW w:type="dxa" w:w="1871"/>
            <w:vAlign w:val="center"/>
          </w:tcPr>
          <w:p>
            <w:pPr>
              <w:jc w:val="center"/>
            </w:pPr>
            <w:r/>
            <w:r>
              <w:rPr>
                <w:rFonts w:ascii="宋体" w:hAnsi="宋体" w:eastAsia="宋体"/>
                <w:b w:val="0"/>
                <w:color w:val="000000"/>
                <w:sz w:val="18"/>
              </w:rPr>
              <w:t>图2-7.jpg</w:t>
            </w:r>
          </w:p>
        </w:tc>
        <w:tc>
          <w:tcPr>
            <w:tcW w:type="dxa" w:w="1871"/>
            <w:vAlign w:val="center"/>
          </w:tcPr>
          <w:p>
            <w:pPr>
              <w:jc w:val="center"/>
            </w:pPr>
            <w:r/>
            <w:r>
              <w:rPr>
                <w:rFonts w:ascii="宋体" w:hAnsi="宋体" w:eastAsia="宋体"/>
                <w:b w:val="0"/>
                <w:color w:val="000000"/>
                <w:sz w:val="18"/>
              </w:rPr>
              <w:t>2</w:t>
            </w:r>
          </w:p>
        </w:tc>
        <w:tc>
          <w:tcPr>
            <w:tcW w:type="dxa" w:w="1871"/>
            <w:vAlign w:val="center"/>
          </w:tcPr>
          <w:p>
            <w:pPr>
              <w:jc w:val="center"/>
            </w:pPr>
            <w:r/>
            <w:r>
              <w:rPr>
                <w:rFonts w:ascii="宋体" w:hAnsi="宋体" w:eastAsia="宋体"/>
                <w:b w:val="0"/>
                <w:color w:val="000000"/>
                <w:sz w:val="18"/>
              </w:rPr>
              <w:t>180.63</w:t>
            </w:r>
          </w:p>
        </w:tc>
        <w:tc>
          <w:tcPr>
            <w:tcW w:type="dxa" w:w="1871"/>
            <w:vAlign w:val="center"/>
          </w:tcPr>
          <w:p>
            <w:pPr>
              <w:jc w:val="center"/>
            </w:pPr>
            <w:r/>
            <w:r>
              <w:rPr>
                <w:rFonts w:ascii="宋体" w:hAnsi="宋体" w:eastAsia="宋体"/>
                <w:b w:val="0"/>
                <w:color w:val="000000"/>
                <w:sz w:val="18"/>
              </w:rPr>
              <w:t>0.0049</w:t>
            </w:r>
          </w:p>
        </w:tc>
        <w:tc>
          <w:tcPr>
            <w:tcW w:type="dxa" w:w="1871"/>
            <w:vAlign w:val="center"/>
          </w:tcPr>
          <w:p>
            <w:pPr>
              <w:jc w:val="center"/>
            </w:pPr>
            <w:r/>
            <w:r>
              <w:rPr>
                <w:rFonts w:ascii="宋体" w:hAnsi="宋体" w:eastAsia="宋体"/>
                <w:b w:val="0"/>
                <w:color w:val="000000"/>
                <w:sz w:val="18"/>
              </w:rPr>
              <w:t>79.74</w:t>
            </w:r>
          </w:p>
        </w:tc>
      </w:tr>
      <w:tr>
        <w:tc>
          <w:tcPr>
            <w:tcW w:type="dxa" w:w="1871"/>
            <w:vAlign w:val="center"/>
            <w:shd w:fill="EAF1F7"/>
          </w:tcPr>
          <w:p>
            <w:pPr>
              <w:jc w:val="center"/>
            </w:pPr>
            <w:r/>
            <w:r>
              <w:rPr>
                <w:rFonts w:ascii="宋体" w:hAnsi="宋体" w:eastAsia="宋体"/>
                <w:b w:val="0"/>
                <w:color w:val="000000"/>
                <w:sz w:val="18"/>
              </w:rPr>
              <w:t>图2-8.jpg</w:t>
            </w:r>
          </w:p>
        </w:tc>
        <w:tc>
          <w:tcPr>
            <w:tcW w:type="dxa" w:w="1871"/>
            <w:vAlign w:val="center"/>
            <w:shd w:fill="EAF1F7"/>
          </w:tcPr>
          <w:p>
            <w:pPr>
              <w:jc w:val="center"/>
            </w:pPr>
            <w:r/>
            <w:r>
              <w:rPr>
                <w:rFonts w:ascii="宋体" w:hAnsi="宋体" w:eastAsia="宋体"/>
                <w:b w:val="0"/>
                <w:color w:val="000000"/>
                <w:sz w:val="18"/>
              </w:rPr>
              <w:t>3</w:t>
            </w:r>
          </w:p>
        </w:tc>
        <w:tc>
          <w:tcPr>
            <w:tcW w:type="dxa" w:w="1871"/>
            <w:vAlign w:val="center"/>
            <w:shd w:fill="EAF1F7"/>
          </w:tcPr>
          <w:p>
            <w:pPr>
              <w:jc w:val="center"/>
            </w:pPr>
            <w:r/>
            <w:r>
              <w:rPr>
                <w:rFonts w:ascii="宋体" w:hAnsi="宋体" w:eastAsia="宋体"/>
                <w:b w:val="0"/>
                <w:color w:val="000000"/>
                <w:sz w:val="18"/>
              </w:rPr>
              <w:t>160.12</w:t>
            </w:r>
          </w:p>
        </w:tc>
        <w:tc>
          <w:tcPr>
            <w:tcW w:type="dxa" w:w="1871"/>
            <w:vAlign w:val="center"/>
            <w:shd w:fill="EAF1F7"/>
          </w:tcPr>
          <w:p>
            <w:pPr>
              <w:jc w:val="center"/>
            </w:pPr>
            <w:r/>
            <w:r>
              <w:rPr>
                <w:rFonts w:ascii="宋体" w:hAnsi="宋体" w:eastAsia="宋体"/>
                <w:b w:val="0"/>
                <w:color w:val="000000"/>
                <w:sz w:val="18"/>
              </w:rPr>
              <w:t>0.5603</w:t>
            </w:r>
          </w:p>
        </w:tc>
        <w:tc>
          <w:tcPr>
            <w:tcW w:type="dxa" w:w="1871"/>
            <w:vAlign w:val="center"/>
            <w:shd w:fill="EAF1F7"/>
          </w:tcPr>
          <w:p>
            <w:pPr>
              <w:jc w:val="center"/>
            </w:pPr>
            <w:r/>
            <w:r>
              <w:rPr>
                <w:rFonts w:ascii="宋体" w:hAnsi="宋体" w:eastAsia="宋体"/>
                <w:b w:val="0"/>
                <w:color w:val="000000"/>
                <w:sz w:val="18"/>
              </w:rPr>
              <w:t>21.27</w:t>
            </w:r>
          </w:p>
        </w:tc>
      </w:tr>
      <w:tr>
        <w:tc>
          <w:tcPr>
            <w:tcW w:type="dxa" w:w="1871"/>
            <w:vAlign w:val="center"/>
          </w:tcPr>
          <w:p>
            <w:pPr>
              <w:jc w:val="center"/>
            </w:pPr>
            <w:r/>
            <w:r>
              <w:rPr>
                <w:rFonts w:ascii="宋体" w:hAnsi="宋体" w:eastAsia="宋体"/>
                <w:b w:val="0"/>
                <w:color w:val="000000"/>
                <w:sz w:val="18"/>
              </w:rPr>
              <w:t>图2-9.jpg</w:t>
            </w:r>
          </w:p>
        </w:tc>
        <w:tc>
          <w:tcPr>
            <w:tcW w:type="dxa" w:w="1871"/>
            <w:vAlign w:val="center"/>
          </w:tcPr>
          <w:p>
            <w:pPr>
              <w:jc w:val="center"/>
            </w:pPr>
            <w:r/>
            <w:r>
              <w:rPr>
                <w:rFonts w:ascii="宋体" w:hAnsi="宋体" w:eastAsia="宋体"/>
                <w:b w:val="0"/>
                <w:color w:val="000000"/>
                <w:sz w:val="18"/>
              </w:rPr>
              <w:t>2</w:t>
            </w:r>
          </w:p>
        </w:tc>
        <w:tc>
          <w:tcPr>
            <w:tcW w:type="dxa" w:w="1871"/>
            <w:vAlign w:val="center"/>
          </w:tcPr>
          <w:p>
            <w:pPr>
              <w:jc w:val="center"/>
            </w:pPr>
            <w:r/>
            <w:r>
              <w:rPr>
                <w:rFonts w:ascii="宋体" w:hAnsi="宋体" w:eastAsia="宋体"/>
                <w:b w:val="0"/>
                <w:color w:val="000000"/>
                <w:sz w:val="18"/>
              </w:rPr>
              <w:t>25.15</w:t>
            </w:r>
          </w:p>
        </w:tc>
        <w:tc>
          <w:tcPr>
            <w:tcW w:type="dxa" w:w="1871"/>
            <w:vAlign w:val="center"/>
          </w:tcPr>
          <w:p>
            <w:pPr>
              <w:jc w:val="center"/>
            </w:pPr>
            <w:r/>
            <w:r>
              <w:rPr>
                <w:rFonts w:ascii="宋体" w:hAnsi="宋体" w:eastAsia="宋体"/>
                <w:b w:val="0"/>
                <w:color w:val="000000"/>
                <w:sz w:val="18"/>
              </w:rPr>
              <w:t>0.1079</w:t>
            </w:r>
          </w:p>
        </w:tc>
        <w:tc>
          <w:tcPr>
            <w:tcW w:type="dxa" w:w="1871"/>
            <w:vAlign w:val="center"/>
          </w:tcPr>
          <w:p>
            <w:pPr>
              <w:jc w:val="center"/>
            </w:pPr>
            <w:r/>
            <w:r>
              <w:rPr>
                <w:rFonts w:ascii="宋体" w:hAnsi="宋体" w:eastAsia="宋体"/>
                <w:b w:val="0"/>
                <w:color w:val="000000"/>
                <w:sz w:val="18"/>
              </w:rPr>
              <w:t>84.87</w:t>
            </w:r>
          </w:p>
        </w:tc>
      </w:tr>
    </w:tbl>
    <w:p/>
    <w:p>
      <w:pPr>
        <w:spacing w:line="324" w:lineRule="auto" w:after="100"/>
        <w:ind w:firstLine="420"/>
      </w:pPr>
      <w:r>
        <w:t>R² 和 RMSE 表明，当前聚类结果仍混入纹理、拼接线和跨裂隙边缘，不能直接作为题目要求的最终表 1。后续应加入裂隙方向连续性、周期候选搜索、轮廓连通和 RANSAC 内点比例筛选，并对图 2-1 至图 2-3 给出逐裂隙可视化。</w:t>
      </w:r>
    </w:p>
    <w:p>
      <w:pPr>
        <w:pStyle w:val="Heading1"/>
      </w:pPr>
      <w:r>
        <w:t>5 问题三 复杂裂隙粗糙度评价</w:t>
      </w:r>
    </w:p>
    <w:p>
      <w:pPr>
        <w:spacing w:line="324" w:lineRule="auto" w:after="100"/>
        <w:ind w:firstLine="420"/>
      </w:pPr>
      <w:r>
        <w:t>对附件 3 图像先进行高斯平滑和 Canny 轮廓提取，选择长度不小于 30 的轮廓并取面积最大的轮廓作为候选。为避免重复横坐标造成零间距，先对相同 x 坐标的点取纵坐标中位数，再将像素坐标映射到 94.25 mm 周长和 500 mm 深度。</w:t>
      </w:r>
    </w:p>
    <w:p>
      <m:oMathPara>
        <m:oMath>
          <m:r>
            <m:t>Z₂ = sqrt((1/N) Σ[((yᵢ₊₁−yᵢ)/(xᵢ₊₁−xᵢ))²])，JRC = 51.85Z₂^0.6 − 10.37</m:t>
          </m:r>
        </m:oMath>
      </m:oMathPara>
    </w:p>
    <w:p>
      <w:pPr>
        <w:spacing w:line="324" w:lineRule="auto" w:after="100"/>
        <w:ind w:firstLine="420"/>
      </w:pPr>
      <w:r>
        <w:t>附件 3 的 11 张图像均提取到候选轮廓，共生成 44 行采样结果。当前 JRC 基线值范围为 60.98—325.25，且不同采样点数和轮廓形态会造成明显变化。该范围是图像候选轮廓的统计结果，尚未经过工程轮廓标定，不能直接对应 Barton 标准等级。</w:t>
      </w:r>
    </w:p>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q3_jrc_sensitivity.png"/>
                    <pic:cNvPicPr/>
                  </pic:nvPicPr>
                  <pic:blipFill>
                    <a:blip r:embed="rId13"/>
                    <a:stretch>
                      <a:fillRect/>
                    </a:stretch>
                  </pic:blipFill>
                  <pic:spPr>
                    <a:xfrm>
                      <a:off x="0" y="0"/>
                      <a:ext cx="5486400" cy="3526971"/>
                    </a:xfrm>
                    <a:prstGeom prst="rect"/>
                  </pic:spPr>
                </pic:pic>
              </a:graphicData>
            </a:graphic>
          </wp:inline>
        </w:drawing>
      </w:r>
    </w:p>
    <w:p>
      <w:pPr>
        <w:spacing w:after="160"/>
        <w:jc w:val="center"/>
      </w:pPr>
      <w:r>
        <w:rPr>
          <w:rFonts w:ascii="宋体" w:hAnsi="宋体" w:eastAsia="宋体"/>
          <w:b/>
          <w:sz w:val="18"/>
        </w:rPr>
        <w:t>图 5-1 图 3-1 的 JRC 采样敏感性</w:t>
      </w:r>
    </w:p>
    <w:tbl>
      <w:tblPr>
        <w:tblStyle w:val="TableGrid"/>
        <w:tblW w:type="auto" w:w="0"/>
        <w:tblLook w:firstColumn="1" w:firstRow="1" w:lastColumn="0" w:lastRow="0" w:noHBand="0" w:noVBand="1" w:val="04A0"/>
      </w:tblPr>
      <w:tblGrid>
        <w:gridCol w:w="2339"/>
        <w:gridCol w:w="2339"/>
        <w:gridCol w:w="2339"/>
        <w:gridCol w:w="2339"/>
      </w:tblGrid>
      <w:tr>
        <w:tc>
          <w:tcPr>
            <w:tcW w:type="dxa" w:w="2339"/>
            <w:vAlign w:val="center"/>
            <w:shd w:fill="315A83"/>
          </w:tcPr>
          <w:p>
            <w:pPr>
              <w:jc w:val="center"/>
            </w:pPr>
            <w:r/>
            <w:r>
              <w:rPr>
                <w:rFonts w:ascii="宋体" w:hAnsi="宋体" w:eastAsia="宋体"/>
                <w:b/>
                <w:color w:val="FFFFFF"/>
                <w:sz w:val="18"/>
              </w:rPr>
              <w:t>采样方法</w:t>
            </w:r>
          </w:p>
        </w:tc>
        <w:tc>
          <w:tcPr>
            <w:tcW w:type="dxa" w:w="2339"/>
            <w:vAlign w:val="center"/>
            <w:shd w:fill="315A83"/>
          </w:tcPr>
          <w:p>
            <w:pPr>
              <w:jc w:val="center"/>
            </w:pPr>
            <w:r/>
            <w:r>
              <w:rPr>
                <w:rFonts w:ascii="宋体" w:hAnsi="宋体" w:eastAsia="宋体"/>
                <w:b/>
                <w:color w:val="FFFFFF"/>
                <w:sz w:val="18"/>
              </w:rPr>
              <w:t>样本数</w:t>
            </w:r>
          </w:p>
        </w:tc>
        <w:tc>
          <w:tcPr>
            <w:tcW w:type="dxa" w:w="2339"/>
            <w:vAlign w:val="center"/>
            <w:shd w:fill="315A83"/>
          </w:tcPr>
          <w:p>
            <w:pPr>
              <w:jc w:val="center"/>
            </w:pPr>
            <w:r/>
            <w:r>
              <w:rPr>
                <w:rFonts w:ascii="宋体" w:hAnsi="宋体" w:eastAsia="宋体"/>
                <w:b/>
                <w:color w:val="FFFFFF"/>
                <w:sz w:val="18"/>
              </w:rPr>
              <w:t>JRC 最小值</w:t>
            </w:r>
          </w:p>
        </w:tc>
        <w:tc>
          <w:tcPr>
            <w:tcW w:type="dxa" w:w="2339"/>
            <w:vAlign w:val="center"/>
            <w:shd w:fill="315A83"/>
          </w:tcPr>
          <w:p>
            <w:pPr>
              <w:jc w:val="center"/>
            </w:pPr>
            <w:r/>
            <w:r>
              <w:rPr>
                <w:rFonts w:ascii="宋体" w:hAnsi="宋体" w:eastAsia="宋体"/>
                <w:b/>
                <w:color w:val="FFFFFF"/>
                <w:sz w:val="18"/>
              </w:rPr>
              <w:t>JRC 最大值</w:t>
            </w:r>
          </w:p>
        </w:tc>
      </w:tr>
      <w:tr>
        <w:tc>
          <w:tcPr>
            <w:tcW w:type="dxa" w:w="2339"/>
            <w:vAlign w:val="center"/>
          </w:tcPr>
          <w:p>
            <w:pPr>
              <w:jc w:val="center"/>
            </w:pPr>
            <w:r/>
            <w:r>
              <w:rPr>
                <w:rFonts w:ascii="宋体" w:hAnsi="宋体" w:eastAsia="宋体"/>
                <w:b w:val="0"/>
                <w:color w:val="000000"/>
                <w:sz w:val="18"/>
              </w:rPr>
              <w:t>curvature_adaptive</w:t>
            </w:r>
          </w:p>
        </w:tc>
        <w:tc>
          <w:tcPr>
            <w:tcW w:type="dxa" w:w="2339"/>
            <w:vAlign w:val="center"/>
          </w:tcPr>
          <w:p>
            <w:pPr>
              <w:jc w:val="center"/>
            </w:pPr>
            <w:r/>
            <w:r>
              <w:rPr>
                <w:rFonts w:ascii="宋体" w:hAnsi="宋体" w:eastAsia="宋体"/>
                <w:b w:val="0"/>
                <w:color w:val="000000"/>
                <w:sz w:val="18"/>
              </w:rPr>
              <w:t>11</w:t>
            </w:r>
          </w:p>
        </w:tc>
        <w:tc>
          <w:tcPr>
            <w:tcW w:type="dxa" w:w="2339"/>
            <w:vAlign w:val="center"/>
          </w:tcPr>
          <w:p>
            <w:pPr>
              <w:jc w:val="center"/>
            </w:pPr>
            <w:r/>
            <w:r>
              <w:rPr>
                <w:rFonts w:ascii="宋体" w:hAnsi="宋体" w:eastAsia="宋体"/>
                <w:b w:val="0"/>
                <w:color w:val="000000"/>
                <w:sz w:val="18"/>
              </w:rPr>
              <w:t>60.98</w:t>
            </w:r>
          </w:p>
        </w:tc>
        <w:tc>
          <w:tcPr>
            <w:tcW w:type="dxa" w:w="2339"/>
            <w:vAlign w:val="center"/>
          </w:tcPr>
          <w:p>
            <w:pPr>
              <w:jc w:val="center"/>
            </w:pPr>
            <w:r/>
            <w:r>
              <w:rPr>
                <w:rFonts w:ascii="宋体" w:hAnsi="宋体" w:eastAsia="宋体"/>
                <w:b w:val="0"/>
                <w:color w:val="000000"/>
                <w:sz w:val="18"/>
              </w:rPr>
              <w:t>297.13</w:t>
            </w:r>
          </w:p>
        </w:tc>
      </w:tr>
      <w:tr>
        <w:tc>
          <w:tcPr>
            <w:tcW w:type="dxa" w:w="2339"/>
            <w:vAlign w:val="center"/>
            <w:shd w:fill="EAF1F7"/>
          </w:tcPr>
          <w:p>
            <w:pPr>
              <w:jc w:val="center"/>
            </w:pPr>
            <w:r/>
            <w:r>
              <w:rPr>
                <w:rFonts w:ascii="宋体" w:hAnsi="宋体" w:eastAsia="宋体"/>
                <w:b w:val="0"/>
                <w:color w:val="000000"/>
                <w:sz w:val="18"/>
              </w:rPr>
              <w:t>uniform</w:t>
            </w:r>
          </w:p>
        </w:tc>
        <w:tc>
          <w:tcPr>
            <w:tcW w:type="dxa" w:w="2339"/>
            <w:vAlign w:val="center"/>
            <w:shd w:fill="EAF1F7"/>
          </w:tcPr>
          <w:p>
            <w:pPr>
              <w:jc w:val="center"/>
            </w:pPr>
            <w:r/>
            <w:r>
              <w:rPr>
                <w:rFonts w:ascii="宋体" w:hAnsi="宋体" w:eastAsia="宋体"/>
                <w:b w:val="0"/>
                <w:color w:val="000000"/>
                <w:sz w:val="18"/>
              </w:rPr>
              <w:t>33</w:t>
            </w:r>
          </w:p>
        </w:tc>
        <w:tc>
          <w:tcPr>
            <w:tcW w:type="dxa" w:w="2339"/>
            <w:vAlign w:val="center"/>
            <w:shd w:fill="EAF1F7"/>
          </w:tcPr>
          <w:p>
            <w:pPr>
              <w:jc w:val="center"/>
            </w:pPr>
            <w:r/>
            <w:r>
              <w:rPr>
                <w:rFonts w:ascii="宋体" w:hAnsi="宋体" w:eastAsia="宋体"/>
                <w:b w:val="0"/>
                <w:color w:val="000000"/>
                <w:sz w:val="18"/>
              </w:rPr>
              <w:t>60.98</w:t>
            </w:r>
          </w:p>
        </w:tc>
        <w:tc>
          <w:tcPr>
            <w:tcW w:type="dxa" w:w="2339"/>
            <w:vAlign w:val="center"/>
            <w:shd w:fill="EAF1F7"/>
          </w:tcPr>
          <w:p>
            <w:pPr>
              <w:jc w:val="center"/>
            </w:pPr>
            <w:r/>
            <w:r>
              <w:rPr>
                <w:rFonts w:ascii="宋体" w:hAnsi="宋体" w:eastAsia="宋体"/>
                <w:b w:val="0"/>
                <w:color w:val="000000"/>
                <w:sz w:val="18"/>
              </w:rPr>
              <w:t>325.25</w:t>
            </w:r>
          </w:p>
        </w:tc>
      </w:tr>
    </w:tbl>
    <w:p/>
    <w:p>
      <w:pPr>
        <w:spacing w:line="324" w:lineRule="auto" w:after="100"/>
        <w:ind w:firstLine="420"/>
      </w:pPr>
      <w:r>
        <w:t>正式方案需要对轮廓进行曲率约束和平滑参数标定，比较等间距、曲率加权和自适应采样，并对面积、采样密度和噪声扰动进行联合敏感性分析。</w:t>
      </w:r>
    </w:p>
    <w:p>
      <w:pPr>
        <w:pStyle w:val="Heading1"/>
      </w:pPr>
      <w:r>
        <w:t>6 问题四 多钻孔连通性与补孔候选</w:t>
      </w:r>
    </w:p>
    <w:p>
      <w:pPr>
        <w:spacing w:line="324" w:lineRule="auto" w:after="100"/>
        <w:ind w:firstLine="420"/>
      </w:pPr>
      <w:r>
        <w:t>附件 4 的六个钻孔按题面坐标布置。对每个分段计算平滑 Canny 边缘密度、平均亮度和竖直梯度特征。对于相邻钻孔的相同深度段，令特征差异为 d，并定义相对连通评分 p=exp(−50d)。该 p 仅用于排序，未经过真实连通标签校准。</w:t>
      </w:r>
    </w:p>
    <w:p>
      <m:oMathPara>
        <m:oMath>
          <m:r>
            <m:t>p_rel = exp(−50d),   d = |Δedge| + 0.002|Δintensity|/255</m:t>
          </m:r>
        </m:oMath>
      </m:oMathPara>
    </w:p>
    <w:p>
      <w:pPr>
        <w:spacing w:line="324" w:lineRule="auto" w:after="100"/>
        <w:ind w:firstLine="420"/>
      </w:pPr>
      <w:r>
        <w:t>七组相邻孔对均生成了同深度评分，评分范围为 0.6767—0.9324。按最接近 0.5 的相对不确定性排序，前三个补孔候选为：1-2 段 0m, 2-3 段 0m, 3-6 段 0m。</w:t>
      </w:r>
    </w:p>
    <w:p>
      <w:pPr>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q4_connectivity_3d.png"/>
                    <pic:cNvPicPr/>
                  </pic:nvPicPr>
                  <pic:blipFill>
                    <a:blip r:embed="rId14"/>
                    <a:stretch>
                      <a:fillRect/>
                    </a:stretch>
                  </pic:blipFill>
                  <pic:spPr>
                    <a:xfrm>
                      <a:off x="0" y="0"/>
                      <a:ext cx="5486400" cy="4114800"/>
                    </a:xfrm>
                    <a:prstGeom prst="rect"/>
                  </pic:spPr>
                </pic:pic>
              </a:graphicData>
            </a:graphic>
          </wp:inline>
        </w:drawing>
      </w:r>
    </w:p>
    <w:p>
      <w:pPr>
        <w:spacing w:after="160"/>
        <w:jc w:val="center"/>
      </w:pPr>
      <w:r>
        <w:rPr>
          <w:rFonts w:ascii="宋体" w:hAnsi="宋体" w:eastAsia="宋体"/>
          <w:b/>
          <w:sz w:val="18"/>
        </w:rPr>
        <w:t>图 6-1 基于相对评分的六孔三维网络示意</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孔间位置</w:t>
            </w:r>
          </w:p>
        </w:tc>
        <w:tc>
          <w:tcPr>
            <w:tcW w:type="dxa" w:w="3118"/>
            <w:vAlign w:val="center"/>
            <w:shd w:fill="315A83"/>
          </w:tcPr>
          <w:p>
            <w:pPr>
              <w:jc w:val="center"/>
            </w:pPr>
            <w:r/>
            <w:r>
              <w:rPr>
                <w:rFonts w:ascii="宋体" w:hAnsi="宋体" w:eastAsia="宋体"/>
                <w:b/>
                <w:color w:val="FFFFFF"/>
                <w:sz w:val="18"/>
              </w:rPr>
              <w:t>分段起点/m</w:t>
            </w:r>
          </w:p>
        </w:tc>
        <w:tc>
          <w:tcPr>
            <w:tcW w:type="dxa" w:w="3118"/>
            <w:vAlign w:val="center"/>
            <w:shd w:fill="315A83"/>
          </w:tcPr>
          <w:p>
            <w:pPr>
              <w:jc w:val="center"/>
            </w:pPr>
            <w:r/>
            <w:r>
              <w:rPr>
                <w:rFonts w:ascii="宋体" w:hAnsi="宋体" w:eastAsia="宋体"/>
                <w:b/>
                <w:color w:val="FFFFFF"/>
                <w:sz w:val="18"/>
              </w:rPr>
              <w:t>相对不确定性</w:t>
            </w:r>
          </w:p>
        </w:tc>
      </w:tr>
      <w:tr>
        <w:tc>
          <w:tcPr>
            <w:tcW w:type="dxa" w:w="3118"/>
            <w:vAlign w:val="center"/>
          </w:tcPr>
          <w:p>
            <w:pPr>
              <w:jc w:val="center"/>
            </w:pPr>
            <w:r/>
            <w:r>
              <w:rPr>
                <w:rFonts w:ascii="宋体" w:hAnsi="宋体" w:eastAsia="宋体"/>
                <w:b w:val="0"/>
                <w:color w:val="000000"/>
                <w:sz w:val="18"/>
              </w:rPr>
              <w:t>1-2</w:t>
            </w:r>
          </w:p>
        </w:tc>
        <w:tc>
          <w:tcPr>
            <w:tcW w:type="dxa" w:w="3118"/>
            <w:vAlign w:val="center"/>
          </w:tcPr>
          <w:p>
            <w:pPr>
              <w:jc w:val="center"/>
            </w:pPr>
            <w:r/>
            <w:r>
              <w:rPr>
                <w:rFonts w:ascii="宋体" w:hAnsi="宋体" w:eastAsia="宋体"/>
                <w:b w:val="0"/>
                <w:color w:val="000000"/>
                <w:sz w:val="18"/>
              </w:rPr>
              <w:t>0</w:t>
            </w:r>
          </w:p>
        </w:tc>
        <w:tc>
          <w:tcPr>
            <w:tcW w:type="dxa" w:w="3118"/>
            <w:vAlign w:val="center"/>
          </w:tcPr>
          <w:p>
            <w:pPr>
              <w:jc w:val="center"/>
            </w:pPr>
            <w:r/>
            <w:r>
              <w:rPr>
                <w:rFonts w:ascii="宋体" w:hAnsi="宋体" w:eastAsia="宋体"/>
                <w:b w:val="0"/>
                <w:color w:val="000000"/>
                <w:sz w:val="18"/>
              </w:rPr>
              <w:t>0.6465</w:t>
            </w:r>
          </w:p>
        </w:tc>
      </w:tr>
      <w:tr>
        <w:tc>
          <w:tcPr>
            <w:tcW w:type="dxa" w:w="3118"/>
            <w:vAlign w:val="center"/>
            <w:shd w:fill="EAF1F7"/>
          </w:tcPr>
          <w:p>
            <w:pPr>
              <w:jc w:val="center"/>
            </w:pPr>
            <w:r/>
            <w:r>
              <w:rPr>
                <w:rFonts w:ascii="宋体" w:hAnsi="宋体" w:eastAsia="宋体"/>
                <w:b w:val="0"/>
                <w:color w:val="000000"/>
                <w:sz w:val="18"/>
              </w:rPr>
              <w:t>2-3</w:t>
            </w:r>
          </w:p>
        </w:tc>
        <w:tc>
          <w:tcPr>
            <w:tcW w:type="dxa" w:w="3118"/>
            <w:vAlign w:val="center"/>
            <w:shd w:fill="EAF1F7"/>
          </w:tcPr>
          <w:p>
            <w:pPr>
              <w:jc w:val="center"/>
            </w:pPr>
            <w:r/>
            <w:r>
              <w:rPr>
                <w:rFonts w:ascii="宋体" w:hAnsi="宋体" w:eastAsia="宋体"/>
                <w:b w:val="0"/>
                <w:color w:val="000000"/>
                <w:sz w:val="18"/>
              </w:rPr>
              <w:t>0</w:t>
            </w:r>
          </w:p>
        </w:tc>
        <w:tc>
          <w:tcPr>
            <w:tcW w:type="dxa" w:w="3118"/>
            <w:vAlign w:val="center"/>
            <w:shd w:fill="EAF1F7"/>
          </w:tcPr>
          <w:p>
            <w:pPr>
              <w:jc w:val="center"/>
            </w:pPr>
            <w:r/>
            <w:r>
              <w:rPr>
                <w:rFonts w:ascii="宋体" w:hAnsi="宋体" w:eastAsia="宋体"/>
                <w:b w:val="0"/>
                <w:color w:val="000000"/>
                <w:sz w:val="18"/>
              </w:rPr>
              <w:t>0.6373</w:t>
            </w:r>
          </w:p>
        </w:tc>
      </w:tr>
      <w:tr>
        <w:tc>
          <w:tcPr>
            <w:tcW w:type="dxa" w:w="3118"/>
            <w:vAlign w:val="center"/>
          </w:tcPr>
          <w:p>
            <w:pPr>
              <w:jc w:val="center"/>
            </w:pPr>
            <w:r/>
            <w:r>
              <w:rPr>
                <w:rFonts w:ascii="宋体" w:hAnsi="宋体" w:eastAsia="宋体"/>
                <w:b w:val="0"/>
                <w:color w:val="000000"/>
                <w:sz w:val="18"/>
              </w:rPr>
              <w:t>3-6</w:t>
            </w:r>
          </w:p>
        </w:tc>
        <w:tc>
          <w:tcPr>
            <w:tcW w:type="dxa" w:w="3118"/>
            <w:vAlign w:val="center"/>
          </w:tcPr>
          <w:p>
            <w:pPr>
              <w:jc w:val="center"/>
            </w:pPr>
            <w:r/>
            <w:r>
              <w:rPr>
                <w:rFonts w:ascii="宋体" w:hAnsi="宋体" w:eastAsia="宋体"/>
                <w:b w:val="0"/>
                <w:color w:val="000000"/>
                <w:sz w:val="18"/>
              </w:rPr>
              <w:t>0</w:t>
            </w:r>
          </w:p>
        </w:tc>
        <w:tc>
          <w:tcPr>
            <w:tcW w:type="dxa" w:w="3118"/>
            <w:vAlign w:val="center"/>
          </w:tcPr>
          <w:p>
            <w:pPr>
              <w:jc w:val="center"/>
            </w:pPr>
            <w:r/>
            <w:r>
              <w:rPr>
                <w:rFonts w:ascii="宋体" w:hAnsi="宋体" w:eastAsia="宋体"/>
                <w:b w:val="0"/>
                <w:color w:val="000000"/>
                <w:sz w:val="18"/>
              </w:rPr>
              <w:t>0.5020</w:t>
            </w:r>
          </w:p>
        </w:tc>
      </w:tr>
    </w:tbl>
    <w:p/>
    <w:p>
      <w:pPr>
        <w:spacing w:line="324" w:lineRule="auto" w:after="100"/>
        <w:ind w:firstLine="420"/>
      </w:pPr>
      <w:r>
        <w:t>该结果没有使用裂隙的三维姿态、相位、JRC 或真实连通样本，因此只能作为 Q4 的数据链路和可视化基线。正式模型应将单孔裂隙映射为三维节点，使用距离、方向差、深度差、JRC 和图像置信度建立可校准概率模型，再以不确定性下降或覆盖收益/成本比选择补孔位置。</w:t>
      </w:r>
    </w:p>
    <w:p>
      <w:pPr>
        <w:pStyle w:val="Heading1"/>
      </w:pPr>
      <w:r>
        <w:t>7 模型评价与后续工作</w:t>
      </w:r>
    </w:p>
    <w:p>
      <w:pPr>
        <w:spacing w:line="324" w:lineRule="auto" w:after="100"/>
        <w:ind w:firstLine="420"/>
      </w:pPr>
      <w:r>
        <w:t>本文完成了从原始附件到结果表、图表和论文草稿的可复现链路，所有实验代码和 CSV 结果均保存在项目目录。增强图像处理降低了输入噪声，DBSCAN 与 RANSAC 提供了逐簇拟合框架，重复横坐标修正避免了 JRC 数值计算中的零间距错误，三维图把钻孔空间布局和评分结果可视化。</w:t>
      </w:r>
    </w:p>
    <w:p>
      <w:pPr>
        <w:spacing w:line="324" w:lineRule="auto" w:after="100"/>
        <w:ind w:firstLine="420"/>
      </w:pPr>
      <w:r>
        <w:t>当前限制包括：缺少独立像素标签，无法完成监督分割评价；Q2 的候选簇仍包含大量纹理，R² 和 RMSE 不足以支撑最终表征；Q3 的轮廓和 JRC 依赖图像边缘，尚无工程标定；Q4 的 p_rel 不是概率，补孔位置没有成本和现场可行性验证。上述限制决定了本文只能作为论文草稿和建模记录。</w:t>
      </w:r>
    </w:p>
    <w:p>
      <w:pPr>
        <w:spacing w:line="324" w:lineRule="auto" w:after="100"/>
        <w:ind w:firstLine="420"/>
      </w:pPr>
      <w:r>
        <w:t>下一轮工作应先完成 Q1 标注协议和 Q2 逐裂隙轮廓分离，再冻结全量结果；随后补齐验证、敏感性、消融、证据矩阵和官方提交规则，最后才进入参赛候选稿审查。</w:t>
      </w:r>
    </w:p>
    <w:p>
      <w:pPr>
        <w:pStyle w:val="Heading1"/>
      </w:pPr>
      <w:r>
        <w:t>参考文献</w:t>
      </w:r>
    </w:p>
    <w:p>
      <w:pPr>
        <w:spacing w:line="324" w:lineRule="auto" w:after="100"/>
        <w:ind w:firstLine="420"/>
      </w:pPr>
      <w:r>
        <w:t>[1] 康红普，姜鹏飞，王子越，等. 煤巷钻锚一体化快速掘进技术与装备及应用[J]. 煤炭学报，2024，49(1):131-151。</w:t>
      </w:r>
    </w:p>
    <w:p>
      <w:pPr>
        <w:spacing w:line="324" w:lineRule="auto" w:after="100"/>
        <w:ind w:firstLine="420"/>
      </w:pPr>
      <w:r>
        <w:t>[2] 袁亮，张平松. 煤矿透明地质模型动态重构的关键技术与路径思考[J]. 煤炭学报，2023，48(1):1-14。</w:t>
      </w:r>
    </w:p>
    <w:p>
      <w:pPr>
        <w:spacing w:line="324" w:lineRule="auto" w:after="100"/>
        <w:ind w:firstLine="420"/>
      </w:pPr>
      <w:r>
        <w:t>[3] 2025 年中国研究生数学建模竞赛 C 题题面及附件说明，竞赛资料目录提供的原始文件。</w:t>
      </w:r>
    </w:p>
    <w:p>
      <w:pPr>
        <w:pStyle w:val="Heading1"/>
      </w:pPr>
      <w:r>
        <w:t>附录 代码与复现</w:t>
      </w:r>
    </w:p>
    <w:p>
      <w:pPr>
        <w:spacing w:line="324" w:lineRule="auto" w:after="100"/>
        <w:ind w:firstLine="420"/>
      </w:pPr>
      <w:r>
        <w:t>环境由 uv 管理，依赖锁定在项目根目录 uv.lock。主要入口为 projects/2025-C/code/q1_segmentation.py、q2_sine_fit.py、q3_jrc.py、q4_connectivity.py 和 make_project_figures.py。输入数据包不写入仓库，运行前需解压到 MASTER_PROMPT.md 指定的临时目录。</w:t>
      </w:r>
    </w:p>
    <w:p>
      <w:pPr>
        <w:spacing w:line="324" w:lineRule="auto" w:after="100"/>
        <w:ind w:firstLine="420"/>
      </w:pPr>
      <w:r>
        <w:t>复现命令：uv run python projects/2025-C/code/q1_segmentation.py；uv run python projects/2025-C/code/q2_sine_fit.py；uv run python projects/2025-C/code/q3_jrc.py；uv run python projects/2025-C/code/q4_connectivity.py；uv run python projects/2025-C/code/make_project_figures.py。</w:t>
      </w:r>
    </w:p>
    <w:p>
      <w:pPr>
        <w:spacing w:line="324" w:lineRule="auto" w:after="100"/>
        <w:ind w:firstLine="420"/>
      </w:pPr>
      <w:r>
        <w:t>本稿不满足正式参赛候选稿门禁。提交前必须补齐官方规则快照、逐问结果契约、证据矩阵、独立技术审查、独立论文审查和提交附件包。</w:t>
      </w:r>
    </w:p>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