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7F22D">
      <w:pPr>
        <w:spacing w:before="156" w:beforeLines="50" w:after="156" w:afterLines="50"/>
        <w:ind w:left="720" w:hanging="720"/>
        <w:jc w:val="center"/>
        <w:rPr>
          <w:rFonts w:hint="eastAsia"/>
          <w:b/>
          <w:bCs/>
          <w:sz w:val="36"/>
          <w:szCs w:val="40"/>
        </w:rPr>
      </w:pPr>
      <w:bookmarkStart w:id="1" w:name="_GoBack"/>
      <w:bookmarkEnd w:id="1"/>
      <w:r>
        <w:rPr>
          <w:rFonts w:hint="eastAsia"/>
          <w:b/>
          <w:bCs/>
          <w:sz w:val="36"/>
          <w:szCs w:val="40"/>
        </w:rPr>
        <w:t>认罪认罚口供动态补强路径研究</w:t>
      </w:r>
    </w:p>
    <w:p w14:paraId="7B52C44E">
      <w:pPr>
        <w:ind w:firstLine="480" w:firstLineChars="200"/>
        <w:rPr>
          <w:rFonts w:hint="eastAsia" w:ascii="宋体" w:hAnsi="宋体" w:eastAsia="宋体"/>
          <w:sz w:val="24"/>
          <w:szCs w:val="28"/>
        </w:rPr>
      </w:pPr>
      <w:r>
        <w:rPr>
          <w:rFonts w:hint="eastAsia" w:ascii="宋体" w:hAnsi="宋体" w:eastAsia="宋体"/>
          <w:b/>
          <w:bCs/>
          <w:sz w:val="24"/>
          <w:szCs w:val="28"/>
        </w:rPr>
        <w:t>摘要：</w:t>
      </w:r>
      <w:r>
        <w:rPr>
          <w:rFonts w:hint="eastAsia" w:ascii="宋体" w:hAnsi="宋体" w:eastAsia="宋体"/>
          <w:sz w:val="24"/>
          <w:szCs w:val="28"/>
        </w:rPr>
        <w:t>认罪认罚口供补强体现了认罪认罚程序对效率价值与公平价值的双重追求。与普通案件不同，口供在认罪认罚证据体系中处于核心地位，证据审查以口供为中心，对口供进行补强就是对认罪真实性给予保障。然而，口供在认罪认罚案件中的特殊性，并不意味着口供补强的证明标准可以降低、独立证据原则的要求可以放松。相反，认罪认罚口供补强应在坚持上述两项原则的基础上进行，将是否具备隐蔽性证据作为基本证明力标准，构建阶层式的补强路径。在达到基本证明力标准后，以动态系统论的视角进行差异化补强，最终实现不同认罪认罚案件类型口供真实性的保障。</w:t>
      </w:r>
    </w:p>
    <w:p w14:paraId="6F348185">
      <w:pPr>
        <w:ind w:firstLine="480" w:firstLineChars="200"/>
        <w:rPr>
          <w:rFonts w:hint="eastAsia" w:ascii="宋体" w:hAnsi="宋体" w:eastAsia="宋体"/>
          <w:sz w:val="24"/>
          <w:szCs w:val="28"/>
        </w:rPr>
      </w:pPr>
      <w:r>
        <w:rPr>
          <w:rFonts w:hint="eastAsia" w:ascii="宋体" w:hAnsi="宋体" w:eastAsia="宋体"/>
          <w:b/>
          <w:bCs/>
          <w:sz w:val="24"/>
          <w:szCs w:val="28"/>
        </w:rPr>
        <w:t>关键词：</w:t>
      </w:r>
      <w:r>
        <w:rPr>
          <w:rFonts w:hint="eastAsia" w:ascii="宋体" w:hAnsi="宋体" w:eastAsia="宋体"/>
          <w:sz w:val="24"/>
          <w:szCs w:val="28"/>
        </w:rPr>
        <w:t>认罪认罚；口供补强；实质真实主义；动态系统论；虚假供述</w:t>
      </w:r>
    </w:p>
    <w:p w14:paraId="6E0EFC40">
      <w:pPr>
        <w:ind w:firstLine="480" w:firstLineChars="200"/>
        <w:rPr>
          <w:rFonts w:hint="eastAsia" w:ascii="宋体" w:hAnsi="宋体" w:eastAsia="宋体"/>
          <w:sz w:val="24"/>
          <w:szCs w:val="28"/>
        </w:rPr>
      </w:pPr>
      <w:r>
        <w:rPr>
          <w:rFonts w:hint="eastAsia" w:ascii="宋体" w:hAnsi="宋体" w:eastAsia="宋体"/>
          <w:sz w:val="24"/>
          <w:szCs w:val="28"/>
        </w:rPr>
        <w:t>口供补强是指通过其他证据对口供的证明力进行补强以保障口供的真实性，其作为一项补强规则最早出现在普通法系。我国口供补强规则最早规定于1979年 《刑事诉讼法》 第35条，之后三次修法都完整地保留了该规则。现行《刑事诉讼法》第五十五条仅对口供补强作出原则性规定，缺乏必要的可操作性，因此其作为一项抽象的法律规范如何适用于具体个案、指导司法实践仍是一大难题。认罪认罚因其自身的效率取向而对口供更加依赖与重视，因此口供在认罪认罚案件中具有特殊意义，更需要被谨慎对待，否则极有可能导致冤案错案。</w:t>
      </w:r>
    </w:p>
    <w:p w14:paraId="2F71CDFE">
      <w:pPr>
        <w:spacing w:after="156" w:afterLines="50" w:line="360" w:lineRule="auto"/>
        <w:ind w:firstLine="480" w:firstLineChars="200"/>
        <w:rPr>
          <w:rFonts w:hint="eastAsia" w:ascii="宋体" w:hAnsi="宋体" w:eastAsia="宋体"/>
          <w:sz w:val="24"/>
          <w:szCs w:val="28"/>
        </w:rPr>
      </w:pPr>
      <w:r>
        <w:rPr>
          <w:rFonts w:hint="eastAsia" w:ascii="宋体" w:hAnsi="宋体" w:eastAsia="宋体"/>
          <w:sz w:val="24"/>
          <w:szCs w:val="28"/>
        </w:rPr>
        <w:t>然而，部分学者基于认罪认罚案件对效率的追求以及口供的特殊性提出对认罪认罚口供的审查可以降低证明标准，认为无需像普通案件那样达到“排除合理怀疑”的标准，只需要根据经验来确定基本犯罪事实、犯罪主体即可。同时就口供补强证据而言，也放弃独立证据原则转而认为可以通过录音录像等同源证据来对口供进行补强，以此来达到认罪认罚简化程序、节约司法效率的目标。针对此类错误认识，本文拟分析口供补强在认罪认罚案件中的特殊性，明确即使其存在一定的特殊意义，但并不意味着认罪认罚口供补强对证明标准的降低与独立证据原则的放弃，并在此基础上构建认罪认罚口供的动态补强路径，以求为认罪认罚案件中的口供补强提供参考。</w:t>
      </w:r>
    </w:p>
    <w:p w14:paraId="2BF11BB3">
      <w:pPr>
        <w:pStyle w:val="2"/>
        <w:spacing w:before="0" w:after="0" w:line="240" w:lineRule="auto"/>
        <w:rPr>
          <w:rFonts w:hint="eastAsia" w:ascii="宋体" w:hAnsi="宋体" w:eastAsia="宋体"/>
          <w:sz w:val="24"/>
          <w:szCs w:val="24"/>
        </w:rPr>
      </w:pPr>
      <w:r>
        <w:rPr>
          <w:rFonts w:hint="eastAsia" w:ascii="宋体" w:hAnsi="宋体" w:eastAsia="宋体"/>
          <w:sz w:val="24"/>
          <w:szCs w:val="24"/>
        </w:rPr>
        <w:t>一、特殊性展开：口供在认罪认罚中的特殊意义</w:t>
      </w:r>
    </w:p>
    <w:p w14:paraId="1F7A2502">
      <w:pPr>
        <w:ind w:firstLine="480" w:firstLineChars="200"/>
        <w:rPr>
          <w:rFonts w:hint="eastAsia" w:ascii="宋体" w:hAnsi="宋体" w:eastAsia="宋体"/>
          <w:sz w:val="24"/>
          <w:szCs w:val="28"/>
        </w:rPr>
      </w:pPr>
      <w:r>
        <w:rPr>
          <w:rFonts w:hint="eastAsia" w:ascii="宋体" w:hAnsi="宋体" w:eastAsia="宋体"/>
          <w:sz w:val="24"/>
          <w:szCs w:val="28"/>
        </w:rPr>
        <w:t>经过司法实践对“口供依赖”的反思，普通案件中犯罪嫌疑人、被告人的供述仅作为法定证据类型的一种，在证据审查时往往结合案件其他证据综合考虑，口口供不具有突出的证据地位，也不会导致证据审查重心的倾斜。但在认罪认罚程序中口供却是串联诉讼各阶段的关键证据，口供补强也是实现实质真实司法目的的必要手段，故其在认罪认罚程序中具有特殊意义。</w:t>
      </w:r>
    </w:p>
    <w:p w14:paraId="773EF79B">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（一）口供本身在认罪认罚案件中的地位特殊</w:t>
      </w:r>
    </w:p>
    <w:p w14:paraId="2E8C0F69">
      <w:pPr>
        <w:ind w:firstLine="480" w:firstLineChars="200"/>
        <w:rPr>
          <w:rFonts w:hint="eastAsia" w:ascii="宋体" w:hAnsi="宋体" w:eastAsia="宋体"/>
          <w:sz w:val="24"/>
          <w:szCs w:val="28"/>
        </w:rPr>
      </w:pPr>
      <w:r>
        <w:rPr>
          <w:rFonts w:hint="eastAsia" w:ascii="宋体" w:hAnsi="宋体" w:eastAsia="宋体"/>
          <w:sz w:val="24"/>
          <w:szCs w:val="28"/>
        </w:rPr>
        <w:t>我国《刑事诉讼法》规定了八种基本证据类型，普通案件的证据审查过程通常是对各种不同类型的证据进行均衡审查，即审查重点并不会过于集中于某一类证据。在犯罪数量与司法资源失衡的背景下，为促使被追诉人尽快认罪、节约司法资源集中处理重案难案，世界各国刑事诉讼皆形成了“放弃审判制度”，这也导致过往由审问式与对抗式构成的刑事诉讼“第三范式”演变为以追求效率为目标的刑事诉讼“第四范式”。</w:t>
      </w:r>
      <w:r>
        <w:rPr>
          <w:rStyle w:val="9"/>
          <w:rFonts w:hint="eastAsia" w:ascii="宋体" w:hAnsi="宋体" w:eastAsia="宋体"/>
          <w:sz w:val="24"/>
          <w:szCs w:val="28"/>
        </w:rPr>
        <w:footnoteReference w:id="0"/>
      </w:r>
      <w:r>
        <w:rPr>
          <w:rFonts w:hint="eastAsia" w:ascii="宋体" w:hAnsi="宋体" w:eastAsia="宋体"/>
          <w:sz w:val="24"/>
          <w:szCs w:val="28"/>
        </w:rPr>
        <w:t>在“第四范式”潮流中，各国相继衍生出认罪答辩、辩诉交易、认罪认罚等刑事诉讼程序，上述程序尽管形式不一但都具有相同的内核——以口供为中心证据构建整体程序以求案件的快速审结。</w:t>
      </w:r>
    </w:p>
    <w:p w14:paraId="0C7C96D0">
      <w:pPr>
        <w:ind w:firstLine="480" w:firstLineChars="200"/>
        <w:rPr>
          <w:rFonts w:hint="eastAsia" w:ascii="宋体" w:hAnsi="宋体" w:eastAsia="宋体"/>
          <w:sz w:val="24"/>
          <w:szCs w:val="28"/>
        </w:rPr>
      </w:pPr>
      <w:r>
        <w:rPr>
          <w:rFonts w:hint="eastAsia" w:ascii="宋体" w:hAnsi="宋体" w:eastAsia="宋体"/>
          <w:sz w:val="24"/>
          <w:szCs w:val="28"/>
        </w:rPr>
        <w:t>在被追诉人自愿性、真实性、明智性不受污染的理想前提下，口供完全是犯罪行为人主观意志的自由表达，其本身代表着案件真相，节约了司法资源的投入，因而自古以来就被冠以“证据之王”的称号。口供这一本身即具有效率色彩的证据类型使认罪认罚程序具备了“口供中心主义”特征，而这一特征又反过来促使整个程序都在追求如何充分利用口供印证证据与口供补强规则保障被追诉人的认罪真实性，使法官形成内心确信从而进行定罪。因此，与普通案件中作为刑事诉讼证据类型之一的口供不同，这种“功能主义程序运行理念”</w:t>
      </w:r>
      <w:r>
        <w:rPr>
          <w:rStyle w:val="9"/>
          <w:rFonts w:hint="eastAsia" w:ascii="宋体" w:hAnsi="宋体" w:eastAsia="宋体"/>
          <w:sz w:val="24"/>
          <w:szCs w:val="28"/>
        </w:rPr>
        <w:footnoteReference w:id="1"/>
      </w:r>
      <w:r>
        <w:rPr>
          <w:rFonts w:hint="eastAsia" w:ascii="宋体" w:hAnsi="宋体" w:eastAsia="宋体"/>
          <w:sz w:val="24"/>
          <w:szCs w:val="28"/>
        </w:rPr>
        <w:t xml:space="preserve">主导的认罪认罚口供成为了实现效率目标的关键性证据，证据审查的重点也集中于口供这一种证据类型。    </w:t>
      </w:r>
    </w:p>
    <w:p w14:paraId="2C3CE7BC">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（二）证据审查重心的明确化</w:t>
      </w:r>
    </w:p>
    <w:p w14:paraId="783C111B">
      <w:pPr>
        <w:ind w:firstLine="480" w:firstLineChars="200"/>
        <w:rPr>
          <w:rFonts w:hint="eastAsia" w:ascii="宋体" w:hAnsi="宋体" w:eastAsia="宋体"/>
          <w:sz w:val="24"/>
          <w:szCs w:val="28"/>
        </w:rPr>
      </w:pPr>
      <w:r>
        <w:rPr>
          <w:rFonts w:hint="eastAsia" w:ascii="宋体" w:hAnsi="宋体" w:eastAsia="宋体"/>
          <w:sz w:val="24"/>
          <w:szCs w:val="28"/>
        </w:rPr>
        <w:t>认罪认罚程序以效率为导向，要求根据被追诉人自愿认罪实现程序简化，节约司法资源，但这一价值追求并非意味着刑事诉讼“第四范式”背景下，我国刑事司法对实质真实主义的放弃。传统实质真实主义以“绝对真实”为至高目的，</w:t>
      </w:r>
      <w:r>
        <w:rPr>
          <w:rStyle w:val="9"/>
          <w:rFonts w:hint="eastAsia" w:ascii="宋体" w:hAnsi="宋体" w:eastAsia="宋体"/>
          <w:sz w:val="24"/>
          <w:szCs w:val="28"/>
        </w:rPr>
        <w:footnoteReference w:id="2"/>
      </w:r>
      <w:r>
        <w:rPr>
          <w:rFonts w:hint="eastAsia" w:ascii="宋体" w:hAnsi="宋体" w:eastAsia="宋体"/>
          <w:sz w:val="24"/>
          <w:szCs w:val="28"/>
        </w:rPr>
        <w:t>但这一至高目的仅能作为一种乌托邦式的理想。因为案件一经发生，能反映案件事实的元素便随时间不断消逝，办案人员也仅能根据现有的证据尽力还原案件事实，即所谓的“最大化真实”。</w:t>
      </w:r>
      <w:r>
        <w:rPr>
          <w:rFonts w:ascii="宋体" w:hAnsi="宋体" w:eastAsia="宋体"/>
          <w:sz w:val="24"/>
          <w:szCs w:val="28"/>
        </w:rPr>
        <w:t>传统实质真实的严格追求</w:t>
      </w:r>
      <w:r>
        <w:rPr>
          <w:rFonts w:hint="eastAsia" w:ascii="宋体" w:hAnsi="宋体" w:eastAsia="宋体"/>
          <w:sz w:val="24"/>
          <w:szCs w:val="28"/>
        </w:rPr>
        <w:t>难以实现，司法资源又疲于应对不断扩张的刑事犯罪数量，因此司法</w:t>
      </w:r>
      <w:r>
        <w:rPr>
          <w:rFonts w:ascii="宋体" w:hAnsi="宋体" w:eastAsia="宋体"/>
          <w:sz w:val="24"/>
          <w:szCs w:val="28"/>
        </w:rPr>
        <w:t>人员</w:t>
      </w:r>
      <w:r>
        <w:rPr>
          <w:rFonts w:hint="eastAsia" w:ascii="宋体" w:hAnsi="宋体" w:eastAsia="宋体"/>
          <w:sz w:val="24"/>
          <w:szCs w:val="28"/>
        </w:rPr>
        <w:t>开始</w:t>
      </w:r>
      <w:r>
        <w:rPr>
          <w:rFonts w:ascii="宋体" w:hAnsi="宋体" w:eastAsia="宋体"/>
          <w:sz w:val="24"/>
          <w:szCs w:val="28"/>
        </w:rPr>
        <w:t>寻求新型的程序处理机制。</w:t>
      </w:r>
      <w:r>
        <w:rPr>
          <w:rStyle w:val="9"/>
          <w:rFonts w:hint="eastAsia" w:ascii="宋体" w:hAnsi="宋体" w:eastAsia="宋体"/>
          <w:sz w:val="24"/>
          <w:szCs w:val="28"/>
        </w:rPr>
        <w:footnoteReference w:id="3"/>
      </w:r>
      <w:r>
        <w:rPr>
          <w:rFonts w:hint="eastAsia" w:ascii="宋体" w:hAnsi="宋体" w:eastAsia="宋体"/>
          <w:sz w:val="24"/>
          <w:szCs w:val="28"/>
        </w:rPr>
        <w:t>实质真实的法治理想与形式真实的效率功能促使两者之间互相调适，在我国刑事诉讼语境下，认罪认罚程序便是这种“新型程序处理机制”，而认罪认罚程序口供补强规则的适用则是司法人员对实质真实主义的坚持。</w:t>
      </w:r>
    </w:p>
    <w:p w14:paraId="3EA991AD">
      <w:pPr>
        <w:ind w:firstLine="480" w:firstLineChars="200"/>
        <w:rPr>
          <w:rFonts w:hint="eastAsia" w:ascii="宋体" w:hAnsi="宋体" w:eastAsia="宋体"/>
          <w:sz w:val="24"/>
          <w:szCs w:val="28"/>
        </w:rPr>
      </w:pPr>
      <w:r>
        <w:rPr>
          <w:rFonts w:hint="eastAsia" w:ascii="宋体" w:hAnsi="宋体" w:eastAsia="宋体"/>
          <w:sz w:val="24"/>
          <w:szCs w:val="28"/>
        </w:rPr>
        <w:t>普通案件中各类证据分别包含着不同信息，证据审查需针对各类证据分别进行印证。而在认罪认罚程序中，证据审查的中心明确为对有罪供述即口供的印证，即原先的“分散信息印证”转化为“全案信息印证”，从而使得印证证明模式更加实质化，体现出口供补强规则的实质真实主义内核。</w:t>
      </w:r>
      <w:r>
        <w:rPr>
          <w:rStyle w:val="9"/>
          <w:rFonts w:hint="eastAsia" w:ascii="宋体" w:hAnsi="宋体" w:eastAsia="宋体"/>
          <w:sz w:val="24"/>
          <w:szCs w:val="28"/>
        </w:rPr>
        <w:footnoteReference w:id="4"/>
      </w:r>
      <w:r>
        <w:rPr>
          <w:rFonts w:hint="eastAsia" w:ascii="宋体" w:hAnsi="宋体" w:eastAsia="宋体"/>
          <w:sz w:val="24"/>
          <w:szCs w:val="28"/>
        </w:rPr>
        <w:t>前文述及认罪认罚程序相较普通程序而言以口供为中心证据构建，因此认罪认罚程序中的证明力体系应以口供真实性为重心。当被追诉人口供具有自愿性、稳定性时，由口供印证证据对其口供真实性进行补强，即可保障被追诉人有罪供述的纯洁状态。这便表明与普通案件相比，认罪认罚证据审查重心明确为口供审查。</w:t>
      </w:r>
    </w:p>
    <w:p w14:paraId="37DE582A">
      <w:pPr>
        <w:widowControl/>
        <w:ind w:firstLine="480" w:firstLineChars="200"/>
        <w:jc w:val="left"/>
        <w:outlineLvl w:val="1"/>
        <w:rPr>
          <w:rFonts w:hint="eastAsia" w:ascii="宋体" w:hAnsi="宋体" w:eastAsia="宋体"/>
          <w:sz w:val="24"/>
          <w:szCs w:val="28"/>
        </w:rPr>
      </w:pPr>
      <w:r>
        <w:rPr>
          <w:rFonts w:hint="eastAsia" w:ascii="宋体" w:hAnsi="宋体" w:eastAsia="宋体"/>
          <w:sz w:val="24"/>
          <w:szCs w:val="24"/>
        </w:rPr>
        <w:t>（三）口供补强是对认罪真实性的保障</w:t>
      </w:r>
    </w:p>
    <w:p w14:paraId="7025FC74">
      <w:pPr>
        <w:spacing w:after="156" w:afterLines="50"/>
        <w:ind w:firstLine="480" w:firstLineChars="200"/>
        <w:rPr>
          <w:rFonts w:hint="eastAsia" w:ascii="宋体" w:hAnsi="宋体" w:eastAsia="宋体"/>
          <w:sz w:val="24"/>
          <w:szCs w:val="28"/>
        </w:rPr>
      </w:pPr>
      <w:r>
        <w:rPr>
          <w:rFonts w:hint="eastAsia" w:ascii="宋体" w:hAnsi="宋体" w:eastAsia="宋体"/>
          <w:sz w:val="24"/>
          <w:szCs w:val="28"/>
        </w:rPr>
        <w:t>由于“绝对真实”的不可实现性，“最大化真实”具有了存在空间，而真理共识论则为这种“最大化真实”创造了条件。德国哲学家哈贝马斯的交往理论认为真实性、真诚性、正确性必须集中于合乎理性。</w:t>
      </w:r>
      <w:r>
        <w:rPr>
          <w:rStyle w:val="9"/>
          <w:rFonts w:hint="eastAsia" w:ascii="宋体" w:hAnsi="宋体" w:eastAsia="宋体"/>
          <w:sz w:val="24"/>
          <w:szCs w:val="28"/>
        </w:rPr>
        <w:footnoteReference w:id="5"/>
      </w:r>
      <w:r>
        <w:rPr>
          <w:rFonts w:hint="eastAsia" w:ascii="宋体" w:hAnsi="宋体" w:eastAsia="宋体"/>
          <w:sz w:val="24"/>
          <w:szCs w:val="28"/>
        </w:rPr>
        <w:t>简而言之真实性必须存在于“理性情境”之中，当“理性情境”不存在时，真实性便失去了其存在的必要条件。人们在这种“理性情境”中交谈所达成的共识可视为“真理”，但这种“真理”并非自始为真，而需要依据其他真实证据补强才获得真实性。</w:t>
      </w:r>
      <w:r>
        <w:rPr>
          <w:rStyle w:val="9"/>
          <w:rFonts w:hint="eastAsia" w:ascii="宋体" w:hAnsi="宋体" w:eastAsia="宋体"/>
          <w:sz w:val="24"/>
          <w:szCs w:val="28"/>
        </w:rPr>
        <w:footnoteReference w:id="6"/>
      </w:r>
      <w:r>
        <w:rPr>
          <w:rFonts w:hint="eastAsia" w:ascii="宋体" w:hAnsi="宋体" w:eastAsia="宋体"/>
          <w:sz w:val="24"/>
          <w:szCs w:val="28"/>
        </w:rPr>
        <w:t>由此可见，真理共识理论的逻辑进路与认罪认罚程序具有相当的同质性：在被追诉人与办案人员理性沟通，未受刑讯逼供等非法手段强迫，自愿性、真实性、明智性完整的“理性情境”中形成的认罪供述是一种“附条件”的“真理”，这一“真理”的真实性取得依赖于其他证据进行补强，即所谓的“口供补强”。因此“口供补强”可以理解为补足认罪供述证明力的补强行为，“口供补强”作为口供补强规则适用的前置条件，使被追诉人的认罪真实性得到保障，进而运用口供补强规则进行定罪。</w:t>
      </w:r>
    </w:p>
    <w:p w14:paraId="6A2FD0F2">
      <w:pPr>
        <w:pStyle w:val="2"/>
        <w:spacing w:before="0" w:after="0" w:line="240" w:lineRule="auto"/>
        <w:rPr>
          <w:rFonts w:hint="eastAsia" w:ascii="宋体" w:hAnsi="宋体" w:eastAsia="宋体"/>
          <w:sz w:val="24"/>
          <w:szCs w:val="24"/>
        </w:rPr>
      </w:pPr>
      <w:r>
        <w:rPr>
          <w:rFonts w:hint="eastAsia" w:ascii="宋体" w:hAnsi="宋体" w:eastAsia="宋体"/>
          <w:sz w:val="24"/>
          <w:szCs w:val="24"/>
        </w:rPr>
        <w:t>二、原则性纠偏：坚持“排除合理怀疑”的证明标准与独立证据原则</w:t>
      </w:r>
    </w:p>
    <w:p w14:paraId="07B0AE95">
      <w:pPr>
        <w:ind w:firstLine="480" w:firstLineChars="200"/>
        <w:rPr>
          <w:rFonts w:hint="eastAsia" w:ascii="宋体" w:hAnsi="宋体" w:eastAsia="宋体"/>
          <w:sz w:val="24"/>
          <w:szCs w:val="28"/>
        </w:rPr>
      </w:pPr>
      <w:r>
        <w:rPr>
          <w:rFonts w:hint="eastAsia" w:ascii="宋体" w:hAnsi="宋体" w:eastAsia="宋体"/>
          <w:sz w:val="24"/>
          <w:szCs w:val="28"/>
        </w:rPr>
        <w:t>尽管口供补强在认罪认罚程序中具有特殊意义，但并不意味着认罪认罚口供补强的证明标准会因重点审查口供而整体降低。同时，对认罪认罚口供真实性的检验也不能放弃独立证据的原则。</w:t>
      </w:r>
    </w:p>
    <w:p w14:paraId="1D4E48B7">
      <w:pPr>
        <w:pStyle w:val="2"/>
        <w:spacing w:before="0" w:after="0" w:line="240" w:lineRule="auto"/>
        <w:ind w:firstLine="480" w:firstLineChars="200"/>
        <w:rPr>
          <w:rFonts w:hint="eastAsia" w:ascii="宋体" w:hAnsi="宋体" w:eastAsia="宋体"/>
          <w:b w:val="0"/>
          <w:bCs w:val="0"/>
          <w:color w:val="FF0000"/>
          <w:sz w:val="24"/>
          <w:szCs w:val="24"/>
        </w:rPr>
      </w:pPr>
      <w:r>
        <w:rPr>
          <w:rFonts w:hint="eastAsia" w:ascii="宋体" w:hAnsi="宋体" w:eastAsia="宋体"/>
          <w:b w:val="0"/>
          <w:bCs w:val="0"/>
          <w:sz w:val="24"/>
          <w:szCs w:val="24"/>
        </w:rPr>
        <w:t>（一）坚持“排除合理怀疑”的证明标准</w:t>
      </w:r>
    </w:p>
    <w:p w14:paraId="1088C216">
      <w:pPr>
        <w:ind w:firstLine="480" w:firstLineChars="200"/>
        <w:rPr>
          <w:rFonts w:hint="eastAsia" w:ascii="宋体" w:hAnsi="宋体" w:eastAsia="宋体"/>
          <w:sz w:val="24"/>
          <w:szCs w:val="28"/>
        </w:rPr>
      </w:pPr>
      <w:r>
        <w:rPr>
          <w:rFonts w:hint="eastAsia" w:ascii="宋体" w:hAnsi="宋体" w:eastAsia="宋体"/>
          <w:sz w:val="24"/>
          <w:szCs w:val="28"/>
        </w:rPr>
        <w:t xml:space="preserve"> “证明标准降低说”基于认罪认罚的效率导向认为，对于“排除合理怀疑”这一标准的把控可以适当降低，主张根据经验常理来确定基本犯罪事实存在以及行为主体一致。</w:t>
      </w:r>
      <w:r>
        <w:rPr>
          <w:rStyle w:val="9"/>
          <w:rFonts w:hint="eastAsia" w:ascii="宋体" w:hAnsi="宋体" w:eastAsia="宋体"/>
          <w:sz w:val="24"/>
          <w:szCs w:val="28"/>
        </w:rPr>
        <w:footnoteReference w:id="7"/>
      </w:r>
      <w:r>
        <w:rPr>
          <w:rFonts w:hint="eastAsia" w:ascii="宋体" w:hAnsi="宋体" w:eastAsia="宋体"/>
          <w:sz w:val="24"/>
          <w:szCs w:val="28"/>
        </w:rPr>
        <w:t>不可否认的是，认罪认罚程序中被追诉方基于协商合意而主动提供的有罪供述确实降低了控方的证明难度，但并不能因此就简单地将证明难度的降低等同于证明标准的降低。相反，认罪认罚案件的证明标准必须坚持实质真实原则，否则极有可能陷入形式真实主义的泥潭。</w:t>
      </w:r>
    </w:p>
    <w:p w14:paraId="517EC39E">
      <w:pPr>
        <w:ind w:firstLine="480" w:firstLineChars="200"/>
        <w:rPr>
          <w:rFonts w:hint="eastAsia" w:ascii="宋体" w:hAnsi="宋体" w:eastAsia="宋体"/>
          <w:sz w:val="24"/>
          <w:szCs w:val="28"/>
        </w:rPr>
      </w:pPr>
      <w:r>
        <w:rPr>
          <w:rFonts w:hint="eastAsia" w:ascii="宋体" w:hAnsi="宋体" w:eastAsia="宋体"/>
          <w:sz w:val="24"/>
          <w:szCs w:val="28"/>
        </w:rPr>
        <w:t>从规范视角来看，我国《刑事诉讼法》第55条规定的证明标准适用于所有案件，认罪认罚案件并不能因其效率导向以及口供重心而跳脱于该规则之外。一方面，相比较1996年“案件事实清楚，证据确实、充分”的客观证明标准，2012年刑诉法修改引入了“排除合理怀疑”这一标准。其中，“证据确实、充分”从建构意义上积极证明待证事实，而“排除合理怀疑”则从解构意义上消极排除疑点，</w:t>
      </w:r>
      <w:r>
        <w:rPr>
          <w:rStyle w:val="9"/>
          <w:rFonts w:hint="eastAsia" w:ascii="宋体" w:hAnsi="宋体" w:eastAsia="宋体"/>
          <w:sz w:val="24"/>
          <w:szCs w:val="28"/>
        </w:rPr>
        <w:footnoteReference w:id="8"/>
      </w:r>
      <w:r>
        <w:rPr>
          <w:rFonts w:hint="eastAsia" w:ascii="宋体" w:hAnsi="宋体" w:eastAsia="宋体"/>
          <w:sz w:val="24"/>
          <w:szCs w:val="28"/>
        </w:rPr>
        <w:t>现行刑事诉讼证明标准从积极证明与消极排除两个维度共同保证证据审查的科学性与合理性，体现了对证明标准的严格把控。另一方面，最高人民检察院曾就认罪认罚从宽制度提出的意见中明确表明：“要更加注重提升案件质效，不能片面追求适用率”“绝不能降低证明标准”。</w:t>
      </w:r>
      <w:r>
        <w:rPr>
          <w:rStyle w:val="9"/>
          <w:rFonts w:hint="eastAsia" w:ascii="宋体" w:hAnsi="宋体" w:eastAsia="宋体"/>
          <w:sz w:val="24"/>
          <w:szCs w:val="28"/>
        </w:rPr>
        <w:footnoteReference w:id="9"/>
      </w:r>
      <w:r>
        <w:rPr>
          <w:rFonts w:hint="eastAsia" w:ascii="宋体" w:hAnsi="宋体" w:eastAsia="宋体"/>
          <w:sz w:val="24"/>
          <w:szCs w:val="28"/>
        </w:rPr>
        <w:t>这意味着我国刑事诉讼整体上坚持实质真实主义立场，明确了认罪认罚案件证明标准不降低的大方向。</w:t>
      </w:r>
    </w:p>
    <w:p w14:paraId="50DBEE16">
      <w:pPr>
        <w:ind w:firstLine="480" w:firstLineChars="200"/>
        <w:rPr>
          <w:rFonts w:hint="eastAsia" w:ascii="宋体" w:hAnsi="宋体" w:eastAsia="宋体"/>
          <w:sz w:val="24"/>
          <w:szCs w:val="28"/>
        </w:rPr>
      </w:pPr>
      <w:r>
        <w:rPr>
          <w:rFonts w:hint="eastAsia" w:ascii="宋体" w:hAnsi="宋体" w:eastAsia="宋体"/>
          <w:sz w:val="24"/>
          <w:szCs w:val="28"/>
        </w:rPr>
        <w:t>从目的论视角看，田口守一认为利益调整的意义并不在其本身，而在于利益调整的目的。</w:t>
      </w:r>
      <w:r>
        <w:rPr>
          <w:rStyle w:val="9"/>
          <w:rFonts w:hint="eastAsia" w:ascii="宋体" w:hAnsi="宋体" w:eastAsia="宋体"/>
          <w:sz w:val="24"/>
          <w:szCs w:val="28"/>
        </w:rPr>
        <w:footnoteReference w:id="10"/>
      </w:r>
      <w:r>
        <w:rPr>
          <w:rFonts w:hint="eastAsia" w:ascii="宋体" w:hAnsi="宋体" w:eastAsia="宋体"/>
          <w:sz w:val="24"/>
          <w:szCs w:val="28"/>
        </w:rPr>
        <w:t xml:space="preserve">诉讼制度需要根据诉讼目的进行构造，因此刑事证明标准不应脱离证明目的。“排除合理怀疑”标准起源于普通法系的陪审团制度：当陪审团成员被要求作出是否有罪的裁决以剥夺被告的人身自由甚至是生命时，需要一种标准来引导他们根据经验来对未亲历事实形成主观上的充分确信，从而消解陪审团作为裁决者的道德焦虑。 </w:t>
      </w:r>
      <w:r>
        <w:rPr>
          <w:rStyle w:val="9"/>
          <w:rFonts w:hint="eastAsia" w:ascii="宋体" w:hAnsi="宋体" w:eastAsia="宋体"/>
          <w:sz w:val="24"/>
          <w:szCs w:val="28"/>
        </w:rPr>
        <w:footnoteReference w:id="11"/>
      </w:r>
      <w:r>
        <w:rPr>
          <w:rFonts w:hint="eastAsia" w:ascii="宋体" w:hAnsi="宋体" w:eastAsia="宋体"/>
          <w:sz w:val="24"/>
          <w:szCs w:val="28"/>
        </w:rPr>
        <w:t>在我国刑事诉讼语境下，主观面向的“排除合理怀疑”标准缓解了“证据确实、充分”标准的过于客观化，共同形成了主客观一体的证明标准体系。“排除合理怀疑”标准的经验性特征以及主观性意义决定了该标准的适用弹性，但法官在调动自身知识库进行“经验性”裁判时，更重要的是在证据审查</w:t>
      </w:r>
      <w:r>
        <w:rPr>
          <w:rFonts w:ascii="宋体" w:hAnsi="宋体" w:eastAsia="宋体"/>
          <w:sz w:val="24"/>
          <w:szCs w:val="28"/>
        </w:rPr>
        <w:t>后</w:t>
      </w:r>
      <w:r>
        <w:rPr>
          <w:rFonts w:hint="eastAsia" w:ascii="宋体" w:hAnsi="宋体" w:eastAsia="宋体"/>
          <w:sz w:val="24"/>
          <w:szCs w:val="28"/>
        </w:rPr>
        <w:t>谨慎</w:t>
      </w:r>
      <w:r>
        <w:rPr>
          <w:rFonts w:ascii="宋体" w:hAnsi="宋体" w:eastAsia="宋体"/>
          <w:sz w:val="24"/>
          <w:szCs w:val="28"/>
        </w:rPr>
        <w:t>形成肯定性事实认定</w:t>
      </w:r>
      <w:r>
        <w:rPr>
          <w:rFonts w:hint="eastAsia" w:ascii="宋体" w:hAnsi="宋体" w:eastAsia="宋体"/>
          <w:sz w:val="24"/>
          <w:szCs w:val="28"/>
        </w:rPr>
        <w:t>。</w:t>
      </w:r>
      <w:r>
        <w:rPr>
          <w:rStyle w:val="9"/>
          <w:rFonts w:hint="eastAsia" w:ascii="宋体" w:hAnsi="宋体" w:eastAsia="宋体"/>
          <w:sz w:val="24"/>
          <w:szCs w:val="28"/>
        </w:rPr>
        <w:footnoteReference w:id="12"/>
      </w:r>
      <w:r>
        <w:rPr>
          <w:rFonts w:hint="eastAsia" w:ascii="宋体" w:hAnsi="宋体" w:eastAsia="宋体"/>
          <w:sz w:val="24"/>
          <w:szCs w:val="28"/>
        </w:rPr>
        <w:t>就认罪认罚案件而言，口供的真实性需要经过口供的补强证据进行证明力补强后才能得到保障，继而由法官形成主观的内心确信，也即达到所谓的“排除合理怀疑”的心证效果。由此可以得出，认罪认罚口供补强的最终目的便是达到“排除合理怀疑”，这与其他普通案件的证明标准并无二异。</w:t>
      </w:r>
    </w:p>
    <w:p w14:paraId="27A745FB">
      <w:pPr>
        <w:ind w:firstLine="480" w:firstLineChars="200"/>
        <w:rPr>
          <w:rFonts w:hint="eastAsia" w:ascii="宋体" w:hAnsi="宋体" w:eastAsia="宋体"/>
          <w:sz w:val="24"/>
          <w:szCs w:val="28"/>
        </w:rPr>
      </w:pPr>
      <w:r>
        <w:rPr>
          <w:rFonts w:hint="eastAsia" w:ascii="宋体" w:hAnsi="宋体" w:eastAsia="宋体"/>
          <w:sz w:val="24"/>
          <w:szCs w:val="28"/>
        </w:rPr>
        <w:t>通过以上两个维度的分析，可知证明标准并不会因犯罪嫌疑人认罪认罚而降低，反而在认罪认罚案件中更要坚持证明标准达到“排除合理怀疑”，避免因重口供形成错案冤案。</w:t>
      </w:r>
    </w:p>
    <w:p w14:paraId="6863B88B">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（二）坚持独立证据原则</w:t>
      </w:r>
    </w:p>
    <w:p w14:paraId="4EEC042E">
      <w:pPr>
        <w:ind w:firstLine="480" w:firstLineChars="200"/>
        <w:rPr>
          <w:rFonts w:hint="eastAsia" w:ascii="宋体" w:hAnsi="宋体" w:eastAsia="宋体"/>
          <w:sz w:val="24"/>
          <w:szCs w:val="28"/>
        </w:rPr>
      </w:pPr>
      <w:r>
        <w:rPr>
          <w:rFonts w:hint="eastAsia" w:ascii="宋体" w:hAnsi="宋体" w:eastAsia="宋体"/>
          <w:sz w:val="24"/>
          <w:szCs w:val="28"/>
        </w:rPr>
        <w:t>独立证据原则要求证据来源必须独立，此证据不能因彼证据衍生而出。独立证据原则背后的论证机理在于聚合论证模式。非形式逻辑学家道格拉斯·沃尔顿认为，与传统三段论为代表的关联式论证不同，聚合式论证要求各个证据必须具备独立支持结论的能力，也就是说两个证据来源之间没有任何关联。</w:t>
      </w:r>
      <w:r>
        <w:rPr>
          <w:rStyle w:val="9"/>
          <w:rFonts w:hint="eastAsia" w:ascii="宋体" w:hAnsi="宋体" w:eastAsia="宋体"/>
          <w:sz w:val="24"/>
          <w:szCs w:val="28"/>
        </w:rPr>
        <w:footnoteReference w:id="13"/>
      </w:r>
      <w:r>
        <w:rPr>
          <w:rFonts w:hint="eastAsia" w:ascii="宋体" w:hAnsi="宋体" w:eastAsia="宋体"/>
          <w:sz w:val="24"/>
          <w:szCs w:val="28"/>
        </w:rPr>
        <w:t>代入到认罪认罚案件中，作为主证据的犯罪嫌疑人口供与其补强证据首先具备独立证明的证据能力，其次共同对待证事实进行聚合证明，也即通过对口供证明力进行补强而达到定罪所要求的证明标准。然而有学者认为口供补强规则在认罪认罚案件中的适用可以放松独立证据原则，例如对于可能判处1年以下刑罚的案件，在口供自愿性得到保障的前提下讯问录音录像可以用来补强口供的真实性。</w:t>
      </w:r>
      <w:r>
        <w:rPr>
          <w:rStyle w:val="9"/>
          <w:rFonts w:hint="eastAsia" w:ascii="宋体" w:hAnsi="宋体" w:eastAsia="宋体"/>
          <w:sz w:val="24"/>
          <w:szCs w:val="28"/>
        </w:rPr>
        <w:footnoteReference w:id="14"/>
      </w:r>
      <w:r>
        <w:rPr>
          <w:rFonts w:hint="eastAsia" w:ascii="宋体" w:hAnsi="宋体" w:eastAsia="宋体"/>
          <w:sz w:val="24"/>
          <w:szCs w:val="28"/>
        </w:rPr>
        <w:t>尽管该观点考虑到我国认罪认罚程序尚未完善而采取了层次性的同源证据补强策略，即仅限定为1年以下刑罚的案件，但本质上却是对口供自愿性与口供真实性的认知混淆。</w:t>
      </w:r>
    </w:p>
    <w:p w14:paraId="71E62059">
      <w:pPr>
        <w:ind w:firstLine="480" w:firstLineChars="200"/>
        <w:rPr>
          <w:rFonts w:hint="eastAsia" w:ascii="宋体" w:hAnsi="宋体" w:eastAsia="宋体"/>
          <w:sz w:val="24"/>
          <w:szCs w:val="28"/>
        </w:rPr>
      </w:pPr>
      <w:r>
        <w:rPr>
          <w:rFonts w:hint="eastAsia" w:ascii="宋体" w:hAnsi="宋体" w:eastAsia="宋体"/>
          <w:sz w:val="24"/>
          <w:szCs w:val="28"/>
        </w:rPr>
        <w:t>犯罪嫌疑人自愿作出有罪供述只能表明口供因取得方式合法而能够当做证据使用，也即该口供具备证据资格，但具备证据资格的证据并不一定具有证明力，解答口供证明力的标准是口供的真实性。造成口供自愿性与真实性不一致的原因有很多：从主观上看，犯罪嫌疑人自愿顶罪的行为符合“亲亲得相首匿”的中国传统法律伦理精神。</w:t>
      </w:r>
      <w:r>
        <w:rPr>
          <w:rStyle w:val="9"/>
          <w:rFonts w:hint="eastAsia" w:ascii="宋体" w:hAnsi="宋体" w:eastAsia="宋体"/>
          <w:sz w:val="24"/>
          <w:szCs w:val="28"/>
        </w:rPr>
        <w:footnoteReference w:id="15"/>
      </w:r>
      <w:r>
        <w:rPr>
          <w:rFonts w:hint="eastAsia" w:ascii="宋体" w:hAnsi="宋体" w:eastAsia="宋体"/>
          <w:sz w:val="24"/>
          <w:szCs w:val="28"/>
        </w:rPr>
        <w:t>心理学认为病态人格者通常会做出与理性常人完全相反的行为来获得心理上的刺激感知，这一理论或许也能解释犯罪嫌疑人自愿作出有罪供述的行为动机。从客观上看，犯罪嫌疑人也有可能基于自身错误认识，以为案件是自己所为而作出有罪供述。</w:t>
      </w:r>
      <w:r>
        <w:rPr>
          <w:rStyle w:val="9"/>
          <w:rFonts w:hint="eastAsia" w:ascii="宋体" w:hAnsi="宋体" w:eastAsia="宋体"/>
          <w:sz w:val="24"/>
          <w:szCs w:val="28"/>
        </w:rPr>
        <w:footnoteReference w:id="16"/>
      </w:r>
      <w:r>
        <w:rPr>
          <w:rFonts w:hint="eastAsia" w:ascii="宋体" w:hAnsi="宋体" w:eastAsia="宋体"/>
          <w:sz w:val="24"/>
          <w:szCs w:val="28"/>
        </w:rPr>
        <w:t xml:space="preserve">因此，犯罪嫌疑人自愿作出有罪供述，并不能保证该有罪供述的真实性，自愿性标准与真实性标准应予严格区分。 </w:t>
      </w:r>
    </w:p>
    <w:p w14:paraId="35AE1FAE">
      <w:pPr>
        <w:spacing w:after="156" w:afterLines="50"/>
        <w:ind w:firstLine="480" w:firstLineChars="200"/>
        <w:rPr>
          <w:rFonts w:hint="eastAsia" w:ascii="宋体" w:hAnsi="宋体" w:eastAsia="宋体"/>
          <w:sz w:val="24"/>
          <w:szCs w:val="28"/>
        </w:rPr>
      </w:pPr>
      <w:r>
        <w:rPr>
          <w:rFonts w:hint="eastAsia" w:ascii="宋体" w:hAnsi="宋体" w:eastAsia="宋体"/>
          <w:sz w:val="24"/>
          <w:szCs w:val="28"/>
        </w:rPr>
        <w:t>回到认罪认罚案件中讨论，无论是讯问录音录像还是讯问笔录、自供书，都是口供这一证据类型的不同形式，只是证据固定方式不同。这些证据形式作为口供的同源证据，只能通过证明口供前后状态一致来表明口供具有自愿性，而不能证明口供具有真实性。况且认罪认罚程序设计本就将证据审查重心明确化，协商性司法也降低了控方的证明难度，与普通案件相比司法资源已经有所节约，倘若一味地继续追求效率价值，混同口供自愿性与真实性标准而忽视真实性审查，会导致认罪认罚案件的错案率急剧增加。</w:t>
      </w:r>
      <w:r>
        <w:rPr>
          <w:rStyle w:val="9"/>
          <w:rFonts w:hint="eastAsia" w:ascii="宋体" w:hAnsi="宋体" w:eastAsia="宋体"/>
          <w:sz w:val="24"/>
          <w:szCs w:val="28"/>
        </w:rPr>
        <w:footnoteReference w:id="17"/>
      </w:r>
      <w:r>
        <w:rPr>
          <w:rFonts w:hint="eastAsia" w:ascii="宋体" w:hAnsi="宋体" w:eastAsia="宋体"/>
          <w:sz w:val="24"/>
          <w:szCs w:val="28"/>
        </w:rPr>
        <w:t>因此，对认罪认罚口供真实性的检验必须基于独立于口供本身的印证证据，即坚持独立证据原则。</w:t>
      </w:r>
    </w:p>
    <w:p w14:paraId="13ADCBF6">
      <w:pPr>
        <w:pStyle w:val="2"/>
        <w:spacing w:before="0" w:after="0" w:line="240" w:lineRule="auto"/>
        <w:rPr>
          <w:rFonts w:hint="eastAsia" w:ascii="宋体" w:hAnsi="宋体" w:eastAsia="宋体"/>
          <w:sz w:val="24"/>
          <w:szCs w:val="24"/>
        </w:rPr>
      </w:pPr>
      <w:r>
        <w:rPr>
          <w:rFonts w:hint="eastAsia" w:ascii="宋体" w:hAnsi="宋体" w:eastAsia="宋体"/>
          <w:sz w:val="24"/>
          <w:szCs w:val="24"/>
        </w:rPr>
        <w:t>三、差异化补强：“阶层审查+动态视野”的路径构造</w:t>
      </w:r>
    </w:p>
    <w:p w14:paraId="14921A77">
      <w:pPr>
        <w:ind w:firstLine="480" w:firstLineChars="200"/>
        <w:rPr>
          <w:rFonts w:hint="eastAsia" w:ascii="宋体" w:hAnsi="宋体" w:eastAsia="宋体"/>
          <w:sz w:val="24"/>
          <w:szCs w:val="28"/>
        </w:rPr>
      </w:pPr>
      <w:r>
        <w:rPr>
          <w:rFonts w:hint="eastAsia" w:ascii="宋体" w:hAnsi="宋体" w:eastAsia="宋体"/>
          <w:sz w:val="24"/>
          <w:szCs w:val="28"/>
        </w:rPr>
        <w:t>既然认罪认罚口供补强仍应坚持达到“排除合理怀疑”的证明标准，且口供的印证证据也应满足独立证据原则的要求，那么认罪认罚口供的补强当以何种方式进行？</w:t>
      </w:r>
      <w:r>
        <w:rPr>
          <w:rFonts w:ascii="宋体" w:hAnsi="宋体" w:eastAsia="宋体"/>
          <w:sz w:val="24"/>
          <w:szCs w:val="28"/>
        </w:rPr>
        <w:t xml:space="preserve"> </w:t>
      </w:r>
    </w:p>
    <w:p w14:paraId="51D5BD66">
      <w:pPr>
        <w:ind w:firstLine="480" w:firstLineChars="200"/>
        <w:rPr>
          <w:rFonts w:hint="eastAsia" w:ascii="宋体" w:hAnsi="宋体" w:eastAsia="宋体"/>
          <w:sz w:val="24"/>
          <w:szCs w:val="28"/>
        </w:rPr>
      </w:pPr>
      <w:r>
        <w:rPr>
          <w:rFonts w:hint="eastAsia" w:ascii="宋体" w:hAnsi="宋体" w:eastAsia="宋体"/>
          <w:sz w:val="24"/>
          <w:szCs w:val="28"/>
        </w:rPr>
        <w:t>认罪认罚案件与其他普通案件的最大区别在于，犯罪嫌疑人在该程序中与检察机关达成“认罪契约”：后者获取前者的认罪口供以促进案件效率，前者则因此获得量刑上的“宽恕”。这一双方利益追求的过程使得口供在认罪认罚案件中取得了核心证据地位，也自然导致证据审查的重心向口供倾斜，放大了虚假供述的风险。因此，唯有根据案件类型的不同对认罪口供进行动态补强才能对认罪供述真实性作出有效甄别。这一补强路径既反映了认罪认罚案件特殊性，也体现出对证明标准不降低以及独立证据两项基本原则的贯彻。</w:t>
      </w:r>
    </w:p>
    <w:p w14:paraId="533498A8">
      <w:pPr>
        <w:ind w:firstLine="480" w:firstLineChars="200"/>
        <w:rPr>
          <w:rFonts w:hint="eastAsia" w:ascii="宋体" w:hAnsi="宋体" w:eastAsia="宋体"/>
          <w:sz w:val="24"/>
          <w:szCs w:val="28"/>
        </w:rPr>
      </w:pPr>
      <w:r>
        <w:rPr>
          <w:rFonts w:hint="eastAsia" w:ascii="宋体" w:hAnsi="宋体" w:eastAsia="宋体"/>
          <w:sz w:val="24"/>
          <w:szCs w:val="28"/>
        </w:rPr>
        <w:t>认罪认罚案件的特殊性意味着以动态视野进行差异化补强存在必要性，隐蔽性证据规则的口供补强规则性质则决定了隐蔽性证据可以作为口供补强路径的起点。简而言之，认罪认罚口供动态补强的路径应遵循“阶层式”的补强模式：以是否存在隐蔽性证据作为基本证明力标准进行审查。若存在隐蔽性证据，则分案件类型进行动态补强；若不存在隐蔽性证据，则需要其他补强证据达到基本证明力标准之后再进行动态补强（基本路径如图1）。</w:t>
      </w:r>
    </w:p>
    <w:p w14:paraId="47B79157">
      <w:pPr>
        <w:ind w:firstLine="480" w:firstLineChars="200"/>
        <w:rPr>
          <w:rFonts w:hint="eastAsia" w:ascii="宋体" w:hAnsi="宋体" w:eastAsia="宋体"/>
          <w:sz w:val="24"/>
          <w:szCs w:val="28"/>
        </w:rPr>
      </w:pPr>
      <w:r>
        <w:rPr>
          <w:rFonts w:hint="eastAsia" w:ascii="宋体" w:hAnsi="宋体" w:eastAsia="宋体"/>
          <w:sz w:val="24"/>
          <w:szCs w:val="28"/>
        </w:rPr>
        <mc:AlternateContent>
          <mc:Choice Requires="wpc">
            <w:drawing>
              <wp:inline distT="0" distB="0" distL="0" distR="0">
                <wp:extent cx="5274310" cy="2636520"/>
                <wp:effectExtent l="0" t="0" r="2540" b="0"/>
                <wp:docPr id="812584372"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1997545" name="矩形: 圆角 1841997545"/>
                        <wps:cNvSpPr/>
                        <wps:spPr>
                          <a:xfrm>
                            <a:off x="251460" y="51239"/>
                            <a:ext cx="960120" cy="548640"/>
                          </a:xfrm>
                          <a:prstGeom prst="roundRect">
                            <a:avLst/>
                          </a:prstGeom>
                          <a:solidFill>
                            <a:sysClr val="window" lastClr="FFFFFF"/>
                          </a:solidFill>
                          <a:ln w="12700" cap="flat" cmpd="sng" algn="ctr">
                            <a:solidFill>
                              <a:srgbClr val="4EA72E"/>
                            </a:solidFill>
                            <a:prstDash val="solid"/>
                            <a:miter lim="800000"/>
                          </a:ln>
                          <a:effectLst/>
                        </wps:spPr>
                        <wps:txbx>
                          <w:txbxContent>
                            <w:p w14:paraId="6B9E34AE">
                              <w:pPr>
                                <w:jc w:val="center"/>
                                <w:rPr>
                                  <w:rFonts w:hint="eastAsia"/>
                                </w:rPr>
                              </w:pPr>
                              <w:r>
                                <w:rPr>
                                  <w:rFonts w:hint="eastAsia"/>
                                </w:rPr>
                                <w:t>是否存在隐蔽性证据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95100290" name="直接箭头连接符 695100290"/>
                        <wps:cNvCnPr/>
                        <wps:spPr>
                          <a:xfrm>
                            <a:off x="1318260" y="348419"/>
                            <a:ext cx="530520" cy="0"/>
                          </a:xfrm>
                          <a:prstGeom prst="straightConnector1">
                            <a:avLst/>
                          </a:prstGeom>
                          <a:noFill/>
                          <a:ln w="6350" cap="flat" cmpd="sng" algn="ctr">
                            <a:solidFill>
                              <a:srgbClr val="156082"/>
                            </a:solidFill>
                            <a:prstDash val="solid"/>
                            <a:miter lim="800000"/>
                            <a:tailEnd type="triangle"/>
                          </a:ln>
                          <a:effectLst/>
                        </wps:spPr>
                        <wps:bodyPr/>
                      </wps:wsp>
                      <wps:wsp>
                        <wps:cNvPr id="543831868" name="矩形: 圆角 543831868"/>
                        <wps:cNvSpPr/>
                        <wps:spPr>
                          <a:xfrm>
                            <a:off x="2024040" y="51239"/>
                            <a:ext cx="1158240" cy="548640"/>
                          </a:xfrm>
                          <a:prstGeom prst="roundRect">
                            <a:avLst/>
                          </a:prstGeom>
                          <a:solidFill>
                            <a:sysClr val="window" lastClr="FFFFFF"/>
                          </a:solidFill>
                          <a:ln w="12700" cap="flat" cmpd="sng" algn="ctr">
                            <a:solidFill>
                              <a:srgbClr val="4EA72E"/>
                            </a:solidFill>
                            <a:prstDash val="solid"/>
                            <a:miter lim="800000"/>
                          </a:ln>
                          <a:effectLst/>
                        </wps:spPr>
                        <wps:txbx>
                          <w:txbxContent>
                            <w:p w14:paraId="2F57D82B">
                              <w:pPr>
                                <w:jc w:val="center"/>
                                <w:rPr>
                                  <w:rFonts w:hint="eastAsia" w:ascii="等线" w:hAnsi="等线" w:eastAsia="等线" w:cs="Times New Roman"/>
                                  <w:szCs w:val="21"/>
                                </w:rPr>
                              </w:pPr>
                              <w:r>
                                <w:rPr>
                                  <w:rFonts w:hint="eastAsia" w:ascii="等线" w:hAnsi="等线" w:eastAsia="等线" w:cs="Times New Roman"/>
                                  <w:szCs w:val="21"/>
                                </w:rPr>
                                <w:t>达到基本证明力标准</w:t>
                              </w:r>
                            </w:p>
                          </w:txbxContent>
                        </wps:txbx>
                        <wps:bodyPr rot="0" spcFirstLastPara="0" vert="horz" wrap="square" lIns="91440" tIns="45720" rIns="91440" bIns="45720" numCol="1" spcCol="0" rtlCol="0" fromWordArt="0" anchor="ctr" anchorCtr="0" forceAA="0" compatLnSpc="1">
                          <a:noAutofit/>
                        </wps:bodyPr>
                      </wps:wsp>
                      <wps:wsp>
                        <wps:cNvPr id="1672188410" name="矩形: 圆角 1672188410"/>
                        <wps:cNvSpPr/>
                        <wps:spPr>
                          <a:xfrm>
                            <a:off x="3939540" y="107459"/>
                            <a:ext cx="1018200" cy="492420"/>
                          </a:xfrm>
                          <a:prstGeom prst="roundRect">
                            <a:avLst/>
                          </a:prstGeom>
                          <a:solidFill>
                            <a:sysClr val="window" lastClr="FFFFFF"/>
                          </a:solidFill>
                          <a:ln w="12700" cap="flat" cmpd="sng" algn="ctr">
                            <a:solidFill>
                              <a:srgbClr val="4EA72E"/>
                            </a:solidFill>
                            <a:prstDash val="solid"/>
                            <a:miter lim="800000"/>
                          </a:ln>
                          <a:effectLst/>
                        </wps:spPr>
                        <wps:txbx>
                          <w:txbxContent>
                            <w:p w14:paraId="580CC542">
                              <w:pPr>
                                <w:jc w:val="center"/>
                                <w:rPr>
                                  <w:rFonts w:hint="eastAsia" w:ascii="等线" w:hAnsi="等线" w:eastAsia="等线" w:cs="Times New Roman"/>
                                  <w:szCs w:val="21"/>
                                </w:rPr>
                              </w:pPr>
                              <w:r>
                                <w:rPr>
                                  <w:rFonts w:hint="eastAsia" w:ascii="等线" w:hAnsi="等线" w:eastAsia="等线" w:cs="Times New Roman"/>
                                  <w:szCs w:val="21"/>
                                </w:rPr>
                                <w:t>动态补强</w:t>
                              </w:r>
                            </w:p>
                          </w:txbxContent>
                        </wps:txbx>
                        <wps:bodyPr rot="0" spcFirstLastPara="0" vert="horz" wrap="square" lIns="91440" tIns="45720" rIns="91440" bIns="45720" numCol="1" spcCol="0" rtlCol="0" fromWordArt="0" anchor="ctr" anchorCtr="0" forceAA="0" compatLnSpc="1">
                          <a:noAutofit/>
                        </wps:bodyPr>
                      </wps:wsp>
                      <wps:wsp>
                        <wps:cNvPr id="1891102686" name="直接箭头连接符 1891102686"/>
                        <wps:cNvCnPr/>
                        <wps:spPr>
                          <a:xfrm>
                            <a:off x="3273720" y="348419"/>
                            <a:ext cx="530225" cy="0"/>
                          </a:xfrm>
                          <a:prstGeom prst="straightConnector1">
                            <a:avLst/>
                          </a:prstGeom>
                          <a:noFill/>
                          <a:ln w="6350" cap="flat" cmpd="sng" algn="ctr">
                            <a:solidFill>
                              <a:srgbClr val="156082"/>
                            </a:solidFill>
                            <a:prstDash val="solid"/>
                            <a:miter lim="800000"/>
                            <a:tailEnd type="triangle"/>
                          </a:ln>
                          <a:effectLst/>
                        </wps:spPr>
                        <wps:bodyPr/>
                      </wps:wsp>
                      <wps:wsp>
                        <wps:cNvPr id="1616833624" name="矩形: 圆角 1616833624"/>
                        <wps:cNvSpPr/>
                        <wps:spPr>
                          <a:xfrm>
                            <a:off x="180000" y="1442819"/>
                            <a:ext cx="1158240" cy="548640"/>
                          </a:xfrm>
                          <a:prstGeom prst="roundRect">
                            <a:avLst/>
                          </a:prstGeom>
                          <a:solidFill>
                            <a:sysClr val="window" lastClr="FFFFFF"/>
                          </a:solidFill>
                          <a:ln w="12700" cap="flat" cmpd="sng" algn="ctr">
                            <a:solidFill>
                              <a:srgbClr val="4EA72E"/>
                            </a:solidFill>
                            <a:prstDash val="solid"/>
                            <a:miter lim="800000"/>
                          </a:ln>
                          <a:effectLst/>
                        </wps:spPr>
                        <wps:txbx>
                          <w:txbxContent>
                            <w:p w14:paraId="7CF8546F">
                              <w:pPr>
                                <w:jc w:val="center"/>
                                <w:rPr>
                                  <w:rFonts w:hint="eastAsia" w:ascii="等线" w:hAnsi="等线" w:eastAsia="等线" w:cs="Times New Roman"/>
                                  <w:szCs w:val="21"/>
                                </w:rPr>
                              </w:pPr>
                              <w:r>
                                <w:rPr>
                                  <w:rFonts w:hint="eastAsia" w:ascii="等线" w:hAnsi="等线" w:eastAsia="等线" w:cs="Times New Roman"/>
                                  <w:szCs w:val="21"/>
                                </w:rPr>
                                <w:t>未达到基本</w:t>
                              </w:r>
                            </w:p>
                            <w:p w14:paraId="5DCC0FE6">
                              <w:pPr>
                                <w:jc w:val="center"/>
                                <w:rPr>
                                  <w:rFonts w:hint="eastAsia" w:ascii="等线" w:hAnsi="等线" w:eastAsia="等线" w:cs="Times New Roman"/>
                                  <w:szCs w:val="21"/>
                                </w:rPr>
                              </w:pPr>
                              <w:r>
                                <w:rPr>
                                  <w:rFonts w:hint="eastAsia" w:ascii="等线" w:hAnsi="等线" w:eastAsia="等线" w:cs="Times New Roman"/>
                                  <w:szCs w:val="21"/>
                                </w:rPr>
                                <w:t>证明力标准</w:t>
                              </w:r>
                            </w:p>
                          </w:txbxContent>
                        </wps:txbx>
                        <wps:bodyPr rot="0" spcFirstLastPara="0" vert="horz" wrap="square" lIns="91440" tIns="45720" rIns="91440" bIns="45720" numCol="1" spcCol="0" rtlCol="0" fromWordArt="0" anchor="ctr" anchorCtr="0" forceAA="0" compatLnSpc="1">
                          <a:noAutofit/>
                        </wps:bodyPr>
                      </wps:wsp>
                      <wps:wsp>
                        <wps:cNvPr id="306864392" name="直接箭头连接符 306864392"/>
                        <wps:cNvCnPr/>
                        <wps:spPr>
                          <a:xfrm>
                            <a:off x="713400" y="655079"/>
                            <a:ext cx="0" cy="676320"/>
                          </a:xfrm>
                          <a:prstGeom prst="straightConnector1">
                            <a:avLst/>
                          </a:prstGeom>
                          <a:noFill/>
                          <a:ln w="6350" cap="flat" cmpd="sng" algn="ctr">
                            <a:solidFill>
                              <a:srgbClr val="156082"/>
                            </a:solidFill>
                            <a:prstDash val="solid"/>
                            <a:miter lim="800000"/>
                            <a:tailEnd type="triangle"/>
                          </a:ln>
                          <a:effectLst/>
                        </wps:spPr>
                        <wps:bodyPr/>
                      </wps:wsp>
                      <wps:wsp>
                        <wps:cNvPr id="1647011011" name="直接连接符 1647011011"/>
                        <wps:cNvCnPr/>
                        <wps:spPr>
                          <a:xfrm>
                            <a:off x="1531620" y="1773359"/>
                            <a:ext cx="1051560" cy="0"/>
                          </a:xfrm>
                          <a:prstGeom prst="line">
                            <a:avLst/>
                          </a:prstGeom>
                          <a:noFill/>
                          <a:ln w="6350" cap="flat" cmpd="sng" algn="ctr">
                            <a:solidFill>
                              <a:srgbClr val="156082"/>
                            </a:solidFill>
                            <a:prstDash val="solid"/>
                            <a:miter lim="800000"/>
                          </a:ln>
                          <a:effectLst/>
                        </wps:spPr>
                        <wps:bodyPr/>
                      </wps:wsp>
                      <wps:wsp>
                        <wps:cNvPr id="1297956600" name="直接箭头连接符 1297956600"/>
                        <wps:cNvCnPr/>
                        <wps:spPr>
                          <a:xfrm flipV="1">
                            <a:off x="2583180" y="775139"/>
                            <a:ext cx="0" cy="998220"/>
                          </a:xfrm>
                          <a:prstGeom prst="straightConnector1">
                            <a:avLst/>
                          </a:prstGeom>
                          <a:noFill/>
                          <a:ln w="6350" cap="flat" cmpd="sng" algn="ctr">
                            <a:solidFill>
                              <a:srgbClr val="156082"/>
                            </a:solidFill>
                            <a:prstDash val="solid"/>
                            <a:miter lim="800000"/>
                            <a:tailEnd type="triangle"/>
                          </a:ln>
                          <a:effectLst/>
                        </wps:spPr>
                        <wps:bodyPr/>
                      </wps:wsp>
                      <wps:wsp>
                        <wps:cNvPr id="1238539989" name="文本框 1238539989"/>
                        <wps:cNvSpPr txBox="1"/>
                        <wps:spPr>
                          <a:xfrm>
                            <a:off x="1318260" y="35999"/>
                            <a:ext cx="461940" cy="297180"/>
                          </a:xfrm>
                          <a:prstGeom prst="rect">
                            <a:avLst/>
                          </a:prstGeom>
                          <a:solidFill>
                            <a:sysClr val="window" lastClr="FFFFFF"/>
                          </a:solidFill>
                          <a:ln w="6350">
                            <a:noFill/>
                          </a:ln>
                        </wps:spPr>
                        <wps:txbx>
                          <w:txbxContent>
                            <w:p w14:paraId="788AC1D8">
                              <w:pPr>
                                <w:rPr>
                                  <w:rFonts w:hint="eastAsia"/>
                                </w:rPr>
                              </w:pPr>
                              <w:r>
                                <w:rPr>
                                  <w:rFonts w:hint="eastAsia"/>
                                </w:rPr>
                                <w:t>存在</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32391992" name="文本框 1"/>
                        <wps:cNvSpPr txBox="1"/>
                        <wps:spPr>
                          <a:xfrm>
                            <a:off x="766740" y="654059"/>
                            <a:ext cx="315300" cy="671580"/>
                          </a:xfrm>
                          <a:prstGeom prst="rect">
                            <a:avLst/>
                          </a:prstGeom>
                          <a:noFill/>
                          <a:ln w="6350">
                            <a:noFill/>
                          </a:ln>
                        </wps:spPr>
                        <wps:txbx>
                          <w:txbxContent>
                            <w:p w14:paraId="7E3B6CC2">
                              <w:pPr>
                                <w:rPr>
                                  <w:rFonts w:hint="eastAsia" w:ascii="等线" w:hAnsi="等线" w:eastAsia="等线" w:cs="Times New Roman"/>
                                  <w:szCs w:val="21"/>
                                </w:rPr>
                              </w:pPr>
                              <w:r>
                                <w:rPr>
                                  <w:rFonts w:hint="eastAsia" w:ascii="等线" w:hAnsi="等线" w:eastAsia="等线" w:cs="Times New Roman"/>
                                  <w:szCs w:val="21"/>
                                </w:rPr>
                                <w:t>不存在</w:t>
                              </w:r>
                            </w:p>
                          </w:txbxContent>
                        </wps:txbx>
                        <wps:bodyPr rot="0" spcFirstLastPara="0" vert="horz" wrap="square" lIns="91440" tIns="45720" rIns="91440" bIns="45720" numCol="1" spcCol="0" rtlCol="0" fromWordArt="0" anchor="t" anchorCtr="0" forceAA="0" compatLnSpc="1">
                          <a:noAutofit/>
                        </wps:bodyPr>
                      </wps:wsp>
                      <wps:wsp>
                        <wps:cNvPr id="900717387" name="文本框 1"/>
                        <wps:cNvSpPr txBox="1"/>
                        <wps:spPr>
                          <a:xfrm>
                            <a:off x="1414440" y="1476179"/>
                            <a:ext cx="1427820" cy="297180"/>
                          </a:xfrm>
                          <a:prstGeom prst="rect">
                            <a:avLst/>
                          </a:prstGeom>
                          <a:noFill/>
                          <a:ln w="6350">
                            <a:noFill/>
                          </a:ln>
                        </wps:spPr>
                        <wps:txbx>
                          <w:txbxContent>
                            <w:p w14:paraId="48C840E4">
                              <w:pPr>
                                <w:rPr>
                                  <w:rFonts w:hint="eastAsia" w:ascii="等线" w:hAnsi="等线" w:eastAsia="等线" w:cs="Times New Roman"/>
                                  <w:sz w:val="20"/>
                                  <w:szCs w:val="20"/>
                                </w:rPr>
                              </w:pPr>
                              <w:r>
                                <w:rPr>
                                  <w:rFonts w:hint="eastAsia" w:ascii="等线" w:hAnsi="等线" w:eastAsia="等线" w:cs="Times New Roman"/>
                                  <w:sz w:val="20"/>
                                  <w:szCs w:val="20"/>
                                </w:rPr>
                                <w:t>两个以上印证证据</w:t>
                              </w:r>
                            </w:p>
                          </w:txbxContent>
                        </wps:txbx>
                        <wps:bodyPr rot="0" spcFirstLastPara="0" vert="horz" wrap="square" lIns="91440" tIns="45720" rIns="91440" bIns="45720" numCol="1" spcCol="0" rtlCol="0" fromWordArt="0" anchor="t" anchorCtr="0" forceAA="0" compatLnSpc="1">
                          <a:noAutofit/>
                        </wps:bodyPr>
                      </wps:wsp>
                      <wps:wsp>
                        <wps:cNvPr id="1376494982" name="文本框 1376494982"/>
                        <wps:cNvSpPr txBox="1"/>
                        <wps:spPr>
                          <a:xfrm>
                            <a:off x="2324100" y="2268659"/>
                            <a:ext cx="541020" cy="274320"/>
                          </a:xfrm>
                          <a:prstGeom prst="rect">
                            <a:avLst/>
                          </a:prstGeom>
                          <a:noFill/>
                          <a:ln w="6350">
                            <a:noFill/>
                          </a:ln>
                        </wps:spPr>
                        <wps:txbx>
                          <w:txbxContent>
                            <w:p w14:paraId="456E52C1">
                              <w:pPr>
                                <w:rPr>
                                  <w:rFonts w:hint="eastAsia"/>
                                </w:rPr>
                              </w:pPr>
                              <w:r>
                                <w:rPr>
                                  <w:rFonts w:hint="eastAsia"/>
                                </w:rPr>
                                <w:t>图1</w:t>
                              </w:r>
                            </w:p>
                          </w:txbxContent>
                        </wps:txbx>
                        <wps:bodyPr rot="0" spcFirstLastPara="0" vertOverflow="overflow" horzOverflow="overflow" vert="horz" wrap="square" lIns="91440" tIns="45720" rIns="91440" bIns="45720" numCol="1" spcCol="0" rtlCol="0" fromWordArt="0" anchor="t" anchorCtr="0" forceAA="0" compatLnSpc="1">
                          <a:noAutofit/>
                        </wps:bodyPr>
                      </wps:wsp>
                    </wpc:wpc>
                  </a:graphicData>
                </a:graphic>
              </wp:inline>
            </w:drawing>
          </mc:Choice>
          <mc:Fallback>
            <w:pict>
              <v:group id="画布 1" o:spid="_x0000_s1026" o:spt="203" style="height:207.6pt;width:415.3pt;" coordsize="5274310,2636520" editas="canvas" o:gfxdata="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">
                <o:lock v:ext="edit" aspectratio="f"/>
                <v:shape id="画布 1" o:spid="_x0000_s1026" style="position:absolute;left:0;top:0;height:2636520;width:5274310;" fillcolor="#FFFFFF" filled="t" stroked="f" coordsize="21600,21600" o:gfxdata="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">
                  <v:fill on="t" focussize="0,0"/>
                  <v:stroke on="f"/>
                  <v:imagedata o:title=""/>
                  <o:lock v:ext="edit" aspectratio="t"/>
                </v:shape>
                <v:roundrect id="矩形: 圆角 1841997545" o:spid="_x0000_s1026" o:spt="2" style="position:absolute;left:251460;top:51239;height:548640;width:960120;v-text-anchor:middle;" fillcolor="#FFFFFF" filled="t" stroked="t" coordsize="21600,21600" arcsize="0.166666666666667" o:gfxdata="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z2qZ31QAAAAUBAAAPAAAAAAAAAAEAIAAAACIAAABkcnMv&#10;ZG93bnJldi54bWxQSwECFAAUAAAACACHTuJAXEL8kLECAABEBQAADgAAAAAAAAABACAAAAAkAQAA&#10;ZHJzL2Uyb0RvYy54bWxQSwUGAAAAAAYABgBZAQAARwYAAAAA&#10;">
                  <v:fill on="t" focussize="0,0"/>
                  <v:stroke weight="1pt" color="#4EA72E" miterlimit="8" joinstyle="miter"/>
                  <v:imagedata o:title=""/>
                  <o:lock v:ext="edit" aspectratio="f"/>
                  <v:textbox>
                    <w:txbxContent>
                      <w:p w14:paraId="6B9E34AE">
                        <w:pPr>
                          <w:jc w:val="center"/>
                          <w:rPr>
                            <w:rFonts w:hint="eastAsia"/>
                          </w:rPr>
                        </w:pPr>
                        <w:r>
                          <w:rPr>
                            <w:rFonts w:hint="eastAsia"/>
                          </w:rPr>
                          <w:t>是否存在隐蔽性证据</w:t>
                        </w:r>
                      </w:p>
                    </w:txbxContent>
                  </v:textbox>
                </v:roundrect>
                <v:shape id="_x0000_s1026" o:spid="_x0000_s1026" o:spt="32" type="#_x0000_t32" style="position:absolute;left:1318260;top:348419;height:0;width:530520;" filled="f" stroked="t" coordsize="21600,21600" o:gfxdata="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I9oVbW&#10;AAAABQEAAA8AAAAAAAAAAQAgAAAAIgAAAGRycy9kb3ducmV2LnhtbFBLAQIUABQAAAAIAIdO4kDd&#10;0yYYIgIAAAkEAAAOAAAAAAAAAAEAIAAAACUBAABkcnMvZTJvRG9jLnhtbFBLBQYAAAAABgAGAFkB&#10;AAC5BQAAAAA=&#10;">
                  <v:fill on="f" focussize="0,0"/>
                  <v:stroke weight="0.5pt" color="#156082" miterlimit="8" joinstyle="miter" endarrow="block"/>
                  <v:imagedata o:title=""/>
                  <o:lock v:ext="edit" aspectratio="f"/>
                </v:shape>
                <v:roundrect id="矩形: 圆角 543831868" o:spid="_x0000_s1026" o:spt="2" style="position:absolute;left:2024040;top:51239;height:548640;width:1158240;v-text-anchor:middle;" fillcolor="#FFFFFF" filled="t" stroked="t" coordsize="21600,21600" arcsize="0.166666666666667" o:gfxdata="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89qmd9UAAAAFAQAADwAAAAAAAAABACAAAAAiAAAAZHJzL2Rvd25yZXYueG1sUEsBAhQAFAAA&#10;AAgAh07iQFDBYVGdAgAAFAUAAA4AAAAAAAAAAQAgAAAAJAEAAGRycy9lMm9Eb2MueG1sUEsFBgAA&#10;AAAGAAYAWQEAADMGAAAAAA==&#10;">
                  <v:fill on="t" focussize="0,0"/>
                  <v:stroke weight="1pt" color="#4EA72E" miterlimit="8" joinstyle="miter"/>
                  <v:imagedata o:title=""/>
                  <o:lock v:ext="edit" aspectratio="f"/>
                  <v:textbox>
                    <w:txbxContent>
                      <w:p w14:paraId="2F57D82B">
                        <w:pPr>
                          <w:jc w:val="center"/>
                          <w:rPr>
                            <w:rFonts w:hint="eastAsia" w:ascii="等线" w:hAnsi="等线" w:eastAsia="等线" w:cs="Times New Roman"/>
                            <w:szCs w:val="21"/>
                          </w:rPr>
                        </w:pPr>
                        <w:r>
                          <w:rPr>
                            <w:rFonts w:hint="eastAsia" w:ascii="等线" w:hAnsi="等线" w:eastAsia="等线" w:cs="Times New Roman"/>
                            <w:szCs w:val="21"/>
                          </w:rPr>
                          <w:t>达到基本证明力标准</w:t>
                        </w:r>
                      </w:p>
                    </w:txbxContent>
                  </v:textbox>
                </v:roundrect>
                <v:roundrect id="矩形: 圆角 1672188410" o:spid="_x0000_s1026" o:spt="2" style="position:absolute;left:3939540;top:107459;height:492420;width:1018200;v-text-anchor:middle;" fillcolor="#FFFFFF" filled="t" stroked="t" coordsize="21600,21600" arcsize="0.166666666666667" o:gfxdata="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z2qZ31QAAAAUBAAAPAAAAAAAAAAEAIAAAACIAAABkcnMvZG93bnJldi54bWxQ&#10;SwECFAAUAAAACACHTuJAWI1RBKUCAAAXBQAADgAAAAAAAAABACAAAAAkAQAAZHJzL2Uyb0RvYy54&#10;bWxQSwUGAAAAAAYABgBZAQAAOwYAAAAA&#10;">
                  <v:fill on="t" focussize="0,0"/>
                  <v:stroke weight="1pt" color="#4EA72E" miterlimit="8" joinstyle="miter"/>
                  <v:imagedata o:title=""/>
                  <o:lock v:ext="edit" aspectratio="f"/>
                  <v:textbox>
                    <w:txbxContent>
                      <w:p w14:paraId="580CC542">
                        <w:pPr>
                          <w:jc w:val="center"/>
                          <w:rPr>
                            <w:rFonts w:hint="eastAsia" w:ascii="等线" w:hAnsi="等线" w:eastAsia="等线" w:cs="Times New Roman"/>
                            <w:szCs w:val="21"/>
                          </w:rPr>
                        </w:pPr>
                        <w:r>
                          <w:rPr>
                            <w:rFonts w:hint="eastAsia" w:ascii="等线" w:hAnsi="等线" w:eastAsia="等线" w:cs="Times New Roman"/>
                            <w:szCs w:val="21"/>
                          </w:rPr>
                          <w:t>动态补强</w:t>
                        </w:r>
                      </w:p>
                    </w:txbxContent>
                  </v:textbox>
                </v:roundrect>
                <v:shape id="_x0000_s1026" o:spid="_x0000_s1026" o:spt="32" type="#_x0000_t32" style="position:absolute;left:3273720;top:348419;height:0;width:530225;" filled="f" stroked="t" coordsize="21600,21600" o:gfxdata="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Mj2h&#10;VtYAAAAFAQAADwAAAAAAAAABACAAAAAiAAAAZHJzL2Rvd25yZXYueG1sUEsBAhQAFAAAAAgAh07i&#10;QEXJBzgkAgAACwQAAA4AAAAAAAAAAQAgAAAAJQEAAGRycy9lMm9Eb2MueG1sUEsFBgAAAAAGAAYA&#10;WQEAALsFAAAAAA==&#10;">
                  <v:fill on="f" focussize="0,0"/>
                  <v:stroke weight="0.5pt" color="#156082" miterlimit="8" joinstyle="miter" endarrow="block"/>
                  <v:imagedata o:title=""/>
                  <o:lock v:ext="edit" aspectratio="f"/>
                </v:shape>
                <v:roundrect id="矩形: 圆角 1616833624" o:spid="_x0000_s1026" o:spt="2" style="position:absolute;left:180000;top:1442819;height:548640;width:1158240;v-text-anchor:middle;" fillcolor="#FFFFFF" filled="t" stroked="t" coordsize="21600,21600" arcsize="0.166666666666667" o:gfxdata="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PPapnfVAAAABQEAAA8AAAAAAAAAAQAgAAAAIgAAAGRycy9kb3ducmV2LnhtbFBLAQIUABQA&#10;AAAIAIdO4kBAQ6oUngIAABcFAAAOAAAAAAAAAAEAIAAAACQBAABkcnMvZTJvRG9jLnhtbFBLBQYA&#10;AAAABgAGAFkBAAA0BgAAAAA=&#10;">
                  <v:fill on="t" focussize="0,0"/>
                  <v:stroke weight="1pt" color="#4EA72E" miterlimit="8" joinstyle="miter"/>
                  <v:imagedata o:title=""/>
                  <o:lock v:ext="edit" aspectratio="f"/>
                  <v:textbox>
                    <w:txbxContent>
                      <w:p w14:paraId="7CF8546F">
                        <w:pPr>
                          <w:jc w:val="center"/>
                          <w:rPr>
                            <w:rFonts w:hint="eastAsia" w:ascii="等线" w:hAnsi="等线" w:eastAsia="等线" w:cs="Times New Roman"/>
                            <w:szCs w:val="21"/>
                          </w:rPr>
                        </w:pPr>
                        <w:r>
                          <w:rPr>
                            <w:rFonts w:hint="eastAsia" w:ascii="等线" w:hAnsi="等线" w:eastAsia="等线" w:cs="Times New Roman"/>
                            <w:szCs w:val="21"/>
                          </w:rPr>
                          <w:t>未达到基本</w:t>
                        </w:r>
                      </w:p>
                      <w:p w14:paraId="5DCC0FE6">
                        <w:pPr>
                          <w:jc w:val="center"/>
                          <w:rPr>
                            <w:rFonts w:hint="eastAsia" w:ascii="等线" w:hAnsi="等线" w:eastAsia="等线" w:cs="Times New Roman"/>
                            <w:szCs w:val="21"/>
                          </w:rPr>
                        </w:pPr>
                        <w:r>
                          <w:rPr>
                            <w:rFonts w:hint="eastAsia" w:ascii="等线" w:hAnsi="等线" w:eastAsia="等线" w:cs="Times New Roman"/>
                            <w:szCs w:val="21"/>
                          </w:rPr>
                          <w:t>证明力标准</w:t>
                        </w:r>
                      </w:p>
                    </w:txbxContent>
                  </v:textbox>
                </v:roundrect>
                <v:shape id="_x0000_s1026" o:spid="_x0000_s1026" o:spt="32" type="#_x0000_t32" style="position:absolute;left:713400;top:655079;height:676320;width:0;" filled="f" stroked="t" coordsize="21600,21600" o:gfxdata="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I9oVbW&#10;AAAABQEAAA8AAAAAAAAAAQAgAAAAIgAAAGRycy9kb3ducmV2LnhtbFBLAQIUABQAAAAIAIdO4kAG&#10;gyucIgIAAAgEAAAOAAAAAAAAAAEAIAAAACUBAABkcnMvZTJvRG9jLnhtbFBLBQYAAAAABgAGAFkB&#10;AAC5BQAAAAA=&#10;">
                  <v:fill on="f" focussize="0,0"/>
                  <v:stroke weight="0.5pt" color="#156082" miterlimit="8" joinstyle="miter" endarrow="block"/>
                  <v:imagedata o:title=""/>
                  <o:lock v:ext="edit" aspectratio="f"/>
                </v:shape>
                <v:line id="_x0000_s1026" o:spid="_x0000_s1026" o:spt="20" style="position:absolute;left:1531620;top:1773359;height:0;width:1051560;" filled="f" stroked="t" coordsize="21600,21600" o:gfxdata="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vsxwh1QAAAAUBAAAPAAAAAAAAAAEAIAAAACIAAABkcnMvZG93bnJl&#10;di54bWxQSwECFAAUAAAACACHTuJAVul0XwACAADdAwAADgAAAAAAAAABACAAAAAkAQAAZHJzL2Uy&#10;b0RvYy54bWxQSwUGAAAAAAYABgBZAQAAlgUAAAAA&#10;">
                  <v:fill on="f" focussize="0,0"/>
                  <v:stroke weight="0.5pt" color="#156082" miterlimit="8" joinstyle="miter"/>
                  <v:imagedata o:title=""/>
                  <o:lock v:ext="edit" aspectratio="f"/>
                </v:line>
                <v:shape id="_x0000_s1026" o:spid="_x0000_s1026" o:spt="32" type="#_x0000_t32" style="position:absolute;left:2583180;top:775139;flip:y;height:998220;width:0;" filled="f" stroked="t" coordsize="21600,21600" o:gfxdata="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44eg3XAAAABQEAAA8AAAAAAAAAAQAgAAAAIgAAAGRycy9kb3ducmV2LnhtbFBLAQIUABQA&#10;AAAIAIdO4kA8ABPFKgIAABUEAAAOAAAAAAAAAAEAIAAAACYBAABkcnMvZTJvRG9jLnhtbFBLBQYA&#10;AAAABgAGAFkBAADCBQAAAAA=&#10;">
                  <v:fill on="f" focussize="0,0"/>
                  <v:stroke weight="0.5pt" color="#156082" miterlimit="8" joinstyle="miter" endarrow="block"/>
                  <v:imagedata o:title=""/>
                  <o:lock v:ext="edit" aspectratio="f"/>
                </v:shape>
                <v:shape id="_x0000_s1026" o:spid="_x0000_s1026" o:spt="202" type="#_x0000_t202" style="position:absolute;left:1318260;top:35999;height:297180;width:461940;" fillcolor="#FFFFFF" filled="t" stroked="f" coordsize="21600,21600" o:gfxdata="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3p0vjSAAAABQEAAA8AAAAAAAAAAQAgAAAAIgAAAGRycy9kb3ducmV2LnhtbFBLAQIU&#10;ABQAAAAIAIdO4kCNDTUQawIAALoEAAAOAAAAAAAAAAEAIAAAACEBAABkcnMvZTJvRG9jLnhtbFBL&#10;BQYAAAAABgAGAFkBAAD+BQAAAAA=&#10;">
                  <v:fill on="t" focussize="0,0"/>
                  <v:stroke on="f" weight="0.5pt"/>
                  <v:imagedata o:title=""/>
                  <o:lock v:ext="edit" aspectratio="f"/>
                  <v:textbox>
                    <w:txbxContent>
                      <w:p w14:paraId="788AC1D8">
                        <w:pPr>
                          <w:rPr>
                            <w:rFonts w:hint="eastAsia"/>
                          </w:rPr>
                        </w:pPr>
                        <w:r>
                          <w:rPr>
                            <w:rFonts w:hint="eastAsia"/>
                          </w:rPr>
                          <w:t>存在</w:t>
                        </w:r>
                      </w:p>
                    </w:txbxContent>
                  </v:textbox>
                </v:shape>
                <v:shape id="文本框 1" o:spid="_x0000_s1026" o:spt="202" type="#_x0000_t202" style="position:absolute;left:766740;top:654059;height:671580;width:315300;" filled="f" stroked="f" coordsize="21600,21600" o:gfxdata="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TfcT3XAAAABQEAAA8AAAAAAAAAAQAgAAAAIgAAAGRycy9kb3du&#10;cmV2LnhtbFBLAQIUABQAAAAIAIdO4kCND2NxOQIAAEgEAAAOAAAAAAAAAAEAIAAAACYBAABkcnMv&#10;ZTJvRG9jLnhtbFBLBQYAAAAABgAGAFkBAADRBQAAAAA=&#10;">
                  <v:fill on="f" focussize="0,0"/>
                  <v:stroke on="f" weight="0.5pt"/>
                  <v:imagedata o:title=""/>
                  <o:lock v:ext="edit" aspectratio="f"/>
                  <v:textbox>
                    <w:txbxContent>
                      <w:p w14:paraId="7E3B6CC2">
                        <w:pPr>
                          <w:rPr>
                            <w:rFonts w:hint="eastAsia" w:ascii="等线" w:hAnsi="等线" w:eastAsia="等线" w:cs="Times New Roman"/>
                            <w:szCs w:val="21"/>
                          </w:rPr>
                        </w:pPr>
                        <w:r>
                          <w:rPr>
                            <w:rFonts w:hint="eastAsia" w:ascii="等线" w:hAnsi="等线" w:eastAsia="等线" w:cs="Times New Roman"/>
                            <w:szCs w:val="21"/>
                          </w:rPr>
                          <w:t>不存在</w:t>
                        </w:r>
                      </w:p>
                    </w:txbxContent>
                  </v:textbox>
                </v:shape>
                <v:shape id="文本框 1" o:spid="_x0000_s1026" o:spt="202" type="#_x0000_t202" style="position:absolute;left:1414440;top:1476179;height:297180;width:1427820;" filled="f" stroked="f" coordsize="21600,21600" o:gfxdata="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U33E91wAAAAUBAAAPAAAAAAAAAAEAIAAAACIAAABkcnMvZG93&#10;bnJldi54bWxQSwECFAAUAAAACACHTuJAzhTy/DoCAABKBAAADgAAAAAAAAABACAAAAAmAQAAZHJz&#10;L2Uyb0RvYy54bWxQSwUGAAAAAAYABgBZAQAA0gUAAAAA&#10;">
                  <v:fill on="f" focussize="0,0"/>
                  <v:stroke on="f" weight="0.5pt"/>
                  <v:imagedata o:title=""/>
                  <o:lock v:ext="edit" aspectratio="f"/>
                  <v:textbox>
                    <w:txbxContent>
                      <w:p w14:paraId="48C840E4">
                        <w:pPr>
                          <w:rPr>
                            <w:rFonts w:hint="eastAsia" w:ascii="等线" w:hAnsi="等线" w:eastAsia="等线" w:cs="Times New Roman"/>
                            <w:sz w:val="20"/>
                            <w:szCs w:val="20"/>
                          </w:rPr>
                        </w:pPr>
                        <w:r>
                          <w:rPr>
                            <w:rFonts w:hint="eastAsia" w:ascii="等线" w:hAnsi="等线" w:eastAsia="等线" w:cs="Times New Roman"/>
                            <w:sz w:val="20"/>
                            <w:szCs w:val="20"/>
                          </w:rPr>
                          <w:t>两个以上印证证据</w:t>
                        </w:r>
                      </w:p>
                    </w:txbxContent>
                  </v:textbox>
                </v:shape>
                <v:shape id="_x0000_s1026" o:spid="_x0000_s1026" o:spt="202" type="#_x0000_t202" style="position:absolute;left:2324100;top:2268659;height:274320;width:541020;" filled="f" stroked="f" coordsize="21600,21600" o:gfxdata="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N9xPdcAAAAFAQAADwAAAAAA&#10;AAABACAAAAAiAAAAZHJzL2Rvd25yZXYueG1sUEsBAhQAFAAAAAgAh07iQLCiHDNNAgAAgwQAAA4A&#10;AAAAAAAAAQAgAAAAJgEAAGRycy9lMm9Eb2MueG1sUEsFBgAAAAAGAAYAWQEAAOUFAAAAAA==&#10;">
                  <v:fill on="f" focussize="0,0"/>
                  <v:stroke on="f" weight="0.5pt"/>
                  <v:imagedata o:title=""/>
                  <o:lock v:ext="edit" aspectratio="f"/>
                  <v:textbox>
                    <w:txbxContent>
                      <w:p w14:paraId="456E52C1">
                        <w:pPr>
                          <w:rPr>
                            <w:rFonts w:hint="eastAsia"/>
                          </w:rPr>
                        </w:pPr>
                        <w:r>
                          <w:rPr>
                            <w:rFonts w:hint="eastAsia"/>
                          </w:rPr>
                          <w:t>图1</w:t>
                        </w:r>
                      </w:p>
                    </w:txbxContent>
                  </v:textbox>
                </v:shape>
                <w10:wrap type="none"/>
                <w10:anchorlock/>
              </v:group>
            </w:pict>
          </mc:Fallback>
        </mc:AlternateContent>
      </w:r>
    </w:p>
    <w:p w14:paraId="4C2BB397">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（一）隐蔽性证据规则的性质厘定</w:t>
      </w:r>
    </w:p>
    <w:p w14:paraId="06487D2E">
      <w:pPr>
        <w:ind w:firstLine="480" w:firstLineChars="200"/>
        <w:rPr>
          <w:rFonts w:hint="eastAsia" w:ascii="宋体" w:hAnsi="宋体" w:eastAsia="宋体"/>
          <w:sz w:val="24"/>
          <w:szCs w:val="28"/>
        </w:rPr>
      </w:pPr>
      <w:r>
        <w:rPr>
          <w:rFonts w:hint="eastAsia" w:ascii="宋体" w:hAnsi="宋体" w:eastAsia="宋体"/>
          <w:sz w:val="24"/>
          <w:szCs w:val="28"/>
        </w:rPr>
        <w:t>2010年两高三部发布的《关于办理死刑案件审查判断证据若干问题的规定》中：“根据被告人的供述、指认提取到了隐蔽性很强的物证、书证，且与其他证明犯罪事实发生的证据互相印证，并排除串供、逼供、诱供等可能性的，可以认定有罪。”该规定首次确立了隐蔽性证据规则。</w:t>
      </w:r>
    </w:p>
    <w:p w14:paraId="2B7686A3">
      <w:pPr>
        <w:ind w:firstLine="480" w:firstLineChars="200"/>
        <w:rPr>
          <w:rFonts w:hint="eastAsia" w:ascii="宋体" w:hAnsi="宋体" w:eastAsia="宋体"/>
          <w:sz w:val="24"/>
          <w:szCs w:val="28"/>
        </w:rPr>
      </w:pPr>
      <w:r>
        <w:rPr>
          <w:rFonts w:hint="eastAsia" w:ascii="宋体" w:hAnsi="宋体" w:eastAsia="宋体"/>
          <w:sz w:val="24"/>
          <w:szCs w:val="28"/>
        </w:rPr>
        <w:t>自隐蔽性证据规则确立以来，学界对于该规则的性质向来存在两种分歧，即“证明标准说”与“口供补强规则说”。前者认为隐蔽性证据因证明力较强能够验证被告人供述的真实性，并且基于《刑诉法解释》第106条的规定认为隐蔽性证据实现证明目的具有“被告人的供述与其他证明犯罪事实发生的证据相互印证”以及“排除串供、逼供、诱供的可能性”的规范保障，因此应当将其作为一项证明标准来使用。</w:t>
      </w:r>
      <w:r>
        <w:rPr>
          <w:rStyle w:val="9"/>
          <w:rFonts w:hint="eastAsia" w:ascii="宋体" w:hAnsi="宋体" w:eastAsia="宋体"/>
          <w:sz w:val="24"/>
          <w:szCs w:val="28"/>
        </w:rPr>
        <w:footnoteReference w:id="18"/>
      </w:r>
      <w:r>
        <w:rPr>
          <w:rFonts w:hint="eastAsia" w:ascii="宋体" w:hAnsi="宋体" w:eastAsia="宋体"/>
          <w:sz w:val="24"/>
          <w:szCs w:val="28"/>
        </w:rPr>
        <w:t>然而从立法的角度来看，证明标准由我国刑事诉讼法规定，而现行隐蔽性证据则由我国《刑事诉讼法》作出规定，将隐蔽性规则等同于证明标准无疑是对《立法法》的违反。</w:t>
      </w:r>
      <w:r>
        <w:rPr>
          <w:rStyle w:val="9"/>
          <w:rFonts w:hint="eastAsia" w:ascii="宋体" w:hAnsi="宋体" w:eastAsia="宋体"/>
          <w:sz w:val="24"/>
          <w:szCs w:val="28"/>
        </w:rPr>
        <w:footnoteReference w:id="19"/>
      </w:r>
      <w:r>
        <w:rPr>
          <w:rFonts w:hint="eastAsia" w:ascii="宋体" w:hAnsi="宋体" w:eastAsia="宋体"/>
          <w:sz w:val="24"/>
          <w:szCs w:val="28"/>
        </w:rPr>
        <w:t>其次从功能的角度看，隐蔽性证据通常只为参与犯罪者知晓，可以表明口供具有较高的真实性。这一特性让其具有了明显的补强功能，如果将隐蔽性证据规则理解为严格的刑事证明标准，不仅会造成隐蔽性证据的功能流失，更会导致控方证明难度的不必要提升，与认罪认罚程序不兼容。此外，从规范的角度看，在2012年及2021年的《刑诉法解释》中，“与其他证明犯罪事实发生的证据互相印证”的主语被明确为“被告人的供述”，这与口供补强规则相契合。以上几点皆表明隐蔽性证据规则应当具有口供补强规则的性质而非证明标准性质。</w:t>
      </w:r>
    </w:p>
    <w:p w14:paraId="24467B4A">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（二）以是否存在隐蔽性证据作为基本证明力标准</w:t>
      </w:r>
    </w:p>
    <w:p w14:paraId="04E05D91">
      <w:pPr>
        <w:ind w:firstLine="480" w:firstLineChars="200"/>
        <w:rPr>
          <w:rFonts w:hint="eastAsia" w:ascii="宋体" w:hAnsi="宋体" w:eastAsia="宋体"/>
          <w:sz w:val="24"/>
          <w:szCs w:val="28"/>
        </w:rPr>
      </w:pPr>
      <w:r>
        <w:rPr>
          <w:rFonts w:hint="eastAsia" w:ascii="宋体" w:hAnsi="宋体" w:eastAsia="宋体"/>
          <w:sz w:val="24"/>
          <w:szCs w:val="28"/>
        </w:rPr>
        <w:t>口供补强总体上存在两种不同的模式，即“罪体标准”和“可信性标准”。罪体标准最早起源于17世纪的英美法中，其对采纳被告人供述作出了前置性要求，即需有必要证据证明罪体因素。该规则要求存在三个要素以证明口供的真实性。首先是犯罪结果存在性，即犯罪行为造成的损害后果必须是现实存在的。其次是行为结果同一性，即该后果必须是该犯罪行为造成的，排除非人力因素。最后是主体同一性，即被告人必须是该项犯罪行为的实施人。</w:t>
      </w:r>
      <w:r>
        <w:rPr>
          <w:rStyle w:val="9"/>
          <w:rFonts w:hint="eastAsia" w:ascii="宋体" w:hAnsi="宋体" w:eastAsia="宋体"/>
          <w:sz w:val="24"/>
          <w:szCs w:val="28"/>
        </w:rPr>
        <w:footnoteReference w:id="20"/>
      </w:r>
      <w:r>
        <w:rPr>
          <w:rFonts w:hint="eastAsia" w:ascii="宋体" w:hAnsi="宋体" w:eastAsia="宋体"/>
          <w:sz w:val="24"/>
          <w:szCs w:val="28"/>
        </w:rPr>
        <w:t>罪体标准的优势在于以严格的标准有效地防范了冤假错案，但随着犯罪的种类与数量不断扩张以及各种危险犯、行为犯的出现，罪体标准已经难以适应不断发展的司法实践需求，因此“可信性标准”越来越受到司法人员的欢迎。可信性标准仅要求对口供本身的真实性进行补强而无需预先设定待证因素。</w:t>
      </w:r>
      <w:r>
        <w:rPr>
          <w:rStyle w:val="9"/>
          <w:rFonts w:hint="eastAsia" w:ascii="宋体" w:hAnsi="宋体" w:eastAsia="宋体"/>
          <w:sz w:val="24"/>
          <w:szCs w:val="28"/>
        </w:rPr>
        <w:footnoteReference w:id="21"/>
      </w:r>
      <w:r>
        <w:rPr>
          <w:rFonts w:hint="eastAsia" w:ascii="宋体" w:hAnsi="宋体" w:eastAsia="宋体"/>
          <w:sz w:val="24"/>
          <w:szCs w:val="28"/>
        </w:rPr>
        <w:t>这一标准的设立极大的促进了司法效率的提升，同时由于其重点审查口供的真实性，因此也具有一定的人权保障功能。但由于其对犯罪行为是否真实发生这一因素的证明无力以及证明准入门槛极低的弊端，在提升了司法效率的同时也容易导致冤假错案。</w:t>
      </w:r>
    </w:p>
    <w:p w14:paraId="4C4E329B">
      <w:pPr>
        <w:ind w:firstLine="480" w:firstLineChars="200"/>
        <w:rPr>
          <w:rFonts w:hint="eastAsia" w:ascii="宋体" w:hAnsi="宋体" w:eastAsia="宋体"/>
          <w:sz w:val="24"/>
          <w:szCs w:val="28"/>
        </w:rPr>
      </w:pPr>
      <w:r>
        <w:rPr>
          <w:rFonts w:hint="eastAsia" w:ascii="宋体" w:hAnsi="宋体" w:eastAsia="宋体"/>
          <w:sz w:val="24"/>
          <w:szCs w:val="28"/>
        </w:rPr>
        <w:t>隐蔽性证据要求包含只有作案人知晓的案件隐蔽信息。“如果一个人未参与犯罪，就不可能了解该案的细节。”根据这一经验逻辑，隐蔽性证据的作用应在于证明被告人与行为人的同一性，</w:t>
      </w:r>
      <w:r>
        <w:rPr>
          <w:rStyle w:val="9"/>
          <w:rFonts w:hint="eastAsia" w:ascii="宋体" w:hAnsi="宋体" w:eastAsia="宋体"/>
          <w:sz w:val="24"/>
          <w:szCs w:val="28"/>
        </w:rPr>
        <w:footnoteReference w:id="22"/>
      </w:r>
      <w:r>
        <w:rPr>
          <w:rFonts w:hint="eastAsia" w:ascii="宋体" w:hAnsi="宋体" w:eastAsia="宋体"/>
          <w:sz w:val="24"/>
          <w:szCs w:val="28"/>
        </w:rPr>
        <w:t>这一点与罪体标准中的主体同一性因素相契合。基于罪体标准构造补强路径符合我国实质真实主义的法律传统，因此，以隐蔽性证据作为证明主体同一性的证据类型，当口供的自愿性未受污染时，隐蔽性证据的发现能够证明口供作出者与行为人的主体同一。也就是说，是否存在隐蔽性证据可以作为一种基本证明力标准：若存在隐蔽性证据能与该口供相互印证，则表明达到了口供补强的第一步——基本证明力标准达标。</w:t>
      </w:r>
    </w:p>
    <w:p w14:paraId="755F012D">
      <w:pPr>
        <w:ind w:firstLine="480" w:firstLineChars="200"/>
        <w:rPr>
          <w:rFonts w:hint="eastAsia" w:ascii="宋体" w:hAnsi="宋体" w:eastAsia="宋体"/>
          <w:sz w:val="24"/>
          <w:szCs w:val="28"/>
        </w:rPr>
      </w:pPr>
      <w:r>
        <w:rPr>
          <w:rFonts w:hint="eastAsia" w:ascii="宋体" w:hAnsi="宋体" w:eastAsia="宋体"/>
          <w:sz w:val="24"/>
          <w:szCs w:val="28"/>
        </w:rPr>
        <w:t>若办案成员根据犯罪嫌疑人口供并未提取到隐蔽性证据，则意味着针对目前的口供尚不足以形成心证，因此至少需要两个以上的印证证据来帮助办案人员达到与上述基本证明力标准相当的心证程度。同时在这种情况下，应当着重审查如指供、诱供、虚假补强等各种可能污染口供的情形，</w:t>
      </w:r>
      <w:r>
        <w:rPr>
          <w:rStyle w:val="9"/>
          <w:rFonts w:hint="eastAsia" w:ascii="宋体" w:hAnsi="宋体" w:eastAsia="宋体"/>
          <w:sz w:val="24"/>
          <w:szCs w:val="28"/>
        </w:rPr>
        <w:footnoteReference w:id="23"/>
      </w:r>
      <w:r>
        <w:rPr>
          <w:rFonts w:hint="eastAsia" w:ascii="宋体" w:hAnsi="宋体" w:eastAsia="宋体"/>
          <w:sz w:val="24"/>
          <w:szCs w:val="28"/>
        </w:rPr>
        <w:t>以此来保证达到基本证明力标准。</w:t>
      </w:r>
    </w:p>
    <w:p w14:paraId="5CC45911">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（三）基本证明达标后的动态补强路径</w:t>
      </w:r>
    </w:p>
    <w:p w14:paraId="6E6FAA9D">
      <w:pPr>
        <w:ind w:firstLine="480" w:firstLineChars="200"/>
        <w:rPr>
          <w:rFonts w:hint="eastAsia" w:ascii="宋体" w:hAnsi="宋体" w:eastAsia="宋体"/>
          <w:sz w:val="24"/>
          <w:szCs w:val="28"/>
        </w:rPr>
      </w:pPr>
      <w:r>
        <w:rPr>
          <w:rFonts w:hint="eastAsia" w:ascii="宋体" w:hAnsi="宋体" w:eastAsia="宋体"/>
          <w:sz w:val="24"/>
          <w:szCs w:val="28"/>
        </w:rPr>
        <w:t>英国法学家哈特曾提出：在“同样情况同样对待”之外还需要“不同情况不同对待”。</w:t>
      </w:r>
      <w:r>
        <w:rPr>
          <w:rStyle w:val="9"/>
          <w:rFonts w:hint="eastAsia" w:ascii="宋体" w:hAnsi="宋体" w:eastAsia="宋体"/>
          <w:sz w:val="24"/>
          <w:szCs w:val="28"/>
        </w:rPr>
        <w:footnoteReference w:id="24"/>
      </w:r>
      <w:r>
        <w:rPr>
          <w:rFonts w:hint="eastAsia" w:ascii="宋体" w:hAnsi="宋体" w:eastAsia="宋体"/>
          <w:sz w:val="24"/>
          <w:szCs w:val="28"/>
        </w:rPr>
        <w:t xml:space="preserve"> 所谓“平等对待”就是要对每个个体进行差异化的区分、辨别，而当“平等对待”被置换成“同案同判”意义上的结果平等时，恰恰可能导致实质上的不平等，这也就意味着“司法评价的意义被取消了。”</w:t>
      </w:r>
      <w:r>
        <w:rPr>
          <w:rStyle w:val="9"/>
          <w:rFonts w:hint="eastAsia" w:ascii="宋体" w:hAnsi="宋体" w:eastAsia="宋体"/>
          <w:sz w:val="24"/>
          <w:szCs w:val="28"/>
        </w:rPr>
        <w:footnoteReference w:id="25"/>
      </w:r>
      <w:r>
        <w:rPr>
          <w:rFonts w:hint="eastAsia" w:ascii="宋体" w:hAnsi="宋体" w:eastAsia="宋体"/>
          <w:sz w:val="24"/>
          <w:szCs w:val="28"/>
        </w:rPr>
        <w:t>在认罪认罚案件中，一方面，嫌疑人虚假供述成本低，替人顶罪风险小。在亚当斯密提出的理性经济人假设中，经济人总是会理性地追求利益最大化。</w:t>
      </w:r>
      <w:r>
        <w:rPr>
          <w:rStyle w:val="9"/>
          <w:rFonts w:hint="eastAsia" w:ascii="宋体" w:hAnsi="宋体" w:eastAsia="宋体"/>
          <w:sz w:val="24"/>
          <w:szCs w:val="28"/>
        </w:rPr>
        <w:footnoteReference w:id="26"/>
      </w:r>
      <w:r>
        <w:rPr>
          <w:rFonts w:hint="eastAsia" w:ascii="宋体" w:hAnsi="宋体" w:eastAsia="宋体"/>
          <w:sz w:val="24"/>
          <w:szCs w:val="28"/>
        </w:rPr>
        <w:t>轻罪案件量刑本身较低，口供者再通过认罪认罚实现量刑优惠，更加剧了其作出虚假供述替人顶罪的动机。另一方面，认罪认罚案件获取口供的难度大大降低，办案人员为追求效率可能会忽视对口供的审查。控辩双方对于认罪认罚程序正向功能的不当利用可能会造成负向效果，不利于发现实质真实。因此认罪认罚证据审查时，如果僵硬地使用同一套补强路径难免会陷入冤案错案的风险。因此口供补强在达到第一层标准之后，仍需进行第二层分析，即根据不同案件类型动态地进行判断。</w:t>
      </w:r>
    </w:p>
    <w:p w14:paraId="749EE0EF">
      <w:pPr>
        <w:ind w:firstLine="480" w:firstLineChars="200"/>
        <w:rPr>
          <w:rFonts w:hint="eastAsia" w:ascii="宋体" w:hAnsi="宋体" w:eastAsia="宋体"/>
          <w:sz w:val="24"/>
          <w:szCs w:val="28"/>
        </w:rPr>
      </w:pPr>
      <w:r>
        <w:rPr>
          <w:rFonts w:hint="eastAsia" w:ascii="宋体" w:hAnsi="宋体" w:eastAsia="宋体"/>
          <w:sz w:val="24"/>
          <w:szCs w:val="28"/>
        </w:rPr>
        <w:t xml:space="preserve"> “作用大小既非绝对也非固定，其取决于波云诡谲的运动中所形成的不同的力”，</w:t>
      </w:r>
      <w:r>
        <w:rPr>
          <w:rStyle w:val="9"/>
          <w:rFonts w:hint="eastAsia" w:ascii="宋体" w:hAnsi="宋体" w:eastAsia="宋体"/>
          <w:sz w:val="24"/>
          <w:szCs w:val="28"/>
        </w:rPr>
        <w:footnoteReference w:id="27"/>
      </w:r>
      <w:r>
        <w:rPr>
          <w:rFonts w:hint="eastAsia" w:ascii="宋体" w:hAnsi="宋体" w:eastAsia="宋体"/>
          <w:sz w:val="24"/>
          <w:szCs w:val="28"/>
        </w:rPr>
        <w:t>也就是说对作用大小起决定性作用的力并不绝对，而应当根据不同的情况而分别对待。该观点成为威尔博格动态系统论的核心要义。动态系统论在概念法学的僵硬性与自由法学的不可预测性之间寻求衡平，其主张</w:t>
      </w:r>
      <w:r>
        <w:rPr>
          <w:rFonts w:ascii="宋体" w:hAnsi="宋体" w:eastAsia="宋体"/>
          <w:sz w:val="24"/>
          <w:szCs w:val="28"/>
        </w:rPr>
        <w:t>法律规则</w:t>
      </w:r>
      <w:r>
        <w:rPr>
          <w:rFonts w:hint="eastAsia" w:ascii="宋体" w:hAnsi="宋体" w:eastAsia="宋体"/>
          <w:sz w:val="24"/>
          <w:szCs w:val="28"/>
        </w:rPr>
        <w:t>应</w:t>
      </w:r>
      <w:r>
        <w:rPr>
          <w:rFonts w:ascii="宋体" w:hAnsi="宋体" w:eastAsia="宋体"/>
          <w:sz w:val="24"/>
          <w:szCs w:val="28"/>
        </w:rPr>
        <w:t>在</w:t>
      </w:r>
      <w:r>
        <w:rPr>
          <w:rFonts w:hint="eastAsia" w:ascii="宋体" w:hAnsi="宋体" w:eastAsia="宋体"/>
          <w:sz w:val="24"/>
          <w:szCs w:val="28"/>
        </w:rPr>
        <w:t>多元评价的</w:t>
      </w:r>
      <w:r>
        <w:rPr>
          <w:rFonts w:ascii="宋体" w:hAnsi="宋体" w:eastAsia="宋体"/>
          <w:sz w:val="24"/>
          <w:szCs w:val="28"/>
        </w:rPr>
        <w:t>基础之上</w:t>
      </w:r>
      <w:r>
        <w:rPr>
          <w:rFonts w:hint="eastAsia" w:ascii="宋体" w:hAnsi="宋体" w:eastAsia="宋体"/>
          <w:sz w:val="24"/>
          <w:szCs w:val="28"/>
        </w:rPr>
        <w:t>建立，不应</w:t>
      </w:r>
      <w:r>
        <w:rPr>
          <w:rFonts w:ascii="宋体" w:hAnsi="宋体" w:eastAsia="宋体"/>
          <w:sz w:val="24"/>
          <w:szCs w:val="28"/>
        </w:rPr>
        <w:t>只用一个主导性思想来理解</w:t>
      </w:r>
      <w:r>
        <w:rPr>
          <w:rFonts w:hint="eastAsia" w:ascii="宋体" w:hAnsi="宋体" w:eastAsia="宋体"/>
          <w:sz w:val="24"/>
          <w:szCs w:val="28"/>
        </w:rPr>
        <w:t>某</w:t>
      </w:r>
      <w:r>
        <w:rPr>
          <w:rFonts w:ascii="宋体" w:hAnsi="宋体" w:eastAsia="宋体"/>
          <w:sz w:val="24"/>
          <w:szCs w:val="28"/>
        </w:rPr>
        <w:t>个法律</w:t>
      </w:r>
      <w:r>
        <w:rPr>
          <w:rFonts w:hint="eastAsia" w:ascii="宋体" w:hAnsi="宋体" w:eastAsia="宋体"/>
          <w:sz w:val="24"/>
          <w:szCs w:val="28"/>
        </w:rPr>
        <w:t>问题</w:t>
      </w:r>
      <w:r>
        <w:rPr>
          <w:rFonts w:ascii="宋体" w:hAnsi="宋体" w:eastAsia="宋体"/>
          <w:sz w:val="24"/>
          <w:szCs w:val="28"/>
        </w:rPr>
        <w:t>。</w:t>
      </w:r>
      <w:r>
        <w:rPr>
          <w:rStyle w:val="9"/>
          <w:rFonts w:hint="eastAsia" w:ascii="宋体" w:hAnsi="宋体" w:eastAsia="宋体"/>
          <w:sz w:val="24"/>
          <w:szCs w:val="28"/>
        </w:rPr>
        <w:footnoteReference w:id="28"/>
      </w:r>
      <w:r>
        <w:rPr>
          <w:rFonts w:hint="eastAsia" w:ascii="宋体" w:hAnsi="宋体" w:eastAsia="宋体"/>
          <w:sz w:val="24"/>
          <w:szCs w:val="28"/>
        </w:rPr>
        <w:t>基于动态系统论的理念，在认罪认罚口供补强的第二阶段，应当对案件分类后再作评价。总的来说，在我国认罪认罚程序中出现概率较大的两类案件为</w:t>
      </w:r>
      <w:r>
        <w:rPr>
          <w:rFonts w:ascii="宋体" w:hAnsi="宋体" w:eastAsia="宋体"/>
          <w:sz w:val="24"/>
          <w:szCs w:val="28"/>
        </w:rPr>
        <w:t>替人顶罪</w:t>
      </w:r>
      <w:r>
        <w:rPr>
          <w:rFonts w:hint="eastAsia" w:ascii="宋体" w:hAnsi="宋体" w:eastAsia="宋体"/>
          <w:sz w:val="24"/>
          <w:szCs w:val="28"/>
        </w:rPr>
        <w:t>案件以及通过承认</w:t>
      </w:r>
      <w:r>
        <w:rPr>
          <w:rFonts w:ascii="宋体" w:hAnsi="宋体" w:eastAsia="宋体"/>
          <w:sz w:val="24"/>
          <w:szCs w:val="28"/>
        </w:rPr>
        <w:t>轻罪以掩饰重罪</w:t>
      </w:r>
      <w:r>
        <w:rPr>
          <w:rFonts w:hint="eastAsia" w:ascii="宋体" w:hAnsi="宋体" w:eastAsia="宋体"/>
          <w:sz w:val="24"/>
          <w:szCs w:val="28"/>
        </w:rPr>
        <w:t>案件。</w:t>
      </w:r>
      <w:r>
        <w:rPr>
          <w:rStyle w:val="9"/>
          <w:rFonts w:hint="eastAsia" w:ascii="宋体" w:hAnsi="宋体" w:eastAsia="宋体"/>
          <w:sz w:val="24"/>
          <w:szCs w:val="28"/>
        </w:rPr>
        <w:footnoteReference w:id="29"/>
      </w:r>
      <w:r>
        <w:rPr>
          <w:rFonts w:hint="eastAsia" w:ascii="宋体" w:hAnsi="宋体" w:eastAsia="宋体"/>
          <w:sz w:val="24"/>
          <w:szCs w:val="28"/>
        </w:rPr>
        <w:t>由于办案人员完全可以依据案件具体情况以及自身的办案经验完成对某一案件虚假供述风险大小的基本判断，因此分类标准无需具体规定，本文仅对考量的因素进行讨论。</w:t>
      </w:r>
    </w:p>
    <w:p w14:paraId="76DDF716">
      <w:pPr>
        <w:ind w:firstLine="480" w:firstLineChars="200"/>
        <w:rPr>
          <w:rFonts w:hint="eastAsia" w:ascii="宋体" w:hAnsi="宋体" w:eastAsia="宋体"/>
          <w:sz w:val="24"/>
          <w:szCs w:val="28"/>
        </w:rPr>
      </w:pPr>
      <w:r>
        <w:rPr>
          <w:rFonts w:hint="eastAsia" w:ascii="宋体" w:hAnsi="宋体" w:eastAsia="宋体"/>
          <w:sz w:val="24"/>
          <w:szCs w:val="28"/>
        </w:rPr>
        <w:t>首先，案件量刑轻重。刑罚较轻是顶罪口供出现的重要原因，办案人员对案件的量刑需要有明确心理预期，如果该案件量刑在一年有期徒刑以下或者缓刑概率较大，则应当警惕虚假供述，防止出现顶罪情况。其次，是否具备顶罪条件。例如就交通肇事案件而言，由于其本身具有突发性并且案发地点多位于公路，被害人与目击证人往往难以进行有效指认，并且多数情况下由嫌疑人一人驾驶车辆，或即便有同车人，但由于存在利害关系，也不能排除其与肇事者统一口径的嫌疑。</w:t>
      </w:r>
      <w:r>
        <w:rPr>
          <w:rStyle w:val="9"/>
          <w:rFonts w:hint="eastAsia" w:ascii="宋体" w:hAnsi="宋体" w:eastAsia="宋体"/>
          <w:sz w:val="24"/>
          <w:szCs w:val="28"/>
        </w:rPr>
        <w:footnoteReference w:id="30"/>
      </w:r>
      <w:r>
        <w:rPr>
          <w:rFonts w:hint="eastAsia" w:ascii="宋体" w:hAnsi="宋体" w:eastAsia="宋体"/>
          <w:sz w:val="24"/>
          <w:szCs w:val="28"/>
        </w:rPr>
        <w:t>在这类案件中，顶罪条件十分充足，因此需要办案人员对口供的真实性严加警惕。复次，是否存在被动顶罪可能性。除却主动顶罪的情形，口供人因自身的原因可能会导致被动顶罪的出现，具体可以细分为口供人是否具备完全行为能力以及是否存在认识错误可能性。例如未成年人由于自身的认知能力的局限，可能作出虚假供述而不自知。又如口供者可能错误地以为自身的合法行为是犯罪行为而作出的认罪供述，当然也属于虚假供述。最后，是否存在以轻掩重的可能。某些犯罪嫌疑人可能意图通过承认轻罪以掩盖更重的罪行，这时需要办案人员结合案件的具体情况分析该案是否存在还有更严重的罪行这种可能，以防止犯罪嫌疑人不法目的达成。</w:t>
      </w:r>
    </w:p>
    <w:p w14:paraId="7A1C713E">
      <w:pPr>
        <w:pStyle w:val="2"/>
        <w:spacing w:before="0" w:after="0" w:line="240" w:lineRule="auto"/>
        <w:ind w:firstLine="480" w:firstLineChars="200"/>
        <w:rPr>
          <w:rFonts w:hint="eastAsia" w:ascii="宋体" w:hAnsi="宋体" w:eastAsia="宋体"/>
          <w:b w:val="0"/>
          <w:bCs w:val="0"/>
          <w:sz w:val="24"/>
          <w:szCs w:val="24"/>
        </w:rPr>
      </w:pPr>
      <w:r>
        <w:rPr>
          <w:rFonts w:hint="eastAsia" w:ascii="宋体" w:hAnsi="宋体" w:eastAsia="宋体"/>
          <w:b w:val="0"/>
          <w:bCs w:val="0"/>
          <w:sz w:val="24"/>
          <w:szCs w:val="24"/>
        </w:rPr>
        <w:t>（四）虚假供述风险较大案件的口供审查</w:t>
      </w:r>
    </w:p>
    <w:p w14:paraId="27BB2AC3">
      <w:pPr>
        <w:ind w:firstLine="480" w:firstLineChars="200"/>
        <w:rPr>
          <w:rFonts w:hint="eastAsia" w:ascii="宋体" w:hAnsi="宋体" w:eastAsia="宋体"/>
          <w:sz w:val="24"/>
          <w:szCs w:val="28"/>
        </w:rPr>
      </w:pPr>
      <w:r>
        <w:rPr>
          <w:rFonts w:hint="eastAsia" w:ascii="宋体" w:hAnsi="宋体" w:eastAsia="宋体"/>
          <w:sz w:val="24"/>
          <w:szCs w:val="28"/>
        </w:rPr>
        <w:t>经过动态筛选后，行至此处的案件必然存在极大的虚假供述风险，因此办案人员在进行口供补强时必须谨慎对待。此时的口供审查应分为口供的内部审查与外部补强。</w:t>
      </w:r>
    </w:p>
    <w:p w14:paraId="5079EBE6">
      <w:pPr>
        <w:ind w:firstLine="480" w:firstLineChars="200"/>
        <w:rPr>
          <w:rFonts w:hint="eastAsia" w:ascii="宋体" w:hAnsi="宋体" w:eastAsia="宋体"/>
          <w:sz w:val="24"/>
          <w:szCs w:val="28"/>
        </w:rPr>
      </w:pPr>
      <w:r>
        <w:rPr>
          <w:rFonts w:hint="eastAsia" w:ascii="宋体" w:hAnsi="宋体" w:eastAsia="宋体"/>
          <w:sz w:val="24"/>
          <w:szCs w:val="28"/>
        </w:rPr>
        <w:t>口供的内部审查针对口供的本体进行重点审查，也即口供的适格问题。口供的适格是指口供内容是否完整、口供的逻辑是否连贯。</w:t>
      </w:r>
      <w:r>
        <w:rPr>
          <w:rStyle w:val="9"/>
          <w:rFonts w:hint="eastAsia" w:ascii="宋体" w:hAnsi="宋体" w:eastAsia="宋体"/>
          <w:sz w:val="24"/>
          <w:szCs w:val="28"/>
        </w:rPr>
        <w:footnoteReference w:id="31"/>
      </w:r>
      <w:r>
        <w:rPr>
          <w:rFonts w:hint="eastAsia" w:ascii="宋体" w:hAnsi="宋体" w:eastAsia="宋体"/>
          <w:sz w:val="24"/>
          <w:szCs w:val="28"/>
        </w:rPr>
        <w:t>犯罪嫌疑人如果并非犯罪行为的实施主体，其作出的虚假供述必然在内容与逻辑上存在漏洞，此时办案人员应当以此为口供的审查重点。就口供内容的完整性而言，其内容必须设计犯罪主观方面与客观方面的内容，例如行为人是否故意、行为损害结果等基本要素。完整性作为口供最基本的证据品格，如果缺乏则意味着行为主体一致性存疑，该口供的可信程度也将大打折扣。口供的逻辑连贯性是指认罪供述前后逻辑是否自洽。由于证据审查发生审判阶段，因此法官在审查口供前后逻辑时，不仅要就口供本体的前后逻辑是否一致进行审查，还需要判断审判阶段口供与审前阶段口供是否存在自相矛盾的情形。由此可见，口供内容的完整性与口供逻辑的连贯性直接关系到犯罪嫌疑人认罪供述的真实与否。</w:t>
      </w:r>
    </w:p>
    <w:p w14:paraId="283A7661">
      <w:pPr>
        <w:spacing w:after="156" w:afterLines="50"/>
        <w:ind w:firstLine="480" w:firstLineChars="200"/>
        <w:rPr>
          <w:rFonts w:hint="eastAsia" w:ascii="宋体" w:hAnsi="宋体" w:eastAsia="宋体"/>
          <w:sz w:val="24"/>
          <w:szCs w:val="28"/>
        </w:rPr>
      </w:pPr>
      <w:r>
        <w:rPr>
          <w:rFonts w:hint="eastAsia" w:ascii="宋体" w:hAnsi="宋体" w:eastAsia="宋体"/>
          <w:sz w:val="24"/>
          <w:szCs w:val="28"/>
        </w:rPr>
        <w:t xml:space="preserve">口供的外部补强是指在本体审查完成后，需要对口供的印证证据的数量、质量严格要求。数量方面不应低于两个不同源证据，质量方面要求印证证据能够达到相对印证程度的同时向绝对印证靠近，也就是说在口供关键事实获得印证后，仍需尽量印证其他（≥1个）次要事实以帮助司法人员形成充分的内心确信，达到“排除合理怀疑”的证明标准。 </w:t>
      </w:r>
    </w:p>
    <w:p w14:paraId="208703A0">
      <w:pPr>
        <w:pStyle w:val="2"/>
        <w:spacing w:before="0" w:after="0" w:line="240" w:lineRule="auto"/>
        <w:rPr>
          <w:rFonts w:hint="eastAsia" w:ascii="宋体" w:hAnsi="宋体" w:eastAsia="宋体"/>
          <w:sz w:val="24"/>
          <w:szCs w:val="24"/>
        </w:rPr>
      </w:pPr>
      <w:r>
        <w:rPr>
          <w:rFonts w:hint="eastAsia" w:ascii="宋体" w:hAnsi="宋体" w:eastAsia="宋体"/>
          <w:sz w:val="24"/>
          <w:szCs w:val="24"/>
        </w:rPr>
        <w:t>结语</w:t>
      </w:r>
    </w:p>
    <w:p w14:paraId="092D8B11">
      <w:pPr>
        <w:ind w:firstLine="480" w:firstLineChars="200"/>
        <w:rPr>
          <w:rFonts w:hint="eastAsia" w:ascii="宋体" w:hAnsi="宋体" w:eastAsia="宋体"/>
          <w:sz w:val="24"/>
          <w:szCs w:val="28"/>
        </w:rPr>
      </w:pPr>
      <w:r>
        <w:rPr>
          <w:rFonts w:hint="eastAsia" w:ascii="宋体" w:hAnsi="宋体" w:eastAsia="宋体"/>
          <w:sz w:val="24"/>
          <w:szCs w:val="28"/>
        </w:rPr>
        <w:t>同其他普通案件相比，认罪认罚案件中的口供补强具有特殊性，主要体现在口供的证据地位、证据审查的重心以及口供补强与认罪真实性的关系密切。然而这种特殊性并不意味着在认罪认罚案件中司法人员就能够以降低证明标准的要求、放弃独立证据的原则为代价追求所谓的效率性司法。同时，正是因为特殊性的存在，认罪认罚案件才需要构造以阶层审查为结构的动态补强路径，并以此来助力司法人员形成内心确信，从而为准确定罪奠定基础。需要注意的是，针对认罪认罚口供真实性的研究不会止步于此。除本文所探讨的动态补强路径外，还可从不同的视角来实现对口供真实性的保障，例如明确认罪认罚各阶段的口供保障措施、区分共同犯罪认罪认罚口供与普通案件认罪认罚口供等，这些维度都表明该研究还存在进一步扩展的空间。</w:t>
      </w:r>
    </w:p>
    <w:p w14:paraId="117345FC">
      <w:pPr>
        <w:ind w:firstLine="560" w:firstLineChars="200"/>
        <w:rPr>
          <w:rFonts w:hint="eastAsia"/>
          <w:sz w:val="28"/>
          <w:szCs w:val="32"/>
        </w:rPr>
      </w:pPr>
    </w:p>
    <w:p w14:paraId="3DC253BF">
      <w:pPr>
        <w:rPr>
          <w:rFonts w:hint="eastAsia"/>
          <w:sz w:val="28"/>
          <w:szCs w:val="32"/>
        </w:rPr>
      </w:pPr>
    </w:p>
    <w:sectPr>
      <w:footnotePr>
        <w:numFmt w:val="decimalEnclosedCircleChines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4">
    <w:p>
      <w:r>
        <w:separator/>
      </w:r>
    </w:p>
  </w:footnote>
  <w:footnote w:type="continuationSeparator" w:id="65">
    <w:p>
      <w:r>
        <w:continuationSeparator/>
      </w:r>
    </w:p>
  </w:footnote>
  <w:footnote w:id="0">
    <w:p w14:paraId="63484BB5">
      <w:pPr>
        <w:pStyle w:val="6"/>
        <w:rPr>
          <w:rFonts w:hint="eastAsia"/>
        </w:rPr>
      </w:pPr>
      <w:r>
        <w:rPr>
          <w:rStyle w:val="9"/>
          <w:rFonts w:hint="eastAsia"/>
        </w:rPr>
        <w:footnoteRef/>
      </w:r>
      <w:r>
        <w:rPr>
          <w:rFonts w:hint="eastAsia"/>
        </w:rPr>
        <w:t xml:space="preserve"> 参见熊秋红：《比较法视野下的认罪认罚从宽制度——兼论刑事诉讼“第四范式”》，载《比较法研究》2019年第5期，第96页。</w:t>
      </w:r>
    </w:p>
  </w:footnote>
  <w:footnote w:id="1">
    <w:p w14:paraId="26FC1B69">
      <w:pPr>
        <w:pStyle w:val="6"/>
        <w:rPr>
          <w:rFonts w:hint="eastAsia"/>
        </w:rPr>
      </w:pPr>
      <w:r>
        <w:rPr>
          <w:rStyle w:val="9"/>
          <w:rFonts w:hint="eastAsia"/>
        </w:rPr>
        <w:footnoteRef/>
      </w:r>
      <w:r>
        <w:rPr>
          <w:rFonts w:hint="eastAsia"/>
        </w:rPr>
        <w:t xml:space="preserve"> 参见卞建林、张可：《构建中国式认罪协商制度：认罪认罚从宽制度的反思与重构》，载《政法论坛》2024年第4期，第22页。</w:t>
      </w:r>
    </w:p>
  </w:footnote>
  <w:footnote w:id="2">
    <w:p w14:paraId="5DB9C5A5">
      <w:pPr>
        <w:pStyle w:val="6"/>
        <w:rPr>
          <w:rFonts w:hint="eastAsia"/>
        </w:rPr>
      </w:pPr>
      <w:r>
        <w:rPr>
          <w:rStyle w:val="9"/>
          <w:rFonts w:hint="eastAsia"/>
        </w:rPr>
        <w:footnoteRef/>
      </w:r>
      <w:r>
        <w:rPr>
          <w:rFonts w:hint="eastAsia"/>
        </w:rPr>
        <w:t xml:space="preserve"> 参见王天民：《实质真实主义:两种认知理论下的模式推演》，载《法制与社会发展》2018年第3期，第165页。</w:t>
      </w:r>
    </w:p>
  </w:footnote>
  <w:footnote w:id="3">
    <w:p w14:paraId="6BE8642E">
      <w:pPr>
        <w:pStyle w:val="6"/>
        <w:rPr>
          <w:rFonts w:hint="eastAsia"/>
        </w:rPr>
      </w:pPr>
      <w:r>
        <w:rPr>
          <w:rStyle w:val="9"/>
          <w:rFonts w:hint="eastAsia"/>
        </w:rPr>
        <w:footnoteRef/>
      </w:r>
      <w:r>
        <w:rPr>
          <w:rFonts w:hint="eastAsia"/>
        </w:rPr>
        <w:t xml:space="preserve"> 参见王瑞剑：《实质真实主义的妥协——德国刑事协商制度的理论考察》，载《苏州大学学报(哲学社会科学版)》2020年第3期，第59页。</w:t>
      </w:r>
    </w:p>
  </w:footnote>
  <w:footnote w:id="4">
    <w:p w14:paraId="1CE6B8A9">
      <w:pPr>
        <w:pStyle w:val="6"/>
        <w:rPr>
          <w:rFonts w:hint="eastAsia"/>
        </w:rPr>
      </w:pPr>
      <w:r>
        <w:rPr>
          <w:rStyle w:val="9"/>
          <w:rFonts w:hint="eastAsia"/>
        </w:rPr>
        <w:footnoteRef/>
      </w:r>
      <w:r>
        <w:rPr>
          <w:rFonts w:hint="eastAsia"/>
        </w:rPr>
        <w:t xml:space="preserve"> 参见孔令勇：《证据规则中的新实质真实主义——认罪认罚从宽制度中证据规则的理论反思》，载《新疆大学学报(哲学·人文社会科学版)》2017年第3期，第51页。</w:t>
      </w:r>
    </w:p>
  </w:footnote>
  <w:footnote w:id="5">
    <w:p w14:paraId="6DFA1B42">
      <w:pPr>
        <w:pStyle w:val="6"/>
        <w:rPr>
          <w:rFonts w:hint="eastAsia"/>
        </w:rPr>
      </w:pPr>
      <w:r>
        <w:rPr>
          <w:rStyle w:val="9"/>
          <w:rFonts w:hint="eastAsia"/>
        </w:rPr>
        <w:footnoteRef/>
      </w:r>
      <w:r>
        <w:rPr>
          <w:rFonts w:hint="eastAsia"/>
        </w:rPr>
        <w:t xml:space="preserve"> </w:t>
      </w:r>
      <w:r>
        <w:t>参见</w:t>
      </w:r>
      <w:r>
        <w:rPr>
          <w:rFonts w:hint="eastAsia"/>
        </w:rPr>
        <w:t xml:space="preserve"> [德] </w:t>
      </w:r>
      <w:r>
        <w:t>得特勒夫·霍尔斯特：《哈贝马斯传》，章国锋译，东方出版中心</w:t>
      </w:r>
      <w:r>
        <w:rPr>
          <w:rFonts w:hint="eastAsia"/>
        </w:rPr>
        <w:t>2000</w:t>
      </w:r>
      <w:r>
        <w:t>年版，第</w:t>
      </w:r>
      <w:r>
        <w:rPr>
          <w:rFonts w:hint="eastAsia"/>
        </w:rPr>
        <w:t>81</w:t>
      </w:r>
      <w:r>
        <w:t>页。</w:t>
      </w:r>
    </w:p>
  </w:footnote>
  <w:footnote w:id="6">
    <w:p w14:paraId="2EF4A5EB">
      <w:pPr>
        <w:pStyle w:val="6"/>
        <w:rPr>
          <w:rFonts w:hint="eastAsia"/>
        </w:rPr>
      </w:pPr>
      <w:r>
        <w:rPr>
          <w:rStyle w:val="9"/>
          <w:rFonts w:hint="eastAsia"/>
        </w:rPr>
        <w:footnoteRef/>
      </w:r>
      <w:r>
        <w:rPr>
          <w:rFonts w:hint="eastAsia"/>
        </w:rPr>
        <w:t xml:space="preserve"> 参见张威：《被告人认罪认罚真实性保障机制研究》，载《法商研究》2022年第6期，第101页。</w:t>
      </w:r>
    </w:p>
  </w:footnote>
  <w:footnote w:id="7">
    <w:p w14:paraId="4B3462EF">
      <w:pPr>
        <w:pStyle w:val="6"/>
        <w:rPr>
          <w:rFonts w:hint="eastAsia"/>
        </w:rPr>
      </w:pPr>
      <w:r>
        <w:rPr>
          <w:rStyle w:val="9"/>
          <w:rFonts w:hint="eastAsia"/>
        </w:rPr>
        <w:footnoteRef/>
      </w:r>
      <w:r>
        <w:rPr>
          <w:rFonts w:hint="eastAsia"/>
        </w:rPr>
        <w:t xml:space="preserve"> 参见谢登科：《论刑事简易程序中的证明标准》，载《当代法学》2015年第3期，第143页。</w:t>
      </w:r>
    </w:p>
  </w:footnote>
  <w:footnote w:id="8">
    <w:p w14:paraId="7F029817">
      <w:pPr>
        <w:pStyle w:val="6"/>
        <w:rPr>
          <w:rFonts w:hint="eastAsia"/>
        </w:rPr>
      </w:pPr>
      <w:r>
        <w:rPr>
          <w:rStyle w:val="9"/>
          <w:rFonts w:hint="eastAsia"/>
        </w:rPr>
        <w:footnoteRef/>
      </w:r>
      <w:r>
        <w:rPr>
          <w:rFonts w:hint="eastAsia"/>
        </w:rPr>
        <w:t xml:space="preserve"> 参见龙宗智：《中国法语境中的“排除合理怀疑”》，载《中外法学》2012年第6期，第1137页。</w:t>
      </w:r>
    </w:p>
  </w:footnote>
  <w:footnote w:id="9">
    <w:p w14:paraId="499DB6D8">
      <w:pPr>
        <w:pStyle w:val="6"/>
        <w:rPr>
          <w:rFonts w:hint="eastAsia"/>
        </w:rPr>
      </w:pPr>
      <w:r>
        <w:rPr>
          <w:rStyle w:val="9"/>
          <w:rFonts w:hint="eastAsia"/>
        </w:rPr>
        <w:footnoteRef/>
      </w:r>
      <w:r>
        <w:rPr>
          <w:rFonts w:hint="eastAsia"/>
        </w:rPr>
        <w:t xml:space="preserve"> </w:t>
      </w:r>
      <w:r>
        <w:t>《最高人民检察院就十三届全国人大常委会对人民检察院适用认罪认罚从宽制度情况报告的审议意见提出28条贯彻落实意见》，2020年12月1日发布。</w:t>
      </w:r>
    </w:p>
  </w:footnote>
  <w:footnote w:id="10">
    <w:p w14:paraId="66695588">
      <w:pPr>
        <w:pStyle w:val="6"/>
        <w:rPr>
          <w:rFonts w:hint="eastAsia"/>
        </w:rPr>
      </w:pPr>
      <w:r>
        <w:rPr>
          <w:rStyle w:val="9"/>
          <w:rFonts w:hint="eastAsia"/>
        </w:rPr>
        <w:footnoteRef/>
      </w:r>
      <w:r>
        <w:rPr>
          <w:rFonts w:hint="eastAsia"/>
        </w:rPr>
        <w:t xml:space="preserve"> 参见</w:t>
      </w:r>
      <w:r>
        <w:t>［日］田口守一:《刑事诉讼的目的》，张凌、于秀峰译，中国政法大学出版社，2011年，第32页。</w:t>
      </w:r>
    </w:p>
  </w:footnote>
  <w:footnote w:id="11">
    <w:p w14:paraId="378E6A8A">
      <w:pPr>
        <w:pStyle w:val="6"/>
        <w:rPr>
          <w:rFonts w:hint="eastAsia"/>
        </w:rPr>
      </w:pPr>
      <w:r>
        <w:rPr>
          <w:rStyle w:val="9"/>
          <w:rFonts w:hint="eastAsia"/>
        </w:rPr>
        <w:footnoteRef/>
      </w:r>
      <w:r>
        <w:rPr>
          <w:rFonts w:hint="eastAsia"/>
        </w:rPr>
        <w:t xml:space="preserve"> 参见林静、王瑞坤：《比较法视域下我国认罪认罚案件证明标准的实践检视及再审视》，载《湖湘法学评论》2024年第4期，第116页。</w:t>
      </w:r>
    </w:p>
    <w:p w14:paraId="698669B7">
      <w:pPr>
        <w:pStyle w:val="6"/>
        <w:rPr>
          <w:rFonts w:hint="eastAsia"/>
        </w:rPr>
      </w:pPr>
    </w:p>
  </w:footnote>
  <w:footnote w:id="12">
    <w:p w14:paraId="2E6940AE">
      <w:pPr>
        <w:pStyle w:val="6"/>
        <w:rPr>
          <w:rFonts w:hint="eastAsia"/>
        </w:rPr>
      </w:pPr>
      <w:r>
        <w:rPr>
          <w:rStyle w:val="9"/>
          <w:rFonts w:hint="eastAsia"/>
        </w:rPr>
        <w:footnoteRef/>
      </w:r>
      <w:r>
        <w:rPr>
          <w:rFonts w:hint="eastAsia"/>
        </w:rPr>
        <w:t xml:space="preserve"> 同上注，林静、王瑞坤，第125页。</w:t>
      </w:r>
    </w:p>
  </w:footnote>
  <w:footnote w:id="13">
    <w:p w14:paraId="61FBEE43">
      <w:pPr>
        <w:pStyle w:val="6"/>
        <w:rPr>
          <w:rFonts w:hint="eastAsia"/>
        </w:rPr>
      </w:pPr>
      <w:r>
        <w:rPr>
          <w:rStyle w:val="9"/>
          <w:rFonts w:hint="eastAsia"/>
        </w:rPr>
        <w:footnoteRef/>
      </w:r>
      <w:r>
        <w:rPr>
          <w:rFonts w:hint="eastAsia"/>
        </w:rPr>
        <w:t xml:space="preserve"> 参见道格拉斯·沃尔顿、金华：《补强证据的论证可视化工具》，载《证据科学》2009年第4期，第453页。</w:t>
      </w:r>
    </w:p>
  </w:footnote>
  <w:footnote w:id="14">
    <w:p w14:paraId="6AD7BD5B">
      <w:pPr>
        <w:pStyle w:val="6"/>
        <w:rPr>
          <w:rFonts w:hint="eastAsia"/>
        </w:rPr>
      </w:pPr>
      <w:r>
        <w:rPr>
          <w:rStyle w:val="9"/>
          <w:rFonts w:hint="eastAsia"/>
        </w:rPr>
        <w:footnoteRef/>
      </w:r>
      <w:r>
        <w:rPr>
          <w:rFonts w:hint="eastAsia"/>
        </w:rPr>
        <w:t xml:space="preserve"> 参见秦宗文、叶巍：《认罪认罚案件口供补强问题研究》，载《江苏行政学院学报》2019年第2期，第126页。</w:t>
      </w:r>
    </w:p>
  </w:footnote>
  <w:footnote w:id="15">
    <w:p w14:paraId="6F8CC0E5">
      <w:pPr>
        <w:pStyle w:val="6"/>
        <w:rPr>
          <w:rFonts w:hint="eastAsia"/>
        </w:rPr>
      </w:pPr>
      <w:r>
        <w:rPr>
          <w:rStyle w:val="9"/>
          <w:rFonts w:hint="eastAsia"/>
        </w:rPr>
        <w:footnoteRef/>
      </w:r>
      <w:r>
        <w:rPr>
          <w:rFonts w:hint="eastAsia"/>
        </w:rPr>
        <w:t xml:space="preserve"> 参见张晶、韩建成：《顶罪替刑犯罪的刑法思考》，载《安徽大学学报(哲学社会科学版)》2011年第6期，第111页。</w:t>
      </w:r>
    </w:p>
  </w:footnote>
  <w:footnote w:id="16">
    <w:p w14:paraId="08B3B267">
      <w:pPr>
        <w:pStyle w:val="6"/>
        <w:rPr>
          <w:rFonts w:hint="eastAsia"/>
        </w:rPr>
      </w:pPr>
      <w:r>
        <w:rPr>
          <w:rStyle w:val="9"/>
          <w:rFonts w:hint="eastAsia"/>
        </w:rPr>
        <w:footnoteRef/>
      </w:r>
      <w:r>
        <w:rPr>
          <w:rFonts w:hint="eastAsia"/>
        </w:rPr>
        <w:t xml:space="preserve"> 参见时金阳、郝凤冕：《逮捕阶段犯罪嫌疑人有罪供述的真实性审查》，载《中国检察官》2014年第18期，第30页。</w:t>
      </w:r>
    </w:p>
  </w:footnote>
  <w:footnote w:id="17">
    <w:p w14:paraId="31DC2852">
      <w:pPr>
        <w:pStyle w:val="6"/>
        <w:rPr>
          <w:rFonts w:hint="eastAsia"/>
        </w:rPr>
      </w:pPr>
      <w:r>
        <w:rPr>
          <w:rStyle w:val="9"/>
          <w:rFonts w:hint="eastAsia"/>
        </w:rPr>
        <w:footnoteRef/>
      </w:r>
      <w:r>
        <w:rPr>
          <w:rFonts w:hint="eastAsia"/>
        </w:rPr>
        <w:t xml:space="preserve"> </w:t>
      </w:r>
      <w:bookmarkStart w:id="0" w:name="_Hlk187329599"/>
      <w:r>
        <w:rPr>
          <w:rFonts w:hint="eastAsia"/>
        </w:rPr>
        <w:t>参见纵博：《认罪认罚案件中口供判断的若干问题》，载《中国刑事法杂志》2019年第6期，第119页。</w:t>
      </w:r>
      <w:bookmarkEnd w:id="0"/>
    </w:p>
    <w:p w14:paraId="35902DF9">
      <w:pPr>
        <w:pStyle w:val="6"/>
        <w:rPr>
          <w:rFonts w:hint="eastAsia"/>
        </w:rPr>
      </w:pPr>
    </w:p>
  </w:footnote>
  <w:footnote w:id="18">
    <w:p w14:paraId="1F65361E">
      <w:pPr>
        <w:pStyle w:val="6"/>
        <w:rPr>
          <w:rFonts w:hint="eastAsia"/>
        </w:rPr>
      </w:pPr>
      <w:r>
        <w:rPr>
          <w:rStyle w:val="9"/>
          <w:rFonts w:hint="eastAsia"/>
        </w:rPr>
        <w:footnoteRef/>
      </w:r>
      <w:r>
        <w:rPr>
          <w:rFonts w:hint="eastAsia"/>
        </w:rPr>
        <w:t xml:space="preserve"> 参见刘奕武：《隐蔽性证据规定的理解与适用》，载《中国刑警学院学报》2021年第3期，第54页。</w:t>
      </w:r>
    </w:p>
  </w:footnote>
  <w:footnote w:id="19">
    <w:p w14:paraId="6AA79F3A">
      <w:pPr>
        <w:pStyle w:val="6"/>
        <w:rPr>
          <w:rFonts w:hint="eastAsia"/>
        </w:rPr>
      </w:pPr>
      <w:r>
        <w:rPr>
          <w:rStyle w:val="9"/>
          <w:rFonts w:hint="eastAsia"/>
        </w:rPr>
        <w:footnoteRef/>
      </w:r>
      <w:r>
        <w:rPr>
          <w:rFonts w:hint="eastAsia"/>
        </w:rPr>
        <w:t xml:space="preserve"> 参见艾明：《隐蔽性证据规则再思考》，载《中国刑事法杂志》2023年第3期，第132页。</w:t>
      </w:r>
    </w:p>
  </w:footnote>
  <w:footnote w:id="20">
    <w:p w14:paraId="0D10EA27">
      <w:pPr>
        <w:rPr>
          <w:rFonts w:ascii="Times New Roman" w:hAnsi="Times New Roman" w:cs="Times New Roman"/>
          <w:sz w:val="15"/>
          <w:szCs w:val="16"/>
        </w:rPr>
      </w:pPr>
      <w:r>
        <w:rPr>
          <w:rStyle w:val="9"/>
          <w:rFonts w:hint="eastAsia"/>
        </w:rPr>
        <w:footnoteRef/>
      </w:r>
      <w:r>
        <w:rPr>
          <w:rFonts w:hint="eastAsia"/>
        </w:rPr>
        <w:t xml:space="preserve"> </w:t>
      </w:r>
      <w:r>
        <w:rPr>
          <w:rFonts w:ascii="Times New Roman" w:hAnsi="Times New Roman" w:cs="Times New Roman"/>
          <w:sz w:val="18"/>
          <w:szCs w:val="20"/>
        </w:rPr>
        <w:t xml:space="preserve">Corey J. Ayling, </w:t>
      </w:r>
      <w:r>
        <w:rPr>
          <w:rFonts w:ascii="Times New Roman" w:hAnsi="Times New Roman" w:cs="Times New Roman"/>
          <w:i/>
          <w:iCs/>
          <w:sz w:val="18"/>
          <w:szCs w:val="20"/>
        </w:rPr>
        <w:t>Corroborating Confessions: An Empirical Analysis of Legal Safeguards against False Confessions</w:t>
      </w:r>
      <w:r>
        <w:rPr>
          <w:rFonts w:ascii="Times New Roman" w:hAnsi="Times New Roman" w:cs="Times New Roman"/>
          <w:sz w:val="18"/>
          <w:szCs w:val="20"/>
        </w:rPr>
        <w:t>, Wisconsin Law Review, Vol.1984, p. 1180(1984).</w:t>
      </w:r>
    </w:p>
  </w:footnote>
  <w:footnote w:id="21">
    <w:p w14:paraId="1D9647C7">
      <w:pPr>
        <w:pStyle w:val="6"/>
        <w:rPr>
          <w:rFonts w:ascii="Times New Roman" w:hAnsi="Times New Roman" w:cs="Times New Roman"/>
          <w:sz w:val="15"/>
          <w:szCs w:val="16"/>
        </w:rPr>
      </w:pPr>
      <w:r>
        <w:rPr>
          <w:rStyle w:val="9"/>
          <w:rFonts w:hint="eastAsia"/>
        </w:rPr>
        <w:footnoteRef/>
      </w:r>
      <w:r>
        <w:rPr>
          <w:rFonts w:hint="eastAsia"/>
        </w:rPr>
        <w:t xml:space="preserve"> </w:t>
      </w:r>
      <w:r>
        <w:rPr>
          <w:rFonts w:ascii="Times New Roman" w:hAnsi="Times New Roman" w:cs="Times New Roman"/>
        </w:rPr>
        <w:t>Opper</w:t>
      </w:r>
      <w:r>
        <w:rPr>
          <w:rFonts w:ascii="Times New Roman" w:hAnsi="Times New Roman" w:cs="Times New Roman"/>
          <w:i/>
          <w:iCs/>
        </w:rPr>
        <w:t xml:space="preserve"> v.</w:t>
      </w:r>
      <w:r>
        <w:rPr>
          <w:rFonts w:ascii="Times New Roman" w:hAnsi="Times New Roman" w:cs="Times New Roman"/>
        </w:rPr>
        <w:t xml:space="preserve"> United States, 348 U.S. 84. (1954).</w:t>
      </w:r>
    </w:p>
  </w:footnote>
  <w:footnote w:id="22">
    <w:p w14:paraId="751FBFCB">
      <w:pPr>
        <w:pStyle w:val="6"/>
        <w:rPr>
          <w:rFonts w:hint="eastAsia"/>
        </w:rPr>
      </w:pPr>
      <w:r>
        <w:rPr>
          <w:rStyle w:val="9"/>
          <w:rFonts w:hint="eastAsia"/>
        </w:rPr>
        <w:footnoteRef/>
      </w:r>
      <w:r>
        <w:rPr>
          <w:rFonts w:hint="eastAsia"/>
        </w:rPr>
        <w:t xml:space="preserve"> 参见董坤：《规范语境下口供补强规则的解释图景》，载《法学家》2022年第1期，第123页。</w:t>
      </w:r>
    </w:p>
  </w:footnote>
  <w:footnote w:id="23">
    <w:p w14:paraId="61EABD14">
      <w:pPr>
        <w:pStyle w:val="6"/>
        <w:rPr>
          <w:rFonts w:hint="eastAsia"/>
        </w:rPr>
      </w:pPr>
      <w:r>
        <w:rPr>
          <w:rStyle w:val="9"/>
          <w:rFonts w:hint="eastAsia"/>
        </w:rPr>
        <w:footnoteRef/>
      </w:r>
      <w:r>
        <w:rPr>
          <w:rFonts w:hint="eastAsia"/>
        </w:rPr>
        <w:t xml:space="preserve"> 同前注[18]，纵博，第122页。</w:t>
      </w:r>
    </w:p>
  </w:footnote>
  <w:footnote w:id="24">
    <w:p w14:paraId="4160666C">
      <w:pPr>
        <w:pStyle w:val="6"/>
        <w:rPr>
          <w:rFonts w:hint="eastAsia"/>
        </w:rPr>
      </w:pPr>
      <w:r>
        <w:rPr>
          <w:rStyle w:val="9"/>
          <w:rFonts w:hint="eastAsia"/>
        </w:rPr>
        <w:footnoteRef/>
      </w:r>
      <w:r>
        <w:rPr>
          <w:rFonts w:hint="eastAsia"/>
        </w:rPr>
        <w:t xml:space="preserve"> 参见 [英] 哈特：《法律的概念》，张文显等译，中国大百科全书出版社1996年版，第155页。</w:t>
      </w:r>
    </w:p>
  </w:footnote>
  <w:footnote w:id="25">
    <w:p w14:paraId="3F47A738">
      <w:pPr>
        <w:pStyle w:val="6"/>
        <w:rPr>
          <w:rFonts w:hint="eastAsia"/>
        </w:rPr>
      </w:pPr>
      <w:r>
        <w:rPr>
          <w:rStyle w:val="9"/>
          <w:rFonts w:hint="eastAsia"/>
        </w:rPr>
        <w:footnoteRef/>
      </w:r>
      <w:r>
        <w:rPr>
          <w:rFonts w:hint="eastAsia"/>
        </w:rPr>
        <w:t xml:space="preserve"> 参见周少华：《同案同判：一个虚构的法治神话》，载《法学》</w:t>
      </w:r>
      <w:r>
        <w:t>2015年第11期</w:t>
      </w:r>
      <w:r>
        <w:rPr>
          <w:rFonts w:hint="eastAsia"/>
        </w:rPr>
        <w:t xml:space="preserve">，第138页。 </w:t>
      </w:r>
    </w:p>
  </w:footnote>
  <w:footnote w:id="26">
    <w:p w14:paraId="2ED6088F">
      <w:pPr>
        <w:pStyle w:val="6"/>
        <w:rPr>
          <w:rFonts w:ascii="Times New Roman" w:hAnsi="Times New Roman" w:cs="Times New Roman"/>
        </w:rPr>
      </w:pPr>
      <w:r>
        <w:rPr>
          <w:rStyle w:val="9"/>
          <w:rFonts w:hint="eastAsia"/>
        </w:rPr>
        <w:footnoteRef/>
      </w:r>
      <w:r>
        <w:rPr>
          <w:rFonts w:hint="eastAsia"/>
        </w:rPr>
        <w:t xml:space="preserve"> </w:t>
      </w:r>
      <w:r>
        <w:rPr>
          <w:rFonts w:ascii="Times New Roman" w:hAnsi="Times New Roman" w:cs="Times New Roman"/>
        </w:rPr>
        <w:t xml:space="preserve">Adam Smith. </w:t>
      </w:r>
      <w:r>
        <w:rPr>
          <w:rFonts w:ascii="Times New Roman" w:hAnsi="Times New Roman" w:cs="Times New Roman"/>
          <w:i/>
          <w:iCs/>
        </w:rPr>
        <w:t>The Wealth of Nations</w:t>
      </w:r>
      <w:r>
        <w:rPr>
          <w:rFonts w:ascii="Times New Roman" w:hAnsi="Times New Roman" w:cs="Times New Roman"/>
        </w:rPr>
        <w:t>，Penguin Classics, 1986, p. 119.</w:t>
      </w:r>
    </w:p>
  </w:footnote>
  <w:footnote w:id="27">
    <w:p w14:paraId="449204E1">
      <w:pPr>
        <w:pStyle w:val="6"/>
        <w:rPr>
          <w:rFonts w:ascii="Times New Roman" w:hAnsi="Times New Roman" w:cs="Times New Roman"/>
        </w:rPr>
      </w:pPr>
      <w:r>
        <w:rPr>
          <w:rStyle w:val="9"/>
          <w:rFonts w:ascii="Times New Roman" w:hAnsi="Times New Roman" w:cs="Times New Roman"/>
        </w:rPr>
        <w:footnoteRef/>
      </w:r>
      <w:r>
        <w:rPr>
          <w:rFonts w:ascii="Times New Roman" w:hAnsi="Times New Roman" w:cs="Times New Roman"/>
        </w:rPr>
        <w:t xml:space="preserve"> Walter Wilburg, Entwicklung Eines Beweglichen Systems Im Bügerlichen Recht, Graz: Kienreich 1951，S.</w:t>
      </w:r>
      <w:r>
        <w:rPr>
          <w:rFonts w:hint="eastAsia"/>
        </w:rPr>
        <w:t xml:space="preserve"> </w:t>
      </w:r>
      <w:r>
        <w:rPr>
          <w:rFonts w:ascii="Times New Roman" w:hAnsi="Times New Roman" w:cs="Times New Roman"/>
        </w:rPr>
        <w:t>17.</w:t>
      </w:r>
    </w:p>
  </w:footnote>
  <w:footnote w:id="28">
    <w:p w14:paraId="52C4D439">
      <w:pPr>
        <w:pStyle w:val="6"/>
        <w:rPr>
          <w:rFonts w:hint="eastAsia"/>
        </w:rPr>
      </w:pPr>
      <w:r>
        <w:rPr>
          <w:rStyle w:val="9"/>
          <w:rFonts w:hint="eastAsia"/>
        </w:rPr>
        <w:footnoteRef/>
      </w:r>
      <w:r>
        <w:rPr>
          <w:rFonts w:hint="eastAsia"/>
        </w:rPr>
        <w:t xml:space="preserve"> 参见周晓晨：《过失相抵制度的重构——动态系统论的研究路径》，载《清华法学》2016年第4期，第111页。</w:t>
      </w:r>
    </w:p>
  </w:footnote>
  <w:footnote w:id="29">
    <w:p w14:paraId="3C3D14A6">
      <w:pPr>
        <w:pStyle w:val="6"/>
        <w:rPr>
          <w:rFonts w:hint="eastAsia"/>
        </w:rPr>
      </w:pPr>
      <w:r>
        <w:rPr>
          <w:rStyle w:val="9"/>
          <w:rFonts w:hint="eastAsia"/>
        </w:rPr>
        <w:footnoteRef/>
      </w:r>
      <w:r>
        <w:rPr>
          <w:rFonts w:hint="eastAsia"/>
        </w:rPr>
        <w:t xml:space="preserve"> 参见史立梅：《认罪认罚从宽程序中的潜在风险及其防范》，载《当代法学》2017年第5期，第125页。</w:t>
      </w:r>
    </w:p>
  </w:footnote>
  <w:footnote w:id="30">
    <w:p w14:paraId="31314CE4">
      <w:pPr>
        <w:pStyle w:val="6"/>
        <w:rPr>
          <w:rFonts w:hint="eastAsia"/>
        </w:rPr>
      </w:pPr>
      <w:r>
        <w:rPr>
          <w:rStyle w:val="9"/>
          <w:rFonts w:hint="eastAsia"/>
        </w:rPr>
        <w:footnoteRef/>
      </w:r>
      <w:r>
        <w:rPr>
          <w:rFonts w:hint="eastAsia"/>
        </w:rPr>
        <w:t xml:space="preserve"> 参见赵莉、穆平：《交通肇事案件顶罪现象的原因及防范》，载《人民检察》2013年第18期，第71页。</w:t>
      </w:r>
    </w:p>
  </w:footnote>
  <w:footnote w:id="31">
    <w:p w14:paraId="1C06CCCB">
      <w:pPr>
        <w:pStyle w:val="6"/>
        <w:rPr>
          <w:rFonts w:hint="eastAsia"/>
        </w:rPr>
      </w:pPr>
      <w:r>
        <w:rPr>
          <w:rStyle w:val="9"/>
          <w:rFonts w:hint="eastAsia"/>
        </w:rPr>
        <w:footnoteRef/>
      </w:r>
      <w:r>
        <w:rPr>
          <w:rFonts w:hint="eastAsia"/>
        </w:rPr>
        <w:t xml:space="preserve"> 参见王宇坤：《口供印证的类型化研究——基于我国刑事审判实践的思考》，载《浙江工商大学学报》2020年第1期，第142页。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footnote w:id="64"/>
    <w:footnote w:id="6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C16"/>
    <w:rsid w:val="00000F23"/>
    <w:rsid w:val="00030A85"/>
    <w:rsid w:val="0003626E"/>
    <w:rsid w:val="00054174"/>
    <w:rsid w:val="000549DE"/>
    <w:rsid w:val="00060420"/>
    <w:rsid w:val="000943D7"/>
    <w:rsid w:val="000B5A56"/>
    <w:rsid w:val="000C33BE"/>
    <w:rsid w:val="000D05BB"/>
    <w:rsid w:val="000F53F1"/>
    <w:rsid w:val="00100D24"/>
    <w:rsid w:val="0010174E"/>
    <w:rsid w:val="0011084D"/>
    <w:rsid w:val="001109FD"/>
    <w:rsid w:val="00115EA9"/>
    <w:rsid w:val="00117B2A"/>
    <w:rsid w:val="00154C17"/>
    <w:rsid w:val="00167DA9"/>
    <w:rsid w:val="00171DDE"/>
    <w:rsid w:val="001760E6"/>
    <w:rsid w:val="0018472D"/>
    <w:rsid w:val="001A742C"/>
    <w:rsid w:val="002016A7"/>
    <w:rsid w:val="0020198F"/>
    <w:rsid w:val="00203B2F"/>
    <w:rsid w:val="00206F6D"/>
    <w:rsid w:val="002214A6"/>
    <w:rsid w:val="00222DC4"/>
    <w:rsid w:val="0022361B"/>
    <w:rsid w:val="00223871"/>
    <w:rsid w:val="0024007B"/>
    <w:rsid w:val="0024751D"/>
    <w:rsid w:val="00253C85"/>
    <w:rsid w:val="00281D13"/>
    <w:rsid w:val="002846F6"/>
    <w:rsid w:val="002C3F01"/>
    <w:rsid w:val="002F7793"/>
    <w:rsid w:val="003005BD"/>
    <w:rsid w:val="0030205B"/>
    <w:rsid w:val="0030721E"/>
    <w:rsid w:val="003164CC"/>
    <w:rsid w:val="00337144"/>
    <w:rsid w:val="00345EF0"/>
    <w:rsid w:val="00354A4D"/>
    <w:rsid w:val="00357F18"/>
    <w:rsid w:val="00382F8A"/>
    <w:rsid w:val="00393E14"/>
    <w:rsid w:val="003A09B9"/>
    <w:rsid w:val="003A4FD7"/>
    <w:rsid w:val="003D4FDC"/>
    <w:rsid w:val="003E566C"/>
    <w:rsid w:val="00407A0A"/>
    <w:rsid w:val="00412DAD"/>
    <w:rsid w:val="00441DED"/>
    <w:rsid w:val="00452A89"/>
    <w:rsid w:val="004537A9"/>
    <w:rsid w:val="0046046C"/>
    <w:rsid w:val="00467AA9"/>
    <w:rsid w:val="00473B7B"/>
    <w:rsid w:val="0048007B"/>
    <w:rsid w:val="00492D3F"/>
    <w:rsid w:val="004966F6"/>
    <w:rsid w:val="004A0274"/>
    <w:rsid w:val="004A5802"/>
    <w:rsid w:val="004A704F"/>
    <w:rsid w:val="004D1EAB"/>
    <w:rsid w:val="004D2972"/>
    <w:rsid w:val="004D7CC5"/>
    <w:rsid w:val="004E2B57"/>
    <w:rsid w:val="004E7FA9"/>
    <w:rsid w:val="004F7770"/>
    <w:rsid w:val="00506C7A"/>
    <w:rsid w:val="00506D52"/>
    <w:rsid w:val="0050795D"/>
    <w:rsid w:val="00510FF2"/>
    <w:rsid w:val="00524F1C"/>
    <w:rsid w:val="00525244"/>
    <w:rsid w:val="00561F1E"/>
    <w:rsid w:val="005622AF"/>
    <w:rsid w:val="00564C32"/>
    <w:rsid w:val="00590D70"/>
    <w:rsid w:val="00594B34"/>
    <w:rsid w:val="005A4BC4"/>
    <w:rsid w:val="005A5761"/>
    <w:rsid w:val="005C2E18"/>
    <w:rsid w:val="005E7F3E"/>
    <w:rsid w:val="005F6437"/>
    <w:rsid w:val="00614E21"/>
    <w:rsid w:val="006202A5"/>
    <w:rsid w:val="00627A1D"/>
    <w:rsid w:val="006340FE"/>
    <w:rsid w:val="006365B1"/>
    <w:rsid w:val="006404D6"/>
    <w:rsid w:val="00650915"/>
    <w:rsid w:val="0065412C"/>
    <w:rsid w:val="00665BC2"/>
    <w:rsid w:val="006704AD"/>
    <w:rsid w:val="006808EF"/>
    <w:rsid w:val="006858F7"/>
    <w:rsid w:val="00695BC1"/>
    <w:rsid w:val="006B13DC"/>
    <w:rsid w:val="006C14C8"/>
    <w:rsid w:val="006D0FD3"/>
    <w:rsid w:val="006F3285"/>
    <w:rsid w:val="006F7F1C"/>
    <w:rsid w:val="007019A4"/>
    <w:rsid w:val="00723EFE"/>
    <w:rsid w:val="00733283"/>
    <w:rsid w:val="0073343C"/>
    <w:rsid w:val="00736767"/>
    <w:rsid w:val="00744C2A"/>
    <w:rsid w:val="00746270"/>
    <w:rsid w:val="007504CA"/>
    <w:rsid w:val="0076317A"/>
    <w:rsid w:val="007665C5"/>
    <w:rsid w:val="007679A3"/>
    <w:rsid w:val="0077290D"/>
    <w:rsid w:val="007803E5"/>
    <w:rsid w:val="00791C16"/>
    <w:rsid w:val="00792AF5"/>
    <w:rsid w:val="00793547"/>
    <w:rsid w:val="00793F60"/>
    <w:rsid w:val="007C4A9A"/>
    <w:rsid w:val="00802736"/>
    <w:rsid w:val="00805CA8"/>
    <w:rsid w:val="0082310B"/>
    <w:rsid w:val="0082632E"/>
    <w:rsid w:val="008315BF"/>
    <w:rsid w:val="008411B1"/>
    <w:rsid w:val="008466FB"/>
    <w:rsid w:val="00846EFB"/>
    <w:rsid w:val="00852DCA"/>
    <w:rsid w:val="0086128B"/>
    <w:rsid w:val="008648D9"/>
    <w:rsid w:val="0087047D"/>
    <w:rsid w:val="00872555"/>
    <w:rsid w:val="00874262"/>
    <w:rsid w:val="00875AFF"/>
    <w:rsid w:val="00890548"/>
    <w:rsid w:val="00891F0D"/>
    <w:rsid w:val="0089396C"/>
    <w:rsid w:val="0089713B"/>
    <w:rsid w:val="008A1956"/>
    <w:rsid w:val="008B64CF"/>
    <w:rsid w:val="008D01A6"/>
    <w:rsid w:val="00903C46"/>
    <w:rsid w:val="00921AEF"/>
    <w:rsid w:val="00924DD6"/>
    <w:rsid w:val="0092646D"/>
    <w:rsid w:val="00947207"/>
    <w:rsid w:val="00952A66"/>
    <w:rsid w:val="009562B3"/>
    <w:rsid w:val="009773D9"/>
    <w:rsid w:val="00977DB7"/>
    <w:rsid w:val="00990CF8"/>
    <w:rsid w:val="009A055E"/>
    <w:rsid w:val="009A2AC3"/>
    <w:rsid w:val="009B3B54"/>
    <w:rsid w:val="009B4189"/>
    <w:rsid w:val="009B42F0"/>
    <w:rsid w:val="009C3E20"/>
    <w:rsid w:val="009C6949"/>
    <w:rsid w:val="00A03303"/>
    <w:rsid w:val="00A06F3D"/>
    <w:rsid w:val="00A27124"/>
    <w:rsid w:val="00A37609"/>
    <w:rsid w:val="00A51C3E"/>
    <w:rsid w:val="00A60263"/>
    <w:rsid w:val="00A71327"/>
    <w:rsid w:val="00A8484E"/>
    <w:rsid w:val="00AA4A26"/>
    <w:rsid w:val="00AB04C6"/>
    <w:rsid w:val="00AB4A68"/>
    <w:rsid w:val="00AF4B8A"/>
    <w:rsid w:val="00B06CD2"/>
    <w:rsid w:val="00B205AA"/>
    <w:rsid w:val="00B331FE"/>
    <w:rsid w:val="00B34969"/>
    <w:rsid w:val="00B65055"/>
    <w:rsid w:val="00B6552E"/>
    <w:rsid w:val="00B9140A"/>
    <w:rsid w:val="00B93DBC"/>
    <w:rsid w:val="00B96BDD"/>
    <w:rsid w:val="00B97A92"/>
    <w:rsid w:val="00BF1413"/>
    <w:rsid w:val="00C1456F"/>
    <w:rsid w:val="00C165DD"/>
    <w:rsid w:val="00C33EA3"/>
    <w:rsid w:val="00C501BD"/>
    <w:rsid w:val="00C52B00"/>
    <w:rsid w:val="00C552B9"/>
    <w:rsid w:val="00C5683D"/>
    <w:rsid w:val="00C666B3"/>
    <w:rsid w:val="00C70630"/>
    <w:rsid w:val="00C7622B"/>
    <w:rsid w:val="00C81D47"/>
    <w:rsid w:val="00C96C57"/>
    <w:rsid w:val="00CB08A6"/>
    <w:rsid w:val="00CB2C05"/>
    <w:rsid w:val="00CC398E"/>
    <w:rsid w:val="00CC57BB"/>
    <w:rsid w:val="00CD4320"/>
    <w:rsid w:val="00CE056A"/>
    <w:rsid w:val="00CE0D11"/>
    <w:rsid w:val="00CE7704"/>
    <w:rsid w:val="00CF1AA6"/>
    <w:rsid w:val="00CF3680"/>
    <w:rsid w:val="00CF3C52"/>
    <w:rsid w:val="00D0062F"/>
    <w:rsid w:val="00D00960"/>
    <w:rsid w:val="00D03509"/>
    <w:rsid w:val="00D06F33"/>
    <w:rsid w:val="00D27A16"/>
    <w:rsid w:val="00D366CB"/>
    <w:rsid w:val="00D570D0"/>
    <w:rsid w:val="00D679B1"/>
    <w:rsid w:val="00D70E61"/>
    <w:rsid w:val="00D81A84"/>
    <w:rsid w:val="00DA28DE"/>
    <w:rsid w:val="00DB02B6"/>
    <w:rsid w:val="00DB76D3"/>
    <w:rsid w:val="00DC174E"/>
    <w:rsid w:val="00DC43B2"/>
    <w:rsid w:val="00DC77FF"/>
    <w:rsid w:val="00DD788D"/>
    <w:rsid w:val="00DE3ADB"/>
    <w:rsid w:val="00DF48D9"/>
    <w:rsid w:val="00DF68C8"/>
    <w:rsid w:val="00E02A38"/>
    <w:rsid w:val="00E12CC2"/>
    <w:rsid w:val="00E21832"/>
    <w:rsid w:val="00E405EB"/>
    <w:rsid w:val="00E43FAE"/>
    <w:rsid w:val="00E441C5"/>
    <w:rsid w:val="00E54C12"/>
    <w:rsid w:val="00E742E4"/>
    <w:rsid w:val="00E80D92"/>
    <w:rsid w:val="00EA1459"/>
    <w:rsid w:val="00EA48ED"/>
    <w:rsid w:val="00EB0A2E"/>
    <w:rsid w:val="00EE29A9"/>
    <w:rsid w:val="00EF163A"/>
    <w:rsid w:val="00F005B9"/>
    <w:rsid w:val="00F01591"/>
    <w:rsid w:val="00F028A1"/>
    <w:rsid w:val="00F06481"/>
    <w:rsid w:val="00F07309"/>
    <w:rsid w:val="00F27E61"/>
    <w:rsid w:val="00F355FE"/>
    <w:rsid w:val="00F4148E"/>
    <w:rsid w:val="00F56C29"/>
    <w:rsid w:val="00F64890"/>
    <w:rsid w:val="00F73F34"/>
    <w:rsid w:val="00F778DD"/>
    <w:rsid w:val="00F82701"/>
    <w:rsid w:val="00F843CA"/>
    <w:rsid w:val="00FA39AB"/>
    <w:rsid w:val="00FA7C19"/>
    <w:rsid w:val="00FD6323"/>
    <w:rsid w:val="00FF5505"/>
    <w:rsid w:val="00FF59F0"/>
    <w:rsid w:val="00FF7DA0"/>
    <w:rsid w:val="BFEE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tabs>
        <w:tab w:val="center" w:pos="4153"/>
        <w:tab w:val="right" w:pos="8306"/>
      </w:tabs>
      <w:snapToGrid w:val="0"/>
      <w:jc w:val="center"/>
    </w:pPr>
    <w:rPr>
      <w:sz w:val="18"/>
      <w:szCs w:val="18"/>
    </w:rPr>
  </w:style>
  <w:style w:type="paragraph" w:styleId="6">
    <w:name w:val="footnote text"/>
    <w:basedOn w:val="1"/>
    <w:link w:val="11"/>
    <w:semiHidden/>
    <w:unhideWhenUsed/>
    <w:uiPriority w:val="99"/>
    <w:pPr>
      <w:snapToGrid w:val="0"/>
      <w:jc w:val="left"/>
    </w:pPr>
    <w:rPr>
      <w:sz w:val="18"/>
      <w:szCs w:val="18"/>
    </w:rPr>
  </w:style>
  <w:style w:type="character" w:styleId="9">
    <w:name w:val="footnote reference"/>
    <w:basedOn w:val="8"/>
    <w:semiHidden/>
    <w:unhideWhenUsed/>
    <w:uiPriority w:val="99"/>
    <w:rPr>
      <w:vertAlign w:val="superscript"/>
    </w:rPr>
  </w:style>
  <w:style w:type="paragraph" w:styleId="10">
    <w:name w:val="List Paragraph"/>
    <w:basedOn w:val="1"/>
    <w:qFormat/>
    <w:uiPriority w:val="34"/>
    <w:pPr>
      <w:ind w:firstLine="420" w:firstLineChars="200"/>
    </w:pPr>
  </w:style>
  <w:style w:type="character" w:customStyle="1" w:styleId="11">
    <w:name w:val="脚注文本 字符"/>
    <w:basedOn w:val="8"/>
    <w:link w:val="6"/>
    <w:semiHidden/>
    <w:uiPriority w:val="99"/>
    <w:rPr>
      <w:sz w:val="18"/>
      <w:szCs w:val="18"/>
    </w:rPr>
  </w:style>
  <w:style w:type="character" w:customStyle="1" w:styleId="12">
    <w:name w:val="标题 1 字符"/>
    <w:basedOn w:val="8"/>
    <w:link w:val="2"/>
    <w:uiPriority w:val="9"/>
    <w:rPr>
      <w:b/>
      <w:bCs/>
      <w:kern w:val="44"/>
      <w:sz w:val="44"/>
      <w:szCs w:val="44"/>
    </w:rPr>
  </w:style>
  <w:style w:type="character" w:customStyle="1" w:styleId="13">
    <w:name w:val="标题 2 字符"/>
    <w:basedOn w:val="8"/>
    <w:link w:val="3"/>
    <w:uiPriority w:val="9"/>
    <w:rPr>
      <w:rFonts w:asciiTheme="majorHAnsi" w:hAnsiTheme="majorHAnsi" w:eastAsiaTheme="majorEastAsia" w:cstheme="majorBidi"/>
      <w:b/>
      <w:bCs/>
      <w:sz w:val="32"/>
      <w:szCs w:val="32"/>
    </w:rPr>
  </w:style>
  <w:style w:type="character" w:customStyle="1" w:styleId="14">
    <w:name w:val="页眉 字符"/>
    <w:basedOn w:val="8"/>
    <w:link w:val="5"/>
    <w:uiPriority w:val="99"/>
    <w:rPr>
      <w:sz w:val="18"/>
      <w:szCs w:val="18"/>
    </w:rPr>
  </w:style>
  <w:style w:type="character" w:customStyle="1" w:styleId="15">
    <w:name w:val="页脚 字符"/>
    <w:basedOn w:val="8"/>
    <w:link w:val="4"/>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44034E-3A76-4085-9556-38AA7BF9981D}">
  <ds:schemaRefs/>
</ds:datastoreItem>
</file>

<file path=docProps/app.xml><?xml version="1.0" encoding="utf-8"?>
<Properties xmlns="http://schemas.openxmlformats.org/officeDocument/2006/extended-properties" xmlns:vt="http://schemas.openxmlformats.org/officeDocument/2006/docPropsVTypes">
  <Template>Normal.dotm</Template>
  <Pages>9</Pages>
  <Words>9028</Words>
  <Characters>9051</Characters>
  <Lines>142</Lines>
  <Paragraphs>46</Paragraphs>
  <TotalTime>2</TotalTime>
  <ScaleCrop>false</ScaleCrop>
  <LinksUpToDate>false</LinksUpToDate>
  <CharactersWithSpaces>9064</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2025-06-13T19:57:00Z</dcterms:created>
  <dc:creator>Furina</dc:creator>
  <cp:lastModifiedBy>Furina</cp:lastModifiedBy>
  <dcterms:modified xsi:type="dcterms:W3CDTF">2025-08-27T11:56:02Z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01F769DDD56D7859D281AE68E34B1A76_42</vt:lpwstr>
  </property>
</Properties>
</file>