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9B4DF1">
      <w:pPr>
        <w:spacing w:line="120" w:lineRule="auto"/>
        <w:ind w:firstLine="480"/>
        <w:jc w:val="center"/>
        <w:rPr>
          <w:rFonts w:ascii="黑体" w:hAnsi="黑体" w:eastAsia="黑体" w:cs="Times New Roman"/>
          <w:bCs/>
          <w:sz w:val="28"/>
          <w:szCs w:val="28"/>
        </w:rPr>
      </w:pPr>
      <w:r>
        <w:rPr>
          <w:rFonts w:hint="eastAsia" w:ascii="黑体" w:hAnsi="黑体" w:eastAsia="黑体" w:cs="Times New Roman"/>
          <w:bCs/>
          <w:sz w:val="28"/>
          <w:szCs w:val="28"/>
          <w14:ligatures w14:val="none"/>
        </w:rPr>
        <w:t>物理抑或虚拟：公共场所刑法解释方法研究</w:t>
      </w:r>
    </w:p>
    <w:p w14:paraId="1F7987FA">
      <w:pPr>
        <w:rPr>
          <w:rFonts w:ascii="黑体" w:hAnsi="黑体" w:eastAsia="黑体" w:cs="Times New Roman"/>
          <w:szCs w:val="21"/>
        </w:rPr>
      </w:pPr>
      <w:r>
        <w:rPr>
          <w:rFonts w:hint="eastAsia" w:ascii="黑体" w:hAnsi="黑体" w:eastAsia="黑体" w:cs="Times New Roman"/>
          <w:szCs w:val="21"/>
        </w:rPr>
        <w:t>内容摘要：在个案中面对“网络空间是否能够解释为公共场所”的问题时，应当从网络空间的事实判断出发，在此基础上对公共场所进行价值判断。在事实的实质判断中，网络空间具有场所、产品、媒介三重维度，只有场所维度的网络空间具有解释为公共场所的可能。在价值的实质判断中，需要根据网络空间的开放程度，判断网络空间是否具有人员流动的可感知性。最后，需要判断公共场所是否能为不法行为提供可罚违法性的“质”和产生可罚的违法性的“量”。经过事实与价值的两重判断后，才能将公共场所扩张解释为网络空间。</w:t>
      </w:r>
    </w:p>
    <w:p w14:paraId="5797A78A">
      <w:pPr>
        <w:rPr>
          <w:rFonts w:ascii="黑体" w:hAnsi="黑体" w:eastAsia="黑体" w:cs="Times New Roman"/>
          <w:szCs w:val="21"/>
        </w:rPr>
      </w:pPr>
      <w:r>
        <w:rPr>
          <w:rFonts w:hint="eastAsia" w:ascii="黑体" w:hAnsi="黑体" w:eastAsia="黑体" w:cs="Times New Roman"/>
          <w:szCs w:val="21"/>
        </w:rPr>
        <w:t>关键词 公共场所；网络空间；事实判断</w:t>
      </w:r>
    </w:p>
    <w:p w14:paraId="70032EA0">
      <w:pPr>
        <w:ind w:firstLine="420" w:firstLineChars="200"/>
        <w:jc w:val="center"/>
        <w:rPr>
          <w:rFonts w:ascii="黑体" w:hAnsi="黑体" w:eastAsia="黑体"/>
        </w:rPr>
      </w:pPr>
      <w:bookmarkStart w:id="0" w:name="_Hlk130757407"/>
      <w:r>
        <w:rPr>
          <w:rFonts w:ascii="黑体" w:hAnsi="黑体" w:eastAsia="黑体"/>
        </w:rPr>
        <w:t>一、问题</w:t>
      </w:r>
      <w:r>
        <w:rPr>
          <w:rFonts w:hint="eastAsia" w:ascii="黑体" w:hAnsi="黑体" w:eastAsia="黑体"/>
        </w:rPr>
        <w:t>的</w:t>
      </w:r>
      <w:r>
        <w:rPr>
          <w:rFonts w:ascii="黑体" w:hAnsi="黑体" w:eastAsia="黑体"/>
        </w:rPr>
        <w:t>引出</w:t>
      </w:r>
    </w:p>
    <w:bookmarkEnd w:id="0"/>
    <w:p w14:paraId="3E7E217F">
      <w:pPr>
        <w:ind w:firstLine="420" w:firstLineChars="200"/>
        <w:rPr>
          <w:rFonts w:ascii="Times New Roman" w:hAnsi="Times New Roman" w:cs="Times New Roman"/>
        </w:rPr>
      </w:pPr>
      <w:r>
        <w:rPr>
          <w:rFonts w:ascii="Times New Roman" w:hAnsi="Times New Roman" w:cs="Times New Roman"/>
        </w:rPr>
        <w:t>如何解释公共场所的概念一直是我国刑法学界的争议内容。从刑法的内部体系看，公共场所难以解释的原因有二</w:t>
      </w:r>
      <w:r>
        <w:rPr>
          <w:rFonts w:hint="eastAsia" w:ascii="Times New Roman" w:hAnsi="Times New Roman" w:cs="Times New Roman"/>
        </w:rPr>
        <w:t>：</w:t>
      </w:r>
      <w:r>
        <w:rPr>
          <w:rFonts w:ascii="Times New Roman" w:hAnsi="Times New Roman" w:cs="Times New Roman"/>
        </w:rPr>
        <w:t>一是公共场所在《刑法》中多次出现，且分布在不同的罪名</w:t>
      </w:r>
      <w:r>
        <w:rPr>
          <w:rFonts w:hint="eastAsia" w:ascii="Times New Roman" w:hAnsi="Times New Roman" w:cs="Times New Roman"/>
        </w:rPr>
        <w:t>当</w:t>
      </w:r>
      <w:r>
        <w:rPr>
          <w:rFonts w:ascii="Times New Roman" w:hAnsi="Times New Roman" w:cs="Times New Roman"/>
        </w:rPr>
        <w:t>中。例如第一百三十条规定的</w:t>
      </w:r>
      <w:r>
        <w:rPr>
          <w:rFonts w:hint="eastAsia" w:ascii="Times New Roman" w:hAnsi="Times New Roman" w:cs="Times New Roman"/>
        </w:rPr>
        <w:t>“</w:t>
      </w:r>
      <w:r>
        <w:rPr>
          <w:rFonts w:ascii="Times New Roman" w:hAnsi="Times New Roman" w:cs="Times New Roman"/>
        </w:rPr>
        <w:t>非法携带枪支……进入公共场所……</w:t>
      </w:r>
      <w:r>
        <w:rPr>
          <w:rFonts w:hint="eastAsia" w:ascii="Times New Roman" w:hAnsi="Times New Roman" w:cs="Times New Roman"/>
        </w:rPr>
        <w:t>”</w:t>
      </w:r>
      <w:r>
        <w:rPr>
          <w:rFonts w:ascii="Times New Roman" w:hAnsi="Times New Roman" w:cs="Times New Roman"/>
        </w:rPr>
        <w:t>；又如第二百九十二条第一款第三项的“在公共场所或者交通要道聚众斗殴……</w:t>
      </w:r>
      <w:r>
        <w:rPr>
          <w:rFonts w:hint="eastAsia" w:ascii="Times New Roman" w:hAnsi="Times New Roman" w:cs="Times New Roman"/>
        </w:rPr>
        <w:t>”</w:t>
      </w:r>
      <w:r>
        <w:rPr>
          <w:rFonts w:ascii="Times New Roman" w:hAnsi="Times New Roman" w:cs="Times New Roman"/>
        </w:rPr>
        <w:t>。二是公共场所</w:t>
      </w:r>
      <w:r>
        <w:rPr>
          <w:rFonts w:hint="eastAsia" w:ascii="Times New Roman" w:hAnsi="Times New Roman" w:cs="Times New Roman"/>
        </w:rPr>
        <w:t>的“</w:t>
      </w:r>
      <w:r>
        <w:rPr>
          <w:rFonts w:ascii="Times New Roman" w:hAnsi="Times New Roman" w:cs="Times New Roman"/>
        </w:rPr>
        <w:t>形近词</w:t>
      </w:r>
      <w:r>
        <w:rPr>
          <w:rFonts w:hint="eastAsia" w:ascii="Times New Roman" w:hAnsi="Times New Roman" w:cs="Times New Roman"/>
        </w:rPr>
        <w:t>”也</w:t>
      </w:r>
      <w:r>
        <w:rPr>
          <w:rFonts w:ascii="Times New Roman" w:hAnsi="Times New Roman" w:cs="Times New Roman"/>
        </w:rPr>
        <w:t>频繁地出现在《刑法》中。例如第二百三十六条第三款第三项的</w:t>
      </w:r>
      <w:r>
        <w:rPr>
          <w:rFonts w:hint="eastAsia" w:ascii="Times New Roman" w:hAnsi="Times New Roman" w:cs="Times New Roman"/>
        </w:rPr>
        <w:t>“</w:t>
      </w:r>
      <w:r>
        <w:rPr>
          <w:rFonts w:ascii="Times New Roman" w:hAnsi="Times New Roman" w:cs="Times New Roman"/>
        </w:rPr>
        <w:t>在公共场所当众强奸妇女、奸淫幼女的……</w:t>
      </w:r>
      <w:r>
        <w:rPr>
          <w:rFonts w:hint="eastAsia" w:ascii="Times New Roman" w:hAnsi="Times New Roman" w:cs="Times New Roman"/>
        </w:rPr>
        <w:t>”</w:t>
      </w:r>
      <w:r>
        <w:rPr>
          <w:rFonts w:ascii="Times New Roman" w:hAnsi="Times New Roman" w:cs="Times New Roman"/>
        </w:rPr>
        <w:t>；规定在第二百九十九条中的</w:t>
      </w:r>
      <w:r>
        <w:rPr>
          <w:rFonts w:hint="eastAsia" w:ascii="Times New Roman" w:hAnsi="Times New Roman" w:cs="Times New Roman"/>
        </w:rPr>
        <w:t>“</w:t>
      </w:r>
      <w:r>
        <w:rPr>
          <w:rFonts w:ascii="Times New Roman" w:hAnsi="Times New Roman" w:cs="Times New Roman"/>
        </w:rPr>
        <w:t>在公共场合，故意篡改中华人民共和国国歌歌词……的</w:t>
      </w:r>
      <w:r>
        <w:rPr>
          <w:rFonts w:hint="eastAsia" w:ascii="Times New Roman" w:hAnsi="Times New Roman" w:cs="Times New Roman"/>
        </w:rPr>
        <w:t>”</w:t>
      </w:r>
      <w:r>
        <w:rPr>
          <w:rFonts w:ascii="Times New Roman" w:hAnsi="Times New Roman" w:cs="Times New Roman"/>
        </w:rPr>
        <w:t>。</w:t>
      </w:r>
    </w:p>
    <w:p w14:paraId="25DC044F">
      <w:pPr>
        <w:ind w:firstLine="420" w:firstLineChars="200"/>
        <w:rPr>
          <w:rFonts w:ascii="Times New Roman" w:hAnsi="Times New Roman" w:cs="Times New Roman"/>
        </w:rPr>
      </w:pPr>
      <w:r>
        <w:rPr>
          <w:rFonts w:ascii="Times New Roman" w:hAnsi="Times New Roman" w:cs="Times New Roman"/>
        </w:rPr>
        <w:t>但是，在明确具体犯罪的保护法益，并以体系解释方法</w:t>
      </w:r>
      <w:r>
        <w:rPr>
          <w:rFonts w:hint="eastAsia" w:ascii="Times New Roman" w:hAnsi="Times New Roman" w:cs="Times New Roman"/>
        </w:rPr>
        <w:t>作</w:t>
      </w:r>
      <w:r>
        <w:rPr>
          <w:rFonts w:ascii="Times New Roman" w:hAnsi="Times New Roman" w:cs="Times New Roman"/>
        </w:rPr>
        <w:t>为补充后，立法者造就的上述</w:t>
      </w:r>
      <w:r>
        <w:rPr>
          <w:rFonts w:hint="eastAsia" w:ascii="Times New Roman" w:hAnsi="Times New Roman" w:cs="Times New Roman"/>
        </w:rPr>
        <w:t>“</w:t>
      </w:r>
      <w:r>
        <w:rPr>
          <w:rFonts w:ascii="Times New Roman" w:hAnsi="Times New Roman" w:cs="Times New Roman"/>
        </w:rPr>
        <w:t>概念迷思</w:t>
      </w:r>
      <w:r>
        <w:rPr>
          <w:rFonts w:hint="eastAsia" w:ascii="Times New Roman" w:hAnsi="Times New Roman" w:cs="Times New Roman"/>
        </w:rPr>
        <w:t>”</w:t>
      </w:r>
      <w:r>
        <w:rPr>
          <w:rFonts w:ascii="Times New Roman" w:hAnsi="Times New Roman" w:cs="Times New Roman"/>
        </w:rPr>
        <w:t>似乎可以被精致的解释技术消弭。公共场所的解释</w:t>
      </w:r>
      <w:r>
        <w:rPr>
          <w:rFonts w:hint="eastAsia" w:ascii="Times New Roman" w:hAnsi="Times New Roman" w:cs="Times New Roman"/>
        </w:rPr>
        <w:t>之所以</w:t>
      </w:r>
      <w:r>
        <w:rPr>
          <w:rFonts w:ascii="Times New Roman" w:hAnsi="Times New Roman" w:cs="Times New Roman"/>
        </w:rPr>
        <w:t>成为</w:t>
      </w:r>
      <w:r>
        <w:rPr>
          <w:rFonts w:hint="eastAsia" w:ascii="Times New Roman" w:hAnsi="Times New Roman" w:cs="Times New Roman"/>
        </w:rPr>
        <w:t>了</w:t>
      </w:r>
      <w:r>
        <w:rPr>
          <w:rFonts w:ascii="Times New Roman" w:hAnsi="Times New Roman" w:cs="Times New Roman"/>
        </w:rPr>
        <w:t>一个复杂</w:t>
      </w:r>
      <w:r>
        <w:rPr>
          <w:rFonts w:hint="eastAsia" w:ascii="Times New Roman" w:hAnsi="Times New Roman" w:cs="Times New Roman"/>
        </w:rPr>
        <w:t>的</w:t>
      </w:r>
      <w:r>
        <w:rPr>
          <w:rFonts w:ascii="Times New Roman" w:hAnsi="Times New Roman" w:cs="Times New Roman"/>
        </w:rPr>
        <w:t>问题，是以下两个因素</w:t>
      </w:r>
      <w:r>
        <w:rPr>
          <w:rFonts w:hint="eastAsia" w:ascii="Times New Roman" w:hAnsi="Times New Roman" w:cs="Times New Roman"/>
        </w:rPr>
        <w:t>造成的</w:t>
      </w:r>
      <w:r>
        <w:rPr>
          <w:rFonts w:ascii="Times New Roman" w:hAnsi="Times New Roman" w:cs="Times New Roman"/>
        </w:rPr>
        <w:t>。首先，在应然层面上，</w:t>
      </w:r>
      <w:r>
        <w:rPr>
          <w:rFonts w:hint="eastAsia" w:ascii="Times New Roman" w:hAnsi="Times New Roman" w:cs="Times New Roman"/>
        </w:rPr>
        <w:t>因素之一</w:t>
      </w:r>
      <w:r>
        <w:rPr>
          <w:rFonts w:ascii="Times New Roman" w:hAnsi="Times New Roman" w:cs="Times New Roman"/>
        </w:rPr>
        <w:t>是我国互联网从Web2.0跨越到Web3.0的过程中，出现的网络</w:t>
      </w:r>
      <w:r>
        <w:rPr>
          <w:rFonts w:hint="eastAsia" w:ascii="Times New Roman" w:hAnsi="Times New Roman" w:cs="Times New Roman"/>
        </w:rPr>
        <w:t>“</w:t>
      </w:r>
      <w:r>
        <w:rPr>
          <w:rFonts w:ascii="Times New Roman" w:hAnsi="Times New Roman" w:cs="Times New Roman"/>
        </w:rPr>
        <w:t>空间化</w:t>
      </w:r>
      <w:r>
        <w:rPr>
          <w:rFonts w:hint="eastAsia" w:ascii="Times New Roman" w:hAnsi="Times New Roman" w:cs="Times New Roman"/>
        </w:rPr>
        <w:t>”</w:t>
      </w:r>
      <w:r>
        <w:rPr>
          <w:rFonts w:ascii="Times New Roman" w:hAnsi="Times New Roman" w:cs="Times New Roman"/>
        </w:rPr>
        <w:t>趋势。</w:t>
      </w:r>
      <w:r>
        <w:rPr>
          <w:rFonts w:hint="eastAsia" w:ascii="Times New Roman" w:hAnsi="Times New Roman" w:cs="Times New Roman"/>
          <w:vertAlign w:val="superscript"/>
        </w:rPr>
        <w:t>[1]</w:t>
      </w:r>
      <w:r>
        <w:rPr>
          <w:rStyle w:val="13"/>
          <w:rFonts w:ascii="Times New Roman" w:hAnsi="Times New Roman" w:cs="Times New Roman"/>
        </w:rPr>
        <w:footnoteReference w:id="0"/>
      </w:r>
      <w:r>
        <w:rPr>
          <w:rFonts w:ascii="Times New Roman" w:hAnsi="Times New Roman" w:cs="Times New Roman"/>
        </w:rPr>
        <w:t>在这个过程中，一些需要依赖在</w:t>
      </w:r>
      <w:r>
        <w:rPr>
          <w:rFonts w:hint="eastAsia" w:ascii="Times New Roman" w:hAnsi="Times New Roman" w:cs="Times New Roman"/>
        </w:rPr>
        <w:t>“</w:t>
      </w:r>
      <w:r>
        <w:rPr>
          <w:rFonts w:ascii="Times New Roman" w:hAnsi="Times New Roman" w:cs="Times New Roman"/>
        </w:rPr>
        <w:t>存在一定人员流动性</w:t>
      </w:r>
      <w:r>
        <w:rPr>
          <w:rFonts w:hint="eastAsia" w:ascii="Times New Roman" w:hAnsi="Times New Roman" w:cs="Times New Roman"/>
        </w:rPr>
        <w:t>”</w:t>
      </w:r>
      <w:r>
        <w:rPr>
          <w:rFonts w:ascii="Times New Roman" w:hAnsi="Times New Roman" w:cs="Times New Roman"/>
        </w:rPr>
        <w:t>的场域</w:t>
      </w:r>
      <w:r>
        <w:rPr>
          <w:rStyle w:val="13"/>
          <w:rFonts w:ascii="Times New Roman" w:hAnsi="Times New Roman" w:cs="Times New Roman"/>
        </w:rPr>
        <w:footnoteReference w:id="1"/>
      </w:r>
      <w:r>
        <w:rPr>
          <w:rFonts w:ascii="Times New Roman" w:hAnsi="Times New Roman" w:cs="Times New Roman"/>
        </w:rPr>
        <w:t>中才能表现出可罚违法性</w:t>
      </w:r>
      <w:r>
        <w:rPr>
          <w:rFonts w:hint="eastAsia" w:ascii="Times New Roman" w:hAnsi="Times New Roman" w:cs="Times New Roman"/>
        </w:rPr>
        <w:t>“</w:t>
      </w:r>
      <w:r>
        <w:rPr>
          <w:rFonts w:ascii="Times New Roman" w:hAnsi="Times New Roman" w:cs="Times New Roman"/>
        </w:rPr>
        <w:t>质</w:t>
      </w:r>
      <w:r>
        <w:rPr>
          <w:rFonts w:hint="eastAsia" w:ascii="Times New Roman" w:hAnsi="Times New Roman" w:cs="Times New Roman"/>
        </w:rPr>
        <w:t>”</w:t>
      </w:r>
      <w:r>
        <w:rPr>
          <w:rFonts w:ascii="Times New Roman" w:hAnsi="Times New Roman" w:cs="Times New Roman"/>
        </w:rPr>
        <w:t>的传统犯罪，因网络</w:t>
      </w:r>
      <w:r>
        <w:rPr>
          <w:rFonts w:hint="eastAsia" w:ascii="Times New Roman" w:hAnsi="Times New Roman" w:cs="Times New Roman"/>
        </w:rPr>
        <w:t>“</w:t>
      </w:r>
      <w:r>
        <w:rPr>
          <w:rFonts w:ascii="Times New Roman" w:hAnsi="Times New Roman" w:cs="Times New Roman"/>
        </w:rPr>
        <w:t>空间化</w:t>
      </w:r>
      <w:r>
        <w:rPr>
          <w:rFonts w:hint="eastAsia" w:ascii="Times New Roman" w:hAnsi="Times New Roman" w:cs="Times New Roman"/>
        </w:rPr>
        <w:t>”</w:t>
      </w:r>
      <w:r>
        <w:rPr>
          <w:rFonts w:ascii="Times New Roman" w:hAnsi="Times New Roman" w:cs="Times New Roman"/>
        </w:rPr>
        <w:t>产生的虚拟的人员流动而促进了其可罚违法性的</w:t>
      </w:r>
      <w:r>
        <w:rPr>
          <w:rFonts w:hint="eastAsia" w:ascii="Times New Roman" w:hAnsi="Times New Roman" w:cs="Times New Roman"/>
        </w:rPr>
        <w:t>“</w:t>
      </w:r>
      <w:r>
        <w:rPr>
          <w:rFonts w:ascii="Times New Roman" w:hAnsi="Times New Roman" w:cs="Times New Roman"/>
        </w:rPr>
        <w:t>质</w:t>
      </w:r>
      <w:r>
        <w:rPr>
          <w:rFonts w:hint="eastAsia" w:ascii="Times New Roman" w:hAnsi="Times New Roman" w:cs="Times New Roman"/>
        </w:rPr>
        <w:t>”</w:t>
      </w:r>
      <w:r>
        <w:rPr>
          <w:rFonts w:ascii="Times New Roman" w:hAnsi="Times New Roman" w:cs="Times New Roman"/>
        </w:rPr>
        <w:t>的产生，也即</w:t>
      </w:r>
      <w:r>
        <w:rPr>
          <w:rFonts w:hint="eastAsia" w:ascii="Times New Roman" w:hAnsi="Times New Roman" w:cs="Times New Roman"/>
        </w:rPr>
        <w:t>“</w:t>
      </w:r>
      <w:r>
        <w:rPr>
          <w:rFonts w:ascii="Times New Roman" w:hAnsi="Times New Roman" w:cs="Times New Roman"/>
        </w:rPr>
        <w:t>传统犯罪的网络迁移</w:t>
      </w:r>
      <w:r>
        <w:rPr>
          <w:rFonts w:hint="eastAsia" w:ascii="Times New Roman" w:hAnsi="Times New Roman" w:cs="Times New Roman"/>
        </w:rPr>
        <w:t>”</w:t>
      </w:r>
      <w:r>
        <w:rPr>
          <w:rFonts w:ascii="Times New Roman" w:hAnsi="Times New Roman" w:cs="Times New Roman"/>
        </w:rPr>
        <w:t>。</w:t>
      </w:r>
      <w:r>
        <w:rPr>
          <w:rFonts w:hint="eastAsia" w:ascii="Times New Roman" w:hAnsi="Times New Roman" w:cs="Times New Roman"/>
          <w:vertAlign w:val="superscript"/>
        </w:rPr>
        <w:t>[2]</w:t>
      </w:r>
      <w:r>
        <w:rPr>
          <w:rStyle w:val="13"/>
          <w:rFonts w:ascii="Times New Roman" w:hAnsi="Times New Roman" w:cs="Times New Roman"/>
        </w:rPr>
        <w:footnoteReference w:id="2"/>
      </w:r>
      <w:r>
        <w:rPr>
          <w:rFonts w:ascii="Times New Roman" w:hAnsi="Times New Roman" w:cs="Times New Roman"/>
        </w:rPr>
        <w:t>例如，在网络平台的直播房间里猥亵他人的行为。其次，在实然层面上，具体</w:t>
      </w:r>
      <w:r>
        <w:rPr>
          <w:rFonts w:hint="eastAsia" w:ascii="Times New Roman" w:hAnsi="Times New Roman" w:cs="Times New Roman"/>
        </w:rPr>
        <w:t>的</w:t>
      </w:r>
      <w:r>
        <w:rPr>
          <w:rFonts w:ascii="Times New Roman" w:hAnsi="Times New Roman" w:cs="Times New Roman"/>
        </w:rPr>
        <w:t>问题来自于《关于办理利用信息网络实施诽谤等刑事案件适用法律若干问题的解释》（以下简称《网络诽谤解释》）的出台。《网络诽谤解释》规定了编造虚假信息……造成公共秩序严重混乱的行为</w:t>
      </w:r>
      <w:r>
        <w:rPr>
          <w:rFonts w:hint="eastAsia" w:ascii="Times New Roman" w:hAnsi="Times New Roman" w:cs="Times New Roman"/>
        </w:rPr>
        <w:t>应当</w:t>
      </w:r>
      <w:r>
        <w:rPr>
          <w:rFonts w:ascii="Times New Roman" w:hAnsi="Times New Roman" w:cs="Times New Roman"/>
        </w:rPr>
        <w:t>以寻衅滋事罪论处。这就产生了</w:t>
      </w:r>
      <w:r>
        <w:rPr>
          <w:rFonts w:hint="eastAsia" w:ascii="Times New Roman" w:hAnsi="Times New Roman" w:cs="Times New Roman"/>
        </w:rPr>
        <w:t>两个解释上的问题，一是“网络传谣”是否能解释为“在公共场所起哄闹事”；二是</w:t>
      </w:r>
      <w:r>
        <w:rPr>
          <w:rFonts w:ascii="Times New Roman" w:hAnsi="Times New Roman" w:cs="Times New Roman"/>
        </w:rPr>
        <w:t>网络秩序</w:t>
      </w:r>
      <w:r>
        <w:rPr>
          <w:rFonts w:hint="eastAsia" w:ascii="Times New Roman" w:hAnsi="Times New Roman" w:cs="Times New Roman"/>
        </w:rPr>
        <w:t>与公共秩序、</w:t>
      </w:r>
      <w:r>
        <w:rPr>
          <w:rFonts w:ascii="Times New Roman" w:hAnsi="Times New Roman" w:cs="Times New Roman"/>
        </w:rPr>
        <w:t>公共场所秩序</w:t>
      </w:r>
      <w:r>
        <w:rPr>
          <w:rFonts w:hint="eastAsia" w:ascii="Times New Roman" w:hAnsi="Times New Roman" w:cs="Times New Roman"/>
        </w:rPr>
        <w:t>的关系。学界针对这两个问题，展开了</w:t>
      </w:r>
      <w:r>
        <w:rPr>
          <w:rFonts w:ascii="Times New Roman" w:hAnsi="Times New Roman" w:cs="Times New Roman"/>
        </w:rPr>
        <w:t>对公共场所内涵的讨论。</w:t>
      </w:r>
      <w:r>
        <w:rPr>
          <w:rFonts w:hint="eastAsia" w:ascii="Times New Roman" w:hAnsi="Times New Roman" w:cs="Times New Roman"/>
          <w:vertAlign w:val="superscript"/>
        </w:rPr>
        <w:t>[3]</w:t>
      </w:r>
      <w:r>
        <w:rPr>
          <w:rStyle w:val="13"/>
          <w:rFonts w:ascii="Times New Roman" w:hAnsi="Times New Roman" w:cs="Times New Roman"/>
        </w:rPr>
        <w:footnoteReference w:id="3"/>
      </w:r>
    </w:p>
    <w:p w14:paraId="7AAE3A28">
      <w:pPr>
        <w:ind w:firstLine="420" w:firstLineChars="200"/>
        <w:rPr>
          <w:rFonts w:ascii="Times New Roman" w:hAnsi="Times New Roman" w:cs="Times New Roman"/>
        </w:rPr>
      </w:pPr>
      <w:r>
        <w:rPr>
          <w:rFonts w:hint="eastAsia" w:ascii="Times New Roman" w:hAnsi="Times New Roman" w:cs="Times New Roman"/>
        </w:rPr>
        <w:t>据此，</w:t>
      </w:r>
      <w:r>
        <w:rPr>
          <w:rFonts w:ascii="Times New Roman" w:hAnsi="Times New Roman" w:cs="Times New Roman"/>
        </w:rPr>
        <w:t>可以看出，公共场所的解释问题主要源于以下两点，第一，从发生学的角度看，始于网络</w:t>
      </w:r>
      <w:r>
        <w:rPr>
          <w:rFonts w:hint="eastAsia" w:ascii="Times New Roman" w:hAnsi="Times New Roman" w:cs="Times New Roman"/>
        </w:rPr>
        <w:t>“</w:t>
      </w:r>
      <w:r>
        <w:rPr>
          <w:rFonts w:ascii="Times New Roman" w:hAnsi="Times New Roman" w:cs="Times New Roman"/>
        </w:rPr>
        <w:t>空间化</w:t>
      </w:r>
      <w:r>
        <w:rPr>
          <w:rFonts w:hint="eastAsia" w:ascii="Times New Roman" w:hAnsi="Times New Roman" w:cs="Times New Roman"/>
        </w:rPr>
        <w:t>”</w:t>
      </w:r>
      <w:r>
        <w:rPr>
          <w:rFonts w:ascii="Times New Roman" w:hAnsi="Times New Roman" w:cs="Times New Roman"/>
        </w:rPr>
        <w:t>来的传统犯罪的网络迁移；第二，从实在法的角度来看，问题来源于《网络诽谤解释》未能具体论证网络秩序</w:t>
      </w:r>
      <w:r>
        <w:rPr>
          <w:rFonts w:hint="eastAsia" w:ascii="Times New Roman" w:hAnsi="Times New Roman" w:cs="Times New Roman"/>
        </w:rPr>
        <w:t>与公共场所秩序、公共秩序</w:t>
      </w:r>
      <w:r>
        <w:rPr>
          <w:rFonts w:ascii="Times New Roman" w:hAnsi="Times New Roman" w:cs="Times New Roman"/>
        </w:rPr>
        <w:t>的关系。同时，公共场所</w:t>
      </w:r>
      <w:r>
        <w:rPr>
          <w:rFonts w:hint="eastAsia" w:ascii="Times New Roman" w:hAnsi="Times New Roman" w:cs="Times New Roman"/>
        </w:rPr>
        <w:t>在《刑法》中分布广且“</w:t>
      </w:r>
      <w:r>
        <w:rPr>
          <w:rFonts w:ascii="Times New Roman" w:hAnsi="Times New Roman" w:cs="Times New Roman"/>
        </w:rPr>
        <w:t>形近词</w:t>
      </w:r>
      <w:r>
        <w:rPr>
          <w:rFonts w:hint="eastAsia" w:ascii="Times New Roman" w:hAnsi="Times New Roman" w:cs="Times New Roman"/>
        </w:rPr>
        <w:t>”</w:t>
      </w:r>
      <w:r>
        <w:rPr>
          <w:rFonts w:ascii="Times New Roman" w:hAnsi="Times New Roman" w:cs="Times New Roman"/>
        </w:rPr>
        <w:t>较多的问题，在网络</w:t>
      </w:r>
      <w:r>
        <w:rPr>
          <w:rFonts w:hint="eastAsia" w:ascii="Times New Roman" w:hAnsi="Times New Roman" w:cs="Times New Roman"/>
        </w:rPr>
        <w:t>“</w:t>
      </w:r>
      <w:r>
        <w:rPr>
          <w:rFonts w:ascii="Times New Roman" w:hAnsi="Times New Roman" w:cs="Times New Roman"/>
        </w:rPr>
        <w:t>空间化</w:t>
      </w:r>
      <w:r>
        <w:rPr>
          <w:rFonts w:hint="eastAsia" w:ascii="Times New Roman" w:hAnsi="Times New Roman" w:cs="Times New Roman"/>
        </w:rPr>
        <w:t>”</w:t>
      </w:r>
      <w:r>
        <w:rPr>
          <w:rFonts w:ascii="Times New Roman" w:hAnsi="Times New Roman" w:cs="Times New Roman"/>
        </w:rPr>
        <w:t>的催化下，也使得公共场所的解释问题变得复杂。</w:t>
      </w:r>
    </w:p>
    <w:p w14:paraId="6D281D5F">
      <w:pPr>
        <w:ind w:firstLine="420" w:firstLineChars="200"/>
        <w:rPr>
          <w:rFonts w:ascii="Times New Roman" w:hAnsi="Times New Roman" w:cs="Times New Roman"/>
        </w:rPr>
      </w:pPr>
      <w:r>
        <w:rPr>
          <w:rFonts w:hint="eastAsia" w:ascii="Times New Roman" w:hAnsi="Times New Roman" w:cs="Times New Roman"/>
        </w:rPr>
        <w:t>我国学界对公共场所的讨论自2013年开始，至今已经过去10余年，在学界不断的努力下，司法已经逐渐趋于理性，逐渐将一些未产生现实严重后果的网络传谣行为排除在刑法打击范围内。因此，有论者可能会产生如下的疑问：公共场所的解释问题是否还有继续研究的价值？笔者的答案仍然是肯定的。首先，尽管司法已经趋于理性，但是与公共场所解释相关的问题仍然没有形成体系化的教义规则。并且，在网络空间社会逐渐成型和不断真实化，高度浸透进传统现实物理社会的情况下，</w:t>
      </w:r>
      <w:r>
        <w:rPr>
          <w:rFonts w:hint="eastAsia" w:ascii="Times New Roman" w:hAnsi="Times New Roman" w:cs="Times New Roman"/>
          <w:vertAlign w:val="superscript"/>
        </w:rPr>
        <w:t>[4]</w:t>
      </w:r>
      <w:r>
        <w:rPr>
          <w:rStyle w:val="13"/>
          <w:rFonts w:ascii="Times New Roman" w:hAnsi="Times New Roman" w:cs="Times New Roman"/>
        </w:rPr>
        <w:footnoteReference w:id="4"/>
      </w:r>
      <w:r>
        <w:rPr>
          <w:rFonts w:ascii="Times New Roman" w:hAnsi="Times New Roman" w:cs="Times New Roman"/>
        </w:rPr>
        <w:t>数字技术已将人的生存场景从线下逐步转移到线上，</w:t>
      </w:r>
      <w:r>
        <w:rPr>
          <w:rFonts w:hint="eastAsia" w:ascii="Times New Roman" w:hAnsi="Times New Roman" w:cs="Times New Roman"/>
        </w:rPr>
        <w:t>人们的</w:t>
      </w:r>
      <w:r>
        <w:rPr>
          <w:rFonts w:ascii="Times New Roman" w:hAnsi="Times New Roman" w:cs="Times New Roman"/>
        </w:rPr>
        <w:t>身份和人格同时</w:t>
      </w:r>
      <w:r>
        <w:rPr>
          <w:rFonts w:hint="eastAsia" w:ascii="Times New Roman" w:hAnsi="Times New Roman" w:cs="Times New Roman"/>
        </w:rPr>
        <w:t>存在于网络和现实空间中。</w:t>
      </w:r>
      <w:r>
        <w:rPr>
          <w:rFonts w:hint="eastAsia" w:ascii="Times New Roman" w:hAnsi="Times New Roman" w:cs="Times New Roman"/>
          <w:vertAlign w:val="superscript"/>
        </w:rPr>
        <w:t>[5]</w:t>
      </w:r>
      <w:r>
        <w:rPr>
          <w:rStyle w:val="13"/>
          <w:rFonts w:ascii="Times New Roman" w:hAnsi="Times New Roman" w:cs="Times New Roman"/>
        </w:rPr>
        <w:footnoteReference w:id="5"/>
      </w:r>
      <w:r>
        <w:rPr>
          <w:rFonts w:hint="eastAsia" w:ascii="Times New Roman" w:hAnsi="Times New Roman" w:cs="Times New Roman"/>
        </w:rPr>
        <w:t>这说明，人们的日常生活将会网络逐渐融合，甚至合一。而人们的日常社会交往与网络的融合程度越高，公共场所解释的“老问题”就越有探讨的必要性。其次，更为重要的一点是，我国刑法制定于1997年，Web1.0时代的</w:t>
      </w:r>
      <w:r>
        <w:rPr>
          <w:rFonts w:ascii="Times New Roman" w:hAnsi="Times New Roman" w:cs="Times New Roman"/>
        </w:rPr>
        <w:t>刑法立法者难以预料到未来的技术</w:t>
      </w:r>
      <w:r>
        <w:rPr>
          <w:rFonts w:hint="eastAsia" w:ascii="Times New Roman" w:hAnsi="Times New Roman" w:cs="Times New Roman"/>
        </w:rPr>
        <w:t>会如何发展</w:t>
      </w:r>
      <w:r>
        <w:rPr>
          <w:rFonts w:ascii="Times New Roman" w:hAnsi="Times New Roman" w:cs="Times New Roman"/>
        </w:rPr>
        <w:t>，</w:t>
      </w:r>
      <w:r>
        <w:rPr>
          <w:rFonts w:hint="eastAsia" w:ascii="Times New Roman" w:hAnsi="Times New Roman" w:cs="Times New Roman"/>
        </w:rPr>
        <w:t>因此</w:t>
      </w:r>
      <w:r>
        <w:rPr>
          <w:rFonts w:ascii="Times New Roman" w:hAnsi="Times New Roman" w:cs="Times New Roman"/>
        </w:rPr>
        <w:t>，网络时代的司法者对刑法进行功能性扩张解释也就成为了应对网络犯罪不可避免的做法，</w:t>
      </w:r>
      <w:r>
        <w:rPr>
          <w:rFonts w:hint="eastAsia" w:ascii="Times New Roman" w:hAnsi="Times New Roman" w:cs="Times New Roman"/>
          <w:vertAlign w:val="superscript"/>
        </w:rPr>
        <w:t>[6]</w:t>
      </w:r>
      <w:r>
        <w:rPr>
          <w:rStyle w:val="13"/>
          <w:rFonts w:ascii="Times New Roman" w:hAnsi="Times New Roman" w:cs="Times New Roman"/>
        </w:rPr>
        <w:footnoteReference w:id="6"/>
      </w:r>
      <w:r>
        <w:rPr>
          <w:rFonts w:ascii="Times New Roman" w:hAnsi="Times New Roman" w:cs="Times New Roman"/>
        </w:rPr>
        <w:t>公共场所</w:t>
      </w:r>
      <w:r>
        <w:rPr>
          <w:rFonts w:hint="eastAsia" w:ascii="Times New Roman" w:hAnsi="Times New Roman" w:cs="Times New Roman"/>
        </w:rPr>
        <w:t>的</w:t>
      </w:r>
      <w:r>
        <w:rPr>
          <w:rFonts w:ascii="Times New Roman" w:hAnsi="Times New Roman" w:cs="Times New Roman"/>
        </w:rPr>
        <w:t>解释争论就是一个典型的例</w:t>
      </w:r>
      <w:r>
        <w:rPr>
          <w:rFonts w:hint="eastAsia" w:ascii="Times New Roman" w:hAnsi="Times New Roman" w:cs="Times New Roman"/>
        </w:rPr>
        <w:t>子</w:t>
      </w:r>
      <w:r>
        <w:rPr>
          <w:rFonts w:ascii="Times New Roman" w:hAnsi="Times New Roman" w:cs="Times New Roman"/>
        </w:rPr>
        <w:t>。但是，功能性解释本身存在不断滑向类推解释的危险，</w:t>
      </w:r>
      <w:r>
        <w:rPr>
          <w:rFonts w:hint="eastAsia" w:ascii="Times New Roman" w:hAnsi="Times New Roman" w:cs="Times New Roman"/>
        </w:rPr>
        <w:t>因而</w:t>
      </w:r>
      <w:r>
        <w:rPr>
          <w:rFonts w:ascii="Times New Roman" w:hAnsi="Times New Roman" w:cs="Times New Roman"/>
        </w:rPr>
        <w:t>需要探寻</w:t>
      </w:r>
      <w:r>
        <w:rPr>
          <w:rFonts w:hint="eastAsia" w:ascii="Times New Roman" w:hAnsi="Times New Roman" w:cs="Times New Roman"/>
        </w:rPr>
        <w:t>功能性扩张的解释边界，以维护刑法条文的形式理性。</w:t>
      </w:r>
      <w:r>
        <w:rPr>
          <w:rFonts w:hint="eastAsia" w:ascii="Times New Roman" w:hAnsi="Times New Roman" w:cs="Times New Roman"/>
          <w:vertAlign w:val="superscript"/>
        </w:rPr>
        <w:t>[7]</w:t>
      </w:r>
      <w:r>
        <w:rPr>
          <w:rStyle w:val="13"/>
          <w:rFonts w:ascii="Times New Roman" w:hAnsi="Times New Roman" w:cs="Times New Roman"/>
        </w:rPr>
        <w:footnoteReference w:id="7"/>
      </w:r>
      <w:r>
        <w:rPr>
          <w:rFonts w:ascii="Times New Roman" w:hAnsi="Times New Roman" w:cs="Times New Roman"/>
        </w:rPr>
        <w:t>据此，笔者将力图从网络空间的事实特点入手，在个罪中实质</w:t>
      </w:r>
      <w:r>
        <w:rPr>
          <w:rFonts w:hint="eastAsia" w:ascii="Times New Roman" w:hAnsi="Times New Roman" w:cs="Times New Roman"/>
        </w:rPr>
        <w:t>的</w:t>
      </w:r>
      <w:r>
        <w:rPr>
          <w:rFonts w:ascii="Times New Roman" w:hAnsi="Times New Roman" w:cs="Times New Roman"/>
        </w:rPr>
        <w:t>分析网络空间的事实</w:t>
      </w:r>
      <w:r>
        <w:rPr>
          <w:rFonts w:hint="eastAsia" w:ascii="Times New Roman" w:hAnsi="Times New Roman" w:cs="Times New Roman"/>
        </w:rPr>
        <w:t>特点</w:t>
      </w:r>
      <w:r>
        <w:rPr>
          <w:rFonts w:ascii="Times New Roman" w:hAnsi="Times New Roman" w:cs="Times New Roman"/>
        </w:rPr>
        <w:t>，</w:t>
      </w:r>
      <w:r>
        <w:rPr>
          <w:rFonts w:hint="eastAsia" w:ascii="Times New Roman" w:hAnsi="Times New Roman" w:cs="Times New Roman"/>
        </w:rPr>
        <w:t>进而把握</w:t>
      </w:r>
      <w:r>
        <w:rPr>
          <w:rFonts w:ascii="Times New Roman" w:hAnsi="Times New Roman" w:cs="Times New Roman"/>
        </w:rPr>
        <w:t>公共场所的规范意涵，为</w:t>
      </w:r>
      <w:r>
        <w:rPr>
          <w:rFonts w:hint="eastAsia" w:ascii="Times New Roman" w:hAnsi="Times New Roman" w:cs="Times New Roman"/>
        </w:rPr>
        <w:t>网络空间化</w:t>
      </w:r>
      <w:r>
        <w:rPr>
          <w:rFonts w:ascii="Times New Roman" w:hAnsi="Times New Roman" w:cs="Times New Roman"/>
        </w:rPr>
        <w:t>时代</w:t>
      </w:r>
      <w:r>
        <w:rPr>
          <w:rFonts w:hint="eastAsia" w:ascii="Times New Roman" w:hAnsi="Times New Roman" w:cs="Times New Roman"/>
        </w:rPr>
        <w:t>乃至元宇宙时代下裁判者进行公共场所的解释</w:t>
      </w:r>
      <w:r>
        <w:rPr>
          <w:rFonts w:ascii="Times New Roman" w:hAnsi="Times New Roman" w:cs="Times New Roman"/>
        </w:rPr>
        <w:t>提供</w:t>
      </w:r>
      <w:r>
        <w:rPr>
          <w:rFonts w:hint="eastAsia" w:ascii="Times New Roman" w:hAnsi="Times New Roman" w:cs="Times New Roman"/>
        </w:rPr>
        <w:t>教义参考</w:t>
      </w:r>
      <w:r>
        <w:rPr>
          <w:rFonts w:ascii="Times New Roman" w:hAnsi="Times New Roman" w:cs="Times New Roman"/>
        </w:rPr>
        <w:t>。</w:t>
      </w:r>
    </w:p>
    <w:p w14:paraId="5F5CCE82">
      <w:pPr>
        <w:ind w:firstLine="420" w:firstLineChars="200"/>
        <w:jc w:val="center"/>
        <w:rPr>
          <w:rFonts w:ascii="黑体" w:hAnsi="黑体" w:eastAsia="黑体"/>
        </w:rPr>
      </w:pPr>
      <w:r>
        <w:rPr>
          <w:rFonts w:hint="eastAsia" w:ascii="黑体" w:hAnsi="黑体" w:eastAsia="黑体"/>
        </w:rPr>
        <w:t>二</w:t>
      </w:r>
      <w:r>
        <w:rPr>
          <w:rFonts w:ascii="黑体" w:hAnsi="黑体" w:eastAsia="黑体"/>
        </w:rPr>
        <w:t>、</w:t>
      </w:r>
      <w:r>
        <w:rPr>
          <w:rFonts w:hint="eastAsia" w:ascii="黑体" w:hAnsi="黑体" w:eastAsia="黑体"/>
        </w:rPr>
        <w:t>事实的实质判断：网络空间的不同功能面向</w:t>
      </w:r>
    </w:p>
    <w:p w14:paraId="0B16102E">
      <w:pPr>
        <w:tabs>
          <w:tab w:val="left" w:pos="142"/>
          <w:tab w:val="left" w:pos="4111"/>
        </w:tabs>
        <w:ind w:firstLine="420" w:firstLineChars="200"/>
        <w:rPr>
          <w:rFonts w:ascii="Times New Roman" w:hAnsi="Times New Roman" w:cs="Times New Roman"/>
        </w:rPr>
      </w:pPr>
      <w:r>
        <w:rPr>
          <w:rFonts w:ascii="Times New Roman" w:hAnsi="Times New Roman" w:cs="Times New Roman"/>
        </w:rPr>
        <w:t>事实判断优先于价值判断，没有事实判断，价值判断是没有依据的。</w:t>
      </w:r>
      <w:r>
        <w:rPr>
          <w:rFonts w:hint="eastAsia" w:ascii="Times New Roman" w:hAnsi="Times New Roman" w:cs="Times New Roman"/>
          <w:vertAlign w:val="superscript"/>
        </w:rPr>
        <w:t>[8]</w:t>
      </w:r>
      <w:r>
        <w:rPr>
          <w:rStyle w:val="13"/>
          <w:rFonts w:ascii="Times New Roman" w:hAnsi="Times New Roman" w:cs="Times New Roman"/>
        </w:rPr>
        <w:footnoteReference w:id="8"/>
      </w:r>
      <w:r>
        <w:rPr>
          <w:rFonts w:hint="eastAsia" w:ascii="Times New Roman" w:hAnsi="Times New Roman" w:cs="Times New Roman"/>
        </w:rPr>
        <w:t>当前，学界多数论者</w:t>
      </w:r>
      <w:r>
        <w:rPr>
          <w:rFonts w:ascii="Times New Roman" w:hAnsi="Times New Roman" w:cs="Times New Roman"/>
        </w:rPr>
        <w:t>在面对</w:t>
      </w:r>
      <w:r>
        <w:rPr>
          <w:rFonts w:hint="eastAsia" w:ascii="Times New Roman" w:hAnsi="Times New Roman" w:cs="Times New Roman"/>
        </w:rPr>
        <w:t>“</w:t>
      </w:r>
      <w:r>
        <w:rPr>
          <w:rFonts w:ascii="Times New Roman" w:hAnsi="Times New Roman" w:cs="Times New Roman"/>
        </w:rPr>
        <w:t>能否将网络空间解释</w:t>
      </w:r>
      <w:r>
        <w:rPr>
          <w:rFonts w:hint="eastAsia" w:ascii="Times New Roman" w:hAnsi="Times New Roman" w:cs="Times New Roman"/>
        </w:rPr>
        <w:t>为</w:t>
      </w:r>
      <w:r>
        <w:rPr>
          <w:rFonts w:ascii="Times New Roman" w:hAnsi="Times New Roman" w:cs="Times New Roman"/>
        </w:rPr>
        <w:t>公共场所</w:t>
      </w:r>
      <w:r>
        <w:rPr>
          <w:rFonts w:hint="eastAsia" w:ascii="Times New Roman" w:hAnsi="Times New Roman" w:cs="Times New Roman"/>
        </w:rPr>
        <w:t>”</w:t>
      </w:r>
      <w:r>
        <w:rPr>
          <w:rFonts w:ascii="Times New Roman" w:hAnsi="Times New Roman" w:cs="Times New Roman"/>
        </w:rPr>
        <w:t>的问题</w:t>
      </w:r>
      <w:r>
        <w:rPr>
          <w:rFonts w:hint="eastAsia" w:ascii="Times New Roman" w:hAnsi="Times New Roman" w:cs="Times New Roman"/>
        </w:rPr>
        <w:t>时</w:t>
      </w:r>
      <w:r>
        <w:rPr>
          <w:rFonts w:ascii="Times New Roman" w:hAnsi="Times New Roman" w:cs="Times New Roman"/>
        </w:rPr>
        <w:t>，</w:t>
      </w:r>
      <w:r>
        <w:rPr>
          <w:rFonts w:hint="eastAsia" w:ascii="Times New Roman" w:hAnsi="Times New Roman" w:cs="Times New Roman"/>
        </w:rPr>
        <w:t>会直接对</w:t>
      </w:r>
      <w:r>
        <w:rPr>
          <w:rFonts w:ascii="Times New Roman" w:hAnsi="Times New Roman" w:cs="Times New Roman"/>
        </w:rPr>
        <w:t>网络空间</w:t>
      </w:r>
      <w:r>
        <w:rPr>
          <w:rFonts w:hint="eastAsia" w:ascii="Times New Roman" w:hAnsi="Times New Roman" w:cs="Times New Roman"/>
        </w:rPr>
        <w:t>是否具有“公共属性”以及“场所属性”展开论证，由此分为“肯定派”与“否定派”。如此论证存在的问题是，公共场所并不是一个价值无涉的概念，公共场所中的“公共”一词明显带有规范性，而事实属性则由“场所”补充。在事实判断优先于价值判断的前提下，学界当前对“公共属性”与“场所属性”进行同一讨论实际上是将事实判断与价值判断混为一谈了。因而，应当先行对“场所属性”进行探讨，也即进行形式判断。</w:t>
      </w:r>
    </w:p>
    <w:p w14:paraId="6573A0F0">
      <w:pPr>
        <w:tabs>
          <w:tab w:val="left" w:pos="142"/>
          <w:tab w:val="left" w:pos="4111"/>
        </w:tabs>
        <w:ind w:firstLine="420" w:firstLineChars="200"/>
        <w:rPr>
          <w:rFonts w:ascii="Times New Roman" w:hAnsi="Times New Roman" w:cs="Times New Roman"/>
        </w:rPr>
      </w:pPr>
      <w:r>
        <w:rPr>
          <w:rFonts w:hint="eastAsia" w:ascii="Times New Roman" w:hAnsi="Times New Roman" w:cs="Times New Roman"/>
        </w:rPr>
        <w:t>学者们判断网络空间是否具有“场所属性”的方法主要有如下两种</w:t>
      </w:r>
      <w:r>
        <w:rPr>
          <w:rFonts w:ascii="Times New Roman" w:hAnsi="Times New Roman" w:cs="Times New Roman"/>
        </w:rPr>
        <w:t>：</w:t>
      </w:r>
    </w:p>
    <w:p w14:paraId="2372C048">
      <w:pPr>
        <w:tabs>
          <w:tab w:val="left" w:pos="142"/>
          <w:tab w:val="left" w:pos="4111"/>
        </w:tabs>
        <w:ind w:firstLine="420" w:firstLineChars="200"/>
        <w:rPr>
          <w:rFonts w:ascii="Times New Roman" w:hAnsi="Times New Roman" w:cs="Times New Roman"/>
        </w:rPr>
      </w:pPr>
      <w:r>
        <w:rPr>
          <w:rFonts w:ascii="Times New Roman" w:hAnsi="Times New Roman" w:cs="Times New Roman"/>
        </w:rPr>
        <w:t>其一、物理型</w:t>
      </w:r>
      <w:r>
        <w:rPr>
          <w:rFonts w:hint="eastAsia" w:ascii="Times New Roman" w:hAnsi="Times New Roman" w:cs="Times New Roman"/>
        </w:rPr>
        <w:t>论证。即</w:t>
      </w:r>
      <w:r>
        <w:rPr>
          <w:rFonts w:ascii="Times New Roman" w:hAnsi="Times New Roman" w:cs="Times New Roman"/>
        </w:rPr>
        <w:t>通过列举网络专业术语，从物理学上给网络空间下定义</w:t>
      </w:r>
      <w:r>
        <w:rPr>
          <w:rFonts w:hint="eastAsia" w:ascii="Times New Roman" w:hAnsi="Times New Roman" w:cs="Times New Roman"/>
        </w:rPr>
        <w:t>。论者从物理角度对网络空间下定义</w:t>
      </w:r>
      <w:r>
        <w:rPr>
          <w:rFonts w:ascii="Times New Roman" w:hAnsi="Times New Roman" w:cs="Times New Roman"/>
        </w:rPr>
        <w:t>是想</w:t>
      </w:r>
      <w:r>
        <w:rPr>
          <w:rFonts w:hint="eastAsia" w:ascii="Times New Roman" w:hAnsi="Times New Roman" w:cs="Times New Roman"/>
        </w:rPr>
        <w:t>通过证明“</w:t>
      </w:r>
      <w:r>
        <w:rPr>
          <w:rFonts w:ascii="Times New Roman" w:hAnsi="Times New Roman" w:cs="Times New Roman"/>
        </w:rPr>
        <w:t>人体不能进出</w:t>
      </w:r>
      <w:r>
        <w:rPr>
          <w:rFonts w:hint="eastAsia" w:ascii="Times New Roman" w:hAnsi="Times New Roman" w:cs="Times New Roman"/>
        </w:rPr>
        <w:t>虚拟空间”从而反驳网络空间的“场所属性”。具体例如张明楷教授的观点：“</w:t>
      </w:r>
      <w:r>
        <w:rPr>
          <w:rFonts w:ascii="Times New Roman" w:hAnsi="Times New Roman" w:cs="Times New Roman"/>
        </w:rPr>
        <w:t>公众虽然可</w:t>
      </w:r>
      <w:r>
        <w:rPr>
          <w:rFonts w:hint="eastAsia" w:ascii="Times New Roman" w:hAnsi="Times New Roman" w:cs="Times New Roman"/>
        </w:rPr>
        <w:t>以</w:t>
      </w:r>
      <w:r>
        <w:rPr>
          <w:rFonts w:ascii="Times New Roman" w:hAnsi="Times New Roman" w:cs="Times New Roman"/>
        </w:rPr>
        <w:t>在网络空间发表言论，但其身体不可能进入网络空间</w:t>
      </w:r>
      <w:r>
        <w:rPr>
          <w:rFonts w:hint="eastAsia" w:ascii="Times New Roman" w:hAnsi="Times New Roman" w:cs="Times New Roman"/>
        </w:rPr>
        <w:t>”。</w:t>
      </w:r>
      <w:r>
        <w:rPr>
          <w:rFonts w:hint="eastAsia" w:ascii="Times New Roman" w:hAnsi="Times New Roman" w:cs="Times New Roman"/>
          <w:vertAlign w:val="superscript"/>
        </w:rPr>
        <w:t>[9]</w:t>
      </w:r>
      <w:r>
        <w:rPr>
          <w:rStyle w:val="13"/>
          <w:rFonts w:ascii="Times New Roman" w:hAnsi="Times New Roman" w:cs="Times New Roman"/>
        </w:rPr>
        <w:footnoteReference w:id="9"/>
      </w:r>
      <w:r>
        <w:rPr>
          <w:rFonts w:ascii="Times New Roman" w:hAnsi="Times New Roman" w:cs="Times New Roman"/>
        </w:rPr>
        <w:t>这种</w:t>
      </w:r>
      <w:r>
        <w:rPr>
          <w:rFonts w:hint="eastAsia" w:ascii="Times New Roman" w:hAnsi="Times New Roman" w:cs="Times New Roman"/>
        </w:rPr>
        <w:t>解释论证</w:t>
      </w:r>
      <w:r>
        <w:rPr>
          <w:rFonts w:ascii="Times New Roman" w:hAnsi="Times New Roman" w:cs="Times New Roman"/>
        </w:rPr>
        <w:t>方式</w:t>
      </w:r>
      <w:r>
        <w:rPr>
          <w:rFonts w:hint="eastAsia" w:ascii="Times New Roman" w:hAnsi="Times New Roman" w:cs="Times New Roman"/>
        </w:rPr>
        <w:t>虽然强调了网络空间的物理属性，但却忽略了网络空间的形成实际上有赖于网民频繁的社会交往。物理型论证的说服力在人们的数字生存程度逐步上升的客观现实下逐渐减弱，静态的解释观已然不能满足网络空间化大背景下法益保护的需要。</w:t>
      </w:r>
      <w:r>
        <w:rPr>
          <w:rFonts w:hint="eastAsia" w:ascii="Times New Roman" w:hAnsi="Times New Roman" w:cs="Times New Roman"/>
          <w:vertAlign w:val="superscript"/>
        </w:rPr>
        <w:t>[10]</w:t>
      </w:r>
      <w:r>
        <w:rPr>
          <w:rStyle w:val="13"/>
          <w:rFonts w:ascii="Times New Roman" w:hAnsi="Times New Roman" w:cs="Times New Roman"/>
        </w:rPr>
        <w:footnoteReference w:id="10"/>
      </w:r>
    </w:p>
    <w:p w14:paraId="1171266F">
      <w:pPr>
        <w:tabs>
          <w:tab w:val="left" w:pos="142"/>
          <w:tab w:val="left" w:pos="4111"/>
        </w:tabs>
        <w:ind w:firstLine="420" w:firstLineChars="200"/>
        <w:rPr>
          <w:rFonts w:ascii="Times New Roman" w:hAnsi="Times New Roman" w:cs="Times New Roman"/>
        </w:rPr>
      </w:pPr>
      <w:r>
        <w:rPr>
          <w:rFonts w:ascii="Times New Roman" w:hAnsi="Times New Roman" w:cs="Times New Roman"/>
        </w:rPr>
        <w:t>其二、社会型</w:t>
      </w:r>
      <w:r>
        <w:rPr>
          <w:rFonts w:hint="eastAsia" w:ascii="Times New Roman" w:hAnsi="Times New Roman" w:cs="Times New Roman"/>
        </w:rPr>
        <w:t>论证</w:t>
      </w:r>
      <w:r>
        <w:rPr>
          <w:rFonts w:ascii="Times New Roman" w:hAnsi="Times New Roman" w:cs="Times New Roman"/>
        </w:rPr>
        <w:t>。</w:t>
      </w:r>
      <w:r>
        <w:rPr>
          <w:rFonts w:hint="eastAsia" w:ascii="Times New Roman" w:hAnsi="Times New Roman" w:cs="Times New Roman"/>
        </w:rPr>
        <w:t>该种论证方式</w:t>
      </w:r>
      <w:r>
        <w:rPr>
          <w:rFonts w:ascii="Times New Roman" w:hAnsi="Times New Roman" w:cs="Times New Roman"/>
        </w:rPr>
        <w:t>着重</w:t>
      </w:r>
      <w:r>
        <w:rPr>
          <w:rFonts w:hint="eastAsia" w:ascii="Times New Roman" w:hAnsi="Times New Roman" w:cs="Times New Roman"/>
        </w:rPr>
        <w:t>于分析</w:t>
      </w:r>
      <w:r>
        <w:rPr>
          <w:rFonts w:ascii="Times New Roman" w:hAnsi="Times New Roman" w:cs="Times New Roman"/>
        </w:rPr>
        <w:t>网络</w:t>
      </w:r>
      <w:r>
        <w:rPr>
          <w:rFonts w:hint="eastAsia" w:ascii="Times New Roman" w:hAnsi="Times New Roman" w:cs="Times New Roman"/>
        </w:rPr>
        <w:t>社会交往营造出的网络生活秩序。虽然，学界对“双层社会”是否已经形成尚存在争议，对网络秩序与公共秩序的关系也未达成一致。但在数字生存程度不断提高的当下，可以折中的认为网络秩序是生活秩序的一部分。由于生活秩序出现的前提是“存在一个可以容纳人员的场所”，因而，可以进一步论证出网络空间具有“场所属性”。但是，该种论证方式的</w:t>
      </w:r>
      <w:r>
        <w:rPr>
          <w:rFonts w:ascii="Times New Roman" w:hAnsi="Times New Roman" w:cs="Times New Roman"/>
        </w:rPr>
        <w:t>问题在于，</w:t>
      </w:r>
      <w:r>
        <w:rPr>
          <w:rFonts w:hint="eastAsia" w:ascii="Times New Roman" w:hAnsi="Times New Roman" w:cs="Times New Roman"/>
        </w:rPr>
        <w:t>并不是所有网络空间都具有生活秩序，网络赌场就是个例外。</w:t>
      </w:r>
    </w:p>
    <w:p w14:paraId="0253BEF0">
      <w:pPr>
        <w:tabs>
          <w:tab w:val="left" w:pos="142"/>
          <w:tab w:val="left" w:pos="4111"/>
        </w:tabs>
        <w:ind w:firstLine="420" w:firstLineChars="200"/>
        <w:rPr>
          <w:rFonts w:ascii="Times New Roman" w:hAnsi="Times New Roman" w:cs="Times New Roman"/>
        </w:rPr>
      </w:pPr>
      <w:r>
        <w:rPr>
          <w:rFonts w:hint="eastAsia" w:ascii="Times New Roman" w:hAnsi="Times New Roman" w:cs="Times New Roman"/>
        </w:rPr>
        <w:t>有学者认为，《解释》妥当性之争，实质上是解释方法选择之争。</w:t>
      </w:r>
      <w:r>
        <w:rPr>
          <w:rFonts w:hint="eastAsia" w:ascii="Times New Roman" w:hAnsi="Times New Roman" w:cs="Times New Roman"/>
          <w:vertAlign w:val="superscript"/>
        </w:rPr>
        <w:t>[11]</w:t>
      </w:r>
      <w:r>
        <w:rPr>
          <w:rStyle w:val="13"/>
          <w:rFonts w:ascii="Times New Roman" w:hAnsi="Times New Roman" w:cs="Times New Roman"/>
        </w:rPr>
        <w:footnoteReference w:id="11"/>
      </w:r>
      <w:r>
        <w:rPr>
          <w:rFonts w:hint="eastAsia" w:ascii="Times New Roman" w:hAnsi="Times New Roman" w:cs="Times New Roman"/>
        </w:rPr>
        <w:t>该观点对于理清公共场所解释争论的各家学说确有帮助。但是，在解释方法之争的背后，学者们对网络空间的单一化认识才是公共场所解释问题的“病根”，事实的形式判断无法捕捉公共场所的实质，需要进行事实的实质判断。事实的实质判断是基于一定的实质根据对表现为现象的事实所做的穿透式判断。</w:t>
      </w:r>
      <w:r>
        <w:rPr>
          <w:rFonts w:hint="eastAsia" w:ascii="Times New Roman" w:hAnsi="Times New Roman" w:cs="Times New Roman"/>
          <w:vertAlign w:val="superscript"/>
        </w:rPr>
        <w:t>[12]</w:t>
      </w:r>
      <w:r>
        <w:rPr>
          <w:rStyle w:val="13"/>
          <w:rFonts w:ascii="Times New Roman" w:hAnsi="Times New Roman" w:cs="Times New Roman"/>
        </w:rPr>
        <w:footnoteReference w:id="12"/>
      </w:r>
      <w:r>
        <w:rPr>
          <w:rFonts w:hint="eastAsia" w:ascii="Times New Roman" w:hAnsi="Times New Roman" w:cs="Times New Roman"/>
        </w:rPr>
        <w:t>在实质判断的立场下，可以发现，网络空间是具有多重功能的事物，其概念并不是固定的，而是要在个案中把握其意义。受到网络空间一词的影响，学者们对网络的认识会将“网络”与“空间”、“空间”与“场所”进行思维上的关联，而这种惯性思维则会遮蔽网络的其他功能面向。据此，应当摒除“空间”等于“场所”的先见，去修辞化的实质判断网络空间的意涵。此外，</w:t>
      </w:r>
      <w:r>
        <w:rPr>
          <w:rFonts w:hint="eastAsia"/>
        </w:rPr>
        <w:t>每个概念都内在地具有一种用以传递“事物的现实功能信息”的要素，人们可以透过这种现实功能要素来理解和把握相应的事物，分析解释对象所具备的现实功能要素。</w:t>
      </w:r>
      <w:r>
        <w:rPr>
          <w:rFonts w:hint="eastAsia" w:ascii="Times New Roman" w:hAnsi="Times New Roman" w:cs="Times New Roman"/>
          <w:vertAlign w:val="superscript"/>
        </w:rPr>
        <w:t>[13]</w:t>
      </w:r>
      <w:r>
        <w:rPr>
          <w:rStyle w:val="13"/>
          <w:rFonts w:ascii="Times New Roman" w:hAnsi="Times New Roman" w:cs="Times New Roman"/>
        </w:rPr>
        <w:footnoteReference w:id="13"/>
      </w:r>
      <w:r>
        <w:rPr>
          <w:rFonts w:hint="eastAsia"/>
        </w:rPr>
        <w:t>因而，网络空间也应具有不同的现实功能，而非限于公共场所一种功能。基于此，</w:t>
      </w:r>
      <w:r>
        <w:rPr>
          <w:rFonts w:ascii="Times New Roman" w:hAnsi="Times New Roman" w:cs="Times New Roman"/>
        </w:rPr>
        <w:t>笔者</w:t>
      </w:r>
      <w:r>
        <w:rPr>
          <w:rFonts w:hint="eastAsia" w:ascii="Times New Roman" w:hAnsi="Times New Roman" w:cs="Times New Roman"/>
        </w:rPr>
        <w:t>认同</w:t>
      </w:r>
      <w:r>
        <w:rPr>
          <w:rFonts w:ascii="Times New Roman" w:hAnsi="Times New Roman" w:cs="Times New Roman"/>
        </w:rPr>
        <w:t>刘艳红教授提出的</w:t>
      </w:r>
      <w:r>
        <w:rPr>
          <w:rFonts w:hint="eastAsia" w:ascii="Times New Roman" w:hAnsi="Times New Roman" w:cs="Times New Roman"/>
        </w:rPr>
        <w:t>“</w:t>
      </w:r>
      <w:r>
        <w:rPr>
          <w:rFonts w:ascii="Times New Roman" w:hAnsi="Times New Roman" w:cs="Times New Roman"/>
        </w:rPr>
        <w:t>网络空间三维度</w:t>
      </w:r>
      <w:r>
        <w:rPr>
          <w:rFonts w:hint="eastAsia" w:ascii="Times New Roman" w:hAnsi="Times New Roman" w:cs="Times New Roman"/>
        </w:rPr>
        <w:t>”</w:t>
      </w:r>
      <w:r>
        <w:rPr>
          <w:rFonts w:ascii="Times New Roman" w:hAnsi="Times New Roman" w:cs="Times New Roman"/>
        </w:rPr>
        <w:t>说，</w:t>
      </w:r>
      <w:r>
        <w:rPr>
          <w:rFonts w:hint="eastAsia" w:ascii="Times New Roman" w:hAnsi="Times New Roman" w:cs="Times New Roman"/>
        </w:rPr>
        <w:t>该说</w:t>
      </w:r>
      <w:r>
        <w:rPr>
          <w:rFonts w:ascii="Times New Roman" w:hAnsi="Times New Roman" w:cs="Times New Roman"/>
        </w:rPr>
        <w:t>根据网络空间</w:t>
      </w:r>
      <w:r>
        <w:rPr>
          <w:rFonts w:hint="eastAsia" w:ascii="Times New Roman" w:hAnsi="Times New Roman" w:cs="Times New Roman"/>
        </w:rPr>
        <w:t>在事实上</w:t>
      </w:r>
      <w:r>
        <w:rPr>
          <w:rFonts w:ascii="Times New Roman" w:hAnsi="Times New Roman" w:cs="Times New Roman"/>
        </w:rPr>
        <w:t>三个不同的维度，</w:t>
      </w:r>
      <w:r>
        <w:rPr>
          <w:rFonts w:hint="eastAsia" w:ascii="Times New Roman" w:hAnsi="Times New Roman" w:cs="Times New Roman"/>
        </w:rPr>
        <w:t>涵盖了网络空间在不同情状下的功能。如此，就可以合理对</w:t>
      </w:r>
      <w:r>
        <w:rPr>
          <w:rFonts w:ascii="Times New Roman" w:hAnsi="Times New Roman" w:cs="Times New Roman"/>
        </w:rPr>
        <w:t>网络空间的事实特点进行明晰</w:t>
      </w:r>
      <w:r>
        <w:rPr>
          <w:rFonts w:hint="eastAsia" w:ascii="Times New Roman" w:hAnsi="Times New Roman" w:cs="Times New Roman"/>
        </w:rPr>
        <w:t>。这三个维度分别为：</w:t>
      </w:r>
      <w:r>
        <w:rPr>
          <w:rFonts w:ascii="Times New Roman" w:hAnsi="Times New Roman" w:cs="Times New Roman"/>
        </w:rPr>
        <w:t>场所、产品和媒介。</w:t>
      </w:r>
    </w:p>
    <w:p w14:paraId="32D18792">
      <w:pPr>
        <w:ind w:firstLine="420" w:firstLineChars="200"/>
        <w:rPr>
          <w:b/>
          <w:bCs/>
        </w:rPr>
      </w:pPr>
      <w:r>
        <w:rPr>
          <w:b/>
          <w:bCs/>
        </w:rPr>
        <w:t>（一）场所</w:t>
      </w:r>
      <w:r>
        <w:rPr>
          <w:rFonts w:hint="eastAsia"/>
          <w:b/>
          <w:bCs/>
        </w:rPr>
        <w:t>维度</w:t>
      </w:r>
      <w:r>
        <w:rPr>
          <w:b/>
          <w:bCs/>
        </w:rPr>
        <w:t>的网络空间</w:t>
      </w:r>
    </w:p>
    <w:p w14:paraId="5FAC3506">
      <w:pPr>
        <w:ind w:firstLine="420" w:firstLineChars="200"/>
        <w:rPr>
          <w:rFonts w:ascii="Times New Roman" w:hAnsi="Times New Roman" w:cs="Times New Roman"/>
        </w:rPr>
      </w:pPr>
      <w:r>
        <w:rPr>
          <w:rFonts w:ascii="Times New Roman" w:hAnsi="Times New Roman" w:cs="Times New Roman"/>
        </w:rPr>
        <w:t>作为</w:t>
      </w:r>
      <w:r>
        <w:rPr>
          <w:rFonts w:hint="eastAsia" w:ascii="Times New Roman" w:hAnsi="Times New Roman" w:cs="Times New Roman"/>
        </w:rPr>
        <w:t>“</w:t>
      </w:r>
      <w:r>
        <w:rPr>
          <w:rFonts w:ascii="Times New Roman" w:hAnsi="Times New Roman" w:cs="Times New Roman"/>
        </w:rPr>
        <w:t>场所</w:t>
      </w:r>
      <w:r>
        <w:rPr>
          <w:rFonts w:hint="eastAsia" w:ascii="Times New Roman" w:hAnsi="Times New Roman" w:cs="Times New Roman"/>
        </w:rPr>
        <w:t>”</w:t>
      </w:r>
      <w:r>
        <w:rPr>
          <w:rFonts w:ascii="Times New Roman" w:hAnsi="Times New Roman" w:cs="Times New Roman"/>
        </w:rPr>
        <w:t>的网络空间分析范式将网络空间视作一个独立的空间，</w:t>
      </w:r>
      <w:r>
        <w:rPr>
          <w:rFonts w:hint="eastAsia" w:ascii="Times New Roman" w:hAnsi="Times New Roman" w:cs="Times New Roman"/>
        </w:rPr>
        <w:t>这样，</w:t>
      </w:r>
      <w:r>
        <w:rPr>
          <w:rFonts w:ascii="Times New Roman" w:hAnsi="Times New Roman" w:cs="Times New Roman"/>
        </w:rPr>
        <w:t>特定的法律就应该适用到其中。换言之，任何既定场所的法律都必须考虑其规制的空间的特殊性质以及人、物的特殊类型。</w:t>
      </w:r>
      <w:r>
        <w:rPr>
          <w:rFonts w:hint="eastAsia" w:ascii="Times New Roman" w:hAnsi="Times New Roman" w:cs="Times New Roman"/>
          <w:vertAlign w:val="superscript"/>
        </w:rPr>
        <w:t>[14]</w:t>
      </w:r>
      <w:r>
        <w:rPr>
          <w:rStyle w:val="13"/>
          <w:rFonts w:ascii="Times New Roman" w:hAnsi="Times New Roman" w:cs="Times New Roman"/>
        </w:rPr>
        <w:footnoteReference w:id="14"/>
      </w:r>
      <w:r>
        <w:rPr>
          <w:rFonts w:hint="eastAsia" w:ascii="Times New Roman" w:hAnsi="Times New Roman" w:cs="Times New Roman"/>
        </w:rPr>
        <w:t>将网络空间判断为场所的论证一般通过承认“</w:t>
      </w:r>
      <w:r>
        <w:rPr>
          <w:rFonts w:ascii="Times New Roman" w:hAnsi="Times New Roman" w:cs="Times New Roman"/>
        </w:rPr>
        <w:t>双层社会</w:t>
      </w:r>
      <w:r>
        <w:rPr>
          <w:rFonts w:hint="eastAsia" w:ascii="Times New Roman" w:hAnsi="Times New Roman" w:cs="Times New Roman"/>
        </w:rPr>
        <w:t>”</w:t>
      </w:r>
      <w:r>
        <w:rPr>
          <w:rFonts w:ascii="Times New Roman" w:hAnsi="Times New Roman" w:cs="Times New Roman"/>
        </w:rPr>
        <w:t>的存在</w:t>
      </w:r>
      <w:r>
        <w:rPr>
          <w:rFonts w:hint="eastAsia" w:ascii="Times New Roman" w:hAnsi="Times New Roman" w:cs="Times New Roman"/>
        </w:rPr>
        <w:t>进行，在肯定</w:t>
      </w:r>
      <w:r>
        <w:rPr>
          <w:rFonts w:ascii="Times New Roman" w:hAnsi="Times New Roman" w:cs="Times New Roman"/>
        </w:rPr>
        <w:t>物理社会与网络社会的</w:t>
      </w:r>
      <w:r>
        <w:rPr>
          <w:rFonts w:hint="eastAsia" w:ascii="Times New Roman" w:hAnsi="Times New Roman" w:cs="Times New Roman"/>
        </w:rPr>
        <w:t>“双层化”后</w:t>
      </w:r>
      <w:r>
        <w:rPr>
          <w:rFonts w:ascii="Times New Roman" w:hAnsi="Times New Roman" w:cs="Times New Roman"/>
        </w:rPr>
        <w:t>，人们自然而然就将网络社会</w:t>
      </w:r>
      <w:r>
        <w:rPr>
          <w:rFonts w:hint="eastAsia" w:ascii="Times New Roman" w:hAnsi="Times New Roman" w:cs="Times New Roman"/>
        </w:rPr>
        <w:t>当作</w:t>
      </w:r>
      <w:r>
        <w:rPr>
          <w:rFonts w:ascii="Times New Roman" w:hAnsi="Times New Roman" w:cs="Times New Roman"/>
        </w:rPr>
        <w:t>一个独立的场域看待</w:t>
      </w:r>
      <w:r>
        <w:rPr>
          <w:rFonts w:hint="eastAsia" w:ascii="Times New Roman" w:hAnsi="Times New Roman" w:cs="Times New Roman"/>
        </w:rPr>
        <w:t>。同时，人员流动性是公共场所最为基本的特征，其表现为场所内部对外部的非绝对排他性。</w:t>
      </w:r>
      <w:r>
        <w:rPr>
          <w:rFonts w:hint="eastAsia" w:ascii="Times New Roman" w:hAnsi="Times New Roman" w:cs="Times New Roman"/>
          <w:vertAlign w:val="superscript"/>
        </w:rPr>
        <w:t>[15]</w:t>
      </w:r>
      <w:r>
        <w:rPr>
          <w:rStyle w:val="13"/>
          <w:rFonts w:ascii="Times New Roman" w:hAnsi="Times New Roman" w:cs="Times New Roman"/>
        </w:rPr>
        <w:footnoteReference w:id="15"/>
      </w:r>
      <w:r>
        <w:rPr>
          <w:rFonts w:hint="eastAsia" w:ascii="Times New Roman" w:hAnsi="Times New Roman" w:cs="Times New Roman"/>
        </w:rPr>
        <w:t>而人员流动性在网络空间中表现为网民进行“网上冲浪”的可感知性。作为</w:t>
      </w:r>
      <w:r>
        <w:rPr>
          <w:rFonts w:ascii="Times New Roman" w:hAnsi="Times New Roman" w:cs="Times New Roman"/>
        </w:rPr>
        <w:t>场所</w:t>
      </w:r>
      <w:r>
        <w:rPr>
          <w:rFonts w:hint="eastAsia" w:ascii="Times New Roman" w:hAnsi="Times New Roman" w:cs="Times New Roman"/>
        </w:rPr>
        <w:t>的网络空间本身</w:t>
      </w:r>
      <w:r>
        <w:rPr>
          <w:rFonts w:ascii="Times New Roman" w:hAnsi="Times New Roman" w:cs="Times New Roman"/>
        </w:rPr>
        <w:t>承载了虚拟感知与信息获取</w:t>
      </w:r>
      <w:r>
        <w:rPr>
          <w:rFonts w:hint="eastAsia" w:ascii="Times New Roman" w:hAnsi="Times New Roman" w:cs="Times New Roman"/>
        </w:rPr>
        <w:t>的功能</w:t>
      </w:r>
      <w:r>
        <w:rPr>
          <w:rFonts w:ascii="Times New Roman" w:hAnsi="Times New Roman" w:cs="Times New Roman"/>
        </w:rPr>
        <w:t>，</w:t>
      </w:r>
      <w:r>
        <w:rPr>
          <w:rFonts w:hint="eastAsia" w:ascii="Times New Roman" w:hAnsi="Times New Roman" w:cs="Times New Roman"/>
        </w:rPr>
        <w:t>与公共场所相同，网络空间也存在着“虚拟的”人员流动性，</w:t>
      </w:r>
      <w:r>
        <w:rPr>
          <w:rFonts w:ascii="Times New Roman" w:hAnsi="Times New Roman" w:cs="Times New Roman"/>
        </w:rPr>
        <w:t>两者</w:t>
      </w:r>
      <w:r>
        <w:rPr>
          <w:rFonts w:hint="eastAsia" w:ascii="Times New Roman" w:hAnsi="Times New Roman" w:cs="Times New Roman"/>
        </w:rPr>
        <w:t>在</w:t>
      </w:r>
      <w:r>
        <w:rPr>
          <w:rFonts w:ascii="Times New Roman" w:hAnsi="Times New Roman" w:cs="Times New Roman"/>
        </w:rPr>
        <w:t>事实上</w:t>
      </w:r>
      <w:r>
        <w:rPr>
          <w:rFonts w:hint="eastAsia" w:ascii="Times New Roman" w:hAnsi="Times New Roman" w:cs="Times New Roman"/>
        </w:rPr>
        <w:t>匹配。因此，在场所维度下，将网络空间解释为公共场所是可以接受的。网络空间的场所维度</w:t>
      </w:r>
      <w:r>
        <w:rPr>
          <w:rFonts w:ascii="Times New Roman" w:hAnsi="Times New Roman" w:cs="Times New Roman"/>
        </w:rPr>
        <w:t>，</w:t>
      </w:r>
      <w:r>
        <w:rPr>
          <w:rFonts w:hint="eastAsia" w:ascii="Times New Roman" w:hAnsi="Times New Roman" w:cs="Times New Roman"/>
        </w:rPr>
        <w:t>也</w:t>
      </w:r>
      <w:r>
        <w:rPr>
          <w:rFonts w:ascii="Times New Roman" w:hAnsi="Times New Roman" w:cs="Times New Roman"/>
        </w:rPr>
        <w:t>使得网络空间在司法实践中多被解释为公共场所</w:t>
      </w:r>
      <w:r>
        <w:rPr>
          <w:rFonts w:hint="eastAsia" w:ascii="Times New Roman" w:hAnsi="Times New Roman" w:cs="Times New Roman"/>
        </w:rPr>
        <w:t>，</w:t>
      </w:r>
      <w:r>
        <w:rPr>
          <w:rFonts w:ascii="Times New Roman" w:hAnsi="Times New Roman" w:cs="Times New Roman"/>
        </w:rPr>
        <w:t>例如在网络</w:t>
      </w:r>
      <w:r>
        <w:rPr>
          <w:rFonts w:hint="eastAsia" w:ascii="Times New Roman" w:hAnsi="Times New Roman" w:cs="Times New Roman"/>
        </w:rPr>
        <w:t>平台上直播</w:t>
      </w:r>
      <w:r>
        <w:rPr>
          <w:rFonts w:ascii="Times New Roman" w:hAnsi="Times New Roman" w:cs="Times New Roman"/>
        </w:rPr>
        <w:t>强奸</w:t>
      </w:r>
      <w:r>
        <w:rPr>
          <w:rFonts w:hint="eastAsia" w:ascii="Times New Roman" w:hAnsi="Times New Roman" w:cs="Times New Roman"/>
        </w:rPr>
        <w:t>猥亵、网络传播谣言等等。</w:t>
      </w:r>
    </w:p>
    <w:p w14:paraId="247F474F">
      <w:pPr>
        <w:ind w:firstLine="420" w:firstLineChars="200"/>
        <w:rPr>
          <w:rFonts w:ascii="Times New Roman" w:hAnsi="Times New Roman" w:cs="Times New Roman"/>
        </w:rPr>
      </w:pPr>
      <w:r>
        <w:rPr>
          <w:rFonts w:ascii="Times New Roman" w:hAnsi="Times New Roman" w:cs="Times New Roman"/>
        </w:rPr>
        <w:t>但是，是否在所有情况下，网络空间</w:t>
      </w:r>
      <w:r>
        <w:rPr>
          <w:rFonts w:hint="eastAsia" w:ascii="Times New Roman" w:hAnsi="Times New Roman" w:cs="Times New Roman"/>
        </w:rPr>
        <w:t>都表现为</w:t>
      </w:r>
      <w:r>
        <w:rPr>
          <w:rFonts w:ascii="Times New Roman" w:hAnsi="Times New Roman" w:cs="Times New Roman"/>
        </w:rPr>
        <w:t>场所</w:t>
      </w:r>
      <w:r>
        <w:rPr>
          <w:rFonts w:hint="eastAsia" w:ascii="Times New Roman" w:hAnsi="Times New Roman" w:cs="Times New Roman"/>
        </w:rPr>
        <w:t>维度</w:t>
      </w:r>
      <w:r>
        <w:rPr>
          <w:rFonts w:ascii="Times New Roman" w:hAnsi="Times New Roman" w:cs="Times New Roman"/>
        </w:rPr>
        <w:t>？</w:t>
      </w:r>
      <w:r>
        <w:rPr>
          <w:rFonts w:hint="eastAsia" w:ascii="Times New Roman" w:hAnsi="Times New Roman" w:cs="Times New Roman"/>
        </w:rPr>
        <w:t>答案是否定的。网络空间处于何种维度是由案件事实以及规范条文共同决定的。未明文规定公共场所为构成要件的规范条文，不应当认为对应的构成要件事实发生在公共场所中，自然也不会发生在场所维度的网络空间中。例如，</w:t>
      </w:r>
      <w:r>
        <w:rPr>
          <w:rFonts w:ascii="Times New Roman" w:hAnsi="Times New Roman" w:cs="Times New Roman"/>
        </w:rPr>
        <w:t>按照学界通说，网络诈骗属于</w:t>
      </w:r>
      <w:r>
        <w:rPr>
          <w:rFonts w:hint="eastAsia" w:ascii="Times New Roman" w:hAnsi="Times New Roman" w:cs="Times New Roman"/>
        </w:rPr>
        <w:t>以</w:t>
      </w:r>
      <w:r>
        <w:rPr>
          <w:rFonts w:ascii="Times New Roman" w:hAnsi="Times New Roman" w:cs="Times New Roman"/>
        </w:rPr>
        <w:t>网络</w:t>
      </w:r>
      <w:r>
        <w:rPr>
          <w:rFonts w:hint="eastAsia" w:ascii="Times New Roman" w:hAnsi="Times New Roman" w:cs="Times New Roman"/>
        </w:rPr>
        <w:t>为</w:t>
      </w:r>
      <w:r>
        <w:rPr>
          <w:rFonts w:ascii="Times New Roman" w:hAnsi="Times New Roman" w:cs="Times New Roman"/>
        </w:rPr>
        <w:t>工具</w:t>
      </w:r>
      <w:r>
        <w:rPr>
          <w:rFonts w:hint="eastAsia" w:ascii="Times New Roman" w:hAnsi="Times New Roman" w:cs="Times New Roman"/>
        </w:rPr>
        <w:t>的</w:t>
      </w:r>
      <w:r>
        <w:rPr>
          <w:rFonts w:ascii="Times New Roman" w:hAnsi="Times New Roman" w:cs="Times New Roman"/>
        </w:rPr>
        <w:t>犯罪</w:t>
      </w:r>
      <w:r>
        <w:rPr>
          <w:rFonts w:hint="eastAsia" w:ascii="Times New Roman" w:hAnsi="Times New Roman" w:cs="Times New Roman"/>
        </w:rPr>
        <w:t>。实际上，网络诈骗可以认为是“在网络中进行的犯罪”，但几乎没有人认为网络诈骗属于在场所维度的网络空间中实施的行为。又如，《刑法》第一百三十条第明文规定了“非法携带枪支、弹药……进入公共场所”。如果认为携带弹药在直播房间（公开的）进行直播等同于携带弹药进入公共场所，但实际上，没有任何法益受到损害。</w:t>
      </w:r>
      <w:r>
        <w:rPr>
          <w:rFonts w:ascii="Times New Roman" w:hAnsi="Times New Roman" w:cs="Times New Roman"/>
        </w:rPr>
        <w:t>因而，</w:t>
      </w:r>
      <w:r>
        <w:rPr>
          <w:rFonts w:hint="eastAsia" w:ascii="Times New Roman" w:hAnsi="Times New Roman" w:cs="Times New Roman"/>
        </w:rPr>
        <w:t>网络空间</w:t>
      </w:r>
      <w:r>
        <w:rPr>
          <w:rFonts w:ascii="Times New Roman" w:hAnsi="Times New Roman" w:cs="Times New Roman"/>
        </w:rPr>
        <w:t>不可一律按照场所进行理解，作为场所的网络空间只是在个案中表现出的属性，</w:t>
      </w:r>
      <w:r>
        <w:rPr>
          <w:rFonts w:hint="eastAsia" w:ascii="Times New Roman" w:hAnsi="Times New Roman" w:cs="Times New Roman"/>
        </w:rPr>
        <w:t>具体的解释仍</w:t>
      </w:r>
      <w:r>
        <w:rPr>
          <w:rFonts w:ascii="Times New Roman" w:hAnsi="Times New Roman" w:cs="Times New Roman"/>
        </w:rPr>
        <w:t>要结合案件进行实质的判别。</w:t>
      </w:r>
    </w:p>
    <w:p w14:paraId="4A7E6BAA">
      <w:pPr>
        <w:ind w:firstLine="420" w:firstLineChars="200"/>
        <w:rPr>
          <w:b/>
          <w:bCs/>
        </w:rPr>
      </w:pPr>
      <w:r>
        <w:rPr>
          <w:rFonts w:hint="eastAsia"/>
          <w:b/>
          <w:bCs/>
        </w:rPr>
        <w:t>（二）</w:t>
      </w:r>
      <w:r>
        <w:rPr>
          <w:b/>
          <w:bCs/>
        </w:rPr>
        <w:t>产品</w:t>
      </w:r>
      <w:r>
        <w:rPr>
          <w:rFonts w:hint="eastAsia"/>
          <w:b/>
          <w:bCs/>
        </w:rPr>
        <w:t>维度的</w:t>
      </w:r>
      <w:r>
        <w:rPr>
          <w:b/>
          <w:bCs/>
        </w:rPr>
        <w:t>网络空间</w:t>
      </w:r>
    </w:p>
    <w:p w14:paraId="714FBC53">
      <w:pPr>
        <w:ind w:firstLine="420" w:firstLineChars="200"/>
        <w:rPr>
          <w:rFonts w:ascii="Times New Roman" w:hAnsi="Times New Roman" w:cs="Times New Roman"/>
        </w:rPr>
      </w:pPr>
      <w:r>
        <w:rPr>
          <w:rFonts w:hint="eastAsia" w:ascii="Times New Roman" w:hAnsi="Times New Roman" w:cs="Times New Roman"/>
        </w:rPr>
        <w:t>作为产品的网络空间分析范式认为，</w:t>
      </w:r>
      <w:r>
        <w:rPr>
          <w:rFonts w:ascii="Times New Roman" w:hAnsi="Times New Roman" w:cs="Times New Roman"/>
        </w:rPr>
        <w:t>网络空间是一种产品</w:t>
      </w:r>
      <w:r>
        <w:rPr>
          <w:rFonts w:hint="eastAsia" w:ascii="Times New Roman" w:hAnsi="Times New Roman" w:cs="Times New Roman"/>
        </w:rPr>
        <w:t>，这种产品由网络服务商开发。在实际中，网络用户可能会滥用网络空间这一产品，以互联网为工具的网络犯罪成为互联网治理的重要问题。</w:t>
      </w:r>
      <w:r>
        <w:rPr>
          <w:rFonts w:hint="eastAsia" w:ascii="Times New Roman" w:hAnsi="Times New Roman" w:cs="Times New Roman"/>
          <w:vertAlign w:val="superscript"/>
        </w:rPr>
        <w:t>[14]</w:t>
      </w:r>
      <w:r>
        <w:rPr>
          <w:rStyle w:val="13"/>
          <w:rFonts w:ascii="Times New Roman" w:hAnsi="Times New Roman" w:cs="Times New Roman"/>
        </w:rPr>
        <w:footnoteReference w:id="16"/>
      </w:r>
      <w:r>
        <w:rPr>
          <w:rFonts w:hint="eastAsia" w:ascii="Times New Roman" w:hAnsi="Times New Roman" w:cs="Times New Roman"/>
        </w:rPr>
        <w:t>换言之，在此维度中，</w:t>
      </w:r>
      <w:r>
        <w:rPr>
          <w:rFonts w:ascii="Times New Roman" w:hAnsi="Times New Roman" w:cs="Times New Roman"/>
        </w:rPr>
        <w:t>网络</w:t>
      </w:r>
      <w:r>
        <w:rPr>
          <w:rFonts w:hint="eastAsia" w:ascii="Times New Roman" w:hAnsi="Times New Roman" w:cs="Times New Roman"/>
        </w:rPr>
        <w:t>空间与其他工业产品，例如电话、电视等无使用上的差别</w:t>
      </w:r>
      <w:r>
        <w:rPr>
          <w:rFonts w:ascii="Times New Roman" w:hAnsi="Times New Roman" w:cs="Times New Roman"/>
        </w:rPr>
        <w:t>，</w:t>
      </w:r>
      <w:r>
        <w:rPr>
          <w:rFonts w:hint="eastAsia" w:ascii="Times New Roman" w:hAnsi="Times New Roman" w:cs="Times New Roman"/>
        </w:rPr>
        <w:t>都</w:t>
      </w:r>
      <w:r>
        <w:rPr>
          <w:rFonts w:ascii="Times New Roman" w:hAnsi="Times New Roman" w:cs="Times New Roman"/>
        </w:rPr>
        <w:t>是人们日常使用的工具而已。</w:t>
      </w:r>
      <w:r>
        <w:rPr>
          <w:rFonts w:hint="eastAsia" w:ascii="Times New Roman" w:hAnsi="Times New Roman" w:cs="Times New Roman"/>
        </w:rPr>
        <w:t>因此，这一维度下的网络空间并未促使传统犯罪</w:t>
      </w:r>
      <w:r>
        <w:rPr>
          <w:rFonts w:ascii="Times New Roman" w:hAnsi="Times New Roman" w:cs="Times New Roman"/>
        </w:rPr>
        <w:t>产生</w:t>
      </w:r>
      <w:r>
        <w:rPr>
          <w:rFonts w:hint="eastAsia" w:ascii="Times New Roman" w:hAnsi="Times New Roman" w:cs="Times New Roman"/>
        </w:rPr>
        <w:t>异化</w:t>
      </w:r>
      <w:r>
        <w:rPr>
          <w:rFonts w:ascii="Times New Roman" w:hAnsi="Times New Roman" w:cs="Times New Roman"/>
        </w:rPr>
        <w:t>，</w:t>
      </w:r>
      <w:r>
        <w:rPr>
          <w:rFonts w:hint="eastAsia" w:ascii="Times New Roman" w:hAnsi="Times New Roman" w:cs="Times New Roman"/>
        </w:rPr>
        <w:t>而只</w:t>
      </w:r>
      <w:r>
        <w:rPr>
          <w:rFonts w:ascii="Times New Roman" w:hAnsi="Times New Roman" w:cs="Times New Roman"/>
        </w:rPr>
        <w:t>是</w:t>
      </w:r>
      <w:r>
        <w:rPr>
          <w:rFonts w:hint="eastAsia" w:ascii="Times New Roman" w:hAnsi="Times New Roman" w:cs="Times New Roman"/>
        </w:rPr>
        <w:t>在事实上造成了犯罪行为隐蔽化以及突破了时空地域的限制，</w:t>
      </w:r>
      <w:r>
        <w:rPr>
          <w:rFonts w:hint="eastAsia" w:ascii="Times New Roman" w:hAnsi="Times New Roman" w:cs="Times New Roman"/>
          <w:vertAlign w:val="superscript"/>
        </w:rPr>
        <w:t>[16]</w:t>
      </w:r>
      <w:r>
        <w:rPr>
          <w:rStyle w:val="13"/>
          <w:rFonts w:ascii="Times New Roman" w:hAnsi="Times New Roman" w:cs="Times New Roman"/>
        </w:rPr>
        <w:footnoteReference w:id="17"/>
      </w:r>
      <w:r>
        <w:rPr>
          <w:rFonts w:ascii="Times New Roman" w:hAnsi="Times New Roman" w:cs="Times New Roman"/>
        </w:rPr>
        <w:t>加大了</w:t>
      </w:r>
      <w:r>
        <w:rPr>
          <w:rFonts w:hint="eastAsia" w:ascii="Times New Roman" w:hAnsi="Times New Roman" w:cs="Times New Roman"/>
        </w:rPr>
        <w:t>公安机关的破案</w:t>
      </w:r>
      <w:r>
        <w:rPr>
          <w:rFonts w:ascii="Times New Roman" w:hAnsi="Times New Roman" w:cs="Times New Roman"/>
        </w:rPr>
        <w:t>难度</w:t>
      </w:r>
      <w:r>
        <w:rPr>
          <w:rFonts w:hint="eastAsia" w:ascii="Times New Roman" w:hAnsi="Times New Roman" w:cs="Times New Roman"/>
        </w:rPr>
        <w:t>。例</w:t>
      </w:r>
      <w:r>
        <w:rPr>
          <w:rFonts w:ascii="Times New Roman" w:hAnsi="Times New Roman" w:cs="Times New Roman"/>
        </w:rPr>
        <w:t>如电信诈骗</w:t>
      </w:r>
      <w:r>
        <w:rPr>
          <w:rFonts w:hint="eastAsia" w:ascii="Times New Roman" w:hAnsi="Times New Roman" w:cs="Times New Roman"/>
        </w:rPr>
        <w:t>犯罪、网络洗钱等等</w:t>
      </w:r>
      <w:r>
        <w:rPr>
          <w:rFonts w:ascii="Times New Roman" w:hAnsi="Times New Roman" w:cs="Times New Roman"/>
        </w:rPr>
        <w:t>。</w:t>
      </w:r>
    </w:p>
    <w:p w14:paraId="587F6ACE">
      <w:pPr>
        <w:ind w:firstLine="420" w:firstLineChars="200"/>
        <w:rPr>
          <w:rFonts w:ascii="Times New Roman" w:hAnsi="Times New Roman" w:cs="Times New Roman"/>
        </w:rPr>
      </w:pPr>
      <w:r>
        <w:rPr>
          <w:rFonts w:ascii="Times New Roman" w:hAnsi="Times New Roman" w:cs="Times New Roman"/>
        </w:rPr>
        <w:t>产品</w:t>
      </w:r>
      <w:r>
        <w:rPr>
          <w:rFonts w:hint="eastAsia" w:ascii="Times New Roman" w:hAnsi="Times New Roman" w:cs="Times New Roman"/>
        </w:rPr>
        <w:t>维度的</w:t>
      </w:r>
      <w:r>
        <w:rPr>
          <w:rFonts w:ascii="Times New Roman" w:hAnsi="Times New Roman" w:cs="Times New Roman"/>
        </w:rPr>
        <w:t>网络空间多以犯罪对象或者犯罪工具</w:t>
      </w:r>
      <w:r>
        <w:rPr>
          <w:rFonts w:hint="eastAsia" w:ascii="Times New Roman" w:hAnsi="Times New Roman" w:cs="Times New Roman"/>
        </w:rPr>
        <w:t>的形态</w:t>
      </w:r>
      <w:r>
        <w:rPr>
          <w:rFonts w:ascii="Times New Roman" w:hAnsi="Times New Roman" w:cs="Times New Roman"/>
        </w:rPr>
        <w:t>出现。</w:t>
      </w:r>
      <w:r>
        <w:rPr>
          <w:rFonts w:hint="eastAsia" w:ascii="Times New Roman" w:hAnsi="Times New Roman" w:cs="Times New Roman"/>
        </w:rPr>
        <w:t>按照我国有学者的观点，网络的功能在于人们通过网络改变了人们现实之间的关系，</w:t>
      </w:r>
      <w:r>
        <w:rPr>
          <w:rFonts w:ascii="Times New Roman" w:hAnsi="Times New Roman" w:cs="Times New Roman"/>
        </w:rPr>
        <w:t>而不是拓展了空间</w:t>
      </w:r>
      <w:r>
        <w:rPr>
          <w:rFonts w:hint="eastAsia" w:ascii="Times New Roman" w:hAnsi="Times New Roman" w:cs="Times New Roman"/>
        </w:rPr>
        <w:t>，</w:t>
      </w:r>
      <w:r>
        <w:rPr>
          <w:rFonts w:ascii="Times New Roman" w:hAnsi="Times New Roman" w:cs="Times New Roman"/>
        </w:rPr>
        <w:t>虚拟空间仍只是具有工具属性。</w:t>
      </w:r>
      <w:r>
        <w:rPr>
          <w:rFonts w:hint="eastAsia" w:ascii="Times New Roman" w:hAnsi="Times New Roman" w:cs="Times New Roman"/>
          <w:vertAlign w:val="superscript"/>
        </w:rPr>
        <w:t>[17]</w:t>
      </w:r>
      <w:r>
        <w:rPr>
          <w:rStyle w:val="13"/>
          <w:rFonts w:ascii="Times New Roman" w:hAnsi="Times New Roman" w:cs="Times New Roman"/>
        </w:rPr>
        <w:footnoteReference w:id="18"/>
      </w:r>
      <w:r>
        <w:rPr>
          <w:rFonts w:hint="eastAsia" w:ascii="Times New Roman" w:hAnsi="Times New Roman" w:cs="Times New Roman"/>
        </w:rPr>
        <w:t>该观点虽然忽视了网络空间中生活秩序的部分，但仍能够提醒我们不应当一味的将网络视为场所。</w:t>
      </w:r>
      <w:r>
        <w:rPr>
          <w:rFonts w:ascii="Times New Roman" w:hAnsi="Times New Roman" w:cs="Times New Roman"/>
        </w:rPr>
        <w:t>作为犯罪对象的网络空间</w:t>
      </w:r>
      <w:r>
        <w:rPr>
          <w:rFonts w:hint="eastAsia" w:ascii="Times New Roman" w:hAnsi="Times New Roman" w:cs="Times New Roman"/>
        </w:rPr>
        <w:t>，具体表现为刑法分则规定的以计算机为对象的犯罪。例如，《刑法》第二百八十六</w:t>
      </w:r>
      <w:r>
        <w:rPr>
          <w:rFonts w:ascii="Times New Roman" w:hAnsi="Times New Roman" w:cs="Times New Roman"/>
        </w:rPr>
        <w:t>条</w:t>
      </w:r>
      <w:r>
        <w:rPr>
          <w:rFonts w:hint="eastAsia" w:ascii="Times New Roman" w:hAnsi="Times New Roman" w:cs="Times New Roman"/>
        </w:rPr>
        <w:t>规定的破坏计算机信息系统罪。而作为工具的网络空间，则表现为《刑法》第二百八十七条规定的利用计算机犯罪的情形。以第二百八十七条为例，其</w:t>
      </w:r>
      <w:r>
        <w:rPr>
          <w:rFonts w:ascii="Times New Roman" w:hAnsi="Times New Roman" w:cs="Times New Roman"/>
        </w:rPr>
        <w:t>立法原意是</w:t>
      </w:r>
      <w:r>
        <w:rPr>
          <w:rFonts w:hint="eastAsia" w:ascii="Times New Roman" w:hAnsi="Times New Roman" w:cs="Times New Roman"/>
        </w:rPr>
        <w:t>针对网络作为“犯罪工具”的情形，“犯罪工具”不等于“网络空间”。</w:t>
      </w:r>
      <w:r>
        <w:rPr>
          <w:rFonts w:hint="eastAsia" w:ascii="Times New Roman" w:hAnsi="Times New Roman" w:cs="Times New Roman"/>
          <w:vertAlign w:val="superscript"/>
        </w:rPr>
        <w:t>[4]</w:t>
      </w:r>
      <w:r>
        <w:rPr>
          <w:rStyle w:val="13"/>
          <w:rFonts w:ascii="Times New Roman" w:hAnsi="Times New Roman" w:cs="Times New Roman"/>
        </w:rPr>
        <w:footnoteReference w:id="19"/>
      </w:r>
      <w:r>
        <w:rPr>
          <w:rFonts w:hint="eastAsia" w:ascii="Times New Roman" w:hAnsi="Times New Roman" w:cs="Times New Roman"/>
        </w:rPr>
        <w:t>据此，可以说，作为产品的网络空间并没有导致传统犯罪异化，在网络上诈骗十万元与在线下诈骗十万元，对被害人财产权的侵害都是同等的，并不会因为利用了网络工具就加重刑罚，《刑法》第二百八十七条也能够印证这一点。因此，产品维度的网络空间不会使得裁判者产生解释上的困难。</w:t>
      </w:r>
    </w:p>
    <w:p w14:paraId="5F7987BE">
      <w:pPr>
        <w:ind w:firstLine="420" w:firstLineChars="200"/>
        <w:rPr>
          <w:b/>
          <w:bCs/>
        </w:rPr>
      </w:pPr>
      <w:r>
        <w:rPr>
          <w:b/>
          <w:bCs/>
        </w:rPr>
        <w:t>（三）媒介</w:t>
      </w:r>
      <w:r>
        <w:rPr>
          <w:rFonts w:hint="eastAsia"/>
          <w:b/>
          <w:bCs/>
        </w:rPr>
        <w:t>维度的</w:t>
      </w:r>
      <w:r>
        <w:rPr>
          <w:b/>
          <w:bCs/>
        </w:rPr>
        <w:t>网络空间</w:t>
      </w:r>
    </w:p>
    <w:p w14:paraId="6623A1AB">
      <w:pPr>
        <w:ind w:firstLine="420" w:firstLineChars="200"/>
        <w:rPr>
          <w:rFonts w:ascii="Times New Roman" w:hAnsi="Times New Roman" w:cs="Times New Roman"/>
        </w:rPr>
      </w:pPr>
      <w:r>
        <w:rPr>
          <w:rFonts w:hint="eastAsia" w:ascii="Times New Roman" w:hAnsi="Times New Roman" w:cs="Times New Roman"/>
        </w:rPr>
        <w:t>作为“媒介”的网络空间分析范式认为，媒介是网络空间的显著维度。网民的言论通过网络媒介传播，而媒介随着科技的发展而发展。</w:t>
      </w:r>
      <w:r>
        <w:rPr>
          <w:rFonts w:hint="eastAsia" w:ascii="Times New Roman" w:hAnsi="Times New Roman" w:cs="Times New Roman"/>
          <w:vertAlign w:val="superscript"/>
        </w:rPr>
        <w:t>[14]</w:t>
      </w:r>
      <w:r>
        <w:rPr>
          <w:rStyle w:val="13"/>
          <w:rFonts w:ascii="Times New Roman" w:hAnsi="Times New Roman" w:cs="Times New Roman"/>
        </w:rPr>
        <w:footnoteReference w:id="20"/>
      </w:r>
      <w:r>
        <w:rPr>
          <w:rFonts w:hint="eastAsia" w:ascii="Times New Roman" w:hAnsi="Times New Roman" w:cs="Times New Roman"/>
        </w:rPr>
        <w:t>媒介维度的网络空间的功能体现为信息传播与交换，在网络上发表的任何言论</w:t>
      </w:r>
      <w:r>
        <w:rPr>
          <w:rFonts w:ascii="Times New Roman" w:hAnsi="Times New Roman" w:cs="Times New Roman"/>
        </w:rPr>
        <w:t>（</w:t>
      </w:r>
      <w:r>
        <w:rPr>
          <w:rFonts w:hint="eastAsia" w:ascii="Times New Roman" w:hAnsi="Times New Roman" w:cs="Times New Roman"/>
        </w:rPr>
        <w:t>只要不设置隐私</w:t>
      </w:r>
      <w:r>
        <w:rPr>
          <w:rFonts w:ascii="Times New Roman" w:hAnsi="Times New Roman" w:cs="Times New Roman"/>
        </w:rPr>
        <w:t>）</w:t>
      </w:r>
      <w:r>
        <w:rPr>
          <w:rFonts w:hint="eastAsia" w:ascii="Times New Roman" w:hAnsi="Times New Roman" w:cs="Times New Roman"/>
        </w:rPr>
        <w:t>，都会被网络平台所传播，从而被其他网民获取与感知。网络空间的传播功能在Web3.0这样一个全民创造网络内容的时代背景下，对现实生活影响也在不断地扩大。因此，这一维度下的网络空间犯罪多表现为体现内容的“言论犯罪”，例如，在网络上侮辱他人、进行网络诽谤等行为。</w:t>
      </w:r>
    </w:p>
    <w:p w14:paraId="1330014E">
      <w:pPr>
        <w:ind w:firstLine="420" w:firstLineChars="200"/>
      </w:pPr>
      <w:r>
        <w:rPr>
          <w:rFonts w:hint="eastAsia"/>
        </w:rPr>
        <w:t>媒介维度的网络空间在公共场所的讨论中常常被忽视。这是因为，网络空间通常是媒介与场所的两种维度的混合体，而人们往往将媒介作为场所网络空间的附庸。诚然，网络空间几乎都具有媒介的效果。但网络空间中的不法行为的法益侵害性，却有可能并不是因场所维度的网络空间所提供的“潜在的多数人感知”</w:t>
      </w:r>
      <w:r>
        <w:rPr>
          <w:rStyle w:val="13"/>
          <w:rFonts w:ascii="Times New Roman" w:hAnsi="Times New Roman" w:cs="Times New Roman"/>
        </w:rPr>
        <w:footnoteReference w:id="21"/>
      </w:r>
      <w:r>
        <w:rPr>
          <w:rFonts w:hint="eastAsia"/>
        </w:rPr>
        <w:t>而产生的，而是由媒介维度的网络空间的“广泛传播”产生的。以在网络空间中传播谣言的行为为例，谣言的传播要经历匿名性、群体思考、重复的力量三个步骤，</w:t>
      </w:r>
      <w:r>
        <w:rPr>
          <w:rFonts w:hint="eastAsia" w:ascii="Times New Roman" w:hAnsi="Times New Roman" w:cs="Times New Roman"/>
          <w:vertAlign w:val="superscript"/>
        </w:rPr>
        <w:t>[18]</w:t>
      </w:r>
      <w:r>
        <w:rPr>
          <w:rStyle w:val="13"/>
          <w:rFonts w:ascii="Times New Roman" w:hAnsi="Times New Roman" w:cs="Times New Roman"/>
        </w:rPr>
        <w:footnoteReference w:id="22"/>
      </w:r>
      <w:r>
        <w:rPr>
          <w:rFonts w:hint="eastAsia"/>
        </w:rPr>
        <w:t>以及在“沉默的螺旋”、“群体效应”、“信息茧房”、受众选择以及心理趋同等共同作用下才能发挥效果。</w:t>
      </w:r>
      <w:r>
        <w:rPr>
          <w:rFonts w:hint="eastAsia" w:ascii="Times New Roman" w:hAnsi="Times New Roman" w:cs="Times New Roman"/>
          <w:vertAlign w:val="superscript"/>
        </w:rPr>
        <w:t>[19]</w:t>
      </w:r>
      <w:r>
        <w:rPr>
          <w:rStyle w:val="13"/>
          <w:rFonts w:ascii="Times New Roman" w:hAnsi="Times New Roman" w:cs="Times New Roman"/>
        </w:rPr>
        <w:footnoteReference w:id="23"/>
      </w:r>
      <w:r>
        <w:rPr>
          <w:rFonts w:hint="eastAsia"/>
        </w:rPr>
        <w:t>换言之，网络传谣若要产生可罚的违法性，需要经历一个违法性的数量级增长的过程。根据相关谣言模型的研究，一些影响谣言传播的因素，例如初始谣言传播者权威性、从众效应等等，与谣言传播速度、范围之间，显示出“增函数”的关系，</w:t>
      </w:r>
      <w:r>
        <w:rPr>
          <w:rFonts w:hint="eastAsia" w:ascii="Times New Roman" w:hAnsi="Times New Roman" w:cs="Times New Roman"/>
          <w:vertAlign w:val="superscript"/>
        </w:rPr>
        <w:t>[20]</w:t>
      </w:r>
      <w:r>
        <w:rPr>
          <w:rStyle w:val="13"/>
          <w:rFonts w:ascii="Times New Roman" w:hAnsi="Times New Roman" w:cs="Times New Roman"/>
        </w:rPr>
        <w:footnoteReference w:id="24"/>
      </w:r>
      <w:r>
        <w:rPr>
          <w:rFonts w:hint="eastAsia"/>
        </w:rPr>
        <w:t>并不会使得传谣行为的违法性陡然上升，只有当网络传谣行为造成的网络秩序混乱引起现实中多数人的行动时，才会产生公共场所秩序混乱的危险。</w:t>
      </w:r>
      <w:r>
        <w:rPr>
          <w:rFonts w:hint="eastAsia" w:ascii="Times New Roman" w:hAnsi="Times New Roman" w:cs="Times New Roman"/>
          <w:vertAlign w:val="superscript"/>
        </w:rPr>
        <w:t>[21]</w:t>
      </w:r>
      <w:r>
        <w:rPr>
          <w:rStyle w:val="13"/>
          <w:rFonts w:ascii="Times New Roman" w:hAnsi="Times New Roman" w:cs="Times New Roman"/>
        </w:rPr>
        <w:footnoteReference w:id="25"/>
      </w:r>
      <w:r>
        <w:rPr>
          <w:rFonts w:hint="eastAsia"/>
        </w:rPr>
        <w:t>而公共场所与不法行为违法性的关系则是一类“阶跃信号”，当行为发生在公共场所时，行为的违法性会发生“跃升”。因此，媒介维度的网络空间与场所维度的网络空间是存在差异的。</w:t>
      </w:r>
    </w:p>
    <w:p w14:paraId="3B0AE4E0">
      <w:pPr>
        <w:ind w:firstLine="420" w:firstLineChars="200"/>
      </w:pPr>
      <w:r>
        <w:rPr>
          <w:rFonts w:hint="eastAsia"/>
        </w:rPr>
        <w:t>综上，网络空间三种不同的事实维度造就了刑法应当对其做不同的规范评价，媒介维度的网络空间以及产品维度的网络空间不应当被解释为公共场所。笔者要重点强调的是被学界遗忘的媒介维度的网络空间以及产品维度的网络空间。诚然，媒介维度和场所维度一般同时出现，媒介维度也与产品维度相关联。但是，由于三者的特点的不同，并不是每一个维度下的网络空间都应当解释为公共场所，仍然需要分辨具体场景中究竟是哪一维度起主要作用，哪一维度起次要作用。据此，下文将基于不同维度的网络空间，对公共场所展开进一步的讨论。</w:t>
      </w:r>
    </w:p>
    <w:p w14:paraId="01E6CE7D">
      <w:pPr>
        <w:ind w:firstLine="420" w:firstLineChars="200"/>
        <w:jc w:val="center"/>
        <w:rPr>
          <w:rFonts w:ascii="黑体" w:hAnsi="黑体" w:eastAsia="黑体"/>
        </w:rPr>
      </w:pPr>
      <w:r>
        <w:rPr>
          <w:rFonts w:hint="eastAsia" w:ascii="黑体" w:hAnsi="黑体" w:eastAsia="黑体"/>
        </w:rPr>
        <w:t>三</w:t>
      </w:r>
      <w:r>
        <w:rPr>
          <w:rFonts w:ascii="黑体" w:hAnsi="黑体" w:eastAsia="黑体"/>
        </w:rPr>
        <w:t>、价值的实质判断</w:t>
      </w:r>
      <w:r>
        <w:rPr>
          <w:rFonts w:hint="eastAsia" w:ascii="黑体" w:hAnsi="黑体" w:eastAsia="黑体"/>
        </w:rPr>
        <w:t>：公共场所规范条文辨析</w:t>
      </w:r>
    </w:p>
    <w:p w14:paraId="723DE015">
      <w:pPr>
        <w:tabs>
          <w:tab w:val="left" w:pos="142"/>
          <w:tab w:val="left" w:pos="4111"/>
        </w:tabs>
        <w:ind w:firstLine="420" w:firstLineChars="200"/>
        <w:rPr>
          <w:rFonts w:ascii="Times New Roman" w:hAnsi="Times New Roman" w:cs="Times New Roman"/>
        </w:rPr>
      </w:pPr>
      <w:r>
        <w:rPr>
          <w:rFonts w:hint="eastAsia" w:ascii="Times New Roman" w:hAnsi="Times New Roman" w:cs="Times New Roman"/>
        </w:rPr>
        <w:t>价值的实质判断是在形式判断的基础上，</w:t>
      </w:r>
      <w:r>
        <w:rPr>
          <w:rFonts w:ascii="Times New Roman" w:hAnsi="Times New Roman" w:cs="Times New Roman"/>
        </w:rPr>
        <w:t>进一步揭示实质的价值内容</w:t>
      </w:r>
      <w:r>
        <w:rPr>
          <w:rFonts w:hint="eastAsia" w:ascii="Times New Roman" w:hAnsi="Times New Roman" w:cs="Times New Roman"/>
        </w:rPr>
        <w:t>。</w:t>
      </w:r>
      <w:r>
        <w:rPr>
          <w:rFonts w:hint="eastAsia" w:ascii="Times New Roman" w:hAnsi="Times New Roman" w:cs="Times New Roman"/>
          <w:vertAlign w:val="superscript"/>
        </w:rPr>
        <w:t>[12]</w:t>
      </w:r>
      <w:r>
        <w:rPr>
          <w:rStyle w:val="13"/>
          <w:rFonts w:ascii="Times New Roman" w:hAnsi="Times New Roman" w:cs="Times New Roman"/>
        </w:rPr>
        <w:footnoteReference w:id="26"/>
      </w:r>
      <w:r>
        <w:rPr>
          <w:rFonts w:hint="eastAsia" w:ascii="Times New Roman" w:hAnsi="Times New Roman" w:cs="Times New Roman"/>
        </w:rPr>
        <w:t>在明确网络空间的三个事实维度后，现对公共场所的规范属性“公共属性”进行讨论。通常来讲，公共场所的概念是</w:t>
      </w:r>
      <w:r>
        <w:rPr>
          <w:rFonts w:ascii="Times New Roman" w:hAnsi="Times New Roman" w:cs="Times New Roman"/>
        </w:rPr>
        <w:t>指不特定人或者多数人可以自由出入的场所。</w:t>
      </w:r>
      <w:r>
        <w:rPr>
          <w:rFonts w:hint="eastAsia" w:ascii="Times New Roman" w:hAnsi="Times New Roman" w:cs="Times New Roman"/>
          <w:vertAlign w:val="superscript"/>
        </w:rPr>
        <w:t>[9]</w:t>
      </w:r>
      <w:r>
        <w:rPr>
          <w:rStyle w:val="13"/>
          <w:rFonts w:ascii="Times New Roman" w:hAnsi="Times New Roman" w:cs="Times New Roman"/>
        </w:rPr>
        <w:footnoteReference w:id="27"/>
      </w:r>
      <w:r>
        <w:rPr>
          <w:rFonts w:hint="eastAsia" w:ascii="Times New Roman" w:hAnsi="Times New Roman" w:cs="Times New Roman"/>
        </w:rPr>
        <w:t>我有学者也提出，公众场所应具备两方面的因素，一是</w:t>
      </w:r>
      <w:r>
        <w:rPr>
          <w:rFonts w:ascii="Times New Roman" w:hAnsi="Times New Roman" w:cs="Times New Roman"/>
        </w:rPr>
        <w:t>社会公众进行公共活动的场所</w:t>
      </w:r>
      <w:r>
        <w:rPr>
          <w:rFonts w:hint="eastAsia" w:ascii="Times New Roman" w:hAnsi="Times New Roman" w:cs="Times New Roman"/>
        </w:rPr>
        <w:t>；二</w:t>
      </w:r>
      <w:r>
        <w:rPr>
          <w:rFonts w:ascii="Times New Roman" w:hAnsi="Times New Roman" w:cs="Times New Roman"/>
        </w:rPr>
        <w:t>是人群聚集的</w:t>
      </w:r>
      <w:r>
        <w:rPr>
          <w:rFonts w:hint="eastAsia" w:ascii="Times New Roman" w:hAnsi="Times New Roman" w:cs="Times New Roman"/>
        </w:rPr>
        <w:t>地方。</w:t>
      </w:r>
      <w:r>
        <w:rPr>
          <w:rFonts w:hint="eastAsia" w:ascii="Times New Roman" w:hAnsi="Times New Roman" w:cs="Times New Roman"/>
          <w:vertAlign w:val="superscript"/>
        </w:rPr>
        <w:t>[22]</w:t>
      </w:r>
      <w:r>
        <w:rPr>
          <w:rStyle w:val="13"/>
          <w:rFonts w:ascii="Times New Roman" w:hAnsi="Times New Roman" w:cs="Times New Roman"/>
        </w:rPr>
        <w:footnoteReference w:id="28"/>
      </w:r>
      <w:r>
        <w:rPr>
          <w:rFonts w:hint="eastAsia" w:ascii="Times New Roman" w:hAnsi="Times New Roman" w:cs="Times New Roman"/>
        </w:rPr>
        <w:t>《刑法》虽然未直接给出公共场所明确的定义，但通过前置法例如《集会游行条例》“公共场所是指公民可以自由出入或凭票进出的室外公共场所”以及相关的司法解释的列举规定</w:t>
      </w:r>
      <w:r>
        <w:rPr>
          <w:rStyle w:val="13"/>
          <w:rFonts w:ascii="Times New Roman" w:hAnsi="Times New Roman" w:cs="Times New Roman"/>
        </w:rPr>
        <w:footnoteReference w:id="29"/>
      </w:r>
      <w:r>
        <w:rPr>
          <w:rFonts w:hint="eastAsia" w:ascii="Times New Roman" w:hAnsi="Times New Roman" w:cs="Times New Roman"/>
        </w:rPr>
        <w:t>中可以看出，公共场所的“公共属性”实际是“具备人员流动带来的可感知性”。</w:t>
      </w:r>
    </w:p>
    <w:p w14:paraId="02CDE792">
      <w:pPr>
        <w:ind w:firstLine="420" w:firstLineChars="200"/>
        <w:rPr>
          <w:b/>
          <w:bCs/>
        </w:rPr>
      </w:pPr>
      <w:r>
        <w:rPr>
          <w:rFonts w:hint="eastAsia"/>
          <w:b/>
          <w:bCs/>
        </w:rPr>
        <w:t>（一）网络空间公共属性的判断</w:t>
      </w:r>
    </w:p>
    <w:p w14:paraId="071A081C">
      <w:pPr>
        <w:ind w:firstLine="420" w:firstLineChars="200"/>
        <w:rPr>
          <w:rFonts w:ascii="Times New Roman" w:hAnsi="Times New Roman" w:cs="Times New Roman"/>
        </w:rPr>
      </w:pPr>
      <w:r>
        <w:rPr>
          <w:rFonts w:hint="eastAsia" w:ascii="Times New Roman" w:hAnsi="Times New Roman" w:cs="Times New Roman"/>
        </w:rPr>
        <w:t>网络空间“人员流动的可感知性”的判断，应当基于各类网络场景的公共性和开放性程度，</w:t>
      </w:r>
      <w:r>
        <w:rPr>
          <w:rFonts w:hint="eastAsia" w:ascii="Times New Roman" w:hAnsi="Times New Roman" w:cs="Times New Roman"/>
          <w:vertAlign w:val="superscript"/>
        </w:rPr>
        <w:t>[23]</w:t>
      </w:r>
      <w:r>
        <w:rPr>
          <w:rStyle w:val="13"/>
          <w:rFonts w:ascii="Times New Roman" w:hAnsi="Times New Roman" w:cs="Times New Roman"/>
        </w:rPr>
        <w:footnoteReference w:id="30"/>
      </w:r>
      <w:r>
        <w:rPr>
          <w:rFonts w:hint="eastAsia" w:ascii="Times New Roman" w:hAnsi="Times New Roman" w:cs="Times New Roman"/>
        </w:rPr>
        <w:t>实质的判断是否存在被不特定的流动人数感知的可能。因只有在场所维度的网络空间，才具备探讨公共属性的必要性。因而，在此一节中的网络空间均指场所维度的网络空间。根据现实人员流动性程度的不同，网络空间分为不同的类型：（1）绝对公开类型。所谓绝对公开类型，是指在互联网平台上不设置私密发布，能够被不特定多数人感知的情况。具体平台例如微博、贴吧等等。（2）相对公开类型。所谓相对公开类型，即并不对所有网民公开，只对一定范围内网民的公开，其数量并不会产生扩大性趋势。例如微信聊天群。（3）相对封闭类型。所谓相对封闭类型，例如单对单的微信聊天、私密的直播房间等等。公共属性代表了一定的人员数量以及人员流动的可能性，只有人员的数量与流动，公共场所才能表现出规范意义。因此，只有在绝对公开型以及相对公开类型中，才具有公共属性。但是要注意的是，在相对公开类型的网络空间中，应当</w:t>
      </w:r>
      <w:r>
        <w:rPr>
          <w:rFonts w:ascii="Times New Roman" w:hAnsi="Times New Roman" w:cs="Times New Roman"/>
        </w:rPr>
        <w:t>衡量私发对象与行为者之</w:t>
      </w:r>
      <w:r>
        <w:rPr>
          <w:rFonts w:hint="eastAsia" w:ascii="Times New Roman" w:hAnsi="Times New Roman" w:cs="Times New Roman"/>
        </w:rPr>
        <w:t>间的社会关系是否具有排他性，例如血缘亲属群体、</w:t>
      </w:r>
      <w:r>
        <w:rPr>
          <w:rFonts w:ascii="Times New Roman" w:hAnsi="Times New Roman" w:cs="Times New Roman"/>
        </w:rPr>
        <w:t>同事关系群体</w:t>
      </w:r>
      <w:r>
        <w:rPr>
          <w:rFonts w:hint="eastAsia" w:ascii="Times New Roman" w:hAnsi="Times New Roman" w:cs="Times New Roman"/>
        </w:rPr>
        <w:t>等</w:t>
      </w:r>
      <w:r>
        <w:rPr>
          <w:rFonts w:ascii="Times New Roman" w:hAnsi="Times New Roman" w:cs="Times New Roman"/>
        </w:rPr>
        <w:t>会排斥</w:t>
      </w:r>
      <w:r>
        <w:rPr>
          <w:rFonts w:hint="eastAsia" w:ascii="Times New Roman" w:hAnsi="Times New Roman" w:cs="Times New Roman"/>
        </w:rPr>
        <w:t>非同事关系人员的进入等，</w:t>
      </w:r>
      <w:r>
        <w:rPr>
          <w:rFonts w:hint="eastAsia" w:ascii="Times New Roman" w:hAnsi="Times New Roman" w:cs="Times New Roman"/>
          <w:vertAlign w:val="superscript"/>
        </w:rPr>
        <w:t>[24]</w:t>
      </w:r>
      <w:r>
        <w:rPr>
          <w:rStyle w:val="13"/>
          <w:rFonts w:ascii="Times New Roman" w:hAnsi="Times New Roman" w:cs="Times New Roman"/>
        </w:rPr>
        <w:footnoteReference w:id="31"/>
      </w:r>
      <w:r>
        <w:rPr>
          <w:rFonts w:hint="eastAsia" w:ascii="Times New Roman" w:hAnsi="Times New Roman" w:cs="Times New Roman"/>
        </w:rPr>
        <w:t>因而，此类基于特殊关系而形成的网络空间不应当认为具有公共属性。</w:t>
      </w:r>
    </w:p>
    <w:p w14:paraId="0AE0529A">
      <w:pPr>
        <w:ind w:firstLine="420" w:firstLineChars="200"/>
        <w:rPr>
          <w:b/>
          <w:bCs/>
        </w:rPr>
      </w:pPr>
      <w:r>
        <w:rPr>
          <w:rFonts w:hint="eastAsia"/>
          <w:b/>
          <w:bCs/>
        </w:rPr>
        <w:t>（二）公共场所的内涵与形近词辨析</w:t>
      </w:r>
    </w:p>
    <w:p w14:paraId="6A9C37D4">
      <w:pPr>
        <w:ind w:firstLine="420" w:firstLineChars="200"/>
        <w:rPr>
          <w:rFonts w:ascii="Times New Roman" w:hAnsi="Times New Roman" w:cs="Times New Roman"/>
        </w:rPr>
      </w:pPr>
      <w:r>
        <w:rPr>
          <w:rFonts w:hint="eastAsia" w:ascii="Times New Roman" w:hAnsi="Times New Roman" w:cs="Times New Roman"/>
        </w:rPr>
        <w:t>《刑法》中关于公共场所的形近词有很多，例如区域、场所、聚众、公共场合、公共场所当众等等。但内涵相近的只有公共场所“当众”和“公共场合”，三者具有共同点，但也存在一定的差别。而对于区域、场所等仅具备“场所属性”而不具有“公共属性”的概念，与公共场所存在较大差别，不在讨论之列。</w:t>
      </w:r>
    </w:p>
    <w:p w14:paraId="77E54420">
      <w:pPr>
        <w:ind w:firstLine="420" w:firstLineChars="200"/>
        <w:rPr>
          <w:rFonts w:ascii="Times New Roman" w:hAnsi="Times New Roman" w:cs="Times New Roman"/>
        </w:rPr>
      </w:pPr>
      <w:r>
        <w:rPr>
          <w:rFonts w:hint="eastAsia" w:ascii="Times New Roman" w:hAnsi="Times New Roman" w:cs="Times New Roman"/>
        </w:rPr>
        <w:t>1.与公共场所“当众”的区别</w:t>
      </w:r>
    </w:p>
    <w:p w14:paraId="1C592203">
      <w:pPr>
        <w:ind w:firstLine="420" w:firstLineChars="200"/>
        <w:rPr>
          <w:rFonts w:ascii="Times New Roman" w:hAnsi="Times New Roman" w:cs="Times New Roman"/>
        </w:rPr>
      </w:pPr>
      <w:r>
        <w:rPr>
          <w:rFonts w:hint="eastAsia" w:ascii="Times New Roman" w:hAnsi="Times New Roman" w:cs="Times New Roman"/>
        </w:rPr>
        <w:t>公共场所与“公共场所当众”的字面区别在于后者多了“当众”二字。如果说公共场所仅代表着人员的潜在感知可能，公共场所“当众”则说明行为需要当着众人的面实施，对于众人是否实际看到则在所不论。</w:t>
      </w:r>
      <w:r>
        <w:rPr>
          <w:rStyle w:val="13"/>
          <w:rFonts w:ascii="Times New Roman" w:hAnsi="Times New Roman" w:cs="Times New Roman"/>
        </w:rPr>
        <w:footnoteReference w:id="32"/>
      </w:r>
      <w:r>
        <w:rPr>
          <w:rFonts w:hint="eastAsia" w:ascii="Times New Roman" w:hAnsi="Times New Roman" w:cs="Times New Roman"/>
        </w:rPr>
        <w:t>因此，对于公共场所当众的解释，需要考虑规范保护目的，刑法之所以规定了加重法定刑，是因为公共场所当众实施强奸、猥亵等行为违法性高以及显示出行为人更大的主观恶性和人身危险性。</w:t>
      </w:r>
      <w:r>
        <w:rPr>
          <w:rFonts w:hint="eastAsia" w:ascii="Times New Roman" w:hAnsi="Times New Roman" w:cs="Times New Roman"/>
          <w:vertAlign w:val="superscript"/>
        </w:rPr>
        <w:t>[25]</w:t>
      </w:r>
      <w:r>
        <w:rPr>
          <w:rStyle w:val="13"/>
          <w:rFonts w:ascii="Times New Roman" w:hAnsi="Times New Roman" w:cs="Times New Roman"/>
        </w:rPr>
        <w:footnoteReference w:id="33"/>
      </w:r>
      <w:r>
        <w:rPr>
          <w:rFonts w:hint="eastAsia" w:ascii="Times New Roman" w:hAnsi="Times New Roman" w:cs="Times New Roman"/>
        </w:rPr>
        <w:t>因而，两者的区别在于行为人实施的行为是否有被当众察觉的危险；二是是否能从行为人的客观行为中窥见其主观恶性。如果行为人在无人的公共场所实施不法行为，那么并不能认定是在公共场所“当众”进行。从这个角度看，公共场所与公共场所“当众”区别不大，都要求实质的判断公共属性。</w:t>
      </w:r>
    </w:p>
    <w:p w14:paraId="227A849D">
      <w:pPr>
        <w:ind w:firstLine="420" w:firstLineChars="200"/>
        <w:rPr>
          <w:rFonts w:ascii="Times New Roman" w:hAnsi="Times New Roman" w:cs="Times New Roman"/>
        </w:rPr>
      </w:pPr>
      <w:r>
        <w:rPr>
          <w:rFonts w:hint="eastAsia" w:ascii="Times New Roman" w:hAnsi="Times New Roman" w:cs="Times New Roman"/>
        </w:rPr>
        <w:t>2.与公共场合的区别</w:t>
      </w:r>
    </w:p>
    <w:p w14:paraId="513E455D">
      <w:pPr>
        <w:ind w:firstLine="420" w:firstLineChars="200"/>
        <w:rPr>
          <w:rFonts w:ascii="Times New Roman" w:hAnsi="Times New Roman" w:cs="Times New Roman"/>
        </w:rPr>
      </w:pPr>
      <w:r>
        <w:rPr>
          <w:rFonts w:hint="eastAsia" w:ascii="Times New Roman" w:hAnsi="Times New Roman" w:cs="Times New Roman"/>
        </w:rPr>
        <w:t>公共场合一词仅出现在第二百九十九条的侮辱国歌罪中。结合侮辱国歌罪的规范保护目的，对于公共场合一词，笔者认为该概念要求行为人处在一定公开性的场域即可，因为侮辱国歌的不法行为即便不发生在“场所”中，而发生在例如微博的社交平台上，也构成对法益的侵犯。对比公共场所，公共场合更着重于“公共属性”，而并不要求“场所属性”。</w:t>
      </w:r>
    </w:p>
    <w:p w14:paraId="32673AFD">
      <w:pPr>
        <w:ind w:firstLine="420" w:firstLineChars="200"/>
        <w:rPr>
          <w:b/>
          <w:bCs/>
        </w:rPr>
      </w:pPr>
      <w:r>
        <w:rPr>
          <w:rFonts w:hint="eastAsia"/>
          <w:b/>
          <w:bCs/>
        </w:rPr>
        <w:t>（三）《刑法》以及相关司法解释中公共场所的规范意义</w:t>
      </w:r>
    </w:p>
    <w:p w14:paraId="3D4ECD35">
      <w:pPr>
        <w:ind w:firstLine="420" w:firstLineChars="200"/>
        <w:rPr>
          <w:rFonts w:ascii="Times New Roman" w:hAnsi="Times New Roman" w:cs="Times New Roman"/>
        </w:rPr>
      </w:pPr>
      <w:r>
        <w:rPr>
          <w:rFonts w:hint="eastAsia" w:ascii="Times New Roman" w:hAnsi="Times New Roman" w:cs="Times New Roman"/>
        </w:rPr>
        <w:t>从《刑法》中具备公共场所的规范条文，结合公共场所的公共属性，公共场所通常都具有影响不法行为可罚的违法性的特点，一些不法行为会因为发生在公共场所而提高了其违法性，但是，也不能一概而论。结合公共场所的具体规范条文，笔者总结了三种公共场所的规范意义如下：</w:t>
      </w:r>
    </w:p>
    <w:p w14:paraId="1323472B">
      <w:pPr>
        <w:ind w:firstLine="420" w:firstLineChars="200"/>
        <w:rPr>
          <w:rFonts w:ascii="Times New Roman" w:hAnsi="Times New Roman" w:cs="Times New Roman"/>
        </w:rPr>
      </w:pPr>
      <w:r>
        <w:rPr>
          <w:rFonts w:hint="eastAsia" w:ascii="Times New Roman" w:hAnsi="Times New Roman" w:cs="Times New Roman"/>
        </w:rPr>
        <w:t>1.产生可罚违法性的“质”</w:t>
      </w:r>
    </w:p>
    <w:p w14:paraId="4B6DF916">
      <w:pPr>
        <w:ind w:firstLine="420" w:firstLineChars="200"/>
        <w:rPr>
          <w:rFonts w:ascii="Times New Roman" w:hAnsi="Times New Roman" w:cs="Times New Roman"/>
        </w:rPr>
      </w:pPr>
      <w:r>
        <w:rPr>
          <w:rFonts w:hint="eastAsia" w:ascii="Times New Roman" w:hAnsi="Times New Roman" w:cs="Times New Roman"/>
        </w:rPr>
        <w:t>所谓产生可罚违法性的“质”，是指不法行为发生在非公共场所中，就不会产生可罚的违法性，但只要发生在了公共场所中，就具有了产生可罚的违法性的可能性。因而，本文将这种类型称为产生可罚违法性的“质”。结合具体的规范条文来看，我国刑法中符合此类型的条文是第一百二十条之五、第二百九十三条以及第二百九十一条等等。除了聚众扰乱公共场所秩序、交通秩序罪明显无法在网络空间中发生以外，上述不法行为如果发生在开放性的网络空间，都会产生可罚的违法性的“质”。例如寻衅滋事罪，因密闭空间并不存在社会管理秩序法益，因而起哄闹事行为不会产生可罚的违法性；又如第一百二十条之五的强制穿戴宣扬恐怖主义、极端主义服饰、标志罪，在非公共场所强制他人穿戴并不会被他人感知，因而也不会产生可罚违法性的“质”。</w:t>
      </w:r>
    </w:p>
    <w:p w14:paraId="54F9B13C">
      <w:pPr>
        <w:ind w:firstLine="420" w:firstLineChars="200"/>
        <w:rPr>
          <w:rFonts w:ascii="Times New Roman" w:hAnsi="Times New Roman" w:cs="Times New Roman"/>
        </w:rPr>
      </w:pPr>
      <w:r>
        <w:rPr>
          <w:rFonts w:hint="eastAsia" w:ascii="Times New Roman" w:hAnsi="Times New Roman" w:cs="Times New Roman"/>
        </w:rPr>
        <w:t>2.提高可罚的违法性的“量”</w:t>
      </w:r>
    </w:p>
    <w:p w14:paraId="12AB8EF2">
      <w:pPr>
        <w:ind w:firstLine="420" w:firstLineChars="200"/>
        <w:rPr>
          <w:rFonts w:ascii="Times New Roman" w:hAnsi="Times New Roman" w:cs="Times New Roman"/>
        </w:rPr>
      </w:pPr>
      <w:r>
        <w:rPr>
          <w:rFonts w:hint="eastAsia" w:ascii="Times New Roman" w:hAnsi="Times New Roman" w:cs="Times New Roman"/>
        </w:rPr>
        <w:t>所谓提高可罚违法性的“量”，是指不法行为原本就具有可罚的违法性，只是因行为发生在公共场所，其违法性的“量”才获得了提高。例如《刑法》第二百三十六条、第二百三十七条的规定的强奸罪与强制猥亵、侮辱罪。在罪状中，两者都规定了公共场所“当众”的加重情节。这是因为，在公共场所当众实施上述行为，被害人容易被不特定多数人“视奸”，使得不法行为可罚的违法性的“量”提升。而对于网络传谣、辱骂型寻衅滋事行为，前文已经叙述过，不应当将此处的网络空间判断为公共场所，而应当认定为传播媒介。虽然，相比通过人际传播谣言，网络空间中谣言传播速度更快，在智能化推送的“帮助”下，网络传谣行为的可罚的违法性的“量”确有提高。但是，正如上文所述，网络传谣行为侵害法益的方式与因“人员流动的可感知性”而侵害法益不同。此种情形下的网络空间，并不位于场所维度，不发挥“公共场所”应有的“功能”。因而，不能将在网络空间中传播谣言，影响网络秩序的行为解释为“在网络公共场所中起哄闹事，影响网络公共场所秩序”，否则会产生类推解释的风险。</w:t>
      </w:r>
    </w:p>
    <w:p w14:paraId="0A112863">
      <w:pPr>
        <w:ind w:firstLine="420" w:firstLineChars="200"/>
        <w:rPr>
          <w:rFonts w:ascii="Times New Roman" w:hAnsi="Times New Roman" w:cs="Times New Roman"/>
        </w:rPr>
      </w:pPr>
      <w:r>
        <w:rPr>
          <w:rFonts w:hint="eastAsia" w:ascii="Times New Roman" w:hAnsi="Times New Roman" w:cs="Times New Roman"/>
        </w:rPr>
        <w:t>但是，媒介维度的网络空间并非直接排除解释为公共场所的可能性。在元宇宙技术实现“虚实相生”，人们完全可以在元宇宙中生存后。此时，完全可以认为元宇宙秩序与每个用户的生活秩序直接关联，虚拟空间的秩序与公共场所秩序位于同一价值位阶。此时，在元宇宙空间中传谣的行为，与在公共场合起哄闹事无异，将网络空间</w:t>
      </w:r>
      <w:r>
        <w:rPr>
          <w:rFonts w:ascii="Times New Roman" w:hAnsi="Times New Roman" w:cs="Times New Roman"/>
        </w:rPr>
        <w:t>（</w:t>
      </w:r>
      <w:r>
        <w:rPr>
          <w:rFonts w:hint="eastAsia" w:ascii="Times New Roman" w:hAnsi="Times New Roman" w:cs="Times New Roman"/>
        </w:rPr>
        <w:t>元宇宙空间</w:t>
      </w:r>
      <w:r>
        <w:rPr>
          <w:rFonts w:ascii="Times New Roman" w:hAnsi="Times New Roman" w:cs="Times New Roman"/>
        </w:rPr>
        <w:t>）</w:t>
      </w:r>
      <w:r>
        <w:rPr>
          <w:rFonts w:hint="eastAsia" w:ascii="Times New Roman" w:hAnsi="Times New Roman" w:cs="Times New Roman"/>
        </w:rPr>
        <w:t>解释为公共场所，就更为合理。</w:t>
      </w:r>
      <w:r>
        <w:rPr>
          <w:rFonts w:hint="eastAsia" w:ascii="Times New Roman" w:hAnsi="Times New Roman" w:cs="Times New Roman"/>
          <w:vertAlign w:val="superscript"/>
        </w:rPr>
        <w:t>[21]</w:t>
      </w:r>
      <w:r>
        <w:rPr>
          <w:rStyle w:val="13"/>
          <w:rFonts w:ascii="Times New Roman" w:hAnsi="Times New Roman" w:cs="Times New Roman"/>
        </w:rPr>
        <w:footnoteReference w:id="34"/>
      </w:r>
    </w:p>
    <w:p w14:paraId="4F470C6B">
      <w:pPr>
        <w:ind w:firstLine="420" w:firstLineChars="200"/>
        <w:rPr>
          <w:rFonts w:ascii="Times New Roman" w:hAnsi="Times New Roman" w:cs="Times New Roman"/>
        </w:rPr>
      </w:pPr>
      <w:r>
        <w:rPr>
          <w:rFonts w:hint="eastAsia" w:ascii="Times New Roman" w:hAnsi="Times New Roman" w:cs="Times New Roman"/>
        </w:rPr>
        <w:t>3.不提供可罚的违法性的“质”与“量”</w:t>
      </w:r>
    </w:p>
    <w:p w14:paraId="73B45662">
      <w:pPr>
        <w:ind w:firstLine="420" w:firstLineChars="200"/>
        <w:rPr>
          <w:rFonts w:ascii="Times New Roman" w:hAnsi="Times New Roman" w:cs="Times New Roman"/>
        </w:rPr>
      </w:pPr>
      <w:r>
        <w:rPr>
          <w:rFonts w:hint="eastAsia" w:ascii="Times New Roman" w:hAnsi="Times New Roman" w:cs="Times New Roman"/>
        </w:rPr>
        <w:t>在我国《刑法》以及相关的司法解释中，公共场所有时仅作为事实型描述出现，并不具有规范意义，司法解释关于扒窃的规定就是一个典型的例子。正如车浩教授所言，公共场所之于扒窃的意义，仅仅是经验层面由于多发性而产生的描述和总结，难以成为理论层面进行概念定义时确定的事物本质特征。</w:t>
      </w:r>
      <w:r>
        <w:rPr>
          <w:rFonts w:hint="eastAsia" w:ascii="Times New Roman" w:hAnsi="Times New Roman" w:cs="Times New Roman"/>
          <w:vertAlign w:val="superscript"/>
        </w:rPr>
        <w:t>[26]</w:t>
      </w:r>
      <w:r>
        <w:rPr>
          <w:rStyle w:val="13"/>
          <w:rFonts w:ascii="Times New Roman" w:hAnsi="Times New Roman" w:cs="Times New Roman"/>
        </w:rPr>
        <w:footnoteReference w:id="35"/>
      </w:r>
      <w:r>
        <w:rPr>
          <w:rFonts w:hint="eastAsia" w:ascii="Times New Roman" w:hAnsi="Times New Roman" w:cs="Times New Roman"/>
        </w:rPr>
        <w:t>这也再次从侧面印证了，公共场所只有在具备规范意义，即能够影响不法行为的可罚的违法性时，才应当被解释为公共场所。由此推及，在一些情况下，网络空间可能仅仅是为某些犯罪提供了场域，而并不会影响其可罚的违法性。例如《刑法》第三百零三条第二款规定的开设赌场罪，虽然裁判者仍然可以将此处的“场”解释为场所维度的网络空间，但此处公共场所并不发挥其规范意义，也即，开设赌场的行为的可罚的违法性并没有借由公共场所的人员流动性获得可罚违法性的提升。</w:t>
      </w:r>
      <w:r>
        <w:rPr>
          <w:rFonts w:ascii="Times New Roman" w:hAnsi="Times New Roman" w:cs="Times New Roman"/>
        </w:rPr>
        <w:t xml:space="preserve"> </w:t>
      </w:r>
    </w:p>
    <w:p w14:paraId="46E9CFBC">
      <w:pPr>
        <w:ind w:firstLine="420" w:firstLineChars="200"/>
        <w:jc w:val="center"/>
        <w:rPr>
          <w:rFonts w:ascii="黑体" w:hAnsi="黑体" w:eastAsia="黑体"/>
        </w:rPr>
      </w:pPr>
      <w:r>
        <w:rPr>
          <w:rFonts w:hint="eastAsia" w:ascii="黑体" w:hAnsi="黑体" w:eastAsia="黑体"/>
        </w:rPr>
        <w:t>四</w:t>
      </w:r>
      <w:r>
        <w:rPr>
          <w:rFonts w:ascii="黑体" w:hAnsi="黑体" w:eastAsia="黑体"/>
        </w:rPr>
        <w:t>、</w:t>
      </w:r>
      <w:r>
        <w:rPr>
          <w:rFonts w:hint="eastAsia" w:ascii="黑体" w:hAnsi="黑体" w:eastAsia="黑体"/>
        </w:rPr>
        <w:t>理论实践：公共场所的具体解释方法</w:t>
      </w:r>
    </w:p>
    <w:p w14:paraId="04EFC66E">
      <w:pPr>
        <w:ind w:firstLine="420" w:firstLineChars="200"/>
        <w:rPr>
          <w:rFonts w:ascii="Times New Roman" w:hAnsi="Times New Roman" w:cs="Times New Roman"/>
        </w:rPr>
      </w:pPr>
      <w:r>
        <w:rPr>
          <w:rFonts w:hint="eastAsia" w:ascii="Times New Roman" w:hAnsi="Times New Roman" w:cs="Times New Roman"/>
        </w:rPr>
        <w:t>基于对网络空间的事实判断以及价值判断，可以在个罪中明晰公共场所解释的具体方法，具体步骤如下：</w:t>
      </w:r>
    </w:p>
    <w:p w14:paraId="622C63AD">
      <w:pPr>
        <w:ind w:firstLine="420" w:firstLineChars="200"/>
        <w:rPr>
          <w:b/>
          <w:bCs/>
        </w:rPr>
      </w:pPr>
      <w:r>
        <w:rPr>
          <w:b/>
          <w:bCs/>
        </w:rPr>
        <w:t>（</w:t>
      </w:r>
      <w:r>
        <w:rPr>
          <w:rFonts w:hint="eastAsia"/>
          <w:b/>
          <w:bCs/>
        </w:rPr>
        <w:t>一</w:t>
      </w:r>
      <w:r>
        <w:rPr>
          <w:b/>
          <w:bCs/>
        </w:rPr>
        <w:t>）在个罪中</w:t>
      </w:r>
      <w:r>
        <w:rPr>
          <w:rFonts w:hint="eastAsia"/>
          <w:b/>
          <w:bCs/>
        </w:rPr>
        <w:t>解释</w:t>
      </w:r>
      <w:r>
        <w:rPr>
          <w:b/>
          <w:bCs/>
        </w:rPr>
        <w:t>公共场所的</w:t>
      </w:r>
      <w:r>
        <w:rPr>
          <w:rFonts w:hint="eastAsia"/>
          <w:b/>
          <w:bCs/>
        </w:rPr>
        <w:t>具体方法</w:t>
      </w:r>
    </w:p>
    <w:p w14:paraId="751B265C">
      <w:pPr>
        <w:ind w:firstLine="420" w:firstLineChars="200"/>
        <w:rPr>
          <w:rFonts w:ascii="Times New Roman" w:hAnsi="Times New Roman" w:cs="Times New Roman"/>
        </w:rPr>
      </w:pPr>
      <w:r>
        <w:rPr>
          <w:rFonts w:hint="eastAsia" w:ascii="Times New Roman" w:hAnsi="Times New Roman" w:cs="Times New Roman"/>
        </w:rPr>
        <w:t>1</w:t>
      </w:r>
      <w:r>
        <w:rPr>
          <w:rFonts w:ascii="Times New Roman" w:hAnsi="Times New Roman" w:cs="Times New Roman"/>
        </w:rPr>
        <w:t>.</w:t>
      </w:r>
      <w:r>
        <w:rPr>
          <w:rFonts w:hint="eastAsia" w:ascii="Times New Roman" w:hAnsi="Times New Roman" w:cs="Times New Roman"/>
        </w:rPr>
        <w:t>对网络空间的场所属性进行探析：入罪判断</w:t>
      </w:r>
    </w:p>
    <w:p w14:paraId="2D9B87E4">
      <w:pPr>
        <w:ind w:firstLine="420" w:firstLineChars="200"/>
        <w:rPr>
          <w:rFonts w:ascii="Times New Roman" w:hAnsi="Times New Roman" w:cs="Times New Roman"/>
        </w:rPr>
      </w:pPr>
      <w:r>
        <w:rPr>
          <w:rFonts w:hint="eastAsia" w:ascii="Times New Roman" w:hAnsi="Times New Roman" w:cs="Times New Roman"/>
        </w:rPr>
        <w:t>裁判者在判断是否能将公共场所扩张解释为网络空间时，先要明确的是，网络空间在个案事实中究竟发挥了何种作用。首先，网络空间如果是用于实施犯罪行为的工具或者对象，那么应当认为是产品维度的网络空间，排除解释为公共场所的可能；其次，如果网络空间用作信息的传播，那么应当认为是媒介维度的网络空间；再次，如果网络空间的功能是承载网络社会交往，那么应当认为是场所维度的网络空间。发挥只有在场所维度，才能进一步的判断网络空间是否能够解释为公共场所。产品维度的网络空间较好判断，但是网络空间究竟是媒介还是场所，存在一定的模糊性，可在公共属性的辨别中做进一步的判断。</w:t>
      </w:r>
    </w:p>
    <w:p w14:paraId="42B90208">
      <w:pPr>
        <w:ind w:firstLine="420" w:firstLineChars="200"/>
        <w:rPr>
          <w:rFonts w:ascii="Times New Roman" w:hAnsi="Times New Roman" w:cs="Times New Roman"/>
        </w:rPr>
      </w:pPr>
      <w:r>
        <w:rPr>
          <w:rFonts w:hint="eastAsia" w:ascii="Times New Roman" w:hAnsi="Times New Roman" w:cs="Times New Roman"/>
        </w:rPr>
        <w:t>2</w:t>
      </w:r>
      <w:r>
        <w:rPr>
          <w:rFonts w:ascii="Times New Roman" w:hAnsi="Times New Roman" w:cs="Times New Roman"/>
        </w:rPr>
        <w:t>.</w:t>
      </w:r>
      <w:r>
        <w:rPr>
          <w:rFonts w:hint="eastAsia" w:ascii="Times New Roman" w:hAnsi="Times New Roman" w:cs="Times New Roman"/>
        </w:rPr>
        <w:t>对网络空间的公共属性进行探析：出罪判断</w:t>
      </w:r>
    </w:p>
    <w:p w14:paraId="5F730FFD">
      <w:pPr>
        <w:ind w:firstLine="420" w:firstLineChars="200"/>
        <w:rPr>
          <w:rFonts w:ascii="Times New Roman" w:hAnsi="Times New Roman" w:cs="Times New Roman"/>
        </w:rPr>
      </w:pPr>
      <w:r>
        <w:rPr>
          <w:rFonts w:ascii="Times New Roman" w:hAnsi="Times New Roman" w:cs="Times New Roman"/>
        </w:rPr>
        <w:t>（</w:t>
      </w:r>
      <w:r>
        <w:rPr>
          <w:rFonts w:hint="eastAsia" w:ascii="Times New Roman" w:hAnsi="Times New Roman" w:cs="Times New Roman"/>
        </w:rPr>
        <w:t>1</w:t>
      </w:r>
      <w:r>
        <w:rPr>
          <w:rFonts w:ascii="Times New Roman" w:hAnsi="Times New Roman" w:cs="Times New Roman"/>
        </w:rPr>
        <w:t>）</w:t>
      </w:r>
      <w:r>
        <w:rPr>
          <w:rFonts w:hint="eastAsia" w:ascii="Times New Roman" w:hAnsi="Times New Roman" w:cs="Times New Roman"/>
        </w:rPr>
        <w:t>网络空间是否具有因人员流动产生的可感知性。首先，要明确网络空间是否具有“人员流动产生的可感知性”，做出个案中的网络空间属于上述三种类型的网络空间的哪一种的判断，只有绝对开放型以及相对开放型的网络空间才具有公共属性。其次，对于绝对开放型的网络空间，有必要进一步考察在不法行为发生时，场域内是否有人员流动感知的可能性；而对于相对开放的网络空间，则要判断其中的人际关系。基于排他性关系建立起的网络群组，不应当认为是公共场所。</w:t>
      </w:r>
    </w:p>
    <w:p w14:paraId="7B38D108">
      <w:pPr>
        <w:ind w:firstLine="420" w:firstLineChars="200"/>
        <w:rPr>
          <w:rFonts w:ascii="Times New Roman" w:hAnsi="Times New Roman" w:cs="Times New Roman"/>
        </w:rPr>
      </w:pPr>
      <w:r>
        <w:rPr>
          <w:rFonts w:ascii="Times New Roman" w:hAnsi="Times New Roman" w:cs="Times New Roman"/>
        </w:rPr>
        <w:t>（</w:t>
      </w:r>
      <w:r>
        <w:rPr>
          <w:rFonts w:hint="eastAsia" w:ascii="Times New Roman" w:hAnsi="Times New Roman" w:cs="Times New Roman"/>
        </w:rPr>
        <w:t>2</w:t>
      </w:r>
      <w:r>
        <w:rPr>
          <w:rFonts w:ascii="Times New Roman" w:hAnsi="Times New Roman" w:cs="Times New Roman"/>
        </w:rPr>
        <w:t>）</w:t>
      </w:r>
      <w:r>
        <w:rPr>
          <w:rFonts w:hint="eastAsia" w:ascii="Times New Roman" w:hAnsi="Times New Roman" w:cs="Times New Roman"/>
        </w:rPr>
        <w:t>网络空间是否会影响行为的可罚违法性的“质”与“量”。价值判断是指解释者根据刑法的保护目的、基本原则等，对刑法规定的不明确之处予以明确。</w:t>
      </w:r>
      <w:r>
        <w:rPr>
          <w:rFonts w:hint="eastAsia" w:ascii="Times New Roman" w:hAnsi="Times New Roman" w:cs="Times New Roman"/>
          <w:vertAlign w:val="superscript"/>
        </w:rPr>
        <w:t>[27]</w:t>
      </w:r>
      <w:r>
        <w:rPr>
          <w:rStyle w:val="13"/>
          <w:rFonts w:ascii="Times New Roman" w:hAnsi="Times New Roman" w:cs="Times New Roman"/>
        </w:rPr>
        <w:footnoteReference w:id="36"/>
      </w:r>
      <w:r>
        <w:rPr>
          <w:rFonts w:hint="eastAsia" w:ascii="Times New Roman" w:hAnsi="Times New Roman" w:cs="Times New Roman"/>
        </w:rPr>
        <w:t>而刑法的目的就是保护法益。只有当不法行为会在网络空间中产生可罚违法性的“质”或“量”时，也即，因网络空间而提高了不法行为的法益侵害程度时，网络空间才能够被解释为公共场所。</w:t>
      </w:r>
    </w:p>
    <w:p w14:paraId="00611830">
      <w:pPr>
        <w:ind w:firstLine="420" w:firstLineChars="200"/>
        <w:rPr>
          <w:rFonts w:ascii="Times New Roman" w:hAnsi="Times New Roman" w:cs="Times New Roman"/>
        </w:rPr>
      </w:pPr>
      <w:r>
        <w:rPr>
          <w:rFonts w:hint="eastAsia" w:ascii="Times New Roman" w:hAnsi="Times New Roman" w:cs="Times New Roman"/>
        </w:rPr>
        <w:t>（3）违法性的提升是否是因为“人员流动产生的可感知性”而导致的。前文已经提到过，网络传播谣言行为的违法性在网络空间的作用下，表现出“增函数”的态势，并不会使得违法性陡然上升；而其他不法行为例如强制穿戴宣扬恐怖主义、极端主义物品，则因发生在公共场所中，违法性“陡然”上升，如同“阶跃函数”。因此，在不法行为的违法性因网络空间“陡然”上升时，才能将网络空间解释为公共场所。</w:t>
      </w:r>
    </w:p>
    <w:p w14:paraId="6C4F3680">
      <w:pPr>
        <w:ind w:firstLine="420" w:firstLineChars="200"/>
        <w:rPr>
          <w:b/>
          <w:bCs/>
        </w:rPr>
      </w:pPr>
      <w:r>
        <w:rPr>
          <w:b/>
          <w:bCs/>
        </w:rPr>
        <w:t>（</w:t>
      </w:r>
      <w:r>
        <w:rPr>
          <w:rFonts w:hint="eastAsia"/>
          <w:b/>
          <w:bCs/>
        </w:rPr>
        <w:t>二</w:t>
      </w:r>
      <w:r>
        <w:rPr>
          <w:b/>
          <w:bCs/>
        </w:rPr>
        <w:t>）</w:t>
      </w:r>
      <w:r>
        <w:rPr>
          <w:rFonts w:hint="eastAsia"/>
          <w:b/>
          <w:bCs/>
        </w:rPr>
        <w:t>具体案件解释</w:t>
      </w:r>
    </w:p>
    <w:p w14:paraId="562687CC">
      <w:pPr>
        <w:ind w:firstLine="420" w:firstLineChars="200"/>
        <w:rPr>
          <w:rFonts w:ascii="Times New Roman" w:hAnsi="Times New Roman" w:cs="Times New Roman"/>
        </w:rPr>
      </w:pPr>
      <w:r>
        <w:rPr>
          <w:rFonts w:ascii="Times New Roman" w:hAnsi="Times New Roman" w:cs="Times New Roman"/>
        </w:rPr>
        <w:t>1.网络传谣行为</w:t>
      </w:r>
    </w:p>
    <w:p w14:paraId="224C68CA">
      <w:pPr>
        <w:ind w:firstLine="420" w:firstLineChars="200"/>
        <w:rPr>
          <w:rFonts w:ascii="Times New Roman" w:hAnsi="Times New Roman" w:cs="Times New Roman"/>
        </w:rPr>
      </w:pPr>
      <w:r>
        <w:rPr>
          <w:rFonts w:hint="eastAsia" w:ascii="Times New Roman" w:hAnsi="Times New Roman" w:cs="Times New Roman"/>
        </w:rPr>
        <w:t>案例一：钟某团伙利用信息网络寻衅滋事案。某团伙为博取眼球、提高流量，将涉及缅北电信网络诈骗的网络小道消息通过钟某自己演绎、自己讲解的方式进行拍摄、剪辑，形成“缅北电信网络诈骗幕后是温州资本”“温州帮在支持、运作”等谣言视频，并指使员工在公司注册的平台账号上发布传播。截至</w:t>
      </w:r>
      <w:r>
        <w:rPr>
          <w:rFonts w:ascii="Times New Roman" w:hAnsi="Times New Roman" w:cs="Times New Roman"/>
        </w:rPr>
        <w:t>2023年12月6日，该虚假视频总计播放量为324.9万余次，点赞数11.8万余次，评论数1.2万余条，转发数12.1万余次，收藏数2.5万余次，造成网络秩序和社会公共秩序严重混乱。</w:t>
      </w:r>
      <w:r>
        <w:rPr>
          <w:rStyle w:val="13"/>
          <w:rFonts w:ascii="Times New Roman" w:hAnsi="Times New Roman" w:cs="Times New Roman"/>
        </w:rPr>
        <w:footnoteReference w:id="37"/>
      </w:r>
    </w:p>
    <w:p w14:paraId="1367C249">
      <w:pPr>
        <w:tabs>
          <w:tab w:val="left" w:pos="4253"/>
        </w:tabs>
        <w:ind w:firstLine="420" w:firstLineChars="200"/>
        <w:rPr>
          <w:rFonts w:ascii="Times New Roman" w:hAnsi="Times New Roman" w:cs="Times New Roman"/>
        </w:rPr>
      </w:pPr>
      <w:r>
        <w:rPr>
          <w:rFonts w:hint="eastAsia" w:ascii="Times New Roman" w:hAnsi="Times New Roman" w:cs="Times New Roman"/>
        </w:rPr>
        <w:t>对于本案，涉及公共场所该如何解释的问题。首先，通过短视频平台传播谣言视频，网络空间主要起到媒介作用，因而排除场所性。因此，就不能够将此种行为解释为在“在公共场所起哄闹事”。其次，网络空间提升了传谣行为的违法性的“量”，但提升至何种程度，需要具体分析“侵害网络秩序的行为”对现实世界“公共场所秩序”的影响如何。若严格按照本文的观点，“利用网络空间作为传播媒介”无法解释为“在公共场所起哄闹事”，只能解释为“以信息网络作为传播谣言的媒介，导致现实社会造成公共秩序严重混乱的行为”。因此，本文并不赞同将网络传谣行为以寻衅滋事罪论处。教义学兼具法</w:t>
      </w:r>
      <w:r>
        <w:rPr>
          <w:rFonts w:ascii="Times New Roman" w:hAnsi="Times New Roman" w:cs="Times New Roman"/>
        </w:rPr>
        <w:t>教义</w:t>
      </w:r>
      <w:r>
        <w:rPr>
          <w:rFonts w:hint="eastAsia" w:ascii="Times New Roman" w:hAnsi="Times New Roman" w:cs="Times New Roman"/>
        </w:rPr>
        <w:t>学</w:t>
      </w:r>
      <w:r>
        <w:rPr>
          <w:rFonts w:ascii="Times New Roman" w:hAnsi="Times New Roman" w:cs="Times New Roman"/>
        </w:rPr>
        <w:t>不</w:t>
      </w:r>
      <w:r>
        <w:rPr>
          <w:rFonts w:hint="eastAsia" w:ascii="Times New Roman" w:hAnsi="Times New Roman" w:cs="Times New Roman"/>
        </w:rPr>
        <w:t>仅</w:t>
      </w:r>
      <w:r>
        <w:rPr>
          <w:rFonts w:ascii="Times New Roman" w:hAnsi="Times New Roman" w:cs="Times New Roman"/>
        </w:rPr>
        <w:t>承担解释法</w:t>
      </w:r>
      <w:r>
        <w:rPr>
          <w:rFonts w:hint="eastAsia" w:ascii="Times New Roman" w:hAnsi="Times New Roman" w:cs="Times New Roman"/>
        </w:rPr>
        <w:t>律的</w:t>
      </w:r>
      <w:r>
        <w:rPr>
          <w:rFonts w:ascii="Times New Roman" w:hAnsi="Times New Roman" w:cs="Times New Roman"/>
        </w:rPr>
        <w:t>任务</w:t>
      </w:r>
      <w:r>
        <w:rPr>
          <w:rFonts w:hint="eastAsia" w:ascii="Times New Roman" w:hAnsi="Times New Roman" w:cs="Times New Roman"/>
        </w:rPr>
        <w:t>，也</w:t>
      </w:r>
      <w:r>
        <w:rPr>
          <w:rFonts w:ascii="Times New Roman" w:hAnsi="Times New Roman" w:cs="Times New Roman"/>
        </w:rPr>
        <w:t>具</w:t>
      </w:r>
      <w:r>
        <w:rPr>
          <w:rFonts w:hint="eastAsia" w:ascii="Times New Roman" w:hAnsi="Times New Roman" w:cs="Times New Roman"/>
        </w:rPr>
        <w:t>有</w:t>
      </w:r>
      <w:r>
        <w:rPr>
          <w:rFonts w:ascii="Times New Roman" w:hAnsi="Times New Roman" w:cs="Times New Roman"/>
        </w:rPr>
        <w:t>指导和批判</w:t>
      </w:r>
      <w:r>
        <w:rPr>
          <w:rFonts w:hint="eastAsia" w:ascii="Times New Roman" w:hAnsi="Times New Roman" w:cs="Times New Roman"/>
        </w:rPr>
        <w:t>立</w:t>
      </w:r>
      <w:r>
        <w:rPr>
          <w:rFonts w:ascii="Times New Roman" w:hAnsi="Times New Roman" w:cs="Times New Roman"/>
        </w:rPr>
        <w:t>法的功能</w:t>
      </w:r>
      <w:r>
        <w:rPr>
          <w:rFonts w:hint="eastAsia" w:ascii="Times New Roman" w:hAnsi="Times New Roman" w:cs="Times New Roman"/>
        </w:rPr>
        <w:t>改造与批评的功能。</w:t>
      </w:r>
      <w:r>
        <w:rPr>
          <w:rFonts w:hint="eastAsia" w:ascii="Times New Roman" w:hAnsi="Times New Roman" w:cs="Times New Roman"/>
          <w:vertAlign w:val="superscript"/>
        </w:rPr>
        <w:t>[28]</w:t>
      </w:r>
      <w:r>
        <w:rPr>
          <w:rStyle w:val="13"/>
          <w:rFonts w:ascii="Times New Roman" w:hAnsi="Times New Roman" w:cs="Times New Roman"/>
        </w:rPr>
        <w:footnoteReference w:id="38"/>
      </w:r>
      <w:r>
        <w:rPr>
          <w:rFonts w:hint="eastAsia" w:ascii="Times New Roman" w:hAnsi="Times New Roman" w:cs="Times New Roman"/>
        </w:rPr>
        <w:t>对于网络传谣行为，正如我国有学者所言，未来有必要进行合宪性调适，为实现言论自由和法律约束之间的平衡，以规定“</w:t>
      </w:r>
      <w:r>
        <w:rPr>
          <w:rFonts w:ascii="Times New Roman" w:hAnsi="Times New Roman" w:cs="Times New Roman"/>
        </w:rPr>
        <w:t>在信息网络上编造、散</w:t>
      </w:r>
      <w:r>
        <w:rPr>
          <w:rFonts w:hint="eastAsia" w:ascii="Times New Roman" w:hAnsi="Times New Roman" w:cs="Times New Roman"/>
        </w:rPr>
        <w:t>布虚假信息，起哄闹事，造成现实社会的公共场所秩序严重混乱，以寻衅滋事罪定罪处罚”。</w:t>
      </w:r>
      <w:r>
        <w:rPr>
          <w:rFonts w:hint="eastAsia" w:ascii="Times New Roman" w:hAnsi="Times New Roman" w:cs="Times New Roman"/>
          <w:vertAlign w:val="superscript"/>
        </w:rPr>
        <w:t>[29]</w:t>
      </w:r>
      <w:r>
        <w:rPr>
          <w:rStyle w:val="13"/>
          <w:rFonts w:ascii="Times New Roman" w:hAnsi="Times New Roman" w:cs="Times New Roman"/>
        </w:rPr>
        <w:footnoteReference w:id="39"/>
      </w:r>
    </w:p>
    <w:p w14:paraId="2143C52B">
      <w:pPr>
        <w:ind w:firstLine="420" w:firstLineChars="200"/>
        <w:rPr>
          <w:rFonts w:ascii="Times New Roman" w:hAnsi="Times New Roman" w:cs="Times New Roman"/>
        </w:rPr>
      </w:pPr>
      <w:r>
        <w:rPr>
          <w:rFonts w:ascii="Times New Roman" w:hAnsi="Times New Roman" w:cs="Times New Roman"/>
        </w:rPr>
        <w:t>2.</w:t>
      </w:r>
      <w:r>
        <w:rPr>
          <w:rFonts w:hint="eastAsia" w:ascii="Times New Roman" w:hAnsi="Times New Roman" w:cs="Times New Roman"/>
        </w:rPr>
        <w:t>开设网络赌场的行为</w:t>
      </w:r>
    </w:p>
    <w:p w14:paraId="3EB50C8E">
      <w:pPr>
        <w:ind w:firstLine="420" w:firstLineChars="200"/>
        <w:rPr>
          <w:rFonts w:ascii="Times New Roman" w:hAnsi="Times New Roman" w:cs="Times New Roman"/>
        </w:rPr>
      </w:pPr>
      <w:r>
        <w:rPr>
          <w:rFonts w:hint="eastAsia" w:ascii="Times New Roman" w:hAnsi="Times New Roman" w:cs="Times New Roman"/>
        </w:rPr>
        <w:t>案例二：洪小强、洪礼沃、洪清泉、李志荣开设赌场案。</w:t>
      </w:r>
      <w:r>
        <w:rPr>
          <w:rFonts w:ascii="Times New Roman" w:hAnsi="Times New Roman" w:cs="Times New Roman"/>
        </w:rPr>
        <w:t>被告人李志荣、洪礼沃、洪清泉伙同洪某1、洪某2</w:t>
      </w:r>
      <w:r>
        <w:rPr>
          <w:rFonts w:hint="eastAsia" w:ascii="Times New Roman" w:hAnsi="Times New Roman" w:cs="Times New Roman"/>
        </w:rPr>
        <w:t>，</w:t>
      </w:r>
      <w:r>
        <w:rPr>
          <w:rFonts w:ascii="Times New Roman" w:hAnsi="Times New Roman" w:cs="Times New Roman"/>
        </w:rPr>
        <w:t>雇佣洪某3等人，运用智能手机、电脑等设备建立微信群参赌人员加入微信群，通过微信或支付宝将赌资转至庄家的微信或者支付宝账号计入分值(一元相当干一分)后，根据“PC蛋蛋”等竞猜游戏网站的开奖结果，以押大小、单双等方式在群内投注赌博。该赌博群24小时运转，每局参赌人员数十人，每日赌注累计达数十万元。截至案发时，该团伙共接受赌资累计达3237300元。</w:t>
      </w:r>
      <w:r>
        <w:rPr>
          <w:rStyle w:val="13"/>
          <w:rFonts w:ascii="Times New Roman" w:hAnsi="Times New Roman" w:cs="Times New Roman"/>
        </w:rPr>
        <w:footnoteReference w:id="40"/>
      </w:r>
    </w:p>
    <w:p w14:paraId="29DC7AF3">
      <w:pPr>
        <w:ind w:firstLine="420" w:firstLineChars="200"/>
        <w:rPr>
          <w:rFonts w:ascii="Times New Roman" w:hAnsi="Times New Roman" w:cs="Times New Roman"/>
        </w:rPr>
      </w:pPr>
      <w:r>
        <w:rPr>
          <w:rFonts w:ascii="Times New Roman" w:hAnsi="Times New Roman" w:cs="Times New Roman"/>
        </w:rPr>
        <w:t>对于本案，涉及网络空间能否解释为</w:t>
      </w:r>
      <w:r>
        <w:rPr>
          <w:rFonts w:hint="eastAsia" w:ascii="Times New Roman" w:hAnsi="Times New Roman" w:cs="Times New Roman"/>
        </w:rPr>
        <w:t>赌场的问题。首先，通过微信群进行赌博，网络空间是犯罪人实施犯罪的工具，网络空间主要位于产品维度，因而排除场所性。其次，网络空间并没有提升开设赌场的违法性的“质”或“量”。再次，犯罪人的行为应当解释为“以信息网络产品为工具开设赌场的行为”。</w:t>
      </w:r>
    </w:p>
    <w:p w14:paraId="1E10DA96">
      <w:pPr>
        <w:ind w:firstLine="420" w:firstLineChars="200"/>
        <w:rPr>
          <w:rFonts w:ascii="Times New Roman" w:hAnsi="Times New Roman" w:cs="Times New Roman"/>
        </w:rPr>
      </w:pPr>
      <w:r>
        <w:rPr>
          <w:rFonts w:ascii="Times New Roman" w:hAnsi="Times New Roman" w:cs="Times New Roman"/>
        </w:rPr>
        <w:t>3.</w:t>
      </w:r>
      <w:r>
        <w:rPr>
          <w:rFonts w:hint="eastAsia" w:ascii="Times New Roman" w:hAnsi="Times New Roman" w:cs="Times New Roman"/>
        </w:rPr>
        <w:t>网络直播强奸、猥亵行为</w:t>
      </w:r>
    </w:p>
    <w:p w14:paraId="33E4BBE0">
      <w:pPr>
        <w:ind w:firstLine="420" w:firstLineChars="200"/>
        <w:rPr>
          <w:rFonts w:ascii="Times New Roman" w:hAnsi="Times New Roman" w:cs="Times New Roman"/>
        </w:rPr>
      </w:pPr>
      <w:r>
        <w:rPr>
          <w:rFonts w:hint="eastAsia" w:ascii="Times New Roman" w:hAnsi="Times New Roman" w:cs="Times New Roman"/>
        </w:rPr>
        <w:t>案例三：文山男主播直播强奸案。</w:t>
      </w:r>
      <w:r>
        <w:rPr>
          <w:rStyle w:val="13"/>
          <w:rFonts w:ascii="Times New Roman" w:hAnsi="Times New Roman" w:cs="Times New Roman"/>
        </w:rPr>
        <w:footnoteReference w:id="41"/>
      </w:r>
      <w:r>
        <w:rPr>
          <w:rFonts w:hint="eastAsia" w:ascii="Times New Roman" w:hAnsi="Times New Roman" w:cs="Times New Roman"/>
        </w:rPr>
        <w:t>文山一男主播直播强奸“初中女生”，并让两个初中女生在一旁按压。经警方查明，该网络色情直播犯罪团伙为牟取非法利益，在四川、广西等地组织色情直播表演，贴文所称“文山初一女生”系代某的前女友张某燕。</w:t>
      </w:r>
      <w:r>
        <w:rPr>
          <w:rStyle w:val="13"/>
          <w:rFonts w:ascii="Times New Roman" w:hAnsi="Times New Roman" w:cs="Times New Roman"/>
        </w:rPr>
        <w:footnoteReference w:id="42"/>
      </w:r>
    </w:p>
    <w:p w14:paraId="7E8391CF">
      <w:pPr>
        <w:ind w:firstLine="420" w:firstLineChars="200"/>
        <w:rPr>
          <w:rFonts w:ascii="Times New Roman" w:hAnsi="Times New Roman" w:cs="Times New Roman"/>
        </w:rPr>
      </w:pPr>
      <w:r>
        <w:rPr>
          <w:rFonts w:hint="eastAsia" w:ascii="Times New Roman" w:hAnsi="Times New Roman" w:cs="Times New Roman"/>
        </w:rPr>
        <w:t>对于本案，涉及网络空间是能否解释为公共场所“当众”的问题。首先，行为人在公开的直播房间实施不法行为，网络空间主要起到承载信息网络活动的场域，应当认定为场所维度。有学者认为，网络空间只不过是用于实施猥亵犯罪的工具，而不是猥亵犯罪发生的场所，</w:t>
      </w:r>
      <w:r>
        <w:rPr>
          <w:rFonts w:hint="eastAsia" w:ascii="Times New Roman" w:hAnsi="Times New Roman" w:cs="Times New Roman"/>
          <w:vertAlign w:val="superscript"/>
        </w:rPr>
        <w:t>[30]</w:t>
      </w:r>
      <w:r>
        <w:rPr>
          <w:rStyle w:val="13"/>
          <w:rFonts w:ascii="Times New Roman" w:hAnsi="Times New Roman" w:cs="Times New Roman"/>
        </w:rPr>
        <w:footnoteReference w:id="43"/>
      </w:r>
      <w:r>
        <w:rPr>
          <w:rFonts w:hint="eastAsia" w:ascii="Times New Roman" w:hAnsi="Times New Roman" w:cs="Times New Roman"/>
        </w:rPr>
        <w:t>这就忽略了产品与场所本质的区别。产品维度的网络空间不具有影响不法行为违法性的能力，而场所维度的网络空间则可以。其次，对于公共属性的判断，虽然未有更多线索，但根据淫秽表演牟取非法利益的事实，可以认为直播房间并不封闭，应当是“有门槛的公开”，可以认为是相对公开型网络空间，人际关系并不具有排他性，具有公共属性。再次，行为人实施了强奸行为，且在不特定的人员能够感知的环境下进行，被害人的性利益自然受到极大的侵害，能够体现出不法行为的法益侵害性极大不法行为人的主观恶性极强，因而，本案行为人的行为应当解释为“在网络公共场所‘当众’强奸妇女”。</w:t>
      </w:r>
    </w:p>
    <w:p w14:paraId="540225A6">
      <w:pPr>
        <w:ind w:firstLine="420" w:firstLineChars="200"/>
        <w:rPr>
          <w:rFonts w:ascii="Times New Roman" w:hAnsi="Times New Roman" w:cs="Times New Roman"/>
        </w:rPr>
      </w:pPr>
      <w:r>
        <w:rPr>
          <w:rFonts w:hint="eastAsia" w:ascii="Times New Roman" w:hAnsi="Times New Roman" w:cs="Times New Roman"/>
        </w:rPr>
        <w:t>参考文献</w:t>
      </w:r>
    </w:p>
    <w:p w14:paraId="3266F3A1">
      <w:pPr>
        <w:pStyle w:val="5"/>
        <w:rPr>
          <w:rFonts w:ascii="Times New Roman" w:hAnsi="Times New Roman" w:cs="Times New Roman"/>
        </w:rPr>
      </w:pPr>
      <w:r>
        <w:rPr>
          <w:rFonts w:ascii="Times New Roman" w:hAnsi="Times New Roman" w:cs="Times New Roman"/>
        </w:rPr>
        <w:t>[1]刘艳红.Web3.0时代网络犯罪的代际特征及刑法应对[J].环球法律评论,2020,42(05):100-116</w:t>
      </w:r>
      <w:r>
        <w:rPr>
          <w:rFonts w:hint="eastAsia" w:ascii="Times New Roman" w:hAnsi="Times New Roman" w:cs="Times New Roman"/>
        </w:rPr>
        <w:t>.</w:t>
      </w:r>
    </w:p>
    <w:p w14:paraId="51AFD56D">
      <w:pPr>
        <w:pStyle w:val="5"/>
        <w:rPr>
          <w:rFonts w:ascii="Times New Roman" w:hAnsi="Times New Roman" w:cs="Times New Roman"/>
        </w:rPr>
      </w:pPr>
      <w:r>
        <w:rPr>
          <w:rFonts w:ascii="Times New Roman" w:hAnsi="Times New Roman" w:cs="Times New Roman"/>
        </w:rPr>
        <w:t>[</w:t>
      </w:r>
      <w:r>
        <w:rPr>
          <w:rFonts w:hint="eastAsia" w:ascii="Times New Roman" w:hAnsi="Times New Roman" w:cs="Times New Roman"/>
        </w:rPr>
        <w:t>2</w:t>
      </w:r>
      <w:r>
        <w:rPr>
          <w:rFonts w:ascii="Times New Roman" w:hAnsi="Times New Roman" w:cs="Times New Roman"/>
        </w:rPr>
        <w:t>]桑瑞娇,李德恩,郑滋椀.情境犯罪预防理论的网络空间应用研究[J].政法学刊,2023,40(02):4</w:t>
      </w:r>
      <w:r>
        <w:rPr>
          <w:rFonts w:hint="eastAsia" w:ascii="Times New Roman" w:hAnsi="Times New Roman" w:cs="Times New Roman"/>
        </w:rPr>
        <w:t>0</w:t>
      </w:r>
      <w:r>
        <w:rPr>
          <w:rFonts w:ascii="Times New Roman" w:hAnsi="Times New Roman" w:cs="Times New Roman"/>
        </w:rPr>
        <w:t>.</w:t>
      </w:r>
    </w:p>
    <w:p w14:paraId="619B929C">
      <w:pPr>
        <w:pStyle w:val="5"/>
        <w:rPr>
          <w:rFonts w:ascii="Times New Roman" w:hAnsi="Times New Roman" w:cs="Times New Roman"/>
        </w:rPr>
      </w:pPr>
      <w:r>
        <w:rPr>
          <w:rFonts w:ascii="Times New Roman" w:hAnsi="Times New Roman" w:cs="Times New Roman"/>
        </w:rPr>
        <w:t>[</w:t>
      </w:r>
      <w:r>
        <w:rPr>
          <w:rFonts w:hint="eastAsia" w:ascii="Times New Roman" w:hAnsi="Times New Roman" w:cs="Times New Roman"/>
        </w:rPr>
        <w:t>3</w:t>
      </w:r>
      <w:r>
        <w:rPr>
          <w:rFonts w:ascii="Times New Roman" w:hAnsi="Times New Roman" w:cs="Times New Roman"/>
        </w:rPr>
        <w:t>]于志刚.“双层社会”中传统刑法的适用空间——以“两高”《网络诽谤解释》的发布为背景[J].法学,2013,(10):102.</w:t>
      </w:r>
    </w:p>
    <w:p w14:paraId="2854469C">
      <w:pPr>
        <w:pStyle w:val="5"/>
        <w:rPr>
          <w:rFonts w:ascii="Times New Roman" w:hAnsi="Times New Roman" w:cs="Times New Roman"/>
        </w:rPr>
      </w:pPr>
      <w:r>
        <w:rPr>
          <w:rFonts w:ascii="Times New Roman" w:hAnsi="Times New Roman" w:cs="Times New Roman"/>
        </w:rPr>
        <w:t>[</w:t>
      </w:r>
      <w:r>
        <w:rPr>
          <w:rFonts w:hint="eastAsia" w:ascii="Times New Roman" w:hAnsi="Times New Roman" w:cs="Times New Roman"/>
        </w:rPr>
        <w:t>4</w:t>
      </w:r>
      <w:r>
        <w:rPr>
          <w:rFonts w:ascii="Times New Roman" w:hAnsi="Times New Roman" w:cs="Times New Roman"/>
        </w:rPr>
        <w:t>]孙道萃.网络刑法知识转型与立法回应[J].现代法学,2017,39(01):11</w:t>
      </w:r>
      <w:r>
        <w:rPr>
          <w:rFonts w:hint="eastAsia" w:ascii="Times New Roman" w:hAnsi="Times New Roman" w:cs="Times New Roman"/>
        </w:rPr>
        <w:t>9</w:t>
      </w:r>
      <w:r>
        <w:rPr>
          <w:rFonts w:ascii="Times New Roman" w:hAnsi="Times New Roman" w:cs="Times New Roman"/>
        </w:rPr>
        <w:t>.</w:t>
      </w:r>
    </w:p>
    <w:p w14:paraId="4425A3A4">
      <w:pPr>
        <w:pStyle w:val="5"/>
        <w:rPr>
          <w:rFonts w:ascii="Times New Roman" w:hAnsi="Times New Roman" w:cs="Times New Roman"/>
        </w:rPr>
      </w:pPr>
      <w:r>
        <w:rPr>
          <w:rFonts w:ascii="Times New Roman" w:hAnsi="Times New Roman" w:cs="Times New Roman"/>
        </w:rPr>
        <w:t>[</w:t>
      </w:r>
      <w:r>
        <w:rPr>
          <w:rFonts w:hint="eastAsia" w:ascii="Times New Roman" w:hAnsi="Times New Roman" w:cs="Times New Roman"/>
        </w:rPr>
        <w:t>5</w:t>
      </w:r>
      <w:r>
        <w:rPr>
          <w:rFonts w:ascii="Times New Roman" w:hAnsi="Times New Roman" w:cs="Times New Roman"/>
        </w:rPr>
        <w:t>]宋保振.论“数字化生活权”及其义务谱系[J/OL].法律科学(西北政法大学学报),2024,(04):1-16[2024-07-06].https://doi.org/10.16290/j.cnki.1674-5205.2024.04.004.</w:t>
      </w:r>
    </w:p>
    <w:p w14:paraId="501D91A6">
      <w:pPr>
        <w:pStyle w:val="5"/>
        <w:rPr>
          <w:rFonts w:ascii="Times New Roman" w:hAnsi="Times New Roman" w:cs="Times New Roman"/>
        </w:rPr>
      </w:pPr>
      <w:r>
        <w:rPr>
          <w:rFonts w:ascii="Times New Roman" w:hAnsi="Times New Roman" w:cs="Times New Roman"/>
        </w:rPr>
        <w:t>[</w:t>
      </w:r>
      <w:r>
        <w:rPr>
          <w:rFonts w:hint="eastAsia" w:ascii="Times New Roman" w:hAnsi="Times New Roman" w:cs="Times New Roman"/>
        </w:rPr>
        <w:t>6</w:t>
      </w:r>
      <w:r>
        <w:rPr>
          <w:rFonts w:ascii="Times New Roman" w:hAnsi="Times New Roman" w:cs="Times New Roman"/>
        </w:rPr>
        <w:t>]欧阳本祺.论网络时代刑法解释的限度[J].中国法学,2017,(03):16</w:t>
      </w:r>
      <w:r>
        <w:rPr>
          <w:rFonts w:hint="eastAsia" w:ascii="Times New Roman" w:hAnsi="Times New Roman" w:cs="Times New Roman"/>
        </w:rPr>
        <w:t>6</w:t>
      </w:r>
      <w:r>
        <w:rPr>
          <w:rFonts w:ascii="Times New Roman" w:hAnsi="Times New Roman" w:cs="Times New Roman"/>
        </w:rPr>
        <w:t>.</w:t>
      </w:r>
    </w:p>
    <w:p w14:paraId="6DAAAFD5">
      <w:pPr>
        <w:pStyle w:val="5"/>
        <w:rPr>
          <w:rFonts w:ascii="Times New Roman" w:hAnsi="Times New Roman" w:cs="Times New Roman"/>
        </w:rPr>
      </w:pPr>
      <w:r>
        <w:rPr>
          <w:rFonts w:ascii="Times New Roman" w:hAnsi="Times New Roman" w:cs="Times New Roman"/>
        </w:rPr>
        <w:t>[</w:t>
      </w:r>
      <w:r>
        <w:rPr>
          <w:rFonts w:hint="eastAsia" w:ascii="Times New Roman" w:hAnsi="Times New Roman" w:cs="Times New Roman"/>
        </w:rPr>
        <w:t>7</w:t>
      </w:r>
      <w:r>
        <w:rPr>
          <w:rFonts w:ascii="Times New Roman" w:hAnsi="Times New Roman" w:cs="Times New Roman"/>
        </w:rPr>
        <w:t>]陈兴良.刑法教义学中的形式理性[J].中外法学,2023,35(02):285.</w:t>
      </w:r>
    </w:p>
    <w:p w14:paraId="482880FB">
      <w:pPr>
        <w:pStyle w:val="5"/>
        <w:rPr>
          <w:rFonts w:ascii="Times New Roman" w:hAnsi="Times New Roman" w:cs="Times New Roman"/>
        </w:rPr>
      </w:pPr>
      <w:r>
        <w:rPr>
          <w:rFonts w:ascii="Times New Roman" w:hAnsi="Times New Roman" w:cs="Times New Roman"/>
        </w:rPr>
        <w:t>[</w:t>
      </w:r>
      <w:r>
        <w:rPr>
          <w:rFonts w:hint="eastAsia" w:ascii="Times New Roman" w:hAnsi="Times New Roman" w:cs="Times New Roman"/>
        </w:rPr>
        <w:t>8</w:t>
      </w:r>
      <w:r>
        <w:rPr>
          <w:rFonts w:ascii="Times New Roman" w:hAnsi="Times New Roman" w:cs="Times New Roman"/>
        </w:rPr>
        <w:t>]于改之</w:t>
      </w:r>
      <w:r>
        <w:rPr>
          <w:rFonts w:hint="eastAsia" w:ascii="Times New Roman" w:hAnsi="Times New Roman" w:cs="Times New Roman"/>
        </w:rPr>
        <w:t>.</w:t>
      </w:r>
      <w:r>
        <w:rPr>
          <w:rFonts w:ascii="Times New Roman" w:hAnsi="Times New Roman" w:cs="Times New Roman"/>
        </w:rPr>
        <w:t>刑民分界论[</w:t>
      </w:r>
      <w:r>
        <w:rPr>
          <w:rFonts w:hint="eastAsia" w:ascii="Times New Roman" w:hAnsi="Times New Roman" w:cs="Times New Roman"/>
        </w:rPr>
        <w:t>M</w:t>
      </w:r>
      <w:r>
        <w:rPr>
          <w:rFonts w:ascii="Times New Roman" w:hAnsi="Times New Roman" w:cs="Times New Roman"/>
        </w:rPr>
        <w:t>]</w:t>
      </w:r>
      <w:r>
        <w:rPr>
          <w:rFonts w:hint="eastAsia" w:ascii="Times New Roman" w:hAnsi="Times New Roman" w:cs="Times New Roman"/>
        </w:rPr>
        <w:t>.北京:</w:t>
      </w:r>
      <w:r>
        <w:rPr>
          <w:rFonts w:ascii="Times New Roman" w:hAnsi="Times New Roman" w:cs="Times New Roman"/>
        </w:rPr>
        <w:t>中国公安大学出版社</w:t>
      </w:r>
      <w:r>
        <w:rPr>
          <w:rFonts w:hint="eastAsia" w:ascii="Times New Roman" w:hAnsi="Times New Roman" w:cs="Times New Roman"/>
        </w:rPr>
        <w:t>,</w:t>
      </w:r>
      <w:r>
        <w:rPr>
          <w:rFonts w:ascii="Times New Roman" w:hAnsi="Times New Roman" w:cs="Times New Roman"/>
        </w:rPr>
        <w:t>2007</w:t>
      </w:r>
      <w:r>
        <w:rPr>
          <w:rFonts w:hint="eastAsia" w:ascii="Times New Roman" w:hAnsi="Times New Roman" w:cs="Times New Roman"/>
        </w:rPr>
        <w:t>:</w:t>
      </w:r>
      <w:r>
        <w:rPr>
          <w:rFonts w:ascii="Times New Roman" w:hAnsi="Times New Roman" w:cs="Times New Roman"/>
        </w:rPr>
        <w:t>16</w:t>
      </w:r>
      <w:r>
        <w:rPr>
          <w:rFonts w:hint="eastAsia" w:ascii="Times New Roman" w:hAnsi="Times New Roman" w:cs="Times New Roman"/>
        </w:rPr>
        <w:t>.</w:t>
      </w:r>
    </w:p>
    <w:p w14:paraId="54E8E7BC">
      <w:pPr>
        <w:pStyle w:val="5"/>
        <w:rPr>
          <w:rFonts w:ascii="Times New Roman" w:hAnsi="Times New Roman" w:cs="Times New Roman"/>
        </w:rPr>
      </w:pPr>
      <w:r>
        <w:rPr>
          <w:rFonts w:ascii="Times New Roman" w:hAnsi="Times New Roman" w:cs="Times New Roman"/>
        </w:rPr>
        <w:t>[9]参见张明楷.刑法学[M].北京:法律出版社</w:t>
      </w:r>
      <w:r>
        <w:rPr>
          <w:rFonts w:hint="eastAsia" w:ascii="Times New Roman" w:hAnsi="Times New Roman" w:cs="Times New Roman"/>
        </w:rPr>
        <w:t>,</w:t>
      </w:r>
      <w:r>
        <w:rPr>
          <w:rFonts w:ascii="Times New Roman" w:hAnsi="Times New Roman" w:cs="Times New Roman"/>
        </w:rPr>
        <w:t>北京</w:t>
      </w:r>
      <w:r>
        <w:rPr>
          <w:rFonts w:hint="eastAsia" w:ascii="Times New Roman" w:hAnsi="Times New Roman" w:cs="Times New Roman"/>
        </w:rPr>
        <w:t>:</w:t>
      </w:r>
      <w:r>
        <w:rPr>
          <w:rFonts w:ascii="Times New Roman" w:hAnsi="Times New Roman" w:cs="Times New Roman"/>
        </w:rPr>
        <w:t>北京大学出版社</w:t>
      </w:r>
      <w:r>
        <w:rPr>
          <w:rFonts w:hint="eastAsia" w:ascii="Times New Roman" w:hAnsi="Times New Roman" w:cs="Times New Roman"/>
        </w:rPr>
        <w:t>,</w:t>
      </w:r>
      <w:r>
        <w:rPr>
          <w:rFonts w:ascii="Times New Roman" w:hAnsi="Times New Roman" w:cs="Times New Roman"/>
        </w:rPr>
        <w:t>2023:34-36.</w:t>
      </w:r>
    </w:p>
    <w:p w14:paraId="060F0D3D">
      <w:pPr>
        <w:pStyle w:val="5"/>
      </w:pPr>
      <w:r>
        <w:rPr>
          <w:rFonts w:ascii="Times New Roman" w:hAnsi="Times New Roman" w:cs="Times New Roman"/>
        </w:rPr>
        <w:t>[</w:t>
      </w:r>
      <w:r>
        <w:rPr>
          <w:rFonts w:hint="eastAsia" w:ascii="Times New Roman" w:hAnsi="Times New Roman" w:cs="Times New Roman"/>
        </w:rPr>
        <w:t>10</w:t>
      </w:r>
      <w:r>
        <w:rPr>
          <w:rFonts w:ascii="Times New Roman" w:hAnsi="Times New Roman" w:cs="Times New Roman"/>
        </w:rPr>
        <w:t>]</w:t>
      </w:r>
      <w:r>
        <w:t xml:space="preserve"> </w:t>
      </w:r>
      <w:r>
        <w:rPr>
          <w:rFonts w:ascii="Times New Roman" w:hAnsi="Times New Roman" w:cs="Times New Roman"/>
        </w:rPr>
        <w:t>赖隹文.反思静态刑法解释观[J].青少年犯罪问题,2023,(02):84.</w:t>
      </w:r>
    </w:p>
    <w:p w14:paraId="0A7B8CE5">
      <w:pPr>
        <w:pStyle w:val="5"/>
      </w:pPr>
      <w:r>
        <w:rPr>
          <w:rFonts w:ascii="Times New Roman" w:hAnsi="Times New Roman" w:cs="Times New Roman"/>
        </w:rPr>
        <w:t>[</w:t>
      </w:r>
      <w:r>
        <w:rPr>
          <w:rFonts w:hint="eastAsia" w:ascii="Times New Roman" w:hAnsi="Times New Roman" w:cs="Times New Roman"/>
        </w:rPr>
        <w:t>11</w:t>
      </w:r>
      <w:r>
        <w:rPr>
          <w:rFonts w:ascii="Times New Roman" w:hAnsi="Times New Roman" w:cs="Times New Roman"/>
        </w:rPr>
        <w:t>]</w:t>
      </w:r>
      <w:r>
        <w:t xml:space="preserve"> </w:t>
      </w:r>
      <w:r>
        <w:rPr>
          <w:rFonts w:ascii="Times New Roman" w:hAnsi="Times New Roman" w:cs="Times New Roman"/>
        </w:rPr>
        <w:t>陈劲阳.徘徊在歧义与正义之间的刑法释义——网络寻衅滋事罪司法解释妥当性反思[J].法制与社会发展,2016,22(06):94.</w:t>
      </w:r>
    </w:p>
    <w:p w14:paraId="40D8D55A">
      <w:pPr>
        <w:pStyle w:val="5"/>
        <w:rPr>
          <w:rFonts w:ascii="Times New Roman" w:hAnsi="Times New Roman" w:cs="Times New Roman"/>
        </w:rPr>
      </w:pPr>
      <w:r>
        <w:rPr>
          <w:rFonts w:ascii="Times New Roman" w:hAnsi="Times New Roman" w:cs="Times New Roman"/>
        </w:rPr>
        <w:t>[</w:t>
      </w:r>
      <w:r>
        <w:rPr>
          <w:rFonts w:hint="eastAsia" w:ascii="Times New Roman" w:hAnsi="Times New Roman" w:cs="Times New Roman"/>
        </w:rPr>
        <w:t>12</w:t>
      </w:r>
      <w:r>
        <w:rPr>
          <w:rFonts w:ascii="Times New Roman" w:hAnsi="Times New Roman" w:cs="Times New Roman"/>
        </w:rPr>
        <w:t>]</w:t>
      </w:r>
      <w:r>
        <w:t xml:space="preserve"> </w:t>
      </w:r>
      <w:r>
        <w:rPr>
          <w:rFonts w:ascii="Times New Roman" w:hAnsi="Times New Roman" w:cs="Times New Roman"/>
        </w:rPr>
        <w:t>陈兴良.刑法教义学中的价值判断[J].清华法学,2022,16(06):</w:t>
      </w:r>
      <w:r>
        <w:rPr>
          <w:rFonts w:hint="eastAsia" w:ascii="Times New Roman" w:hAnsi="Times New Roman" w:cs="Times New Roman"/>
        </w:rPr>
        <w:t>11</w:t>
      </w:r>
      <w:r>
        <w:rPr>
          <w:rFonts w:ascii="Times New Roman" w:hAnsi="Times New Roman" w:cs="Times New Roman"/>
        </w:rPr>
        <w:t>.</w:t>
      </w:r>
    </w:p>
    <w:p w14:paraId="11DA08C3">
      <w:pPr>
        <w:pStyle w:val="5"/>
        <w:rPr>
          <w:rFonts w:ascii="Times New Roman" w:hAnsi="Times New Roman" w:cs="Times New Roman"/>
        </w:rPr>
      </w:pPr>
      <w:r>
        <w:rPr>
          <w:rFonts w:ascii="Times New Roman" w:hAnsi="Times New Roman" w:cs="Times New Roman"/>
        </w:rPr>
        <w:t>[</w:t>
      </w:r>
      <w:r>
        <w:rPr>
          <w:rFonts w:hint="eastAsia" w:ascii="Times New Roman" w:hAnsi="Times New Roman" w:cs="Times New Roman"/>
        </w:rPr>
        <w:t>13</w:t>
      </w:r>
      <w:r>
        <w:rPr>
          <w:rFonts w:ascii="Times New Roman" w:hAnsi="Times New Roman" w:cs="Times New Roman"/>
        </w:rPr>
        <w:t>]</w:t>
      </w:r>
      <w:r>
        <w:t xml:space="preserve"> </w:t>
      </w:r>
      <w:r>
        <w:rPr>
          <w:rFonts w:ascii="Times New Roman" w:hAnsi="Times New Roman" w:cs="Times New Roman"/>
        </w:rPr>
        <w:t>戴民杰.论扩张解释与类推适用的区分——以对我国刑法解释论之争的反思为切入点[J].湖南师范大学社会科学学报,2022,51(01):11</w:t>
      </w:r>
      <w:r>
        <w:rPr>
          <w:rFonts w:hint="eastAsia" w:ascii="Times New Roman" w:hAnsi="Times New Roman" w:cs="Times New Roman"/>
        </w:rPr>
        <w:t>8</w:t>
      </w:r>
      <w:r>
        <w:rPr>
          <w:rFonts w:ascii="Times New Roman" w:hAnsi="Times New Roman" w:cs="Times New Roman"/>
        </w:rPr>
        <w:t>.</w:t>
      </w:r>
    </w:p>
    <w:p w14:paraId="4907BCA5">
      <w:pPr>
        <w:pStyle w:val="5"/>
        <w:rPr>
          <w:rFonts w:ascii="Times New Roman" w:hAnsi="Times New Roman" w:cs="Times New Roman"/>
        </w:rPr>
      </w:pPr>
      <w:r>
        <w:rPr>
          <w:rFonts w:ascii="Times New Roman" w:hAnsi="Times New Roman" w:cs="Times New Roman"/>
        </w:rPr>
        <w:t>[</w:t>
      </w:r>
      <w:r>
        <w:rPr>
          <w:rFonts w:hint="eastAsia" w:ascii="Times New Roman" w:hAnsi="Times New Roman" w:cs="Times New Roman"/>
        </w:rPr>
        <w:t>14</w:t>
      </w:r>
      <w:r>
        <w:rPr>
          <w:rFonts w:ascii="Times New Roman" w:hAnsi="Times New Roman" w:cs="Times New Roman"/>
        </w:rPr>
        <w:t>]刘艳红</w:t>
      </w:r>
      <w:r>
        <w:rPr>
          <w:rFonts w:hint="eastAsia" w:ascii="Times New Roman" w:hAnsi="Times New Roman" w:cs="Times New Roman"/>
        </w:rPr>
        <w:t>.</w:t>
      </w:r>
      <w:r>
        <w:rPr>
          <w:rFonts w:ascii="Times New Roman" w:hAnsi="Times New Roman" w:cs="Times New Roman"/>
        </w:rPr>
        <w:t>网络犯罪的法教义学研究[</w:t>
      </w:r>
      <w:r>
        <w:rPr>
          <w:rFonts w:hint="eastAsia" w:ascii="Times New Roman" w:hAnsi="Times New Roman" w:cs="Times New Roman"/>
        </w:rPr>
        <w:t>M</w:t>
      </w:r>
      <w:r>
        <w:rPr>
          <w:rFonts w:ascii="Times New Roman" w:hAnsi="Times New Roman" w:cs="Times New Roman"/>
        </w:rPr>
        <w:t>]</w:t>
      </w:r>
      <w:r>
        <w:rPr>
          <w:rFonts w:hint="eastAsia" w:ascii="Times New Roman" w:hAnsi="Times New Roman" w:cs="Times New Roman"/>
        </w:rPr>
        <w:t>.北京:</w:t>
      </w:r>
      <w:r>
        <w:rPr>
          <w:rFonts w:ascii="Times New Roman" w:hAnsi="Times New Roman" w:cs="Times New Roman"/>
        </w:rPr>
        <w:t>中国人民大学出版社</w:t>
      </w:r>
      <w:r>
        <w:rPr>
          <w:rFonts w:hint="eastAsia" w:ascii="Times New Roman" w:hAnsi="Times New Roman" w:cs="Times New Roman"/>
        </w:rPr>
        <w:t>,</w:t>
      </w:r>
      <w:r>
        <w:rPr>
          <w:rFonts w:ascii="Times New Roman" w:hAnsi="Times New Roman" w:cs="Times New Roman"/>
        </w:rPr>
        <w:t>2021</w:t>
      </w:r>
      <w:r>
        <w:rPr>
          <w:rFonts w:hint="eastAsia" w:ascii="Times New Roman" w:hAnsi="Times New Roman" w:cs="Times New Roman"/>
        </w:rPr>
        <w:t>:</w:t>
      </w:r>
      <w:r>
        <w:rPr>
          <w:rFonts w:ascii="Times New Roman" w:hAnsi="Times New Roman" w:cs="Times New Roman"/>
        </w:rPr>
        <w:t>714</w:t>
      </w:r>
      <w:r>
        <w:rPr>
          <w:rFonts w:hint="eastAsia" w:ascii="Times New Roman" w:hAnsi="Times New Roman" w:cs="Times New Roman"/>
        </w:rPr>
        <w:t>.</w:t>
      </w:r>
    </w:p>
    <w:p w14:paraId="48DCE852">
      <w:pPr>
        <w:pStyle w:val="5"/>
        <w:rPr>
          <w:rFonts w:ascii="Times New Roman" w:hAnsi="Times New Roman" w:cs="Times New Roman"/>
        </w:rPr>
      </w:pPr>
      <w:r>
        <w:rPr>
          <w:rFonts w:ascii="Times New Roman" w:hAnsi="Times New Roman" w:cs="Times New Roman"/>
        </w:rPr>
        <w:t>[</w:t>
      </w:r>
      <w:r>
        <w:rPr>
          <w:rFonts w:hint="eastAsia" w:ascii="Times New Roman" w:hAnsi="Times New Roman" w:cs="Times New Roman"/>
        </w:rPr>
        <w:t>15</w:t>
      </w:r>
      <w:r>
        <w:rPr>
          <w:rFonts w:ascii="Times New Roman" w:hAnsi="Times New Roman" w:cs="Times New Roman"/>
        </w:rPr>
        <w:t>]张超.论猥亵儿童罪中当众猥亵情节的理解与适用[J].湖南警察学院学报,2022,34(02):97</w:t>
      </w:r>
      <w:r>
        <w:rPr>
          <w:rFonts w:hint="eastAsia" w:ascii="Times New Roman" w:hAnsi="Times New Roman" w:cs="Times New Roman"/>
        </w:rPr>
        <w:t>.</w:t>
      </w:r>
    </w:p>
    <w:p w14:paraId="160A1072">
      <w:pPr>
        <w:pStyle w:val="5"/>
        <w:rPr>
          <w:rFonts w:ascii="Times New Roman" w:hAnsi="Times New Roman" w:cs="Times New Roman"/>
        </w:rPr>
      </w:pPr>
      <w:r>
        <w:rPr>
          <w:rFonts w:ascii="Times New Roman" w:hAnsi="Times New Roman" w:cs="Times New Roman"/>
        </w:rPr>
        <w:t>[</w:t>
      </w:r>
      <w:r>
        <w:rPr>
          <w:rFonts w:hint="eastAsia" w:ascii="Times New Roman" w:hAnsi="Times New Roman" w:cs="Times New Roman"/>
        </w:rPr>
        <w:t>16</w:t>
      </w:r>
      <w:r>
        <w:rPr>
          <w:rFonts w:ascii="Times New Roman" w:hAnsi="Times New Roman" w:cs="Times New Roman"/>
        </w:rPr>
        <w:t>]参见喻海松</w:t>
      </w:r>
      <w:r>
        <w:rPr>
          <w:rFonts w:hint="eastAsia" w:ascii="Times New Roman" w:hAnsi="Times New Roman" w:cs="Times New Roman"/>
        </w:rPr>
        <w:t>.</w:t>
      </w:r>
      <w:r>
        <w:rPr>
          <w:rFonts w:ascii="Times New Roman" w:hAnsi="Times New Roman" w:cs="Times New Roman"/>
        </w:rPr>
        <w:t>网络犯罪二十讲[</w:t>
      </w:r>
      <w:r>
        <w:rPr>
          <w:rFonts w:hint="eastAsia" w:ascii="Times New Roman" w:hAnsi="Times New Roman" w:cs="Times New Roman"/>
        </w:rPr>
        <w:t>M</w:t>
      </w:r>
      <w:r>
        <w:rPr>
          <w:rFonts w:ascii="Times New Roman" w:hAnsi="Times New Roman" w:cs="Times New Roman"/>
        </w:rPr>
        <w:t>]</w:t>
      </w:r>
      <w:r>
        <w:rPr>
          <w:rFonts w:hint="eastAsia" w:ascii="Times New Roman" w:hAnsi="Times New Roman" w:cs="Times New Roman"/>
        </w:rPr>
        <w:t>.北京:法律出版社,2022:</w:t>
      </w:r>
      <w:r>
        <w:rPr>
          <w:rFonts w:ascii="Times New Roman" w:hAnsi="Times New Roman" w:cs="Times New Roman"/>
        </w:rPr>
        <w:t>7</w:t>
      </w:r>
      <w:r>
        <w:rPr>
          <w:rFonts w:hint="eastAsia" w:ascii="Times New Roman" w:hAnsi="Times New Roman" w:cs="Times New Roman"/>
        </w:rPr>
        <w:t>.</w:t>
      </w:r>
    </w:p>
    <w:p w14:paraId="315CF463">
      <w:pPr>
        <w:pStyle w:val="5"/>
        <w:rPr>
          <w:rFonts w:ascii="Times New Roman" w:hAnsi="Times New Roman" w:cs="Times New Roman"/>
        </w:rPr>
      </w:pPr>
      <w:r>
        <w:rPr>
          <w:rFonts w:ascii="Times New Roman" w:hAnsi="Times New Roman" w:cs="Times New Roman"/>
        </w:rPr>
        <w:t>[</w:t>
      </w:r>
      <w:r>
        <w:rPr>
          <w:rFonts w:hint="eastAsia" w:ascii="Times New Roman" w:hAnsi="Times New Roman" w:cs="Times New Roman"/>
        </w:rPr>
        <w:t>17</w:t>
      </w:r>
      <w:r>
        <w:rPr>
          <w:rFonts w:ascii="Times New Roman" w:hAnsi="Times New Roman" w:cs="Times New Roman"/>
        </w:rPr>
        <w:t>]孙万怀,卢恒飞.刑法应当理性应对网络谣言——对网络造谣司法解释的实证评估[J].法学,2013,(11):</w:t>
      </w:r>
      <w:r>
        <w:rPr>
          <w:rFonts w:hint="eastAsia" w:ascii="Times New Roman" w:hAnsi="Times New Roman" w:cs="Times New Roman"/>
        </w:rPr>
        <w:t>15</w:t>
      </w:r>
      <w:r>
        <w:rPr>
          <w:rFonts w:ascii="Times New Roman" w:hAnsi="Times New Roman" w:cs="Times New Roman"/>
        </w:rPr>
        <w:t>.</w:t>
      </w:r>
    </w:p>
    <w:p w14:paraId="5618420B">
      <w:pPr>
        <w:pStyle w:val="5"/>
        <w:rPr>
          <w:rStyle w:val="11"/>
          <w:rFonts w:ascii="Times New Roman" w:hAnsi="Times New Roman" w:cs="Times New Roman"/>
        </w:rPr>
      </w:pPr>
      <w:r>
        <w:rPr>
          <w:rFonts w:ascii="Times New Roman" w:hAnsi="Times New Roman" w:cs="Times New Roman"/>
        </w:rPr>
        <w:t>[</w:t>
      </w:r>
      <w:r>
        <w:rPr>
          <w:rFonts w:hint="eastAsia" w:ascii="Times New Roman" w:hAnsi="Times New Roman" w:cs="Times New Roman"/>
        </w:rPr>
        <w:t>18</w:t>
      </w:r>
      <w:r>
        <w:rPr>
          <w:rFonts w:ascii="Times New Roman" w:hAnsi="Times New Roman" w:cs="Times New Roman"/>
        </w:rPr>
        <w:t>]巢乃鹏,黄娴.网络传播中的“谣言”现象研究[J].情报理论与实践,2004,(06): 586-589</w:t>
      </w:r>
      <w:r>
        <w:rPr>
          <w:rFonts w:hint="eastAsia" w:ascii="Times New Roman" w:hAnsi="Times New Roman" w:cs="Times New Roman"/>
        </w:rPr>
        <w:t>.</w:t>
      </w:r>
    </w:p>
    <w:p w14:paraId="7BAA9628">
      <w:pPr>
        <w:pStyle w:val="5"/>
        <w:rPr>
          <w:rFonts w:ascii="Times New Roman" w:hAnsi="Times New Roman" w:cs="Times New Roman"/>
        </w:rPr>
      </w:pPr>
      <w:r>
        <w:rPr>
          <w:rFonts w:ascii="Times New Roman" w:hAnsi="Times New Roman" w:cs="Times New Roman"/>
        </w:rPr>
        <w:t>[</w:t>
      </w:r>
      <w:r>
        <w:rPr>
          <w:rFonts w:hint="eastAsia" w:ascii="Times New Roman" w:hAnsi="Times New Roman" w:cs="Times New Roman"/>
        </w:rPr>
        <w:t>19</w:t>
      </w:r>
      <w:r>
        <w:rPr>
          <w:rFonts w:ascii="Times New Roman" w:hAnsi="Times New Roman" w:cs="Times New Roman"/>
        </w:rPr>
        <w:t>]翟月荧.网络谣言的传播与治理[J].东岳论丛,2023,44(08): 151-153</w:t>
      </w:r>
      <w:r>
        <w:rPr>
          <w:rFonts w:hint="eastAsia" w:ascii="Times New Roman" w:hAnsi="Times New Roman" w:cs="Times New Roman"/>
        </w:rPr>
        <w:t>.</w:t>
      </w:r>
    </w:p>
    <w:p w14:paraId="5A4F6787">
      <w:pPr>
        <w:pStyle w:val="5"/>
        <w:rPr>
          <w:rFonts w:ascii="Times New Roman" w:hAnsi="Times New Roman" w:cs="Times New Roman"/>
        </w:rPr>
      </w:pPr>
      <w:r>
        <w:rPr>
          <w:rFonts w:ascii="Times New Roman" w:hAnsi="Times New Roman" w:cs="Times New Roman"/>
        </w:rPr>
        <w:t>[</w:t>
      </w:r>
      <w:r>
        <w:rPr>
          <w:rFonts w:hint="eastAsia" w:ascii="Times New Roman" w:hAnsi="Times New Roman" w:cs="Times New Roman"/>
        </w:rPr>
        <w:t>20</w:t>
      </w:r>
      <w:r>
        <w:rPr>
          <w:rFonts w:ascii="Times New Roman" w:hAnsi="Times New Roman" w:cs="Times New Roman"/>
        </w:rPr>
        <w:t>]吕心怡,黄贤英.改进的社交网络谣言传播模型[J].计算机工程与设计,2022,43(04): 9</w:t>
      </w:r>
      <w:r>
        <w:rPr>
          <w:rFonts w:hint="eastAsia" w:ascii="Times New Roman" w:hAnsi="Times New Roman" w:cs="Times New Roman"/>
        </w:rPr>
        <w:t>92</w:t>
      </w:r>
      <w:r>
        <w:rPr>
          <w:rFonts w:ascii="Times New Roman" w:hAnsi="Times New Roman" w:cs="Times New Roman"/>
        </w:rPr>
        <w:t>-994</w:t>
      </w:r>
      <w:r>
        <w:rPr>
          <w:rFonts w:hint="eastAsia" w:ascii="Times New Roman" w:hAnsi="Times New Roman" w:cs="Times New Roman"/>
        </w:rPr>
        <w:t>.</w:t>
      </w:r>
    </w:p>
    <w:p w14:paraId="41C1396D">
      <w:pPr>
        <w:pStyle w:val="5"/>
        <w:rPr>
          <w:rFonts w:ascii="Times New Roman" w:hAnsi="Times New Roman" w:cs="Times New Roman"/>
        </w:rPr>
      </w:pPr>
      <w:r>
        <w:rPr>
          <w:rFonts w:ascii="Times New Roman" w:hAnsi="Times New Roman" w:cs="Times New Roman"/>
        </w:rPr>
        <w:t>[</w:t>
      </w:r>
      <w:r>
        <w:rPr>
          <w:rFonts w:hint="eastAsia" w:ascii="Times New Roman" w:hAnsi="Times New Roman" w:cs="Times New Roman"/>
        </w:rPr>
        <w:t>21</w:t>
      </w:r>
      <w:r>
        <w:rPr>
          <w:rFonts w:ascii="Times New Roman" w:hAnsi="Times New Roman" w:cs="Times New Roman"/>
        </w:rPr>
        <w:t>]</w:t>
      </w:r>
      <w:r>
        <w:t xml:space="preserve"> </w:t>
      </w:r>
      <w:r>
        <w:rPr>
          <w:rFonts w:ascii="Times New Roman" w:hAnsi="Times New Roman" w:cs="Times New Roman"/>
        </w:rPr>
        <w:t>李明泽.元宇宙的公共场所性辨析[J].长春师范大学学报,2024,43(01):5</w:t>
      </w:r>
      <w:r>
        <w:rPr>
          <w:rFonts w:hint="eastAsia" w:ascii="Times New Roman" w:hAnsi="Times New Roman" w:cs="Times New Roman"/>
        </w:rPr>
        <w:t>4</w:t>
      </w:r>
      <w:r>
        <w:rPr>
          <w:rFonts w:ascii="Times New Roman" w:hAnsi="Times New Roman" w:cs="Times New Roman"/>
        </w:rPr>
        <w:t>.</w:t>
      </w:r>
    </w:p>
    <w:p w14:paraId="181AB2C2">
      <w:pPr>
        <w:pStyle w:val="5"/>
      </w:pPr>
      <w:r>
        <w:rPr>
          <w:rFonts w:ascii="Times New Roman" w:hAnsi="Times New Roman" w:cs="Times New Roman"/>
        </w:rPr>
        <w:t>[</w:t>
      </w:r>
      <w:r>
        <w:rPr>
          <w:rFonts w:hint="eastAsia" w:ascii="Times New Roman" w:hAnsi="Times New Roman" w:cs="Times New Roman"/>
        </w:rPr>
        <w:t>22</w:t>
      </w:r>
      <w:r>
        <w:rPr>
          <w:rFonts w:ascii="Times New Roman" w:hAnsi="Times New Roman" w:cs="Times New Roman"/>
        </w:rPr>
        <w:t>]马克昌主编</w:t>
      </w:r>
      <w:r>
        <w:rPr>
          <w:rFonts w:hint="eastAsia" w:ascii="Times New Roman" w:hAnsi="Times New Roman" w:cs="Times New Roman"/>
        </w:rPr>
        <w:t>.</w:t>
      </w:r>
      <w:r>
        <w:rPr>
          <w:rFonts w:ascii="Times New Roman" w:hAnsi="Times New Roman" w:cs="Times New Roman"/>
        </w:rPr>
        <w:t>百罪通论[J]</w:t>
      </w:r>
      <w:r>
        <w:rPr>
          <w:rFonts w:hint="eastAsia" w:ascii="Times New Roman" w:hAnsi="Times New Roman" w:cs="Times New Roman"/>
        </w:rPr>
        <w:t>.北京:</w:t>
      </w:r>
      <w:r>
        <w:rPr>
          <w:rFonts w:ascii="Times New Roman" w:hAnsi="Times New Roman" w:cs="Times New Roman"/>
        </w:rPr>
        <w:t>北京大学出版社</w:t>
      </w:r>
      <w:r>
        <w:rPr>
          <w:rFonts w:hint="eastAsia" w:ascii="Times New Roman" w:hAnsi="Times New Roman" w:cs="Times New Roman"/>
        </w:rPr>
        <w:t>,</w:t>
      </w:r>
      <w:r>
        <w:rPr>
          <w:rFonts w:ascii="Times New Roman" w:hAnsi="Times New Roman" w:cs="Times New Roman"/>
        </w:rPr>
        <w:t>2014</w:t>
      </w:r>
      <w:r>
        <w:rPr>
          <w:rFonts w:hint="eastAsia" w:ascii="Times New Roman" w:hAnsi="Times New Roman" w:cs="Times New Roman"/>
        </w:rPr>
        <w:t>:</w:t>
      </w:r>
      <w:r>
        <w:rPr>
          <w:rFonts w:ascii="Times New Roman" w:hAnsi="Times New Roman" w:cs="Times New Roman"/>
        </w:rPr>
        <w:t>943</w:t>
      </w:r>
      <w:r>
        <w:rPr>
          <w:rFonts w:hint="eastAsia" w:ascii="Times New Roman" w:hAnsi="Times New Roman" w:cs="Times New Roman"/>
        </w:rPr>
        <w:t>.</w:t>
      </w:r>
    </w:p>
    <w:p w14:paraId="20AA8AE5">
      <w:pPr>
        <w:pStyle w:val="5"/>
      </w:pPr>
      <w:r>
        <w:rPr>
          <w:rFonts w:ascii="Times New Roman" w:hAnsi="Times New Roman" w:cs="Times New Roman"/>
        </w:rPr>
        <w:t>[</w:t>
      </w:r>
      <w:r>
        <w:rPr>
          <w:rFonts w:hint="eastAsia" w:ascii="Times New Roman" w:hAnsi="Times New Roman" w:cs="Times New Roman"/>
        </w:rPr>
        <w:t>23</w:t>
      </w:r>
      <w:r>
        <w:rPr>
          <w:rFonts w:ascii="Times New Roman" w:hAnsi="Times New Roman" w:cs="Times New Roman"/>
        </w:rPr>
        <w:t>]王胜华,周洲.网络型寻衅滋事罪司法认定的现实考察与问题省思[J].湖南工业大学学报(社会科学版),2024,29(03): 79-80</w:t>
      </w:r>
      <w:r>
        <w:rPr>
          <w:rFonts w:hint="eastAsia" w:ascii="Times New Roman" w:hAnsi="Times New Roman" w:cs="Times New Roman"/>
        </w:rPr>
        <w:t>.</w:t>
      </w:r>
    </w:p>
    <w:p w14:paraId="499F4397">
      <w:pPr>
        <w:pStyle w:val="5"/>
      </w:pPr>
      <w:r>
        <w:rPr>
          <w:rFonts w:ascii="Times New Roman" w:hAnsi="Times New Roman" w:cs="Times New Roman"/>
        </w:rPr>
        <w:t>[</w:t>
      </w:r>
      <w:r>
        <w:rPr>
          <w:rFonts w:hint="eastAsia" w:ascii="Times New Roman" w:hAnsi="Times New Roman" w:cs="Times New Roman"/>
        </w:rPr>
        <w:t>24</w:t>
      </w:r>
      <w:r>
        <w:rPr>
          <w:rFonts w:ascii="Times New Roman" w:hAnsi="Times New Roman" w:cs="Times New Roman"/>
        </w:rPr>
        <w:t>]盛豪杰.网络寻衅滋事罪的刑法规制边界——以行为空间与结果空间的限缩解释为路径[J].江西警察学院学报,2019,(05): 111</w:t>
      </w:r>
      <w:r>
        <w:rPr>
          <w:rFonts w:hint="eastAsia" w:ascii="Times New Roman" w:hAnsi="Times New Roman" w:cs="Times New Roman"/>
        </w:rPr>
        <w:t>.</w:t>
      </w:r>
    </w:p>
    <w:p w14:paraId="1A16D1EF">
      <w:pPr>
        <w:pStyle w:val="5"/>
      </w:pPr>
      <w:r>
        <w:rPr>
          <w:rFonts w:ascii="Times New Roman" w:hAnsi="Times New Roman" w:cs="Times New Roman"/>
        </w:rPr>
        <w:t>[</w:t>
      </w:r>
      <w:r>
        <w:rPr>
          <w:rFonts w:hint="eastAsia" w:ascii="Times New Roman" w:hAnsi="Times New Roman" w:cs="Times New Roman"/>
        </w:rPr>
        <w:t>25</w:t>
      </w:r>
      <w:r>
        <w:rPr>
          <w:rFonts w:ascii="Times New Roman" w:hAnsi="Times New Roman" w:cs="Times New Roman"/>
        </w:rPr>
        <w:t>]何荣功</w:t>
      </w:r>
      <w:r>
        <w:rPr>
          <w:rFonts w:hint="eastAsia" w:ascii="Times New Roman" w:hAnsi="Times New Roman" w:cs="Times New Roman"/>
        </w:rPr>
        <w:t>.</w:t>
      </w:r>
      <w:r>
        <w:rPr>
          <w:rFonts w:ascii="Times New Roman" w:hAnsi="Times New Roman" w:cs="Times New Roman"/>
        </w:rPr>
        <w:t>刑法适用方法论[J].</w:t>
      </w:r>
      <w:r>
        <w:rPr>
          <w:rFonts w:hint="eastAsia" w:ascii="Times New Roman" w:hAnsi="Times New Roman" w:cs="Times New Roman"/>
        </w:rPr>
        <w:t>北京:</w:t>
      </w:r>
      <w:r>
        <w:rPr>
          <w:rFonts w:ascii="Times New Roman" w:hAnsi="Times New Roman" w:cs="Times New Roman"/>
        </w:rPr>
        <w:t>北京大学出版社</w:t>
      </w:r>
      <w:r>
        <w:rPr>
          <w:rFonts w:hint="eastAsia" w:ascii="Times New Roman" w:hAnsi="Times New Roman" w:cs="Times New Roman"/>
        </w:rPr>
        <w:t>,</w:t>
      </w:r>
      <w:r>
        <w:rPr>
          <w:rFonts w:ascii="Times New Roman" w:hAnsi="Times New Roman" w:cs="Times New Roman"/>
        </w:rPr>
        <w:t>2021</w:t>
      </w:r>
      <w:r>
        <w:rPr>
          <w:rFonts w:hint="eastAsia" w:ascii="Times New Roman" w:hAnsi="Times New Roman" w:cs="Times New Roman"/>
        </w:rPr>
        <w:t>:</w:t>
      </w:r>
      <w:r>
        <w:rPr>
          <w:rFonts w:ascii="Times New Roman" w:hAnsi="Times New Roman" w:cs="Times New Roman"/>
        </w:rPr>
        <w:t>66-67</w:t>
      </w:r>
      <w:r>
        <w:rPr>
          <w:rFonts w:hint="eastAsia" w:ascii="Times New Roman" w:hAnsi="Times New Roman" w:cs="Times New Roman"/>
        </w:rPr>
        <w:t>.</w:t>
      </w:r>
    </w:p>
    <w:p w14:paraId="7539499A">
      <w:pPr>
        <w:pStyle w:val="5"/>
        <w:rPr>
          <w:rFonts w:ascii="Times New Roman" w:hAnsi="Times New Roman" w:cs="Times New Roman"/>
        </w:rPr>
      </w:pPr>
      <w:r>
        <w:rPr>
          <w:rFonts w:ascii="Times New Roman" w:hAnsi="Times New Roman" w:cs="Times New Roman"/>
        </w:rPr>
        <w:t>[</w:t>
      </w:r>
      <w:r>
        <w:rPr>
          <w:rFonts w:hint="eastAsia" w:ascii="Times New Roman" w:hAnsi="Times New Roman" w:cs="Times New Roman"/>
        </w:rPr>
        <w:t>26</w:t>
      </w:r>
      <w:r>
        <w:rPr>
          <w:rFonts w:ascii="Times New Roman" w:hAnsi="Times New Roman" w:cs="Times New Roman"/>
        </w:rPr>
        <w:t>]</w:t>
      </w:r>
      <w:r>
        <w:t xml:space="preserve"> </w:t>
      </w:r>
      <w:r>
        <w:rPr>
          <w:rFonts w:ascii="Times New Roman" w:hAnsi="Times New Roman" w:cs="Times New Roman"/>
        </w:rPr>
        <w:t>车浩.“扒窃”入刑:贴身禁忌与行为人刑法[J].中国法学,2013,(01):129</w:t>
      </w:r>
      <w:r>
        <w:rPr>
          <w:rFonts w:hint="eastAsia" w:ascii="Times New Roman" w:hAnsi="Times New Roman" w:cs="Times New Roman"/>
        </w:rPr>
        <w:t>.</w:t>
      </w:r>
    </w:p>
    <w:p w14:paraId="1F3B8A96">
      <w:pPr>
        <w:pStyle w:val="5"/>
        <w:rPr>
          <w:rFonts w:ascii="Times New Roman" w:hAnsi="Times New Roman" w:cs="Times New Roman"/>
        </w:rPr>
      </w:pPr>
      <w:r>
        <w:rPr>
          <w:rFonts w:ascii="Times New Roman" w:hAnsi="Times New Roman" w:cs="Times New Roman"/>
        </w:rPr>
        <w:t>[</w:t>
      </w:r>
      <w:r>
        <w:rPr>
          <w:rFonts w:hint="eastAsia" w:ascii="Times New Roman" w:hAnsi="Times New Roman" w:cs="Times New Roman"/>
        </w:rPr>
        <w:t>27</w:t>
      </w:r>
      <w:r>
        <w:rPr>
          <w:rFonts w:ascii="Times New Roman" w:hAnsi="Times New Roman" w:cs="Times New Roman"/>
        </w:rPr>
        <w:t>]姜涛.刑法解释的价值判断[J].中国社会科学,2023,(07):138</w:t>
      </w:r>
      <w:r>
        <w:rPr>
          <w:rFonts w:hint="eastAsia" w:ascii="Times New Roman" w:hAnsi="Times New Roman" w:cs="Times New Roman"/>
        </w:rPr>
        <w:t>页.</w:t>
      </w:r>
    </w:p>
    <w:p w14:paraId="4A4065C6">
      <w:pPr>
        <w:pStyle w:val="5"/>
      </w:pPr>
      <w:r>
        <w:rPr>
          <w:rFonts w:ascii="Times New Roman" w:hAnsi="Times New Roman" w:cs="Times New Roman"/>
        </w:rPr>
        <w:t>[</w:t>
      </w:r>
      <w:r>
        <w:rPr>
          <w:rFonts w:hint="eastAsia" w:ascii="Times New Roman" w:hAnsi="Times New Roman" w:cs="Times New Roman"/>
        </w:rPr>
        <w:t>28</w:t>
      </w:r>
      <w:r>
        <w:rPr>
          <w:rFonts w:ascii="Times New Roman" w:hAnsi="Times New Roman" w:cs="Times New Roman"/>
        </w:rPr>
        <w:t>]车浩.刑事立法的法教义学反思——基于《刑法修正案(九)》的分析[J].法学,2015,(10):3</w:t>
      </w:r>
      <w:r>
        <w:rPr>
          <w:rFonts w:hint="eastAsia" w:ascii="Times New Roman" w:hAnsi="Times New Roman" w:cs="Times New Roman"/>
        </w:rPr>
        <w:t>.</w:t>
      </w:r>
    </w:p>
    <w:p w14:paraId="238D2922">
      <w:pPr>
        <w:pStyle w:val="5"/>
      </w:pPr>
      <w:r>
        <w:rPr>
          <w:rFonts w:ascii="Times New Roman" w:hAnsi="Times New Roman" w:cs="Times New Roman"/>
        </w:rPr>
        <w:t>[</w:t>
      </w:r>
      <w:r>
        <w:rPr>
          <w:rFonts w:hint="eastAsia" w:ascii="Times New Roman" w:hAnsi="Times New Roman" w:cs="Times New Roman"/>
        </w:rPr>
        <w:t>29</w:t>
      </w:r>
      <w:r>
        <w:rPr>
          <w:rFonts w:ascii="Times New Roman" w:hAnsi="Times New Roman" w:cs="Times New Roman"/>
        </w:rPr>
        <w:t>]</w:t>
      </w:r>
      <w:r>
        <w:t xml:space="preserve"> </w:t>
      </w:r>
      <w:r>
        <w:rPr>
          <w:rFonts w:ascii="Times New Roman" w:hAnsi="Times New Roman" w:cs="Times New Roman"/>
        </w:rPr>
        <w:t>周光权.刑事司法领域的宪法判断与刑法制度文明[J].中国社会科学,2022,(08):20-21</w:t>
      </w:r>
      <w:r>
        <w:rPr>
          <w:rFonts w:hint="eastAsia" w:ascii="Times New Roman" w:hAnsi="Times New Roman" w:cs="Times New Roman"/>
        </w:rPr>
        <w:t>.</w:t>
      </w:r>
    </w:p>
    <w:p w14:paraId="06C799E1">
      <w:pPr>
        <w:rPr>
          <w:rFonts w:ascii="Times New Roman" w:hAnsi="Times New Roman" w:cs="Times New Roman"/>
        </w:rPr>
      </w:pPr>
      <w:r>
        <w:rPr>
          <w:rFonts w:ascii="Times New Roman" w:hAnsi="Times New Roman" w:cs="Times New Roman"/>
        </w:rPr>
        <w:t>[</w:t>
      </w:r>
      <w:r>
        <w:rPr>
          <w:rFonts w:hint="eastAsia" w:ascii="Times New Roman" w:hAnsi="Times New Roman" w:cs="Times New Roman"/>
        </w:rPr>
        <w:t>30</w:t>
      </w:r>
      <w:r>
        <w:rPr>
          <w:rFonts w:ascii="Times New Roman" w:hAnsi="Times New Roman" w:cs="Times New Roman"/>
        </w:rPr>
        <w:t>]</w:t>
      </w:r>
      <w:r>
        <w:t xml:space="preserve"> </w:t>
      </w:r>
      <w:r>
        <w:rPr>
          <w:rFonts w:ascii="Times New Roman" w:hAnsi="Times New Roman" w:cs="Times New Roman"/>
        </w:rPr>
        <w:t>钱日彤.网络猥亵儿童入罪的扩张解释与教义学检视[J].河南警察学院学报,2023,32(06): 99-100</w:t>
      </w:r>
      <w:r>
        <w:rPr>
          <w:rFonts w:hint="eastAsia" w:ascii="Times New Roman" w:hAnsi="Times New Roman" w:cs="Times New Roman"/>
        </w:rPr>
        <w:t>.</w:t>
      </w:r>
    </w:p>
    <w:sectPr>
      <w:footnotePr>
        <w:numFmt w:val="decimalEnclosedCircleChinese"/>
        <w:numRestart w:val="eachPage"/>
      </w:footnote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88">
    <w:p>
      <w:r>
        <w:separator/>
      </w:r>
    </w:p>
  </w:footnote>
  <w:footnote w:type="continuationSeparator" w:id="89">
    <w:p>
      <w:r>
        <w:continuationSeparator/>
      </w:r>
    </w:p>
  </w:footnote>
  <w:footnote w:id="0">
    <w:p w14:paraId="3F9859F2">
      <w:pPr>
        <w:pStyle w:val="8"/>
        <w:rPr>
          <w:rFonts w:ascii="Times New Roman" w:hAnsi="Times New Roman" w:cs="Times New Roman"/>
        </w:rPr>
      </w:pPr>
      <w:r>
        <w:rPr>
          <w:rStyle w:val="13"/>
          <w:rFonts w:ascii="Times New Roman" w:hAnsi="Times New Roman" w:cs="Times New Roman"/>
        </w:rPr>
        <w:footnoteRef/>
      </w:r>
      <w:r>
        <w:rPr>
          <w:rFonts w:ascii="Times New Roman" w:hAnsi="Times New Roman" w:cs="Times New Roman"/>
        </w:rPr>
        <w:t xml:space="preserve"> </w:t>
      </w:r>
      <w:r>
        <w:rPr>
          <w:rFonts w:hint="eastAsia" w:ascii="Times New Roman" w:hAnsi="Times New Roman" w:cs="Times New Roman"/>
        </w:rPr>
        <w:t>参见</w:t>
      </w:r>
      <w:r>
        <w:rPr>
          <w:rFonts w:ascii="Times New Roman" w:hAnsi="Times New Roman" w:cs="Times New Roman"/>
        </w:rPr>
        <w:t>刘艳红</w:t>
      </w:r>
      <w:r>
        <w:rPr>
          <w:rFonts w:hint="eastAsia" w:ascii="Times New Roman" w:hAnsi="Times New Roman" w:cs="Times New Roman"/>
        </w:rPr>
        <w:t>：《</w:t>
      </w:r>
      <w:r>
        <w:rPr>
          <w:rFonts w:ascii="Times New Roman" w:hAnsi="Times New Roman" w:cs="Times New Roman"/>
        </w:rPr>
        <w:t>Web3.0时代网络犯罪的代际特征及刑法应对</w:t>
      </w:r>
      <w:r>
        <w:rPr>
          <w:rFonts w:hint="eastAsia" w:ascii="Times New Roman" w:hAnsi="Times New Roman" w:cs="Times New Roman"/>
        </w:rPr>
        <w:t>》，载《</w:t>
      </w:r>
      <w:r>
        <w:rPr>
          <w:rFonts w:ascii="Times New Roman" w:hAnsi="Times New Roman" w:cs="Times New Roman"/>
        </w:rPr>
        <w:t>环球法律评论</w:t>
      </w:r>
      <w:r>
        <w:rPr>
          <w:rFonts w:hint="eastAsia" w:ascii="Times New Roman" w:hAnsi="Times New Roman" w:cs="Times New Roman"/>
        </w:rPr>
        <w:t>》</w:t>
      </w:r>
      <w:r>
        <w:rPr>
          <w:rFonts w:ascii="Times New Roman" w:hAnsi="Times New Roman" w:cs="Times New Roman"/>
        </w:rPr>
        <w:t>2020</w:t>
      </w:r>
      <w:r>
        <w:rPr>
          <w:rFonts w:hint="eastAsia" w:ascii="Times New Roman" w:hAnsi="Times New Roman" w:cs="Times New Roman"/>
        </w:rPr>
        <w:t>年第</w:t>
      </w:r>
      <w:r>
        <w:rPr>
          <w:rFonts w:ascii="Times New Roman" w:hAnsi="Times New Roman" w:cs="Times New Roman"/>
        </w:rPr>
        <w:t>5</w:t>
      </w:r>
      <w:r>
        <w:rPr>
          <w:rFonts w:hint="eastAsia" w:ascii="Times New Roman" w:hAnsi="Times New Roman" w:cs="Times New Roman"/>
        </w:rPr>
        <w:t>期，第</w:t>
      </w:r>
      <w:r>
        <w:rPr>
          <w:rFonts w:ascii="Times New Roman" w:hAnsi="Times New Roman" w:cs="Times New Roman"/>
        </w:rPr>
        <w:t>100-116</w:t>
      </w:r>
      <w:r>
        <w:rPr>
          <w:rFonts w:hint="eastAsia" w:ascii="Times New Roman" w:hAnsi="Times New Roman" w:cs="Times New Roman"/>
        </w:rPr>
        <w:t>页。</w:t>
      </w:r>
    </w:p>
  </w:footnote>
  <w:footnote w:id="1">
    <w:p w14:paraId="08EBCBD1">
      <w:pPr>
        <w:pStyle w:val="8"/>
        <w:rPr>
          <w:rFonts w:ascii="Times New Roman" w:hAnsi="Times New Roman" w:cs="Times New Roman"/>
        </w:rPr>
      </w:pPr>
      <w:r>
        <w:rPr>
          <w:rStyle w:val="13"/>
          <w:rFonts w:ascii="Times New Roman" w:hAnsi="Times New Roman" w:cs="Times New Roman"/>
        </w:rPr>
        <w:footnoteRef/>
      </w:r>
      <w:r>
        <w:rPr>
          <w:rFonts w:ascii="Times New Roman" w:hAnsi="Times New Roman" w:cs="Times New Roman"/>
        </w:rPr>
        <w:t xml:space="preserve"> </w:t>
      </w:r>
      <w:r>
        <w:rPr>
          <w:rFonts w:hint="eastAsia" w:ascii="Times New Roman" w:hAnsi="Times New Roman" w:cs="Times New Roman"/>
        </w:rPr>
        <w:t>这里的“</w:t>
      </w:r>
      <w:r>
        <w:rPr>
          <w:rFonts w:ascii="Times New Roman" w:hAnsi="Times New Roman" w:cs="Times New Roman"/>
        </w:rPr>
        <w:t>场域</w:t>
      </w:r>
      <w:r>
        <w:rPr>
          <w:rFonts w:hint="eastAsia" w:ascii="Times New Roman" w:hAnsi="Times New Roman" w:cs="Times New Roman"/>
        </w:rPr>
        <w:t>”一词</w:t>
      </w:r>
      <w:r>
        <w:rPr>
          <w:rFonts w:ascii="Times New Roman" w:hAnsi="Times New Roman" w:cs="Times New Roman"/>
        </w:rPr>
        <w:t>借用郭旨龙</w:t>
      </w:r>
      <w:r>
        <w:rPr>
          <w:rFonts w:hint="eastAsia" w:ascii="Times New Roman" w:hAnsi="Times New Roman" w:cs="Times New Roman"/>
        </w:rPr>
        <w:t>：《“</w:t>
      </w:r>
      <w:r>
        <w:rPr>
          <w:rFonts w:ascii="Times New Roman" w:hAnsi="Times New Roman" w:cs="Times New Roman"/>
        </w:rPr>
        <w:t>双层社会</w:t>
      </w:r>
      <w:r>
        <w:rPr>
          <w:rFonts w:hint="eastAsia" w:ascii="Times New Roman" w:hAnsi="Times New Roman" w:cs="Times New Roman"/>
        </w:rPr>
        <w:t>”</w:t>
      </w:r>
      <w:r>
        <w:rPr>
          <w:rFonts w:ascii="Times New Roman" w:hAnsi="Times New Roman" w:cs="Times New Roman"/>
        </w:rPr>
        <w:t>背景下的</w:t>
      </w:r>
      <w:r>
        <w:rPr>
          <w:rFonts w:hint="eastAsia" w:ascii="Times New Roman" w:hAnsi="Times New Roman" w:cs="Times New Roman"/>
        </w:rPr>
        <w:t>“</w:t>
      </w:r>
      <w:r>
        <w:rPr>
          <w:rFonts w:ascii="Times New Roman" w:hAnsi="Times New Roman" w:cs="Times New Roman"/>
        </w:rPr>
        <w:t>场域</w:t>
      </w:r>
      <w:r>
        <w:rPr>
          <w:rFonts w:hint="eastAsia" w:ascii="Times New Roman" w:hAnsi="Times New Roman" w:cs="Times New Roman"/>
        </w:rPr>
        <w:t>”</w:t>
      </w:r>
      <w:r>
        <w:rPr>
          <w:rFonts w:ascii="Times New Roman" w:hAnsi="Times New Roman" w:cs="Times New Roman"/>
        </w:rPr>
        <w:t>变迁与刑法应对</w:t>
      </w:r>
      <w:r>
        <w:rPr>
          <w:rFonts w:hint="eastAsia" w:ascii="Times New Roman" w:hAnsi="Times New Roman" w:cs="Times New Roman"/>
        </w:rPr>
        <w:t>》，载《</w:t>
      </w:r>
      <w:r>
        <w:rPr>
          <w:rFonts w:ascii="Times New Roman" w:hAnsi="Times New Roman" w:cs="Times New Roman"/>
        </w:rPr>
        <w:t>中国人民公安大学学报（社会科学版）</w:t>
      </w:r>
      <w:r>
        <w:rPr>
          <w:rFonts w:hint="eastAsia" w:ascii="Times New Roman" w:hAnsi="Times New Roman" w:cs="Times New Roman"/>
        </w:rPr>
        <w:t>》</w:t>
      </w:r>
      <w:r>
        <w:rPr>
          <w:rFonts w:ascii="Times New Roman" w:hAnsi="Times New Roman" w:cs="Times New Roman"/>
        </w:rPr>
        <w:t>2016</w:t>
      </w:r>
      <w:r>
        <w:rPr>
          <w:rFonts w:hint="eastAsia" w:ascii="Times New Roman" w:hAnsi="Times New Roman" w:cs="Times New Roman"/>
        </w:rPr>
        <w:t>年第</w:t>
      </w:r>
      <w:r>
        <w:rPr>
          <w:rFonts w:ascii="Times New Roman" w:hAnsi="Times New Roman" w:cs="Times New Roman"/>
        </w:rPr>
        <w:t>4</w:t>
      </w:r>
      <w:r>
        <w:rPr>
          <w:rFonts w:hint="eastAsia" w:ascii="Times New Roman" w:hAnsi="Times New Roman" w:cs="Times New Roman"/>
        </w:rPr>
        <w:t>期，第</w:t>
      </w:r>
      <w:r>
        <w:rPr>
          <w:rFonts w:ascii="Times New Roman" w:hAnsi="Times New Roman" w:cs="Times New Roman"/>
        </w:rPr>
        <w:t>38</w:t>
      </w:r>
      <w:r>
        <w:rPr>
          <w:rFonts w:hint="eastAsia" w:ascii="Times New Roman" w:hAnsi="Times New Roman" w:cs="Times New Roman"/>
        </w:rPr>
        <w:t>页。以此来代指刑法中所有表述“一定的空间”的词语。</w:t>
      </w:r>
    </w:p>
  </w:footnote>
  <w:footnote w:id="2">
    <w:p w14:paraId="472D2A91">
      <w:pPr>
        <w:pStyle w:val="8"/>
        <w:rPr>
          <w:rFonts w:ascii="Times New Roman" w:hAnsi="Times New Roman" w:cs="Times New Roman"/>
        </w:rPr>
      </w:pPr>
      <w:r>
        <w:rPr>
          <w:rStyle w:val="13"/>
          <w:rFonts w:ascii="Times New Roman" w:hAnsi="Times New Roman" w:cs="Times New Roman"/>
        </w:rPr>
        <w:footnoteRef/>
      </w:r>
      <w:r>
        <w:rPr>
          <w:rFonts w:ascii="Times New Roman" w:hAnsi="Times New Roman" w:cs="Times New Roman"/>
        </w:rPr>
        <w:t xml:space="preserve"> </w:t>
      </w:r>
      <w:r>
        <w:rPr>
          <w:rFonts w:hint="eastAsia" w:ascii="Times New Roman" w:hAnsi="Times New Roman" w:cs="Times New Roman"/>
        </w:rPr>
        <w:t>参见</w:t>
      </w:r>
      <w:r>
        <w:rPr>
          <w:rFonts w:ascii="Times New Roman" w:hAnsi="Times New Roman" w:cs="Times New Roman"/>
        </w:rPr>
        <w:t>桑瑞娇</w:t>
      </w:r>
      <w:r>
        <w:rPr>
          <w:rFonts w:hint="eastAsia" w:ascii="Times New Roman" w:hAnsi="Times New Roman" w:cs="Times New Roman"/>
        </w:rPr>
        <w:t>，</w:t>
      </w:r>
      <w:r>
        <w:rPr>
          <w:rFonts w:ascii="Times New Roman" w:hAnsi="Times New Roman" w:cs="Times New Roman"/>
        </w:rPr>
        <w:t>李德恩</w:t>
      </w:r>
      <w:r>
        <w:rPr>
          <w:rFonts w:hint="eastAsia" w:ascii="Times New Roman" w:hAnsi="Times New Roman" w:cs="Times New Roman"/>
        </w:rPr>
        <w:t>，</w:t>
      </w:r>
      <w:r>
        <w:rPr>
          <w:rFonts w:ascii="Times New Roman" w:hAnsi="Times New Roman" w:cs="Times New Roman"/>
        </w:rPr>
        <w:t>郑滋椀</w:t>
      </w:r>
      <w:r>
        <w:rPr>
          <w:rFonts w:hint="eastAsia" w:ascii="Times New Roman" w:hAnsi="Times New Roman" w:cs="Times New Roman"/>
        </w:rPr>
        <w:t>：《</w:t>
      </w:r>
      <w:r>
        <w:rPr>
          <w:rFonts w:ascii="Times New Roman" w:hAnsi="Times New Roman" w:cs="Times New Roman"/>
        </w:rPr>
        <w:t>情境犯罪预防理论的网络空间应用研究</w:t>
      </w:r>
      <w:r>
        <w:rPr>
          <w:rFonts w:hint="eastAsia" w:ascii="Times New Roman" w:hAnsi="Times New Roman" w:cs="Times New Roman"/>
        </w:rPr>
        <w:t>》，《</w:t>
      </w:r>
      <w:r>
        <w:rPr>
          <w:rFonts w:ascii="Times New Roman" w:hAnsi="Times New Roman" w:cs="Times New Roman"/>
        </w:rPr>
        <w:t>政法学刊</w:t>
      </w:r>
      <w:r>
        <w:rPr>
          <w:rFonts w:hint="eastAsia" w:ascii="Times New Roman" w:hAnsi="Times New Roman" w:cs="Times New Roman"/>
        </w:rPr>
        <w:t>》</w:t>
      </w:r>
      <w:r>
        <w:rPr>
          <w:rFonts w:ascii="Times New Roman" w:hAnsi="Times New Roman" w:cs="Times New Roman"/>
        </w:rPr>
        <w:t>2023</w:t>
      </w:r>
      <w:r>
        <w:rPr>
          <w:rFonts w:hint="eastAsia" w:ascii="Times New Roman" w:hAnsi="Times New Roman" w:cs="Times New Roman"/>
        </w:rPr>
        <w:t>年第</w:t>
      </w:r>
      <w:r>
        <w:rPr>
          <w:rFonts w:ascii="Times New Roman" w:hAnsi="Times New Roman" w:cs="Times New Roman"/>
        </w:rPr>
        <w:t>2</w:t>
      </w:r>
      <w:r>
        <w:rPr>
          <w:rFonts w:hint="eastAsia" w:ascii="Times New Roman" w:hAnsi="Times New Roman" w:cs="Times New Roman"/>
        </w:rPr>
        <w:t>期，第40页。</w:t>
      </w:r>
    </w:p>
  </w:footnote>
  <w:footnote w:id="3">
    <w:p w14:paraId="06949062">
      <w:pPr>
        <w:pStyle w:val="8"/>
        <w:rPr>
          <w:rFonts w:ascii="Times New Roman" w:hAnsi="Times New Roman" w:cs="Times New Roman"/>
        </w:rPr>
      </w:pPr>
      <w:r>
        <w:rPr>
          <w:rStyle w:val="13"/>
          <w:rFonts w:ascii="Times New Roman" w:hAnsi="Times New Roman" w:cs="Times New Roman"/>
        </w:rPr>
        <w:footnoteRef/>
      </w:r>
      <w:r>
        <w:rPr>
          <w:rFonts w:ascii="Times New Roman" w:hAnsi="Times New Roman" w:cs="Times New Roman"/>
        </w:rPr>
        <w:t xml:space="preserve"> 参见于志刚：《</w:t>
      </w:r>
      <w:r>
        <w:rPr>
          <w:rFonts w:hint="eastAsia" w:ascii="Times New Roman" w:hAnsi="Times New Roman" w:cs="Times New Roman"/>
        </w:rPr>
        <w:t>“</w:t>
      </w:r>
      <w:r>
        <w:rPr>
          <w:rFonts w:ascii="Times New Roman" w:hAnsi="Times New Roman" w:cs="Times New Roman"/>
        </w:rPr>
        <w:t>双层社会</w:t>
      </w:r>
      <w:r>
        <w:rPr>
          <w:rFonts w:hint="eastAsia" w:ascii="Times New Roman" w:hAnsi="Times New Roman" w:cs="Times New Roman"/>
        </w:rPr>
        <w:t>”</w:t>
      </w:r>
      <w:r>
        <w:rPr>
          <w:rFonts w:ascii="Times New Roman" w:hAnsi="Times New Roman" w:cs="Times New Roman"/>
        </w:rPr>
        <w:t>中传统刑法的适用空间——以</w:t>
      </w:r>
      <w:r>
        <w:rPr>
          <w:rFonts w:hint="eastAsia" w:ascii="Times New Roman" w:hAnsi="Times New Roman" w:cs="Times New Roman"/>
        </w:rPr>
        <w:t>“</w:t>
      </w:r>
      <w:r>
        <w:rPr>
          <w:rFonts w:ascii="Times New Roman" w:hAnsi="Times New Roman" w:cs="Times New Roman"/>
        </w:rPr>
        <w:t>两高</w:t>
      </w:r>
      <w:r>
        <w:rPr>
          <w:rFonts w:hint="eastAsia" w:ascii="Times New Roman" w:hAnsi="Times New Roman" w:cs="Times New Roman"/>
        </w:rPr>
        <w:t>”</w:t>
      </w:r>
      <w:r>
        <w:rPr>
          <w:rFonts w:ascii="Times New Roman" w:hAnsi="Times New Roman" w:cs="Times New Roman"/>
        </w:rPr>
        <w:t>《网络诽谤解释》的发布为背景》，载《法学》2013年第10期，第102页。</w:t>
      </w:r>
    </w:p>
  </w:footnote>
  <w:footnote w:id="4">
    <w:p w14:paraId="176EF851">
      <w:pPr>
        <w:pStyle w:val="8"/>
        <w:rPr>
          <w:rFonts w:ascii="Times New Roman" w:hAnsi="Times New Roman" w:cs="Times New Roman"/>
        </w:rPr>
      </w:pPr>
      <w:r>
        <w:rPr>
          <w:rStyle w:val="13"/>
          <w:rFonts w:ascii="Times New Roman" w:hAnsi="Times New Roman" w:cs="Times New Roman"/>
        </w:rPr>
        <w:footnoteRef/>
      </w:r>
      <w:r>
        <w:rPr>
          <w:rFonts w:ascii="Times New Roman" w:hAnsi="Times New Roman" w:cs="Times New Roman"/>
        </w:rPr>
        <w:t xml:space="preserve"> 参见孙道萃：《网络刑法知识转型与立法回应》，载《现代法学》2017年第1期，第119页。</w:t>
      </w:r>
    </w:p>
  </w:footnote>
  <w:footnote w:id="5">
    <w:p w14:paraId="626A2851">
      <w:pPr>
        <w:pStyle w:val="8"/>
        <w:rPr>
          <w:rFonts w:ascii="Times New Roman" w:hAnsi="Times New Roman" w:cs="Times New Roman"/>
        </w:rPr>
      </w:pPr>
      <w:r>
        <w:rPr>
          <w:rStyle w:val="13"/>
          <w:rFonts w:ascii="Times New Roman" w:hAnsi="Times New Roman" w:cs="Times New Roman"/>
        </w:rPr>
        <w:footnoteRef/>
      </w:r>
      <w:r>
        <w:rPr>
          <w:rFonts w:ascii="Times New Roman" w:hAnsi="Times New Roman" w:cs="Times New Roman"/>
        </w:rPr>
        <w:t xml:space="preserve"> 参见宋保振：《论</w:t>
      </w:r>
      <w:r>
        <w:rPr>
          <w:rFonts w:hint="eastAsia" w:ascii="Times New Roman" w:hAnsi="Times New Roman" w:cs="Times New Roman"/>
        </w:rPr>
        <w:t>“</w:t>
      </w:r>
      <w:r>
        <w:rPr>
          <w:rFonts w:ascii="Times New Roman" w:hAnsi="Times New Roman" w:cs="Times New Roman"/>
        </w:rPr>
        <w:t>数字化生活权</w:t>
      </w:r>
      <w:r>
        <w:rPr>
          <w:rFonts w:hint="eastAsia" w:ascii="Times New Roman" w:hAnsi="Times New Roman" w:cs="Times New Roman"/>
        </w:rPr>
        <w:t>”</w:t>
      </w:r>
      <w:r>
        <w:rPr>
          <w:rFonts w:ascii="Times New Roman" w:hAnsi="Times New Roman" w:cs="Times New Roman"/>
        </w:rPr>
        <w:t>及其义务谱系》，载《法律科学(西北政法大学学报)》2024年第4期，1-16[2024-06-20]。</w:t>
      </w:r>
    </w:p>
  </w:footnote>
  <w:footnote w:id="6">
    <w:p w14:paraId="339B881A">
      <w:pPr>
        <w:pStyle w:val="8"/>
        <w:rPr>
          <w:rFonts w:ascii="Times New Roman" w:hAnsi="Times New Roman" w:cs="Times New Roman"/>
        </w:rPr>
      </w:pPr>
      <w:r>
        <w:rPr>
          <w:rStyle w:val="13"/>
          <w:rFonts w:ascii="Times New Roman" w:hAnsi="Times New Roman" w:cs="Times New Roman"/>
        </w:rPr>
        <w:footnoteRef/>
      </w:r>
      <w:r>
        <w:rPr>
          <w:rFonts w:ascii="Times New Roman" w:hAnsi="Times New Roman" w:cs="Times New Roman"/>
        </w:rPr>
        <w:t xml:space="preserve"> 参见欧阳本祺：《论网络时代刑法解释的限度》，载《中国法学》2017年第3期，第166页。</w:t>
      </w:r>
    </w:p>
  </w:footnote>
  <w:footnote w:id="7">
    <w:p w14:paraId="66A88DEE">
      <w:pPr>
        <w:pStyle w:val="8"/>
        <w:rPr>
          <w:rFonts w:ascii="Times New Roman" w:hAnsi="Times New Roman" w:cs="Times New Roman"/>
        </w:rPr>
      </w:pPr>
      <w:r>
        <w:rPr>
          <w:rStyle w:val="13"/>
          <w:rFonts w:ascii="Times New Roman" w:hAnsi="Times New Roman" w:cs="Times New Roman"/>
        </w:rPr>
        <w:footnoteRef/>
      </w:r>
      <w:r>
        <w:rPr>
          <w:rFonts w:ascii="Times New Roman" w:hAnsi="Times New Roman" w:cs="Times New Roman"/>
        </w:rPr>
        <w:t xml:space="preserve"> 参见陈兴良：《刑法教义学中的形式理性》，载《中外法学》2023年第2期，第285</w:t>
      </w:r>
      <w:r>
        <w:rPr>
          <w:rFonts w:hint="eastAsia" w:ascii="Times New Roman" w:hAnsi="Times New Roman" w:cs="Times New Roman"/>
        </w:rPr>
        <w:t>页</w:t>
      </w:r>
      <w:r>
        <w:rPr>
          <w:rFonts w:ascii="Times New Roman" w:hAnsi="Times New Roman" w:cs="Times New Roman"/>
        </w:rPr>
        <w:t>。</w:t>
      </w:r>
    </w:p>
  </w:footnote>
  <w:footnote w:id="8">
    <w:p w14:paraId="53A5588B">
      <w:pPr>
        <w:pStyle w:val="8"/>
        <w:rPr>
          <w:rFonts w:ascii="Times New Roman" w:hAnsi="Times New Roman" w:cs="Times New Roman"/>
        </w:rPr>
      </w:pPr>
      <w:r>
        <w:rPr>
          <w:rStyle w:val="13"/>
          <w:rFonts w:ascii="Times New Roman" w:hAnsi="Times New Roman" w:cs="Times New Roman"/>
        </w:rPr>
        <w:footnoteRef/>
      </w:r>
      <w:r>
        <w:rPr>
          <w:rFonts w:ascii="Times New Roman" w:hAnsi="Times New Roman" w:cs="Times New Roman"/>
        </w:rPr>
        <w:t xml:space="preserve"> 参见于改之：《刑民分界论》，中国公安大学出版社2007</w:t>
      </w:r>
      <w:r>
        <w:rPr>
          <w:rFonts w:hint="eastAsia" w:ascii="Times New Roman" w:hAnsi="Times New Roman" w:cs="Times New Roman"/>
        </w:rPr>
        <w:t>年版，第</w:t>
      </w:r>
      <w:r>
        <w:rPr>
          <w:rFonts w:ascii="Times New Roman" w:hAnsi="Times New Roman" w:cs="Times New Roman"/>
        </w:rPr>
        <w:t>16</w:t>
      </w:r>
      <w:r>
        <w:rPr>
          <w:rFonts w:hint="eastAsia" w:ascii="Times New Roman" w:hAnsi="Times New Roman" w:cs="Times New Roman"/>
        </w:rPr>
        <w:t>页。</w:t>
      </w:r>
    </w:p>
  </w:footnote>
  <w:footnote w:id="9">
    <w:p w14:paraId="45B1F799">
      <w:pPr>
        <w:pStyle w:val="8"/>
      </w:pPr>
      <w:r>
        <w:rPr>
          <w:rStyle w:val="13"/>
        </w:rPr>
        <w:footnoteRef/>
      </w:r>
      <w:r>
        <w:t xml:space="preserve"> </w:t>
      </w:r>
      <w:r>
        <w:rPr>
          <w:rFonts w:ascii="Times New Roman" w:hAnsi="Times New Roman" w:cs="Times New Roman"/>
        </w:rPr>
        <w:t>参见张明楷：《刑法学》，法律出版社2021年版，第1401页。</w:t>
      </w:r>
    </w:p>
  </w:footnote>
  <w:footnote w:id="10">
    <w:p w14:paraId="2BA1CE93">
      <w:pPr>
        <w:pStyle w:val="8"/>
      </w:pPr>
      <w:r>
        <w:rPr>
          <w:rStyle w:val="13"/>
          <w:rFonts w:ascii="Times New Roman" w:hAnsi="Times New Roman" w:cs="Times New Roman"/>
        </w:rPr>
        <w:footnoteRef/>
      </w:r>
      <w:r>
        <w:rPr>
          <w:rStyle w:val="13"/>
          <w:rFonts w:ascii="Times New Roman" w:hAnsi="Times New Roman" w:cs="Times New Roman"/>
        </w:rPr>
        <w:t xml:space="preserve"> </w:t>
      </w:r>
      <w:r>
        <w:rPr>
          <w:rFonts w:hint="eastAsia" w:ascii="Times New Roman" w:hAnsi="Times New Roman" w:cs="Times New Roman"/>
        </w:rPr>
        <w:t>参见</w:t>
      </w:r>
      <w:r>
        <w:rPr>
          <w:rFonts w:ascii="Times New Roman" w:hAnsi="Times New Roman" w:cs="Times New Roman"/>
        </w:rPr>
        <w:t>赖隹文</w:t>
      </w:r>
      <w:r>
        <w:rPr>
          <w:rFonts w:hint="eastAsia" w:ascii="Times New Roman" w:hAnsi="Times New Roman" w:cs="Times New Roman"/>
        </w:rPr>
        <w:t>：《</w:t>
      </w:r>
      <w:r>
        <w:rPr>
          <w:rFonts w:ascii="Times New Roman" w:hAnsi="Times New Roman" w:cs="Times New Roman"/>
        </w:rPr>
        <w:t>反思静态刑法解释观</w:t>
      </w:r>
      <w:r>
        <w:rPr>
          <w:rFonts w:hint="eastAsia" w:ascii="Times New Roman" w:hAnsi="Times New Roman" w:cs="Times New Roman"/>
        </w:rPr>
        <w:t>》，载《</w:t>
      </w:r>
      <w:r>
        <w:rPr>
          <w:rFonts w:ascii="Times New Roman" w:hAnsi="Times New Roman" w:cs="Times New Roman"/>
        </w:rPr>
        <w:t>青少年犯罪问题</w:t>
      </w:r>
      <w:r>
        <w:rPr>
          <w:rFonts w:hint="eastAsia" w:ascii="Times New Roman" w:hAnsi="Times New Roman" w:cs="Times New Roman"/>
        </w:rPr>
        <w:t>》</w:t>
      </w:r>
      <w:r>
        <w:rPr>
          <w:rFonts w:ascii="Times New Roman" w:hAnsi="Times New Roman" w:cs="Times New Roman"/>
        </w:rPr>
        <w:t>2023</w:t>
      </w:r>
      <w:r>
        <w:rPr>
          <w:rFonts w:hint="eastAsia" w:ascii="Times New Roman" w:hAnsi="Times New Roman" w:cs="Times New Roman"/>
        </w:rPr>
        <w:t>年第</w:t>
      </w:r>
      <w:r>
        <w:rPr>
          <w:rFonts w:ascii="Times New Roman" w:hAnsi="Times New Roman" w:cs="Times New Roman"/>
        </w:rPr>
        <w:t>2</w:t>
      </w:r>
      <w:r>
        <w:rPr>
          <w:rFonts w:hint="eastAsia" w:ascii="Times New Roman" w:hAnsi="Times New Roman" w:cs="Times New Roman"/>
        </w:rPr>
        <w:t>期，第</w:t>
      </w:r>
      <w:r>
        <w:rPr>
          <w:rFonts w:ascii="Times New Roman" w:hAnsi="Times New Roman" w:cs="Times New Roman"/>
        </w:rPr>
        <w:t>84</w:t>
      </w:r>
      <w:r>
        <w:rPr>
          <w:rFonts w:hint="eastAsia" w:ascii="Times New Roman" w:hAnsi="Times New Roman" w:cs="Times New Roman"/>
        </w:rPr>
        <w:t>页。</w:t>
      </w:r>
    </w:p>
  </w:footnote>
  <w:footnote w:id="11">
    <w:p w14:paraId="5F6EA0A3">
      <w:pPr>
        <w:pStyle w:val="8"/>
      </w:pPr>
      <w:r>
        <w:rPr>
          <w:rStyle w:val="13"/>
          <w:rFonts w:ascii="Times New Roman" w:hAnsi="Times New Roman" w:cs="Times New Roman"/>
        </w:rPr>
        <w:footnoteRef/>
      </w:r>
      <w:r>
        <w:rPr>
          <w:rStyle w:val="13"/>
          <w:rFonts w:ascii="Times New Roman" w:hAnsi="Times New Roman" w:cs="Times New Roman"/>
        </w:rPr>
        <w:t xml:space="preserve"> </w:t>
      </w:r>
      <w:r>
        <w:rPr>
          <w:rFonts w:ascii="Times New Roman" w:hAnsi="Times New Roman" w:cs="Times New Roman"/>
        </w:rPr>
        <w:t>参见陈劲阳</w:t>
      </w:r>
      <w:r>
        <w:rPr>
          <w:rFonts w:hint="eastAsia" w:ascii="Times New Roman" w:hAnsi="Times New Roman" w:cs="Times New Roman"/>
        </w:rPr>
        <w:t>：《</w:t>
      </w:r>
      <w:r>
        <w:rPr>
          <w:rFonts w:ascii="Times New Roman" w:hAnsi="Times New Roman" w:cs="Times New Roman"/>
        </w:rPr>
        <w:t>徘徊在歧义与正义之间的刑法释义——网络寻衅滋事罪司法解释妥当性反思</w:t>
      </w:r>
      <w:r>
        <w:rPr>
          <w:rFonts w:hint="eastAsia" w:ascii="Times New Roman" w:hAnsi="Times New Roman" w:cs="Times New Roman"/>
        </w:rPr>
        <w:t>》，载《</w:t>
      </w:r>
      <w:r>
        <w:rPr>
          <w:rFonts w:ascii="Times New Roman" w:hAnsi="Times New Roman" w:cs="Times New Roman"/>
        </w:rPr>
        <w:t>法制与社会发展</w:t>
      </w:r>
      <w:r>
        <w:rPr>
          <w:rFonts w:hint="eastAsia" w:ascii="Times New Roman" w:hAnsi="Times New Roman" w:cs="Times New Roman"/>
        </w:rPr>
        <w:t>》</w:t>
      </w:r>
      <w:r>
        <w:rPr>
          <w:rFonts w:ascii="Times New Roman" w:hAnsi="Times New Roman" w:cs="Times New Roman"/>
        </w:rPr>
        <w:t>2016</w:t>
      </w:r>
      <w:r>
        <w:rPr>
          <w:rFonts w:hint="eastAsia" w:ascii="Times New Roman" w:hAnsi="Times New Roman" w:cs="Times New Roman"/>
        </w:rPr>
        <w:t>年第</w:t>
      </w:r>
      <w:r>
        <w:rPr>
          <w:rFonts w:ascii="Times New Roman" w:hAnsi="Times New Roman" w:cs="Times New Roman"/>
        </w:rPr>
        <w:t>6</w:t>
      </w:r>
      <w:r>
        <w:rPr>
          <w:rFonts w:hint="eastAsia" w:ascii="Times New Roman" w:hAnsi="Times New Roman" w:cs="Times New Roman"/>
        </w:rPr>
        <w:t>期，第</w:t>
      </w:r>
      <w:r>
        <w:rPr>
          <w:rFonts w:ascii="Times New Roman" w:hAnsi="Times New Roman" w:cs="Times New Roman"/>
        </w:rPr>
        <w:t>94</w:t>
      </w:r>
      <w:r>
        <w:rPr>
          <w:rFonts w:hint="eastAsia" w:ascii="Times New Roman" w:hAnsi="Times New Roman" w:cs="Times New Roman"/>
        </w:rPr>
        <w:t>页。</w:t>
      </w:r>
    </w:p>
  </w:footnote>
  <w:footnote w:id="12">
    <w:p w14:paraId="05DCFD46">
      <w:pPr>
        <w:pStyle w:val="8"/>
        <w:rPr>
          <w:rFonts w:ascii="Times New Roman" w:hAnsi="Times New Roman" w:cs="Times New Roman"/>
        </w:rPr>
      </w:pPr>
      <w:r>
        <w:rPr>
          <w:rStyle w:val="13"/>
          <w:rFonts w:ascii="Times New Roman" w:hAnsi="Times New Roman" w:cs="Times New Roman"/>
        </w:rPr>
        <w:footnoteRef/>
      </w:r>
      <w:r>
        <w:rPr>
          <w:rFonts w:ascii="Times New Roman" w:hAnsi="Times New Roman" w:cs="Times New Roman"/>
        </w:rPr>
        <w:t xml:space="preserve"> 参见陈兴良：《刑法教义学中的价值判断》，载《清华法学》2022年第6期，第11页。</w:t>
      </w:r>
    </w:p>
  </w:footnote>
  <w:footnote w:id="13">
    <w:p w14:paraId="012E8B5B">
      <w:pPr>
        <w:pStyle w:val="8"/>
        <w:rPr>
          <w:rFonts w:ascii="Times New Roman" w:hAnsi="Times New Roman" w:cs="Times New Roman"/>
        </w:rPr>
      </w:pPr>
      <w:r>
        <w:rPr>
          <w:rStyle w:val="13"/>
          <w:rFonts w:ascii="Times New Roman" w:hAnsi="Times New Roman" w:cs="Times New Roman"/>
        </w:rPr>
        <w:footnoteRef/>
      </w:r>
      <w:r>
        <w:rPr>
          <w:rFonts w:ascii="Times New Roman" w:hAnsi="Times New Roman" w:cs="Times New Roman"/>
        </w:rPr>
        <w:t xml:space="preserve"> 参见戴民杰：《论扩张解释与类推适用的区分——以对我国刑法解释论之争的反思为切入点》，载《湖南师范大学社会科学学报》2022年第1期，第118页。.</w:t>
      </w:r>
    </w:p>
  </w:footnote>
  <w:footnote w:id="14">
    <w:p w14:paraId="4CC3788F">
      <w:pPr>
        <w:pStyle w:val="8"/>
        <w:rPr>
          <w:rFonts w:ascii="Times New Roman" w:hAnsi="Times New Roman" w:cs="Times New Roman"/>
        </w:rPr>
      </w:pPr>
      <w:r>
        <w:rPr>
          <w:rStyle w:val="13"/>
          <w:rFonts w:ascii="Times New Roman" w:hAnsi="Times New Roman" w:cs="Times New Roman"/>
        </w:rPr>
        <w:footnoteRef/>
      </w:r>
      <w:r>
        <w:rPr>
          <w:rStyle w:val="13"/>
          <w:rFonts w:ascii="Times New Roman" w:hAnsi="Times New Roman" w:cs="Times New Roman"/>
        </w:rPr>
        <w:t xml:space="preserve"> </w:t>
      </w:r>
      <w:r>
        <w:rPr>
          <w:rFonts w:ascii="Times New Roman" w:hAnsi="Times New Roman" w:cs="Times New Roman"/>
        </w:rPr>
        <w:t xml:space="preserve"> 参见刘艳红：《网络犯罪的法教义学研究》，中国人民大学出版社第2021年版，第714页。</w:t>
      </w:r>
    </w:p>
  </w:footnote>
  <w:footnote w:id="15">
    <w:p w14:paraId="5E7A31D2">
      <w:pPr>
        <w:pStyle w:val="8"/>
        <w:rPr>
          <w:rFonts w:ascii="Times New Roman" w:hAnsi="Times New Roman" w:cs="Times New Roman"/>
        </w:rPr>
      </w:pPr>
      <w:r>
        <w:rPr>
          <w:rStyle w:val="13"/>
          <w:rFonts w:ascii="Times New Roman" w:hAnsi="Times New Roman" w:cs="Times New Roman"/>
        </w:rPr>
        <w:footnoteRef/>
      </w:r>
      <w:r>
        <w:rPr>
          <w:rStyle w:val="13"/>
          <w:rFonts w:ascii="Times New Roman" w:hAnsi="Times New Roman" w:cs="Times New Roman"/>
        </w:rPr>
        <w:t xml:space="preserve"> </w:t>
      </w:r>
      <w:r>
        <w:rPr>
          <w:rFonts w:ascii="Times New Roman" w:hAnsi="Times New Roman" w:cs="Times New Roman"/>
        </w:rPr>
        <w:t>参见张超：《论猥亵儿童罪中当众猥亵情节的理解与适用》，载《湖南警察学院学报》2022年第2期，第97页。</w:t>
      </w:r>
    </w:p>
  </w:footnote>
  <w:footnote w:id="16">
    <w:p w14:paraId="519A8C37">
      <w:pPr>
        <w:pStyle w:val="8"/>
      </w:pPr>
      <w:r>
        <w:rPr>
          <w:rStyle w:val="13"/>
          <w:rFonts w:ascii="Times New Roman" w:hAnsi="Times New Roman" w:cs="Times New Roman"/>
        </w:rPr>
        <w:footnoteRef/>
      </w:r>
      <w:r>
        <w:rPr>
          <w:rStyle w:val="13"/>
          <w:rFonts w:ascii="Times New Roman" w:hAnsi="Times New Roman" w:cs="Times New Roman"/>
        </w:rPr>
        <w:t xml:space="preserve"> </w:t>
      </w:r>
      <w:r>
        <w:rPr>
          <w:rFonts w:ascii="Times New Roman" w:hAnsi="Times New Roman" w:cs="Times New Roman"/>
        </w:rPr>
        <w:t xml:space="preserve"> 参见刘艳红：《网络犯罪的法教义学研究》，中国人民大学出版社第2021年版，第718页。</w:t>
      </w:r>
    </w:p>
  </w:footnote>
  <w:footnote w:id="17">
    <w:p w14:paraId="63D9D0ED">
      <w:pPr>
        <w:pStyle w:val="8"/>
        <w:rPr>
          <w:rFonts w:ascii="Times New Roman" w:hAnsi="Times New Roman" w:cs="Times New Roman"/>
        </w:rPr>
      </w:pPr>
      <w:r>
        <w:rPr>
          <w:rStyle w:val="13"/>
          <w:rFonts w:ascii="Times New Roman" w:hAnsi="Times New Roman" w:cs="Times New Roman"/>
        </w:rPr>
        <w:footnoteRef/>
      </w:r>
      <w:r>
        <w:rPr>
          <w:rStyle w:val="13"/>
          <w:rFonts w:ascii="Times New Roman" w:hAnsi="Times New Roman" w:cs="Times New Roman"/>
        </w:rPr>
        <w:t xml:space="preserve"> </w:t>
      </w:r>
      <w:r>
        <w:rPr>
          <w:rFonts w:ascii="Times New Roman" w:hAnsi="Times New Roman" w:cs="Times New Roman"/>
        </w:rPr>
        <w:t>参见喻海松：《网络犯罪二十讲》，</w:t>
      </w:r>
      <w:r>
        <w:rPr>
          <w:rFonts w:hint="eastAsia" w:ascii="Times New Roman" w:hAnsi="Times New Roman" w:cs="Times New Roman"/>
        </w:rPr>
        <w:t>法律出版社2022年版，</w:t>
      </w:r>
      <w:r>
        <w:rPr>
          <w:rFonts w:ascii="Times New Roman" w:hAnsi="Times New Roman" w:cs="Times New Roman"/>
        </w:rPr>
        <w:t>第7页。</w:t>
      </w:r>
    </w:p>
  </w:footnote>
  <w:footnote w:id="18">
    <w:p w14:paraId="031A518F">
      <w:pPr>
        <w:pStyle w:val="8"/>
        <w:rPr>
          <w:rFonts w:ascii="Times New Roman" w:hAnsi="Times New Roman" w:cs="Times New Roman"/>
        </w:rPr>
      </w:pPr>
      <w:r>
        <w:rPr>
          <w:rStyle w:val="13"/>
          <w:rFonts w:ascii="Times New Roman" w:hAnsi="Times New Roman" w:cs="Times New Roman"/>
        </w:rPr>
        <w:footnoteRef/>
      </w:r>
      <w:r>
        <w:rPr>
          <w:rFonts w:ascii="Times New Roman" w:hAnsi="Times New Roman" w:cs="Times New Roman"/>
        </w:rPr>
        <w:t xml:space="preserve"> 参见孙万怀，卢恒飞：《刑法应当理性应对网络谣言——对网络造谣司法解释的实证评估》，载《法学》2013年第11期，第15页。</w:t>
      </w:r>
    </w:p>
  </w:footnote>
  <w:footnote w:id="19">
    <w:p w14:paraId="2EADB050">
      <w:pPr>
        <w:pStyle w:val="8"/>
        <w:rPr>
          <w:rStyle w:val="13"/>
          <w:rFonts w:ascii="Times New Roman" w:hAnsi="Times New Roman" w:cs="Times New Roman"/>
        </w:rPr>
      </w:pPr>
      <w:r>
        <w:rPr>
          <w:rStyle w:val="13"/>
          <w:rFonts w:ascii="Times New Roman" w:hAnsi="Times New Roman" w:cs="Times New Roman"/>
        </w:rPr>
        <w:footnoteRef/>
      </w:r>
      <w:r>
        <w:rPr>
          <w:rStyle w:val="13"/>
          <w:rFonts w:ascii="Times New Roman" w:hAnsi="Times New Roman" w:cs="Times New Roman"/>
        </w:rPr>
        <w:t xml:space="preserve"> </w:t>
      </w:r>
      <w:r>
        <w:rPr>
          <w:rFonts w:ascii="Times New Roman" w:hAnsi="Times New Roman" w:cs="Times New Roman"/>
        </w:rPr>
        <w:t>参见孙道萃：《网络刑法知识转型与立法回应》，载《现代法学》2017年第1期，第124页。</w:t>
      </w:r>
    </w:p>
  </w:footnote>
  <w:footnote w:id="20">
    <w:p w14:paraId="0026936F">
      <w:pPr>
        <w:pStyle w:val="8"/>
        <w:rPr>
          <w:rFonts w:ascii="Times New Roman" w:hAnsi="Times New Roman" w:cs="Times New Roman"/>
        </w:rPr>
      </w:pPr>
      <w:r>
        <w:rPr>
          <w:rStyle w:val="13"/>
          <w:rFonts w:ascii="Times New Roman" w:hAnsi="Times New Roman" w:cs="Times New Roman"/>
        </w:rPr>
        <w:footnoteRef/>
      </w:r>
      <w:r>
        <w:rPr>
          <w:rStyle w:val="13"/>
          <w:rFonts w:ascii="Times New Roman" w:hAnsi="Times New Roman" w:cs="Times New Roman"/>
        </w:rPr>
        <w:t xml:space="preserve"> </w:t>
      </w:r>
      <w:r>
        <w:rPr>
          <w:rFonts w:ascii="Times New Roman" w:hAnsi="Times New Roman" w:cs="Times New Roman"/>
        </w:rPr>
        <w:t>参见刘艳红：《网络犯罪的法教义学研究》，中国人民大学出版社第2021年版，第723页。</w:t>
      </w:r>
    </w:p>
  </w:footnote>
  <w:footnote w:id="21">
    <w:p w14:paraId="2CE952FD">
      <w:pPr>
        <w:pStyle w:val="8"/>
        <w:rPr>
          <w:rFonts w:ascii="Times New Roman" w:hAnsi="Times New Roman" w:cs="Times New Roman"/>
        </w:rPr>
      </w:pPr>
      <w:r>
        <w:rPr>
          <w:rStyle w:val="13"/>
          <w:rFonts w:ascii="Times New Roman" w:hAnsi="Times New Roman" w:cs="Times New Roman"/>
        </w:rPr>
        <w:footnoteRef/>
      </w:r>
      <w:r>
        <w:rPr>
          <w:rStyle w:val="13"/>
          <w:rFonts w:ascii="Times New Roman" w:hAnsi="Times New Roman" w:cs="Times New Roman"/>
        </w:rPr>
        <w:t xml:space="preserve"> </w:t>
      </w:r>
      <w:r>
        <w:rPr>
          <w:rFonts w:ascii="Times New Roman" w:hAnsi="Times New Roman" w:cs="Times New Roman"/>
        </w:rPr>
        <w:t>笔者认可并不是所有的网络空间都有“公共属性”，因而此处的网络空间指开放性的空间。</w:t>
      </w:r>
    </w:p>
  </w:footnote>
  <w:footnote w:id="22">
    <w:p w14:paraId="0921622F">
      <w:pPr>
        <w:pStyle w:val="8"/>
        <w:rPr>
          <w:rStyle w:val="13"/>
          <w:rFonts w:ascii="Times New Roman" w:hAnsi="Times New Roman" w:cs="Times New Roman"/>
        </w:rPr>
      </w:pPr>
      <w:r>
        <w:rPr>
          <w:rStyle w:val="13"/>
          <w:rFonts w:ascii="Times New Roman" w:hAnsi="Times New Roman" w:cs="Times New Roman"/>
        </w:rPr>
        <w:footnoteRef/>
      </w:r>
      <w:r>
        <w:rPr>
          <w:rStyle w:val="13"/>
          <w:rFonts w:ascii="Times New Roman" w:hAnsi="Times New Roman" w:cs="Times New Roman"/>
        </w:rPr>
        <w:t xml:space="preserve"> </w:t>
      </w:r>
      <w:r>
        <w:rPr>
          <w:rFonts w:ascii="Times New Roman" w:hAnsi="Times New Roman" w:cs="Times New Roman"/>
        </w:rPr>
        <w:t>参见巢乃鹏，黄娴：《网络传播中的“谣言”现象研究》，载《情报理论与实践》2004年第6期，第586-589页。</w:t>
      </w:r>
    </w:p>
  </w:footnote>
  <w:footnote w:id="23">
    <w:p w14:paraId="5FA542C4">
      <w:pPr>
        <w:pStyle w:val="8"/>
        <w:rPr>
          <w:rFonts w:ascii="Times New Roman" w:hAnsi="Times New Roman" w:cs="Times New Roman"/>
        </w:rPr>
      </w:pPr>
      <w:r>
        <w:rPr>
          <w:rStyle w:val="13"/>
          <w:rFonts w:ascii="Times New Roman" w:hAnsi="Times New Roman" w:cs="Times New Roman"/>
        </w:rPr>
        <w:footnoteRef/>
      </w:r>
      <w:r>
        <w:rPr>
          <w:rFonts w:ascii="Times New Roman" w:hAnsi="Times New Roman" w:cs="Times New Roman"/>
        </w:rPr>
        <w:t>参见翟月荧：《网络谣言的传播与治理》，载《东岳论丛》2023年第8期，第151-153页。</w:t>
      </w:r>
    </w:p>
  </w:footnote>
  <w:footnote w:id="24">
    <w:p w14:paraId="472598E7">
      <w:pPr>
        <w:pStyle w:val="8"/>
        <w:rPr>
          <w:rFonts w:ascii="Times New Roman" w:hAnsi="Times New Roman" w:cs="Times New Roman"/>
        </w:rPr>
      </w:pPr>
      <w:r>
        <w:rPr>
          <w:rStyle w:val="13"/>
          <w:rFonts w:ascii="Times New Roman" w:hAnsi="Times New Roman" w:cs="Times New Roman"/>
        </w:rPr>
        <w:footnoteRef/>
      </w:r>
      <w:r>
        <w:rPr>
          <w:rFonts w:hint="eastAsia" w:ascii="Times New Roman" w:hAnsi="Times New Roman" w:cs="Times New Roman"/>
        </w:rPr>
        <w:t>参见</w:t>
      </w:r>
      <w:r>
        <w:rPr>
          <w:rFonts w:ascii="Times New Roman" w:hAnsi="Times New Roman" w:cs="Times New Roman"/>
        </w:rPr>
        <w:t>吕心怡</w:t>
      </w:r>
      <w:r>
        <w:rPr>
          <w:rFonts w:hint="eastAsia" w:ascii="Times New Roman" w:hAnsi="Times New Roman" w:cs="Times New Roman"/>
        </w:rPr>
        <w:t>，</w:t>
      </w:r>
      <w:r>
        <w:rPr>
          <w:rFonts w:ascii="Times New Roman" w:hAnsi="Times New Roman" w:cs="Times New Roman"/>
        </w:rPr>
        <w:t>黄贤英</w:t>
      </w:r>
      <w:r>
        <w:rPr>
          <w:rFonts w:hint="eastAsia" w:ascii="Times New Roman" w:hAnsi="Times New Roman" w:cs="Times New Roman"/>
        </w:rPr>
        <w:t>：《</w:t>
      </w:r>
      <w:r>
        <w:rPr>
          <w:rFonts w:ascii="Times New Roman" w:hAnsi="Times New Roman" w:cs="Times New Roman"/>
        </w:rPr>
        <w:t>改进的社交网络谣言传播模型</w:t>
      </w:r>
      <w:r>
        <w:rPr>
          <w:rFonts w:hint="eastAsia" w:ascii="Times New Roman" w:hAnsi="Times New Roman" w:cs="Times New Roman"/>
        </w:rPr>
        <w:t>》，载《</w:t>
      </w:r>
      <w:r>
        <w:rPr>
          <w:rFonts w:ascii="Times New Roman" w:hAnsi="Times New Roman" w:cs="Times New Roman"/>
        </w:rPr>
        <w:t>计算机工程与设计</w:t>
      </w:r>
      <w:r>
        <w:rPr>
          <w:rFonts w:hint="eastAsia" w:ascii="Times New Roman" w:hAnsi="Times New Roman" w:cs="Times New Roman"/>
        </w:rPr>
        <w:t>》</w:t>
      </w:r>
      <w:r>
        <w:rPr>
          <w:rFonts w:ascii="Times New Roman" w:hAnsi="Times New Roman" w:cs="Times New Roman"/>
        </w:rPr>
        <w:t>2022</w:t>
      </w:r>
      <w:r>
        <w:rPr>
          <w:rFonts w:hint="eastAsia" w:ascii="Times New Roman" w:hAnsi="Times New Roman" w:cs="Times New Roman"/>
        </w:rPr>
        <w:t>年第</w:t>
      </w:r>
      <w:r>
        <w:rPr>
          <w:rFonts w:ascii="Times New Roman" w:hAnsi="Times New Roman" w:cs="Times New Roman"/>
        </w:rPr>
        <w:t>4</w:t>
      </w:r>
      <w:r>
        <w:rPr>
          <w:rFonts w:hint="eastAsia" w:ascii="Times New Roman" w:hAnsi="Times New Roman" w:cs="Times New Roman"/>
        </w:rPr>
        <w:t>期，第</w:t>
      </w:r>
      <w:r>
        <w:rPr>
          <w:rFonts w:ascii="Times New Roman" w:hAnsi="Times New Roman" w:cs="Times New Roman"/>
        </w:rPr>
        <w:t>9</w:t>
      </w:r>
      <w:r>
        <w:rPr>
          <w:rFonts w:hint="eastAsia" w:ascii="Times New Roman" w:hAnsi="Times New Roman" w:cs="Times New Roman"/>
        </w:rPr>
        <w:t>92</w:t>
      </w:r>
      <w:r>
        <w:rPr>
          <w:rFonts w:ascii="Times New Roman" w:hAnsi="Times New Roman" w:cs="Times New Roman"/>
        </w:rPr>
        <w:t>-994</w:t>
      </w:r>
      <w:r>
        <w:rPr>
          <w:rFonts w:hint="eastAsia" w:ascii="Times New Roman" w:hAnsi="Times New Roman" w:cs="Times New Roman"/>
        </w:rPr>
        <w:t>页。</w:t>
      </w:r>
    </w:p>
  </w:footnote>
  <w:footnote w:id="25">
    <w:p w14:paraId="440CAB10">
      <w:pPr>
        <w:pStyle w:val="8"/>
        <w:rPr>
          <w:rFonts w:ascii="Times New Roman" w:hAnsi="Times New Roman" w:cs="Times New Roman"/>
        </w:rPr>
      </w:pPr>
      <w:r>
        <w:rPr>
          <w:rStyle w:val="13"/>
          <w:rFonts w:ascii="Times New Roman" w:hAnsi="Times New Roman" w:cs="Times New Roman"/>
        </w:rPr>
        <w:footnoteRef/>
      </w:r>
      <w:r>
        <w:rPr>
          <w:rStyle w:val="13"/>
          <w:rFonts w:ascii="Times New Roman" w:hAnsi="Times New Roman" w:cs="Times New Roman"/>
        </w:rPr>
        <w:t xml:space="preserve"> </w:t>
      </w:r>
      <w:r>
        <w:rPr>
          <w:rFonts w:ascii="Times New Roman" w:hAnsi="Times New Roman" w:cs="Times New Roman"/>
        </w:rPr>
        <w:t>参见李明泽：《元宇宙的公共场所性辨析》，载《长春师范大学学报》2024年第1期，第54页。</w:t>
      </w:r>
    </w:p>
  </w:footnote>
  <w:footnote w:id="26">
    <w:p w14:paraId="4FF5A95B">
      <w:pPr>
        <w:pStyle w:val="8"/>
        <w:rPr>
          <w:rFonts w:ascii="Times New Roman" w:hAnsi="Times New Roman" w:cs="Times New Roman"/>
        </w:rPr>
      </w:pPr>
      <w:r>
        <w:rPr>
          <w:rStyle w:val="13"/>
          <w:rFonts w:ascii="Times New Roman" w:hAnsi="Times New Roman" w:cs="Times New Roman"/>
        </w:rPr>
        <w:footnoteRef/>
      </w:r>
      <w:r>
        <w:rPr>
          <w:rStyle w:val="13"/>
          <w:rFonts w:ascii="Times New Roman" w:hAnsi="Times New Roman" w:cs="Times New Roman"/>
        </w:rPr>
        <w:t xml:space="preserve"> </w:t>
      </w:r>
      <w:r>
        <w:rPr>
          <w:rFonts w:ascii="Times New Roman" w:hAnsi="Times New Roman" w:cs="Times New Roman"/>
        </w:rPr>
        <w:t>参见陈兴良：《刑法教义学中的价值判断》，载《清华法学》2022年第6期，第12页。</w:t>
      </w:r>
    </w:p>
  </w:footnote>
  <w:footnote w:id="27">
    <w:p w14:paraId="5B98091F">
      <w:pPr>
        <w:pStyle w:val="8"/>
        <w:rPr>
          <w:rFonts w:ascii="Times New Roman" w:hAnsi="Times New Roman" w:cs="Times New Roman"/>
        </w:rPr>
      </w:pPr>
      <w:r>
        <w:rPr>
          <w:rStyle w:val="13"/>
          <w:rFonts w:ascii="Times New Roman" w:hAnsi="Times New Roman" w:cs="Times New Roman"/>
        </w:rPr>
        <w:footnoteRef/>
      </w:r>
      <w:r>
        <w:rPr>
          <w:rFonts w:ascii="Times New Roman" w:hAnsi="Times New Roman" w:cs="Times New Roman"/>
        </w:rPr>
        <w:t xml:space="preserve"> 参见张明楷：《刑法学》，法律出版社2021年版，第1399页。</w:t>
      </w:r>
    </w:p>
  </w:footnote>
  <w:footnote w:id="28">
    <w:p w14:paraId="3DAA14A5">
      <w:pPr>
        <w:pStyle w:val="8"/>
      </w:pPr>
      <w:r>
        <w:rPr>
          <w:rStyle w:val="13"/>
        </w:rPr>
        <w:footnoteRef/>
      </w:r>
      <w:r>
        <w:t xml:space="preserve"> </w:t>
      </w:r>
      <w:r>
        <w:rPr>
          <w:rFonts w:ascii="Times New Roman" w:hAnsi="Times New Roman" w:cs="Times New Roman"/>
        </w:rPr>
        <w:t>参见马克昌主编：《百罪通论》，北京大学出版社2014年版，第943页。</w:t>
      </w:r>
    </w:p>
  </w:footnote>
  <w:footnote w:id="29">
    <w:p w14:paraId="5A47CC68">
      <w:pPr>
        <w:pStyle w:val="8"/>
      </w:pPr>
      <w:r>
        <w:rPr>
          <w:rStyle w:val="13"/>
        </w:rPr>
        <w:footnoteRef/>
      </w:r>
      <w:r>
        <w:t xml:space="preserve"> </w:t>
      </w:r>
      <w:r>
        <w:rPr>
          <w:rFonts w:hint="eastAsia"/>
        </w:rPr>
        <w:t>《最高人民检察院公安部关于公安机关管辖的刑事案件立案追诉标准的规定（一）的补充规定》规定：“在车站、码头、机场、医院、商场、公园、影剧院、展览会、运动场或者其他公共场所起哄闹事……”。</w:t>
      </w:r>
    </w:p>
  </w:footnote>
  <w:footnote w:id="30">
    <w:p w14:paraId="39F3B97A">
      <w:pPr>
        <w:pStyle w:val="8"/>
      </w:pPr>
      <w:r>
        <w:rPr>
          <w:rStyle w:val="13"/>
          <w:rFonts w:ascii="Times New Roman" w:hAnsi="Times New Roman" w:cs="Times New Roman"/>
        </w:rPr>
        <w:footnoteRef/>
      </w:r>
      <w:r>
        <w:rPr>
          <w:rFonts w:hint="eastAsia"/>
        </w:rPr>
        <w:t xml:space="preserve"> </w:t>
      </w:r>
      <w:r>
        <w:rPr>
          <w:rFonts w:ascii="Times New Roman" w:hAnsi="Times New Roman" w:cs="Times New Roman"/>
        </w:rPr>
        <w:t>参见王胜华</w:t>
      </w:r>
      <w:r>
        <w:rPr>
          <w:rFonts w:hint="eastAsia" w:ascii="Times New Roman" w:hAnsi="Times New Roman" w:cs="Times New Roman"/>
        </w:rPr>
        <w:t>，</w:t>
      </w:r>
      <w:r>
        <w:rPr>
          <w:rFonts w:ascii="Times New Roman" w:hAnsi="Times New Roman" w:cs="Times New Roman"/>
        </w:rPr>
        <w:t>周洲</w:t>
      </w:r>
      <w:r>
        <w:rPr>
          <w:rFonts w:hint="eastAsia" w:ascii="Times New Roman" w:hAnsi="Times New Roman" w:cs="Times New Roman"/>
        </w:rPr>
        <w:t>：《</w:t>
      </w:r>
      <w:r>
        <w:rPr>
          <w:rFonts w:ascii="Times New Roman" w:hAnsi="Times New Roman" w:cs="Times New Roman"/>
        </w:rPr>
        <w:t>网络型寻衅滋事罪司法认定的现实考察与问题省思</w:t>
      </w:r>
      <w:r>
        <w:rPr>
          <w:rFonts w:hint="eastAsia" w:ascii="Times New Roman" w:hAnsi="Times New Roman" w:cs="Times New Roman"/>
        </w:rPr>
        <w:t>》</w:t>
      </w:r>
      <w:r>
        <w:rPr>
          <w:rFonts w:ascii="Times New Roman" w:hAnsi="Times New Roman" w:cs="Times New Roman"/>
        </w:rPr>
        <w:t>，载《湖南工业大学学报(社会科学版)》2024年第3期，第79-80页。</w:t>
      </w:r>
    </w:p>
  </w:footnote>
  <w:footnote w:id="31">
    <w:p w14:paraId="5D1F1DA0">
      <w:pPr>
        <w:pStyle w:val="8"/>
      </w:pPr>
      <w:r>
        <w:rPr>
          <w:rStyle w:val="13"/>
          <w:rFonts w:ascii="Times New Roman" w:hAnsi="Times New Roman" w:cs="Times New Roman"/>
        </w:rPr>
        <w:footnoteRef/>
      </w:r>
      <w:r>
        <w:rPr>
          <w:rStyle w:val="13"/>
          <w:rFonts w:ascii="Times New Roman" w:hAnsi="Times New Roman" w:cs="Times New Roman"/>
        </w:rPr>
        <w:t xml:space="preserve"> </w:t>
      </w:r>
      <w:r>
        <w:rPr>
          <w:rFonts w:ascii="Times New Roman" w:hAnsi="Times New Roman" w:cs="Times New Roman"/>
        </w:rPr>
        <w:t>参见盛豪杰</w:t>
      </w:r>
      <w:r>
        <w:rPr>
          <w:rFonts w:hint="eastAsia" w:ascii="Times New Roman" w:hAnsi="Times New Roman" w:cs="Times New Roman"/>
        </w:rPr>
        <w:t>：《</w:t>
      </w:r>
      <w:r>
        <w:rPr>
          <w:rFonts w:ascii="Times New Roman" w:hAnsi="Times New Roman" w:cs="Times New Roman"/>
        </w:rPr>
        <w:t>网络寻衅滋事罪的刑法规制边界——以行为空间与结果空间的限缩解释为路径</w:t>
      </w:r>
      <w:r>
        <w:rPr>
          <w:rFonts w:hint="eastAsia" w:ascii="Times New Roman" w:hAnsi="Times New Roman" w:cs="Times New Roman"/>
        </w:rPr>
        <w:t>》，载《</w:t>
      </w:r>
      <w:r>
        <w:rPr>
          <w:rFonts w:ascii="Times New Roman" w:hAnsi="Times New Roman" w:cs="Times New Roman"/>
        </w:rPr>
        <w:t>江西警察学院学报</w:t>
      </w:r>
      <w:r>
        <w:rPr>
          <w:rFonts w:hint="eastAsia" w:ascii="Times New Roman" w:hAnsi="Times New Roman" w:cs="Times New Roman"/>
        </w:rPr>
        <w:t>》，</w:t>
      </w:r>
      <w:r>
        <w:rPr>
          <w:rFonts w:ascii="Times New Roman" w:hAnsi="Times New Roman" w:cs="Times New Roman"/>
        </w:rPr>
        <w:t>2019年第5期，第111页。</w:t>
      </w:r>
    </w:p>
  </w:footnote>
  <w:footnote w:id="32">
    <w:p w14:paraId="4690994C">
      <w:pPr>
        <w:pStyle w:val="8"/>
      </w:pPr>
      <w:r>
        <w:rPr>
          <w:rStyle w:val="13"/>
          <w:rFonts w:ascii="Times New Roman" w:hAnsi="Times New Roman" w:cs="Times New Roman"/>
        </w:rPr>
        <w:footnoteRef/>
      </w:r>
      <w:r>
        <w:rPr>
          <w:rStyle w:val="13"/>
          <w:rFonts w:ascii="Times New Roman" w:hAnsi="Times New Roman" w:cs="Times New Roman"/>
        </w:rPr>
        <w:t xml:space="preserve"> </w:t>
      </w:r>
      <w:r>
        <w:rPr>
          <w:rFonts w:ascii="Times New Roman" w:hAnsi="Times New Roman" w:cs="Times New Roman"/>
        </w:rPr>
        <w:t>《最高人民法院 最高人民检察院 公安部 司法部 关于办理性侵害未成年人刑事案件的意见》，</w:t>
      </w:r>
      <w:r>
        <w:rPr>
          <w:rFonts w:ascii="Times New Roman" w:hAnsi="Times New Roman" w:cs="Times New Roman"/>
          <w:color w:val="000000"/>
          <w:shd w:val="clear" w:color="auto" w:fill="FFFFFF"/>
        </w:rPr>
        <w:t>法释〔2023〕3号。</w:t>
      </w:r>
    </w:p>
  </w:footnote>
  <w:footnote w:id="33">
    <w:p w14:paraId="3ED0D3D2">
      <w:pPr>
        <w:pStyle w:val="8"/>
      </w:pPr>
      <w:r>
        <w:rPr>
          <w:rStyle w:val="13"/>
          <w:rFonts w:ascii="Times New Roman" w:hAnsi="Times New Roman" w:cs="Times New Roman"/>
        </w:rPr>
        <w:footnoteRef/>
      </w:r>
      <w:r>
        <w:t xml:space="preserve"> </w:t>
      </w:r>
      <w:r>
        <w:rPr>
          <w:rFonts w:ascii="Times New Roman" w:hAnsi="Times New Roman" w:cs="Times New Roman"/>
        </w:rPr>
        <w:t>参见何荣功：《刑法适用方法论》，北京大学出版社第2021年版，第66-67页。</w:t>
      </w:r>
    </w:p>
  </w:footnote>
  <w:footnote w:id="34">
    <w:p w14:paraId="06693496">
      <w:pPr>
        <w:pStyle w:val="8"/>
        <w:rPr>
          <w:rFonts w:ascii="Times New Roman" w:hAnsi="Times New Roman" w:cs="Times New Roman"/>
        </w:rPr>
      </w:pPr>
      <w:r>
        <w:rPr>
          <w:rStyle w:val="13"/>
          <w:rFonts w:ascii="Times New Roman" w:hAnsi="Times New Roman" w:cs="Times New Roman"/>
        </w:rPr>
        <w:footnoteRef/>
      </w:r>
      <w:r>
        <w:rPr>
          <w:rFonts w:ascii="Times New Roman" w:hAnsi="Times New Roman" w:cs="Times New Roman"/>
        </w:rPr>
        <w:t xml:space="preserve"> 参见李明泽：《元宇宙的公共场所性辨析》，载《长春师范大学学报》2024年第1期，第54-55页。</w:t>
      </w:r>
    </w:p>
  </w:footnote>
  <w:footnote w:id="35">
    <w:p w14:paraId="375ADD5F">
      <w:pPr>
        <w:pStyle w:val="8"/>
        <w:rPr>
          <w:rFonts w:ascii="Times New Roman" w:hAnsi="Times New Roman" w:cs="Times New Roman"/>
        </w:rPr>
      </w:pPr>
      <w:r>
        <w:rPr>
          <w:rStyle w:val="13"/>
          <w:rFonts w:ascii="Times New Roman" w:hAnsi="Times New Roman" w:cs="Times New Roman"/>
        </w:rPr>
        <w:footnoteRef/>
      </w:r>
      <w:r>
        <w:rPr>
          <w:rFonts w:ascii="Times New Roman" w:hAnsi="Times New Roman" w:cs="Times New Roman"/>
        </w:rPr>
        <w:t xml:space="preserve"> 参见车浩：《</w:t>
      </w:r>
      <w:r>
        <w:rPr>
          <w:rFonts w:hint="eastAsia" w:ascii="Times New Roman" w:hAnsi="Times New Roman" w:cs="Times New Roman"/>
        </w:rPr>
        <w:t>“</w:t>
      </w:r>
      <w:r>
        <w:rPr>
          <w:rFonts w:ascii="Times New Roman" w:hAnsi="Times New Roman" w:cs="Times New Roman"/>
        </w:rPr>
        <w:t>扒窃</w:t>
      </w:r>
      <w:r>
        <w:rPr>
          <w:rFonts w:hint="eastAsia" w:ascii="Times New Roman" w:hAnsi="Times New Roman" w:cs="Times New Roman"/>
        </w:rPr>
        <w:t>”</w:t>
      </w:r>
      <w:r>
        <w:rPr>
          <w:rFonts w:ascii="Times New Roman" w:hAnsi="Times New Roman" w:cs="Times New Roman"/>
        </w:rPr>
        <w:t>入刑：贴身禁忌与行为人刑法》，载《中国法学》2013年第1期，第129页。</w:t>
      </w:r>
    </w:p>
  </w:footnote>
  <w:footnote w:id="36">
    <w:p w14:paraId="2F120063">
      <w:pPr>
        <w:pStyle w:val="8"/>
        <w:rPr>
          <w:rFonts w:ascii="Times New Roman" w:hAnsi="Times New Roman" w:cs="Times New Roman"/>
        </w:rPr>
      </w:pPr>
      <w:r>
        <w:rPr>
          <w:rStyle w:val="13"/>
          <w:rFonts w:ascii="Times New Roman" w:hAnsi="Times New Roman" w:cs="Times New Roman"/>
        </w:rPr>
        <w:footnoteRef/>
      </w:r>
      <w:r>
        <w:rPr>
          <w:rFonts w:ascii="Times New Roman" w:hAnsi="Times New Roman" w:cs="Times New Roman"/>
        </w:rPr>
        <w:t xml:space="preserve"> 参见姜涛：《刑法解释的价值判断》，载《中国社会科学》20</w:t>
      </w:r>
      <w:bookmarkStart w:id="1" w:name="_GoBack"/>
      <w:bookmarkEnd w:id="1"/>
      <w:r>
        <w:rPr>
          <w:rFonts w:ascii="Times New Roman" w:hAnsi="Times New Roman" w:cs="Times New Roman"/>
        </w:rPr>
        <w:t>23年第7期，第138页。</w:t>
      </w:r>
    </w:p>
  </w:footnote>
  <w:footnote w:id="37">
    <w:p w14:paraId="02DF9C89">
      <w:pPr>
        <w:pStyle w:val="8"/>
        <w:rPr>
          <w:rFonts w:ascii="Times New Roman" w:hAnsi="Times New Roman" w:cs="Times New Roman"/>
        </w:rPr>
      </w:pPr>
      <w:r>
        <w:rPr>
          <w:rStyle w:val="13"/>
          <w:rFonts w:ascii="Times New Roman" w:hAnsi="Times New Roman" w:cs="Times New Roman"/>
        </w:rPr>
        <w:footnoteRef/>
      </w:r>
      <w:r>
        <w:rPr>
          <w:rFonts w:ascii="Times New Roman" w:hAnsi="Times New Roman" w:cs="Times New Roman"/>
        </w:rPr>
        <w:t>《造谣抹黑温州、涉嫌寻衅滋事！2024网络打谣</w:t>
      </w:r>
      <w:r>
        <w:rPr>
          <w:rFonts w:hint="eastAsia" w:ascii="Times New Roman" w:hAnsi="Times New Roman" w:cs="Times New Roman"/>
        </w:rPr>
        <w:t>“</w:t>
      </w:r>
      <w:r>
        <w:rPr>
          <w:rFonts w:ascii="Times New Roman" w:hAnsi="Times New Roman" w:cs="Times New Roman"/>
        </w:rPr>
        <w:t>第一案</w:t>
      </w:r>
      <w:r>
        <w:rPr>
          <w:rFonts w:hint="eastAsia" w:ascii="Times New Roman" w:hAnsi="Times New Roman" w:cs="Times New Roman"/>
        </w:rPr>
        <w:t>”</w:t>
      </w:r>
      <w:r>
        <w:rPr>
          <w:rFonts w:ascii="Times New Roman" w:hAnsi="Times New Roman" w:cs="Times New Roman"/>
        </w:rPr>
        <w:t>告破》，</w:t>
      </w:r>
      <w:r>
        <w:rPr>
          <w:rFonts w:hint="eastAsia" w:ascii="Times New Roman" w:hAnsi="Times New Roman" w:cs="Times New Roman"/>
        </w:rPr>
        <w:t>载微信公众号“温州公安”，</w:t>
      </w:r>
      <w:r>
        <w:rPr>
          <w:rFonts w:ascii="Times New Roman" w:hAnsi="Times New Roman" w:cs="Times New Roman"/>
        </w:rPr>
        <w:t>2024</w:t>
      </w:r>
      <w:r>
        <w:rPr>
          <w:rFonts w:hint="eastAsia" w:ascii="Times New Roman" w:hAnsi="Times New Roman" w:cs="Times New Roman"/>
        </w:rPr>
        <w:t>年</w:t>
      </w:r>
      <w:r>
        <w:rPr>
          <w:rFonts w:ascii="Times New Roman" w:hAnsi="Times New Roman" w:cs="Times New Roman"/>
        </w:rPr>
        <w:t>1</w:t>
      </w:r>
      <w:r>
        <w:rPr>
          <w:rFonts w:hint="eastAsia" w:ascii="Times New Roman" w:hAnsi="Times New Roman" w:cs="Times New Roman"/>
        </w:rPr>
        <w:t>月</w:t>
      </w:r>
      <w:r>
        <w:rPr>
          <w:rFonts w:ascii="Times New Roman" w:hAnsi="Times New Roman" w:cs="Times New Roman"/>
        </w:rPr>
        <w:t>5</w:t>
      </w:r>
      <w:r>
        <w:rPr>
          <w:rFonts w:hint="eastAsia" w:ascii="Times New Roman" w:hAnsi="Times New Roman" w:cs="Times New Roman"/>
        </w:rPr>
        <w:t>日。</w:t>
      </w:r>
    </w:p>
  </w:footnote>
  <w:footnote w:id="38">
    <w:p w14:paraId="655BE738">
      <w:pPr>
        <w:pStyle w:val="8"/>
      </w:pPr>
      <w:r>
        <w:rPr>
          <w:rStyle w:val="13"/>
        </w:rPr>
        <w:footnoteRef/>
      </w:r>
      <w:r>
        <w:t xml:space="preserve"> </w:t>
      </w:r>
      <w:r>
        <w:rPr>
          <w:rFonts w:ascii="Times New Roman" w:hAnsi="Times New Roman" w:cs="Times New Roman"/>
        </w:rPr>
        <w:t>参见车浩：《刑事立法的法教义学反思——基于《刑法修正案(九)》的分析》，载《法学》2015年第10期，第3页。</w:t>
      </w:r>
    </w:p>
  </w:footnote>
  <w:footnote w:id="39">
    <w:p w14:paraId="784496F0">
      <w:pPr>
        <w:pStyle w:val="8"/>
      </w:pPr>
      <w:r>
        <w:rPr>
          <w:rStyle w:val="13"/>
        </w:rPr>
        <w:footnoteRef/>
      </w:r>
      <w:r>
        <w:t xml:space="preserve"> </w:t>
      </w:r>
      <w:r>
        <w:rPr>
          <w:rFonts w:ascii="Times New Roman" w:hAnsi="Times New Roman" w:cs="Times New Roman"/>
        </w:rPr>
        <w:t>参见周光权：《刑事司法领域的宪法判断与刑法制度文明》，载《中国社会科学》2022年第8期，第20-21页。</w:t>
      </w:r>
    </w:p>
  </w:footnote>
  <w:footnote w:id="40">
    <w:p w14:paraId="39CAA301">
      <w:pPr>
        <w:pStyle w:val="8"/>
        <w:rPr>
          <w:rFonts w:ascii="Times New Roman" w:hAnsi="Times New Roman" w:cs="Times New Roman"/>
        </w:rPr>
      </w:pPr>
      <w:r>
        <w:rPr>
          <w:rStyle w:val="13"/>
          <w:rFonts w:ascii="Times New Roman" w:hAnsi="Times New Roman" w:cs="Times New Roman"/>
        </w:rPr>
        <w:footnoteRef/>
      </w:r>
      <w:r>
        <w:rPr>
          <w:rFonts w:hint="eastAsia" w:ascii="Times New Roman" w:hAnsi="Times New Roman" w:cs="Times New Roman"/>
        </w:rPr>
        <w:t xml:space="preserve"> </w:t>
      </w:r>
      <w:r>
        <w:rPr>
          <w:rFonts w:ascii="Times New Roman" w:hAnsi="Times New Roman" w:cs="Times New Roman"/>
        </w:rPr>
        <w:t>洪小强、洪礼沃、洪清泉、李志荣开设赌场案</w:t>
      </w:r>
      <w:r>
        <w:rPr>
          <w:rFonts w:hint="eastAsia" w:ascii="Times New Roman" w:hAnsi="Times New Roman" w:cs="Times New Roman"/>
        </w:rPr>
        <w:t>，最高人民法院</w:t>
      </w:r>
      <w:r>
        <w:rPr>
          <w:rFonts w:ascii="Times New Roman" w:hAnsi="Times New Roman" w:cs="Times New Roman"/>
        </w:rPr>
        <w:t>指导案例105号</w:t>
      </w:r>
      <w:r>
        <w:rPr>
          <w:rFonts w:hint="eastAsia" w:ascii="Times New Roman" w:hAnsi="Times New Roman" w:cs="Times New Roman"/>
        </w:rPr>
        <w:t>。</w:t>
      </w:r>
    </w:p>
  </w:footnote>
  <w:footnote w:id="41">
    <w:p w14:paraId="17637FD8">
      <w:pPr>
        <w:pStyle w:val="8"/>
      </w:pPr>
      <w:r>
        <w:rPr>
          <w:rStyle w:val="13"/>
          <w:rFonts w:ascii="Times New Roman" w:hAnsi="Times New Roman" w:cs="Times New Roman"/>
        </w:rPr>
        <w:footnoteRef/>
      </w:r>
      <w:r>
        <w:rPr>
          <w:rStyle w:val="13"/>
          <w:rFonts w:ascii="Times New Roman" w:hAnsi="Times New Roman" w:cs="Times New Roman"/>
        </w:rPr>
        <w:t xml:space="preserve"> </w:t>
      </w:r>
      <w:r>
        <w:rPr>
          <w:rFonts w:ascii="Times New Roman" w:hAnsi="Times New Roman" w:cs="Times New Roman"/>
        </w:rPr>
        <w:t>《抓捕现场曝光！网传男主播直播强奸未成年女性案告破》，载微信公众号</w:t>
      </w:r>
      <w:r>
        <w:rPr>
          <w:rFonts w:hint="eastAsia" w:ascii="Times New Roman" w:hAnsi="Times New Roman" w:cs="Times New Roman"/>
        </w:rPr>
        <w:t>“</w:t>
      </w:r>
      <w:r>
        <w:rPr>
          <w:rFonts w:ascii="Times New Roman" w:hAnsi="Times New Roman" w:cs="Times New Roman"/>
        </w:rPr>
        <w:t>云南警方</w:t>
      </w:r>
      <w:r>
        <w:rPr>
          <w:rFonts w:hint="eastAsia" w:ascii="Times New Roman" w:hAnsi="Times New Roman" w:cs="Times New Roman"/>
        </w:rPr>
        <w:t>”</w:t>
      </w:r>
      <w:r>
        <w:rPr>
          <w:rFonts w:ascii="Times New Roman" w:hAnsi="Times New Roman" w:cs="Times New Roman"/>
        </w:rPr>
        <w:t>，2020年10月10日。</w:t>
      </w:r>
    </w:p>
  </w:footnote>
  <w:footnote w:id="42">
    <w:p w14:paraId="1FCFD8A1">
      <w:pPr>
        <w:pStyle w:val="8"/>
      </w:pPr>
      <w:r>
        <w:rPr>
          <w:rStyle w:val="13"/>
          <w:rFonts w:ascii="Times New Roman" w:hAnsi="Times New Roman" w:cs="Times New Roman"/>
        </w:rPr>
        <w:footnoteRef/>
      </w:r>
      <w:r>
        <w:rPr>
          <w:rStyle w:val="13"/>
          <w:rFonts w:ascii="Times New Roman" w:hAnsi="Times New Roman" w:cs="Times New Roman"/>
        </w:rPr>
        <w:t xml:space="preserve"> </w:t>
      </w:r>
      <w:r>
        <w:rPr>
          <w:rFonts w:hint="eastAsia"/>
          <w:szCs w:val="21"/>
        </w:rPr>
        <w:t>由于未能搜集到更多案件详情，只能基于当前查明事实进行判断</w:t>
      </w:r>
      <w:r>
        <w:rPr>
          <w:rFonts w:hint="eastAsia"/>
        </w:rPr>
        <w:t>。</w:t>
      </w:r>
    </w:p>
  </w:footnote>
  <w:footnote w:id="43">
    <w:p w14:paraId="605D9866">
      <w:pPr>
        <w:pStyle w:val="8"/>
      </w:pPr>
      <w:r>
        <w:rPr>
          <w:rStyle w:val="13"/>
        </w:rPr>
        <w:footnoteRef/>
      </w:r>
      <w:r>
        <w:t xml:space="preserve"> </w:t>
      </w:r>
      <w:r>
        <w:rPr>
          <w:rFonts w:ascii="Times New Roman" w:hAnsi="Times New Roman" w:cs="Times New Roman"/>
        </w:rPr>
        <w:t>参见钱日彤：《网络猥亵儿童入罪的扩张解释与教义学检视》，载《河南警察学院学报》2023年第6期，第99-100页。</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50"/>
  <w:doNotDisplayPageBoundaries w:val="1"/>
  <w:bordersDoNotSurroundHeader w:val="1"/>
  <w:bordersDoNotSurroundFooter w:val="1"/>
  <w:hideSpellingErrors/>
  <w:hideGrammaticalErrors/>
  <w:documentProtection w:enforcement="0"/>
  <w:defaultTabStop w:val="420"/>
  <w:characterSpacingControl w:val="doNotCompress"/>
  <w:footnotePr>
    <w:numFmt w:val="decimalEnclosedCircleChinese"/>
    <w:numRestart w:val="eachPage"/>
    <w:footnote w:id="88"/>
    <w:footnote w:id="89"/>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Y3NWM3NWY0YTBkZDc0N2Q0NzljOTk3YmQzYTEwODgifQ=="/>
  </w:docVars>
  <w:rsids>
    <w:rsidRoot w:val="00DB1179"/>
    <w:rsid w:val="00000F00"/>
    <w:rsid w:val="000012AB"/>
    <w:rsid w:val="0000301A"/>
    <w:rsid w:val="00003730"/>
    <w:rsid w:val="000039A2"/>
    <w:rsid w:val="00007D4B"/>
    <w:rsid w:val="00007D6C"/>
    <w:rsid w:val="00015847"/>
    <w:rsid w:val="000159F9"/>
    <w:rsid w:val="00021229"/>
    <w:rsid w:val="0002402D"/>
    <w:rsid w:val="00026286"/>
    <w:rsid w:val="00027DC2"/>
    <w:rsid w:val="00030A30"/>
    <w:rsid w:val="0003115B"/>
    <w:rsid w:val="000364E1"/>
    <w:rsid w:val="00043C42"/>
    <w:rsid w:val="00044DF0"/>
    <w:rsid w:val="00050DCB"/>
    <w:rsid w:val="00055FEE"/>
    <w:rsid w:val="00061AE2"/>
    <w:rsid w:val="00062A8E"/>
    <w:rsid w:val="00064CBE"/>
    <w:rsid w:val="000659E9"/>
    <w:rsid w:val="000660D0"/>
    <w:rsid w:val="0006727B"/>
    <w:rsid w:val="00067821"/>
    <w:rsid w:val="000734BA"/>
    <w:rsid w:val="000738DA"/>
    <w:rsid w:val="0007647E"/>
    <w:rsid w:val="00081F9F"/>
    <w:rsid w:val="00082DFF"/>
    <w:rsid w:val="0008509F"/>
    <w:rsid w:val="0009183D"/>
    <w:rsid w:val="00091AC6"/>
    <w:rsid w:val="000962C8"/>
    <w:rsid w:val="000A1DED"/>
    <w:rsid w:val="000A65B8"/>
    <w:rsid w:val="000B0EAA"/>
    <w:rsid w:val="000B2F03"/>
    <w:rsid w:val="000B58B2"/>
    <w:rsid w:val="000B7BBD"/>
    <w:rsid w:val="000C04EE"/>
    <w:rsid w:val="000C48CE"/>
    <w:rsid w:val="000C4C74"/>
    <w:rsid w:val="000C5987"/>
    <w:rsid w:val="000C5EDC"/>
    <w:rsid w:val="000C62A0"/>
    <w:rsid w:val="000C6FF1"/>
    <w:rsid w:val="000D3AF3"/>
    <w:rsid w:val="000D5F55"/>
    <w:rsid w:val="000D611C"/>
    <w:rsid w:val="000D7092"/>
    <w:rsid w:val="000E01B1"/>
    <w:rsid w:val="000E1F10"/>
    <w:rsid w:val="000E781D"/>
    <w:rsid w:val="000F0998"/>
    <w:rsid w:val="000F2A5C"/>
    <w:rsid w:val="000F39E0"/>
    <w:rsid w:val="000F3C84"/>
    <w:rsid w:val="000F4ECE"/>
    <w:rsid w:val="000F576B"/>
    <w:rsid w:val="001001C3"/>
    <w:rsid w:val="001033F8"/>
    <w:rsid w:val="00103895"/>
    <w:rsid w:val="00103CBB"/>
    <w:rsid w:val="00104EC0"/>
    <w:rsid w:val="00107815"/>
    <w:rsid w:val="00113E65"/>
    <w:rsid w:val="001177F3"/>
    <w:rsid w:val="00121B5D"/>
    <w:rsid w:val="0012308C"/>
    <w:rsid w:val="001234FF"/>
    <w:rsid w:val="00124016"/>
    <w:rsid w:val="00126D86"/>
    <w:rsid w:val="00133BAD"/>
    <w:rsid w:val="00136FA5"/>
    <w:rsid w:val="00137B2C"/>
    <w:rsid w:val="001420AA"/>
    <w:rsid w:val="00142FF0"/>
    <w:rsid w:val="00143465"/>
    <w:rsid w:val="001439B1"/>
    <w:rsid w:val="00144407"/>
    <w:rsid w:val="00145290"/>
    <w:rsid w:val="00146D85"/>
    <w:rsid w:val="00150028"/>
    <w:rsid w:val="00152179"/>
    <w:rsid w:val="00152290"/>
    <w:rsid w:val="00152D17"/>
    <w:rsid w:val="00153CC3"/>
    <w:rsid w:val="001576AE"/>
    <w:rsid w:val="00160691"/>
    <w:rsid w:val="00160A6B"/>
    <w:rsid w:val="00171326"/>
    <w:rsid w:val="001757DB"/>
    <w:rsid w:val="00176749"/>
    <w:rsid w:val="00177BB4"/>
    <w:rsid w:val="00180891"/>
    <w:rsid w:val="00181119"/>
    <w:rsid w:val="00187A18"/>
    <w:rsid w:val="00191963"/>
    <w:rsid w:val="00197F2A"/>
    <w:rsid w:val="001A026E"/>
    <w:rsid w:val="001A066F"/>
    <w:rsid w:val="001A3288"/>
    <w:rsid w:val="001A3FCD"/>
    <w:rsid w:val="001A568F"/>
    <w:rsid w:val="001A608D"/>
    <w:rsid w:val="001A7CBB"/>
    <w:rsid w:val="001B061D"/>
    <w:rsid w:val="001B0A5D"/>
    <w:rsid w:val="001B2D99"/>
    <w:rsid w:val="001B4CFF"/>
    <w:rsid w:val="001C7A4E"/>
    <w:rsid w:val="001C7F5D"/>
    <w:rsid w:val="001D0ADD"/>
    <w:rsid w:val="001D1314"/>
    <w:rsid w:val="001D2F3A"/>
    <w:rsid w:val="001D5DB1"/>
    <w:rsid w:val="001D7412"/>
    <w:rsid w:val="001D7CB9"/>
    <w:rsid w:val="001E1960"/>
    <w:rsid w:val="001E1AAB"/>
    <w:rsid w:val="001E1F6A"/>
    <w:rsid w:val="001E2364"/>
    <w:rsid w:val="001E7B1D"/>
    <w:rsid w:val="001F23F0"/>
    <w:rsid w:val="001F7EA4"/>
    <w:rsid w:val="002011B5"/>
    <w:rsid w:val="00201215"/>
    <w:rsid w:val="00212282"/>
    <w:rsid w:val="002134BA"/>
    <w:rsid w:val="002137F8"/>
    <w:rsid w:val="00215F3A"/>
    <w:rsid w:val="00221A3B"/>
    <w:rsid w:val="00223522"/>
    <w:rsid w:val="002326D3"/>
    <w:rsid w:val="002334F7"/>
    <w:rsid w:val="00233B1B"/>
    <w:rsid w:val="00234C1F"/>
    <w:rsid w:val="00234D7C"/>
    <w:rsid w:val="00236020"/>
    <w:rsid w:val="00242510"/>
    <w:rsid w:val="0024665B"/>
    <w:rsid w:val="00247FBB"/>
    <w:rsid w:val="0026076A"/>
    <w:rsid w:val="00263063"/>
    <w:rsid w:val="00263E07"/>
    <w:rsid w:val="00265495"/>
    <w:rsid w:val="00265E61"/>
    <w:rsid w:val="0026643A"/>
    <w:rsid w:val="00267865"/>
    <w:rsid w:val="00271A32"/>
    <w:rsid w:val="002730D4"/>
    <w:rsid w:val="00273BEF"/>
    <w:rsid w:val="00274DAE"/>
    <w:rsid w:val="00277E6D"/>
    <w:rsid w:val="00281D08"/>
    <w:rsid w:val="00282F82"/>
    <w:rsid w:val="00285C2E"/>
    <w:rsid w:val="00290F0A"/>
    <w:rsid w:val="00297302"/>
    <w:rsid w:val="00297AE2"/>
    <w:rsid w:val="002A1BB1"/>
    <w:rsid w:val="002A3F76"/>
    <w:rsid w:val="002A5E92"/>
    <w:rsid w:val="002A6D0C"/>
    <w:rsid w:val="002A7021"/>
    <w:rsid w:val="002B46BC"/>
    <w:rsid w:val="002C2155"/>
    <w:rsid w:val="002C59C7"/>
    <w:rsid w:val="002C77B3"/>
    <w:rsid w:val="002D0991"/>
    <w:rsid w:val="002D63E8"/>
    <w:rsid w:val="002D6C03"/>
    <w:rsid w:val="002D772F"/>
    <w:rsid w:val="002E1C24"/>
    <w:rsid w:val="002E2B88"/>
    <w:rsid w:val="002E3DA8"/>
    <w:rsid w:val="002E43C2"/>
    <w:rsid w:val="002E4C37"/>
    <w:rsid w:val="002E5798"/>
    <w:rsid w:val="002E7C17"/>
    <w:rsid w:val="002F000F"/>
    <w:rsid w:val="002F037D"/>
    <w:rsid w:val="002F3EAD"/>
    <w:rsid w:val="002F59A7"/>
    <w:rsid w:val="002F612E"/>
    <w:rsid w:val="00300CF3"/>
    <w:rsid w:val="0030198E"/>
    <w:rsid w:val="00301BD4"/>
    <w:rsid w:val="00302D7C"/>
    <w:rsid w:val="0030742C"/>
    <w:rsid w:val="00310755"/>
    <w:rsid w:val="0031223F"/>
    <w:rsid w:val="00314A5E"/>
    <w:rsid w:val="003150C1"/>
    <w:rsid w:val="003160C6"/>
    <w:rsid w:val="00322519"/>
    <w:rsid w:val="00330FC1"/>
    <w:rsid w:val="00331BFD"/>
    <w:rsid w:val="0033373C"/>
    <w:rsid w:val="00333910"/>
    <w:rsid w:val="00333D4C"/>
    <w:rsid w:val="00336C68"/>
    <w:rsid w:val="0034176F"/>
    <w:rsid w:val="003422E7"/>
    <w:rsid w:val="00347C45"/>
    <w:rsid w:val="00350048"/>
    <w:rsid w:val="00357510"/>
    <w:rsid w:val="00360A37"/>
    <w:rsid w:val="0036131E"/>
    <w:rsid w:val="00363505"/>
    <w:rsid w:val="003664C1"/>
    <w:rsid w:val="003673CC"/>
    <w:rsid w:val="00370ECF"/>
    <w:rsid w:val="00372964"/>
    <w:rsid w:val="00377E85"/>
    <w:rsid w:val="003814E9"/>
    <w:rsid w:val="00382B0B"/>
    <w:rsid w:val="00382D3A"/>
    <w:rsid w:val="0038441E"/>
    <w:rsid w:val="00385EEF"/>
    <w:rsid w:val="003952FE"/>
    <w:rsid w:val="0039599A"/>
    <w:rsid w:val="003A1944"/>
    <w:rsid w:val="003A314E"/>
    <w:rsid w:val="003A3296"/>
    <w:rsid w:val="003A32CC"/>
    <w:rsid w:val="003A3E85"/>
    <w:rsid w:val="003A4F9E"/>
    <w:rsid w:val="003B1BBA"/>
    <w:rsid w:val="003B6893"/>
    <w:rsid w:val="003C1D0D"/>
    <w:rsid w:val="003C2B7C"/>
    <w:rsid w:val="003C3101"/>
    <w:rsid w:val="003C4723"/>
    <w:rsid w:val="003C4F50"/>
    <w:rsid w:val="003C5B9E"/>
    <w:rsid w:val="003D3897"/>
    <w:rsid w:val="003D686A"/>
    <w:rsid w:val="003D795F"/>
    <w:rsid w:val="003E1259"/>
    <w:rsid w:val="003E32EA"/>
    <w:rsid w:val="003E3AD5"/>
    <w:rsid w:val="003E65EC"/>
    <w:rsid w:val="003E6B8C"/>
    <w:rsid w:val="003F0FC9"/>
    <w:rsid w:val="003F2866"/>
    <w:rsid w:val="003F5362"/>
    <w:rsid w:val="003F66E1"/>
    <w:rsid w:val="004027E3"/>
    <w:rsid w:val="004030AE"/>
    <w:rsid w:val="00404EDF"/>
    <w:rsid w:val="00405686"/>
    <w:rsid w:val="00412E07"/>
    <w:rsid w:val="00414134"/>
    <w:rsid w:val="0041494B"/>
    <w:rsid w:val="004164E1"/>
    <w:rsid w:val="00417138"/>
    <w:rsid w:val="0042372F"/>
    <w:rsid w:val="00423C0A"/>
    <w:rsid w:val="00424001"/>
    <w:rsid w:val="00426691"/>
    <w:rsid w:val="00431547"/>
    <w:rsid w:val="004316FA"/>
    <w:rsid w:val="00431F65"/>
    <w:rsid w:val="004321F3"/>
    <w:rsid w:val="004354AB"/>
    <w:rsid w:val="00435F85"/>
    <w:rsid w:val="004417A0"/>
    <w:rsid w:val="00445AFC"/>
    <w:rsid w:val="00445FE4"/>
    <w:rsid w:val="00450EDD"/>
    <w:rsid w:val="00453340"/>
    <w:rsid w:val="00457EE5"/>
    <w:rsid w:val="00461130"/>
    <w:rsid w:val="00461609"/>
    <w:rsid w:val="0046484C"/>
    <w:rsid w:val="004659A0"/>
    <w:rsid w:val="004664EB"/>
    <w:rsid w:val="0046710F"/>
    <w:rsid w:val="00470C56"/>
    <w:rsid w:val="0047157B"/>
    <w:rsid w:val="004716E1"/>
    <w:rsid w:val="004719D7"/>
    <w:rsid w:val="00477B0C"/>
    <w:rsid w:val="00481B83"/>
    <w:rsid w:val="004826FA"/>
    <w:rsid w:val="00483390"/>
    <w:rsid w:val="004846D3"/>
    <w:rsid w:val="0049056B"/>
    <w:rsid w:val="00493390"/>
    <w:rsid w:val="00495775"/>
    <w:rsid w:val="004A2227"/>
    <w:rsid w:val="004A43FB"/>
    <w:rsid w:val="004A4E2E"/>
    <w:rsid w:val="004B1D1F"/>
    <w:rsid w:val="004B24A2"/>
    <w:rsid w:val="004B54A0"/>
    <w:rsid w:val="004B62EF"/>
    <w:rsid w:val="004B7CD9"/>
    <w:rsid w:val="004C150E"/>
    <w:rsid w:val="004C2D4C"/>
    <w:rsid w:val="004C72E2"/>
    <w:rsid w:val="004C7A33"/>
    <w:rsid w:val="004D0E80"/>
    <w:rsid w:val="004D1E1D"/>
    <w:rsid w:val="004D643F"/>
    <w:rsid w:val="004D707C"/>
    <w:rsid w:val="004D7B55"/>
    <w:rsid w:val="004E17FE"/>
    <w:rsid w:val="004E3371"/>
    <w:rsid w:val="004E5569"/>
    <w:rsid w:val="004F65EF"/>
    <w:rsid w:val="00504945"/>
    <w:rsid w:val="00507E12"/>
    <w:rsid w:val="005106D3"/>
    <w:rsid w:val="00511177"/>
    <w:rsid w:val="00511611"/>
    <w:rsid w:val="00513C18"/>
    <w:rsid w:val="005146E9"/>
    <w:rsid w:val="00516AB9"/>
    <w:rsid w:val="00517190"/>
    <w:rsid w:val="00517D83"/>
    <w:rsid w:val="00521FF3"/>
    <w:rsid w:val="00522BFE"/>
    <w:rsid w:val="005267B0"/>
    <w:rsid w:val="00527C1E"/>
    <w:rsid w:val="00531835"/>
    <w:rsid w:val="005323F7"/>
    <w:rsid w:val="0053439C"/>
    <w:rsid w:val="00537697"/>
    <w:rsid w:val="005376A1"/>
    <w:rsid w:val="005416D9"/>
    <w:rsid w:val="005425B0"/>
    <w:rsid w:val="00552234"/>
    <w:rsid w:val="00552839"/>
    <w:rsid w:val="005537E8"/>
    <w:rsid w:val="00554240"/>
    <w:rsid w:val="00557A36"/>
    <w:rsid w:val="00560234"/>
    <w:rsid w:val="00560400"/>
    <w:rsid w:val="00561BF5"/>
    <w:rsid w:val="00573E76"/>
    <w:rsid w:val="0057616B"/>
    <w:rsid w:val="00586628"/>
    <w:rsid w:val="00587BC0"/>
    <w:rsid w:val="00593890"/>
    <w:rsid w:val="0059698C"/>
    <w:rsid w:val="00596F8E"/>
    <w:rsid w:val="005A210F"/>
    <w:rsid w:val="005A2FE5"/>
    <w:rsid w:val="005A32DC"/>
    <w:rsid w:val="005A7917"/>
    <w:rsid w:val="005B0356"/>
    <w:rsid w:val="005B60D1"/>
    <w:rsid w:val="005B7719"/>
    <w:rsid w:val="005C05E3"/>
    <w:rsid w:val="005C30AE"/>
    <w:rsid w:val="005C60F0"/>
    <w:rsid w:val="005C6B84"/>
    <w:rsid w:val="005D0357"/>
    <w:rsid w:val="005D1809"/>
    <w:rsid w:val="005D74CA"/>
    <w:rsid w:val="005E06DB"/>
    <w:rsid w:val="005E0F8B"/>
    <w:rsid w:val="005F1485"/>
    <w:rsid w:val="005F213C"/>
    <w:rsid w:val="005F3B9C"/>
    <w:rsid w:val="00600E4E"/>
    <w:rsid w:val="006013BD"/>
    <w:rsid w:val="00602A1C"/>
    <w:rsid w:val="00602BA9"/>
    <w:rsid w:val="00602EDF"/>
    <w:rsid w:val="006133F0"/>
    <w:rsid w:val="00613690"/>
    <w:rsid w:val="006214C6"/>
    <w:rsid w:val="00622429"/>
    <w:rsid w:val="00624EAB"/>
    <w:rsid w:val="006260EA"/>
    <w:rsid w:val="00626EE4"/>
    <w:rsid w:val="006301C8"/>
    <w:rsid w:val="00631973"/>
    <w:rsid w:val="00635DEC"/>
    <w:rsid w:val="00640C17"/>
    <w:rsid w:val="00642614"/>
    <w:rsid w:val="00642B23"/>
    <w:rsid w:val="0064422D"/>
    <w:rsid w:val="006442BD"/>
    <w:rsid w:val="00645B04"/>
    <w:rsid w:val="00646006"/>
    <w:rsid w:val="00651006"/>
    <w:rsid w:val="00660312"/>
    <w:rsid w:val="0066158C"/>
    <w:rsid w:val="00662C03"/>
    <w:rsid w:val="0067162C"/>
    <w:rsid w:val="00671824"/>
    <w:rsid w:val="00675CBD"/>
    <w:rsid w:val="006800DA"/>
    <w:rsid w:val="00681A00"/>
    <w:rsid w:val="00682BFD"/>
    <w:rsid w:val="006848FE"/>
    <w:rsid w:val="006876EE"/>
    <w:rsid w:val="006928F9"/>
    <w:rsid w:val="006945E5"/>
    <w:rsid w:val="006954FD"/>
    <w:rsid w:val="006A31B6"/>
    <w:rsid w:val="006A4624"/>
    <w:rsid w:val="006A5036"/>
    <w:rsid w:val="006A548A"/>
    <w:rsid w:val="006A7E6B"/>
    <w:rsid w:val="006B0C24"/>
    <w:rsid w:val="006B1F11"/>
    <w:rsid w:val="006B34B2"/>
    <w:rsid w:val="006B3AA2"/>
    <w:rsid w:val="006B4893"/>
    <w:rsid w:val="006B6FC3"/>
    <w:rsid w:val="006C139A"/>
    <w:rsid w:val="006C5A4D"/>
    <w:rsid w:val="006C78A1"/>
    <w:rsid w:val="006D3361"/>
    <w:rsid w:val="006D775D"/>
    <w:rsid w:val="006E0C45"/>
    <w:rsid w:val="006E0D19"/>
    <w:rsid w:val="006E5D53"/>
    <w:rsid w:val="006E686E"/>
    <w:rsid w:val="006F6964"/>
    <w:rsid w:val="006F6EC3"/>
    <w:rsid w:val="006F751C"/>
    <w:rsid w:val="00701630"/>
    <w:rsid w:val="0070418F"/>
    <w:rsid w:val="0070566D"/>
    <w:rsid w:val="00705B56"/>
    <w:rsid w:val="00705D16"/>
    <w:rsid w:val="00707EBC"/>
    <w:rsid w:val="0071159D"/>
    <w:rsid w:val="00711BF1"/>
    <w:rsid w:val="0071237F"/>
    <w:rsid w:val="0071379B"/>
    <w:rsid w:val="00713A39"/>
    <w:rsid w:val="007143E9"/>
    <w:rsid w:val="0071466B"/>
    <w:rsid w:val="0072012E"/>
    <w:rsid w:val="00733873"/>
    <w:rsid w:val="00735FC2"/>
    <w:rsid w:val="0074089B"/>
    <w:rsid w:val="00741DC6"/>
    <w:rsid w:val="00742CA8"/>
    <w:rsid w:val="00742E3F"/>
    <w:rsid w:val="007468D0"/>
    <w:rsid w:val="0075153F"/>
    <w:rsid w:val="0075330C"/>
    <w:rsid w:val="007537E3"/>
    <w:rsid w:val="00754832"/>
    <w:rsid w:val="007606CE"/>
    <w:rsid w:val="007622D1"/>
    <w:rsid w:val="00765780"/>
    <w:rsid w:val="00771B97"/>
    <w:rsid w:val="00776A7F"/>
    <w:rsid w:val="00780C45"/>
    <w:rsid w:val="00783946"/>
    <w:rsid w:val="007849C6"/>
    <w:rsid w:val="0079086E"/>
    <w:rsid w:val="007909DA"/>
    <w:rsid w:val="0079321B"/>
    <w:rsid w:val="00796A01"/>
    <w:rsid w:val="00797288"/>
    <w:rsid w:val="007A3B34"/>
    <w:rsid w:val="007B27E6"/>
    <w:rsid w:val="007B6941"/>
    <w:rsid w:val="007C2775"/>
    <w:rsid w:val="007C2A46"/>
    <w:rsid w:val="007C6519"/>
    <w:rsid w:val="007C655A"/>
    <w:rsid w:val="007D1177"/>
    <w:rsid w:val="007D4A20"/>
    <w:rsid w:val="007D7BD4"/>
    <w:rsid w:val="007E09EA"/>
    <w:rsid w:val="007E39DD"/>
    <w:rsid w:val="007E466B"/>
    <w:rsid w:val="007E4CBB"/>
    <w:rsid w:val="007E52F3"/>
    <w:rsid w:val="007F3B34"/>
    <w:rsid w:val="007F42A7"/>
    <w:rsid w:val="007F4409"/>
    <w:rsid w:val="007F5C46"/>
    <w:rsid w:val="007F72D1"/>
    <w:rsid w:val="007F7DCD"/>
    <w:rsid w:val="008014B0"/>
    <w:rsid w:val="00801B9E"/>
    <w:rsid w:val="00802AB2"/>
    <w:rsid w:val="00803671"/>
    <w:rsid w:val="0080429D"/>
    <w:rsid w:val="008044FD"/>
    <w:rsid w:val="00804646"/>
    <w:rsid w:val="0080620C"/>
    <w:rsid w:val="00806EB2"/>
    <w:rsid w:val="00812E8C"/>
    <w:rsid w:val="008148D5"/>
    <w:rsid w:val="00820FAC"/>
    <w:rsid w:val="008234CE"/>
    <w:rsid w:val="00823932"/>
    <w:rsid w:val="0082434B"/>
    <w:rsid w:val="00824BB1"/>
    <w:rsid w:val="00826501"/>
    <w:rsid w:val="00827DD6"/>
    <w:rsid w:val="00831D40"/>
    <w:rsid w:val="008359D0"/>
    <w:rsid w:val="00836B2D"/>
    <w:rsid w:val="00836EDB"/>
    <w:rsid w:val="008421C2"/>
    <w:rsid w:val="0084318A"/>
    <w:rsid w:val="00843C27"/>
    <w:rsid w:val="008503FE"/>
    <w:rsid w:val="00855ECD"/>
    <w:rsid w:val="00860BC0"/>
    <w:rsid w:val="00866EC0"/>
    <w:rsid w:val="008702B9"/>
    <w:rsid w:val="0087158C"/>
    <w:rsid w:val="008716F9"/>
    <w:rsid w:val="00874D6A"/>
    <w:rsid w:val="008765D1"/>
    <w:rsid w:val="00876AF8"/>
    <w:rsid w:val="00876DBB"/>
    <w:rsid w:val="008806BA"/>
    <w:rsid w:val="00880A8A"/>
    <w:rsid w:val="00882859"/>
    <w:rsid w:val="00886805"/>
    <w:rsid w:val="008877B5"/>
    <w:rsid w:val="00891926"/>
    <w:rsid w:val="0089209B"/>
    <w:rsid w:val="00893581"/>
    <w:rsid w:val="00894979"/>
    <w:rsid w:val="00895FCF"/>
    <w:rsid w:val="0089766B"/>
    <w:rsid w:val="008A25A7"/>
    <w:rsid w:val="008A32C5"/>
    <w:rsid w:val="008A4A6F"/>
    <w:rsid w:val="008A50B6"/>
    <w:rsid w:val="008A53C0"/>
    <w:rsid w:val="008A62BF"/>
    <w:rsid w:val="008A79E9"/>
    <w:rsid w:val="008B2731"/>
    <w:rsid w:val="008B3020"/>
    <w:rsid w:val="008B40D2"/>
    <w:rsid w:val="008B515C"/>
    <w:rsid w:val="008B6323"/>
    <w:rsid w:val="008C04CF"/>
    <w:rsid w:val="008C0929"/>
    <w:rsid w:val="008C10BB"/>
    <w:rsid w:val="008C3DE8"/>
    <w:rsid w:val="008C53AB"/>
    <w:rsid w:val="008D03DB"/>
    <w:rsid w:val="008D42E1"/>
    <w:rsid w:val="008D57CB"/>
    <w:rsid w:val="008D6CF5"/>
    <w:rsid w:val="008D7F6C"/>
    <w:rsid w:val="008E0402"/>
    <w:rsid w:val="008E1517"/>
    <w:rsid w:val="008E7295"/>
    <w:rsid w:val="008F18A6"/>
    <w:rsid w:val="008F3BA7"/>
    <w:rsid w:val="008F7DF0"/>
    <w:rsid w:val="00900BDB"/>
    <w:rsid w:val="00906D4D"/>
    <w:rsid w:val="00907216"/>
    <w:rsid w:val="0091085F"/>
    <w:rsid w:val="0091372E"/>
    <w:rsid w:val="00913CBA"/>
    <w:rsid w:val="00914BE9"/>
    <w:rsid w:val="00915323"/>
    <w:rsid w:val="00916F3D"/>
    <w:rsid w:val="0091703F"/>
    <w:rsid w:val="009178B5"/>
    <w:rsid w:val="00917EE3"/>
    <w:rsid w:val="00920333"/>
    <w:rsid w:val="00920631"/>
    <w:rsid w:val="009209AC"/>
    <w:rsid w:val="00926673"/>
    <w:rsid w:val="009276DF"/>
    <w:rsid w:val="00927A1C"/>
    <w:rsid w:val="00930A87"/>
    <w:rsid w:val="00934FA4"/>
    <w:rsid w:val="00935E75"/>
    <w:rsid w:val="00947900"/>
    <w:rsid w:val="00955434"/>
    <w:rsid w:val="009564ED"/>
    <w:rsid w:val="009569D1"/>
    <w:rsid w:val="00960989"/>
    <w:rsid w:val="009619B2"/>
    <w:rsid w:val="009622E0"/>
    <w:rsid w:val="00963963"/>
    <w:rsid w:val="00965C4E"/>
    <w:rsid w:val="00965DB9"/>
    <w:rsid w:val="009678A8"/>
    <w:rsid w:val="009701E8"/>
    <w:rsid w:val="00973029"/>
    <w:rsid w:val="00982367"/>
    <w:rsid w:val="0098459D"/>
    <w:rsid w:val="00985214"/>
    <w:rsid w:val="00990459"/>
    <w:rsid w:val="009941B7"/>
    <w:rsid w:val="00995AC8"/>
    <w:rsid w:val="009A0456"/>
    <w:rsid w:val="009A34B0"/>
    <w:rsid w:val="009B0D08"/>
    <w:rsid w:val="009B2B65"/>
    <w:rsid w:val="009B3741"/>
    <w:rsid w:val="009B3F00"/>
    <w:rsid w:val="009B6869"/>
    <w:rsid w:val="009B6DB3"/>
    <w:rsid w:val="009C303E"/>
    <w:rsid w:val="009C30A0"/>
    <w:rsid w:val="009D6231"/>
    <w:rsid w:val="009E00F0"/>
    <w:rsid w:val="009E2837"/>
    <w:rsid w:val="009E4687"/>
    <w:rsid w:val="009F3D33"/>
    <w:rsid w:val="009F427D"/>
    <w:rsid w:val="009F7AD1"/>
    <w:rsid w:val="009F7E24"/>
    <w:rsid w:val="00A004D6"/>
    <w:rsid w:val="00A02443"/>
    <w:rsid w:val="00A02BD4"/>
    <w:rsid w:val="00A07766"/>
    <w:rsid w:val="00A1051D"/>
    <w:rsid w:val="00A10884"/>
    <w:rsid w:val="00A10A1B"/>
    <w:rsid w:val="00A12283"/>
    <w:rsid w:val="00A1302E"/>
    <w:rsid w:val="00A175CE"/>
    <w:rsid w:val="00A20897"/>
    <w:rsid w:val="00A21BB0"/>
    <w:rsid w:val="00A228B7"/>
    <w:rsid w:val="00A239D8"/>
    <w:rsid w:val="00A26B04"/>
    <w:rsid w:val="00A30209"/>
    <w:rsid w:val="00A35215"/>
    <w:rsid w:val="00A366EB"/>
    <w:rsid w:val="00A37EC4"/>
    <w:rsid w:val="00A40710"/>
    <w:rsid w:val="00A42B81"/>
    <w:rsid w:val="00A43E8A"/>
    <w:rsid w:val="00A447F8"/>
    <w:rsid w:val="00A45023"/>
    <w:rsid w:val="00A456A2"/>
    <w:rsid w:val="00A46B6E"/>
    <w:rsid w:val="00A51737"/>
    <w:rsid w:val="00A519F8"/>
    <w:rsid w:val="00A53C57"/>
    <w:rsid w:val="00A5782D"/>
    <w:rsid w:val="00A6016B"/>
    <w:rsid w:val="00A624CA"/>
    <w:rsid w:val="00A64D92"/>
    <w:rsid w:val="00A66F9C"/>
    <w:rsid w:val="00A727E5"/>
    <w:rsid w:val="00A72C96"/>
    <w:rsid w:val="00A733B5"/>
    <w:rsid w:val="00A74160"/>
    <w:rsid w:val="00A7584B"/>
    <w:rsid w:val="00A83DDB"/>
    <w:rsid w:val="00A84A92"/>
    <w:rsid w:val="00A902D2"/>
    <w:rsid w:val="00AA0FB0"/>
    <w:rsid w:val="00AA3C44"/>
    <w:rsid w:val="00AB02CC"/>
    <w:rsid w:val="00AB053E"/>
    <w:rsid w:val="00AB2D51"/>
    <w:rsid w:val="00AB7663"/>
    <w:rsid w:val="00AC0FD7"/>
    <w:rsid w:val="00AD17C7"/>
    <w:rsid w:val="00AD3EB2"/>
    <w:rsid w:val="00AD4CBB"/>
    <w:rsid w:val="00AD6549"/>
    <w:rsid w:val="00AD77F4"/>
    <w:rsid w:val="00AE15F0"/>
    <w:rsid w:val="00AE309D"/>
    <w:rsid w:val="00AE3461"/>
    <w:rsid w:val="00AE437B"/>
    <w:rsid w:val="00AE5EAB"/>
    <w:rsid w:val="00AE77A6"/>
    <w:rsid w:val="00AF2437"/>
    <w:rsid w:val="00AF503A"/>
    <w:rsid w:val="00B03308"/>
    <w:rsid w:val="00B06B0E"/>
    <w:rsid w:val="00B1358F"/>
    <w:rsid w:val="00B13D95"/>
    <w:rsid w:val="00B20262"/>
    <w:rsid w:val="00B2134A"/>
    <w:rsid w:val="00B21654"/>
    <w:rsid w:val="00B257AF"/>
    <w:rsid w:val="00B25E43"/>
    <w:rsid w:val="00B3082D"/>
    <w:rsid w:val="00B3300A"/>
    <w:rsid w:val="00B33B21"/>
    <w:rsid w:val="00B4387C"/>
    <w:rsid w:val="00B43B0A"/>
    <w:rsid w:val="00B468DA"/>
    <w:rsid w:val="00B50BCB"/>
    <w:rsid w:val="00B51F9C"/>
    <w:rsid w:val="00B6033D"/>
    <w:rsid w:val="00B60E9C"/>
    <w:rsid w:val="00B64CD3"/>
    <w:rsid w:val="00B65D9A"/>
    <w:rsid w:val="00B66EAB"/>
    <w:rsid w:val="00B66F31"/>
    <w:rsid w:val="00B70934"/>
    <w:rsid w:val="00B7274D"/>
    <w:rsid w:val="00B83824"/>
    <w:rsid w:val="00B857D5"/>
    <w:rsid w:val="00B86325"/>
    <w:rsid w:val="00B866D4"/>
    <w:rsid w:val="00B90ABF"/>
    <w:rsid w:val="00B918BB"/>
    <w:rsid w:val="00B9333B"/>
    <w:rsid w:val="00BA4994"/>
    <w:rsid w:val="00BA531D"/>
    <w:rsid w:val="00BA6422"/>
    <w:rsid w:val="00BA69A1"/>
    <w:rsid w:val="00BA6D96"/>
    <w:rsid w:val="00BA7A1A"/>
    <w:rsid w:val="00BB054D"/>
    <w:rsid w:val="00BB0748"/>
    <w:rsid w:val="00BB4ED3"/>
    <w:rsid w:val="00BC17EF"/>
    <w:rsid w:val="00BC2492"/>
    <w:rsid w:val="00BC2994"/>
    <w:rsid w:val="00BC65DD"/>
    <w:rsid w:val="00BC7AC1"/>
    <w:rsid w:val="00BD58E5"/>
    <w:rsid w:val="00BE1611"/>
    <w:rsid w:val="00BE544F"/>
    <w:rsid w:val="00BF087A"/>
    <w:rsid w:val="00BF0A22"/>
    <w:rsid w:val="00BF477C"/>
    <w:rsid w:val="00C0174A"/>
    <w:rsid w:val="00C045D0"/>
    <w:rsid w:val="00C058D9"/>
    <w:rsid w:val="00C06608"/>
    <w:rsid w:val="00C066E5"/>
    <w:rsid w:val="00C078E5"/>
    <w:rsid w:val="00C12210"/>
    <w:rsid w:val="00C14285"/>
    <w:rsid w:val="00C1480A"/>
    <w:rsid w:val="00C151A6"/>
    <w:rsid w:val="00C155EF"/>
    <w:rsid w:val="00C208AF"/>
    <w:rsid w:val="00C23F67"/>
    <w:rsid w:val="00C24AFC"/>
    <w:rsid w:val="00C24EFA"/>
    <w:rsid w:val="00C314BE"/>
    <w:rsid w:val="00C32060"/>
    <w:rsid w:val="00C339E7"/>
    <w:rsid w:val="00C33E73"/>
    <w:rsid w:val="00C3602D"/>
    <w:rsid w:val="00C3634B"/>
    <w:rsid w:val="00C371D6"/>
    <w:rsid w:val="00C416CD"/>
    <w:rsid w:val="00C507DC"/>
    <w:rsid w:val="00C52D77"/>
    <w:rsid w:val="00C54297"/>
    <w:rsid w:val="00C56838"/>
    <w:rsid w:val="00C57FD9"/>
    <w:rsid w:val="00C61594"/>
    <w:rsid w:val="00C65CF1"/>
    <w:rsid w:val="00C67A54"/>
    <w:rsid w:val="00C71262"/>
    <w:rsid w:val="00C72A77"/>
    <w:rsid w:val="00C74131"/>
    <w:rsid w:val="00C74349"/>
    <w:rsid w:val="00C75078"/>
    <w:rsid w:val="00C801E2"/>
    <w:rsid w:val="00C815A8"/>
    <w:rsid w:val="00C8199E"/>
    <w:rsid w:val="00C844E2"/>
    <w:rsid w:val="00C85FC1"/>
    <w:rsid w:val="00C874DA"/>
    <w:rsid w:val="00C877BD"/>
    <w:rsid w:val="00C9242D"/>
    <w:rsid w:val="00CA2AAB"/>
    <w:rsid w:val="00CA470C"/>
    <w:rsid w:val="00CA7979"/>
    <w:rsid w:val="00CB0F6F"/>
    <w:rsid w:val="00CB3B2B"/>
    <w:rsid w:val="00CB5C49"/>
    <w:rsid w:val="00CC1C06"/>
    <w:rsid w:val="00CC305B"/>
    <w:rsid w:val="00CC47F6"/>
    <w:rsid w:val="00CC76FE"/>
    <w:rsid w:val="00CC7B54"/>
    <w:rsid w:val="00CD2129"/>
    <w:rsid w:val="00CD25C4"/>
    <w:rsid w:val="00CD3070"/>
    <w:rsid w:val="00CE02FF"/>
    <w:rsid w:val="00CE0C97"/>
    <w:rsid w:val="00CE1ACC"/>
    <w:rsid w:val="00CE38DF"/>
    <w:rsid w:val="00CE539B"/>
    <w:rsid w:val="00CF38B8"/>
    <w:rsid w:val="00CF415B"/>
    <w:rsid w:val="00CF41A2"/>
    <w:rsid w:val="00CF6252"/>
    <w:rsid w:val="00CF6FF0"/>
    <w:rsid w:val="00CF752F"/>
    <w:rsid w:val="00D00B33"/>
    <w:rsid w:val="00D01126"/>
    <w:rsid w:val="00D03DD8"/>
    <w:rsid w:val="00D1063F"/>
    <w:rsid w:val="00D10C89"/>
    <w:rsid w:val="00D14F04"/>
    <w:rsid w:val="00D15F2B"/>
    <w:rsid w:val="00D162C7"/>
    <w:rsid w:val="00D22601"/>
    <w:rsid w:val="00D30466"/>
    <w:rsid w:val="00D46AC4"/>
    <w:rsid w:val="00D46BC6"/>
    <w:rsid w:val="00D52CC8"/>
    <w:rsid w:val="00D52DBE"/>
    <w:rsid w:val="00D54811"/>
    <w:rsid w:val="00D54A66"/>
    <w:rsid w:val="00D579F3"/>
    <w:rsid w:val="00D61DF6"/>
    <w:rsid w:val="00D72028"/>
    <w:rsid w:val="00D74D70"/>
    <w:rsid w:val="00D83A84"/>
    <w:rsid w:val="00D87902"/>
    <w:rsid w:val="00D87ACF"/>
    <w:rsid w:val="00DA0A97"/>
    <w:rsid w:val="00DA15BD"/>
    <w:rsid w:val="00DA1C1E"/>
    <w:rsid w:val="00DA297E"/>
    <w:rsid w:val="00DA3105"/>
    <w:rsid w:val="00DA4844"/>
    <w:rsid w:val="00DB0F13"/>
    <w:rsid w:val="00DB0FD7"/>
    <w:rsid w:val="00DB1179"/>
    <w:rsid w:val="00DB4731"/>
    <w:rsid w:val="00DB4B25"/>
    <w:rsid w:val="00DC1848"/>
    <w:rsid w:val="00DC26C5"/>
    <w:rsid w:val="00DC365D"/>
    <w:rsid w:val="00DC4A8E"/>
    <w:rsid w:val="00DC5642"/>
    <w:rsid w:val="00DC6778"/>
    <w:rsid w:val="00DD462B"/>
    <w:rsid w:val="00DD4B18"/>
    <w:rsid w:val="00DE070F"/>
    <w:rsid w:val="00DE46FF"/>
    <w:rsid w:val="00DE559A"/>
    <w:rsid w:val="00DE6AF8"/>
    <w:rsid w:val="00DE71C9"/>
    <w:rsid w:val="00DE787A"/>
    <w:rsid w:val="00DF24D3"/>
    <w:rsid w:val="00DF66A9"/>
    <w:rsid w:val="00E01445"/>
    <w:rsid w:val="00E02B91"/>
    <w:rsid w:val="00E02F0D"/>
    <w:rsid w:val="00E12492"/>
    <w:rsid w:val="00E22D2F"/>
    <w:rsid w:val="00E23E04"/>
    <w:rsid w:val="00E251D9"/>
    <w:rsid w:val="00E3391B"/>
    <w:rsid w:val="00E34338"/>
    <w:rsid w:val="00E35BBF"/>
    <w:rsid w:val="00E375C6"/>
    <w:rsid w:val="00E376C5"/>
    <w:rsid w:val="00E37C11"/>
    <w:rsid w:val="00E40744"/>
    <w:rsid w:val="00E40BE1"/>
    <w:rsid w:val="00E43B52"/>
    <w:rsid w:val="00E45014"/>
    <w:rsid w:val="00E5629D"/>
    <w:rsid w:val="00E57032"/>
    <w:rsid w:val="00E650FF"/>
    <w:rsid w:val="00E652E0"/>
    <w:rsid w:val="00E653CA"/>
    <w:rsid w:val="00E658D7"/>
    <w:rsid w:val="00E6704E"/>
    <w:rsid w:val="00E7266A"/>
    <w:rsid w:val="00E73961"/>
    <w:rsid w:val="00E73D96"/>
    <w:rsid w:val="00E742D9"/>
    <w:rsid w:val="00E74F71"/>
    <w:rsid w:val="00E75AAF"/>
    <w:rsid w:val="00E76671"/>
    <w:rsid w:val="00E77346"/>
    <w:rsid w:val="00E8063F"/>
    <w:rsid w:val="00E842C6"/>
    <w:rsid w:val="00E904D2"/>
    <w:rsid w:val="00E910C1"/>
    <w:rsid w:val="00E91246"/>
    <w:rsid w:val="00E92699"/>
    <w:rsid w:val="00E92F2C"/>
    <w:rsid w:val="00E94004"/>
    <w:rsid w:val="00E94E9A"/>
    <w:rsid w:val="00EA11C8"/>
    <w:rsid w:val="00EA2604"/>
    <w:rsid w:val="00EA4FE9"/>
    <w:rsid w:val="00EA6873"/>
    <w:rsid w:val="00EA6C98"/>
    <w:rsid w:val="00EA78F8"/>
    <w:rsid w:val="00EB0631"/>
    <w:rsid w:val="00EB297E"/>
    <w:rsid w:val="00EB4B89"/>
    <w:rsid w:val="00EB6F88"/>
    <w:rsid w:val="00EC40D2"/>
    <w:rsid w:val="00EC55C2"/>
    <w:rsid w:val="00EC75AA"/>
    <w:rsid w:val="00EC773A"/>
    <w:rsid w:val="00EC7D2E"/>
    <w:rsid w:val="00ED15A0"/>
    <w:rsid w:val="00ED1BF6"/>
    <w:rsid w:val="00ED72D5"/>
    <w:rsid w:val="00EE1D40"/>
    <w:rsid w:val="00EE3759"/>
    <w:rsid w:val="00EE438A"/>
    <w:rsid w:val="00EE43B2"/>
    <w:rsid w:val="00EE5FA2"/>
    <w:rsid w:val="00EE6C71"/>
    <w:rsid w:val="00EF1EE8"/>
    <w:rsid w:val="00EF49B6"/>
    <w:rsid w:val="00EF6E10"/>
    <w:rsid w:val="00F043C9"/>
    <w:rsid w:val="00F07C7A"/>
    <w:rsid w:val="00F17F07"/>
    <w:rsid w:val="00F27166"/>
    <w:rsid w:val="00F276AD"/>
    <w:rsid w:val="00F31AFE"/>
    <w:rsid w:val="00F356B4"/>
    <w:rsid w:val="00F368CF"/>
    <w:rsid w:val="00F42F00"/>
    <w:rsid w:val="00F44F54"/>
    <w:rsid w:val="00F476C0"/>
    <w:rsid w:val="00F52431"/>
    <w:rsid w:val="00F53ACD"/>
    <w:rsid w:val="00F548E1"/>
    <w:rsid w:val="00F54C15"/>
    <w:rsid w:val="00F5669C"/>
    <w:rsid w:val="00F57D28"/>
    <w:rsid w:val="00F65223"/>
    <w:rsid w:val="00F65859"/>
    <w:rsid w:val="00F66E1A"/>
    <w:rsid w:val="00F73290"/>
    <w:rsid w:val="00F74E62"/>
    <w:rsid w:val="00F75D8A"/>
    <w:rsid w:val="00F818C8"/>
    <w:rsid w:val="00F83B80"/>
    <w:rsid w:val="00F83E8E"/>
    <w:rsid w:val="00F842B0"/>
    <w:rsid w:val="00F90568"/>
    <w:rsid w:val="00F9251C"/>
    <w:rsid w:val="00F945C1"/>
    <w:rsid w:val="00FA0172"/>
    <w:rsid w:val="00FA19A1"/>
    <w:rsid w:val="00FA60CD"/>
    <w:rsid w:val="00FA73DD"/>
    <w:rsid w:val="00FB0FF2"/>
    <w:rsid w:val="00FB321F"/>
    <w:rsid w:val="00FB52AF"/>
    <w:rsid w:val="00FC306E"/>
    <w:rsid w:val="00FC4516"/>
    <w:rsid w:val="00FC6E23"/>
    <w:rsid w:val="00FC7789"/>
    <w:rsid w:val="00FC7C77"/>
    <w:rsid w:val="00FD2904"/>
    <w:rsid w:val="00FD31B9"/>
    <w:rsid w:val="00FD5DB3"/>
    <w:rsid w:val="00FD7101"/>
    <w:rsid w:val="00FE2275"/>
    <w:rsid w:val="00FE2829"/>
    <w:rsid w:val="00FE7EA1"/>
    <w:rsid w:val="00FF304D"/>
    <w:rsid w:val="00FF64CA"/>
    <w:rsid w:val="2FF5CFDE"/>
    <w:rsid w:val="565462E4"/>
    <w:rsid w:val="7D6E5B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semiHidden="0"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宋体" w:asciiTheme="minorHAnsi" w:hAnsiTheme="minorHAnsi" w:cstheme="minorBidi"/>
      <w:kern w:val="2"/>
      <w:sz w:val="21"/>
      <w:szCs w:val="22"/>
      <w:lang w:val="en-US" w:eastAsia="zh-CN" w:bidi="ar-SA"/>
      <w14:ligatures w14:val="standardContextual"/>
    </w:rPr>
  </w:style>
  <w:style w:type="paragraph" w:styleId="2">
    <w:name w:val="heading 1"/>
    <w:basedOn w:val="1"/>
    <w:next w:val="1"/>
    <w:link w:val="15"/>
    <w:qFormat/>
    <w:uiPriority w:val="9"/>
    <w:pPr>
      <w:keepNext/>
      <w:keepLines/>
      <w:spacing w:before="340" w:after="330" w:line="578" w:lineRule="auto"/>
      <w:outlineLvl w:val="0"/>
    </w:pPr>
    <w:rPr>
      <w:b/>
      <w:bCs/>
      <w:kern w:val="44"/>
      <w:sz w:val="44"/>
      <w:szCs w:val="44"/>
    </w:rPr>
  </w:style>
  <w:style w:type="paragraph" w:styleId="3">
    <w:name w:val="heading 3"/>
    <w:basedOn w:val="1"/>
    <w:next w:val="1"/>
    <w:link w:val="14"/>
    <w:semiHidden/>
    <w:unhideWhenUsed/>
    <w:qFormat/>
    <w:uiPriority w:val="9"/>
    <w:pPr>
      <w:keepNext/>
      <w:keepLines/>
      <w:spacing w:before="240" w:after="120" w:line="400" w:lineRule="exact"/>
      <w:outlineLvl w:val="2"/>
    </w:pPr>
    <w:rPr>
      <w:rFonts w:eastAsia="黑体" w:cs="宋体"/>
      <w:b/>
      <w:bCs/>
      <w:szCs w:val="32"/>
    </w:rPr>
  </w:style>
  <w:style w:type="character" w:default="1" w:styleId="10">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4">
    <w:name w:val="annotation text"/>
    <w:basedOn w:val="1"/>
    <w:semiHidden/>
    <w:unhideWhenUsed/>
    <w:uiPriority w:val="99"/>
    <w:pPr>
      <w:jc w:val="left"/>
    </w:pPr>
  </w:style>
  <w:style w:type="paragraph" w:styleId="5">
    <w:name w:val="endnote text"/>
    <w:basedOn w:val="1"/>
    <w:link w:val="21"/>
    <w:unhideWhenUsed/>
    <w:qFormat/>
    <w:uiPriority w:val="99"/>
    <w:pPr>
      <w:snapToGrid w:val="0"/>
      <w:jc w:val="left"/>
    </w:pPr>
  </w:style>
  <w:style w:type="paragraph" w:styleId="6">
    <w:name w:val="footer"/>
    <w:basedOn w:val="1"/>
    <w:link w:val="18"/>
    <w:unhideWhenUsed/>
    <w:qFormat/>
    <w:uiPriority w:val="99"/>
    <w:pPr>
      <w:tabs>
        <w:tab w:val="center" w:pos="4153"/>
        <w:tab w:val="right" w:pos="8306"/>
      </w:tabs>
      <w:snapToGrid w:val="0"/>
      <w:jc w:val="left"/>
    </w:pPr>
    <w:rPr>
      <w:sz w:val="18"/>
      <w:szCs w:val="18"/>
    </w:rPr>
  </w:style>
  <w:style w:type="paragraph" w:styleId="7">
    <w:name w:val="header"/>
    <w:basedOn w:val="1"/>
    <w:link w:val="17"/>
    <w:unhideWhenUsed/>
    <w:qFormat/>
    <w:uiPriority w:val="99"/>
    <w:pPr>
      <w:tabs>
        <w:tab w:val="center" w:pos="4153"/>
        <w:tab w:val="right" w:pos="8306"/>
      </w:tabs>
      <w:snapToGrid w:val="0"/>
      <w:jc w:val="center"/>
    </w:pPr>
    <w:rPr>
      <w:sz w:val="18"/>
      <w:szCs w:val="18"/>
    </w:rPr>
  </w:style>
  <w:style w:type="paragraph" w:styleId="8">
    <w:name w:val="footnote text"/>
    <w:basedOn w:val="1"/>
    <w:link w:val="16"/>
    <w:unhideWhenUsed/>
    <w:qFormat/>
    <w:uiPriority w:val="99"/>
    <w:pPr>
      <w:snapToGrid w:val="0"/>
      <w:jc w:val="left"/>
    </w:pPr>
    <w:rPr>
      <w:szCs w:val="18"/>
    </w:rPr>
  </w:style>
  <w:style w:type="character" w:styleId="11">
    <w:name w:val="endnote reference"/>
    <w:basedOn w:val="10"/>
    <w:semiHidden/>
    <w:unhideWhenUsed/>
    <w:qFormat/>
    <w:uiPriority w:val="99"/>
    <w:rPr>
      <w:vertAlign w:val="superscript"/>
    </w:rPr>
  </w:style>
  <w:style w:type="character" w:styleId="12">
    <w:name w:val="Hyperlink"/>
    <w:basedOn w:val="10"/>
    <w:unhideWhenUsed/>
    <w:qFormat/>
    <w:uiPriority w:val="99"/>
    <w:rPr>
      <w:color w:val="0563C1" w:themeColor="hyperlink"/>
      <w:u w:val="single"/>
      <w14:textFill>
        <w14:solidFill>
          <w14:schemeClr w14:val="hlink"/>
        </w14:solidFill>
      </w14:textFill>
    </w:rPr>
  </w:style>
  <w:style w:type="character" w:styleId="13">
    <w:name w:val="footnote reference"/>
    <w:basedOn w:val="10"/>
    <w:semiHidden/>
    <w:unhideWhenUsed/>
    <w:qFormat/>
    <w:uiPriority w:val="99"/>
    <w:rPr>
      <w:vertAlign w:val="superscript"/>
    </w:rPr>
  </w:style>
  <w:style w:type="character" w:customStyle="1" w:styleId="14">
    <w:name w:val="标题 3 字符"/>
    <w:basedOn w:val="10"/>
    <w:link w:val="3"/>
    <w:semiHidden/>
    <w:uiPriority w:val="9"/>
    <w:rPr>
      <w:rFonts w:eastAsia="黑体" w:cs="宋体"/>
      <w:b/>
      <w:bCs/>
      <w:sz w:val="24"/>
      <w:szCs w:val="32"/>
    </w:rPr>
  </w:style>
  <w:style w:type="character" w:customStyle="1" w:styleId="15">
    <w:name w:val="标题 1 字符"/>
    <w:basedOn w:val="10"/>
    <w:link w:val="2"/>
    <w:uiPriority w:val="9"/>
    <w:rPr>
      <w:b/>
      <w:bCs/>
      <w:kern w:val="44"/>
      <w:sz w:val="44"/>
      <w:szCs w:val="44"/>
    </w:rPr>
  </w:style>
  <w:style w:type="character" w:customStyle="1" w:styleId="16">
    <w:name w:val="脚注文本 字符"/>
    <w:basedOn w:val="10"/>
    <w:link w:val="8"/>
    <w:qFormat/>
    <w:uiPriority w:val="99"/>
    <w:rPr>
      <w:rFonts w:eastAsia="宋体"/>
      <w:szCs w:val="18"/>
    </w:rPr>
  </w:style>
  <w:style w:type="character" w:customStyle="1" w:styleId="17">
    <w:name w:val="页眉 字符"/>
    <w:basedOn w:val="10"/>
    <w:link w:val="7"/>
    <w:qFormat/>
    <w:uiPriority w:val="99"/>
    <w:rPr>
      <w:rFonts w:eastAsia="宋体"/>
      <w:sz w:val="18"/>
      <w:szCs w:val="18"/>
    </w:rPr>
  </w:style>
  <w:style w:type="character" w:customStyle="1" w:styleId="18">
    <w:name w:val="页脚 字符"/>
    <w:basedOn w:val="10"/>
    <w:link w:val="6"/>
    <w:qFormat/>
    <w:uiPriority w:val="99"/>
    <w:rPr>
      <w:rFonts w:eastAsia="宋体"/>
      <w:sz w:val="18"/>
      <w:szCs w:val="18"/>
    </w:rPr>
  </w:style>
  <w:style w:type="paragraph" w:styleId="19">
    <w:name w:val="List Paragraph"/>
    <w:basedOn w:val="1"/>
    <w:qFormat/>
    <w:uiPriority w:val="34"/>
    <w:pPr>
      <w:ind w:firstLine="420" w:firstLineChars="200"/>
    </w:pPr>
  </w:style>
  <w:style w:type="character" w:customStyle="1" w:styleId="20">
    <w:name w:val="Unresolved Mention"/>
    <w:basedOn w:val="10"/>
    <w:semiHidden/>
    <w:unhideWhenUsed/>
    <w:qFormat/>
    <w:uiPriority w:val="99"/>
    <w:rPr>
      <w:color w:val="605E5C"/>
      <w:shd w:val="clear" w:color="auto" w:fill="E1DFDD"/>
    </w:rPr>
  </w:style>
  <w:style w:type="character" w:customStyle="1" w:styleId="21">
    <w:name w:val="尾注文本 字符"/>
    <w:basedOn w:val="10"/>
    <w:link w:val="5"/>
    <w:qFormat/>
    <w:uiPriority w:val="99"/>
    <w:rPr>
      <w:rFonts w:eastAsia="宋体"/>
      <w:sz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Version="6" StyleName="APA"/>
</file>

<file path=customXml/itemProps1.xml><?xml version="1.0" encoding="utf-8"?>
<ds:datastoreItem xmlns:ds="http://schemas.openxmlformats.org/officeDocument/2006/customXml" ds:itemID="{E021B502-9E0C-4F82-9EF3-F3B5AC820F74}">
  <ds:schemaRefs/>
</ds:datastoreItem>
</file>

<file path=docProps/app.xml><?xml version="1.0" encoding="utf-8"?>
<Properties xmlns="http://schemas.openxmlformats.org/officeDocument/2006/extended-properties" xmlns:vt="http://schemas.openxmlformats.org/officeDocument/2006/docPropsVTypes">
  <Template>Normal.dotm</Template>
  <Pages>10</Pages>
  <Words>11772</Words>
  <Characters>12620</Characters>
  <Lines>183</Lines>
  <Paragraphs>93</Paragraphs>
  <TotalTime>258</TotalTime>
  <ScaleCrop>false</ScaleCrop>
  <LinksUpToDate>false</LinksUpToDate>
  <CharactersWithSpaces>12636</CharactersWithSpaces>
  <Application>WPS Office_12.1.22522.22522_F1E327BC-269C-435d-A152-05C5408002CA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2024-08-30T15:56:00Z</dcterms:created>
  <dc:creator>Furina</dc:creator>
  <cp:lastModifiedBy>Furina</cp:lastModifiedBy>
  <cp:lastPrinted>2024-07-15T17:16:00Z</cp:lastPrinted>
  <dcterms:modified xsi:type="dcterms:W3CDTF">2025-08-27T11:53:38Z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2052-12.1.22522.22522</vt:lpwstr>
  </property>
  <property fmtid="{D5CDD505-2E9C-101B-9397-08002B2CF9AE}" pid="3" name="ICV">
    <vt:lpwstr>1939979D29C3430DA202CDE4FAB9C5A0_12</vt:lpwstr>
  </property>
</Properties>
</file>