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8EF6E">
      <w:pPr>
        <w:keepNext w:val="0"/>
        <w:keepLines w:val="0"/>
        <w:widowControl/>
        <w:suppressLineNumbers w:val="0"/>
        <w:ind w:left="0" w:leftChars="0" w:firstLine="0" w:firstLineChars="0"/>
        <w:jc w:val="both"/>
        <w:rPr>
          <w:rFonts w:hint="eastAsia" w:ascii="Times New Roman" w:hAnsi="Times New Roman" w:eastAsia="黑体" w:cs="黑体"/>
          <w:sz w:val="28"/>
          <w:szCs w:val="28"/>
          <w:highlight w:val="none"/>
          <w:lang w:val="en-US" w:eastAsia="zh-CN"/>
        </w:rPr>
      </w:pPr>
      <w:r>
        <w:rPr>
          <w:rFonts w:hint="eastAsia" w:ascii="Times New Roman" w:hAnsi="Times New Roman" w:eastAsia="黑体" w:cs="黑体"/>
          <w:sz w:val="28"/>
          <w:szCs w:val="28"/>
          <w:highlight w:val="none"/>
          <w:lang w:val="en-US" w:eastAsia="zh-CN"/>
        </w:rPr>
        <w:t>风险预防原则在国际海底区域资源勘探开发中的适用困境与纾解</w:t>
      </w:r>
    </w:p>
    <w:p w14:paraId="7452A5EF">
      <w:pPr>
        <w:ind w:left="0" w:leftChars="0" w:firstLine="300" w:firstLineChars="100"/>
        <w:rPr>
          <w:rFonts w:hint="eastAsia" w:ascii="仿宋" w:hAnsi="仿宋" w:eastAsia="仿宋" w:cs="仿宋"/>
          <w:b w:val="0"/>
          <w:bCs w:val="0"/>
          <w:sz w:val="28"/>
          <w:szCs w:val="28"/>
          <w:highlight w:val="none"/>
          <w:lang w:val="en-US" w:eastAsia="zh-CN"/>
        </w:rPr>
      </w:pPr>
      <w:r>
        <w:rPr>
          <w:rFonts w:hint="eastAsia" w:ascii="Times New Roman" w:hAnsi="Times New Roman" w:eastAsia="黑体" w:cs="黑体"/>
          <w:sz w:val="30"/>
          <w:szCs w:val="30"/>
          <w:highlight w:val="none"/>
          <w:lang w:val="en-US" w:eastAsia="zh-CN"/>
        </w:rPr>
        <w:t xml:space="preserve">       </w:t>
      </w:r>
    </w:p>
    <w:p w14:paraId="54FC230C">
      <w:pPr>
        <w:widowControl/>
        <w:jc w:val="left"/>
        <w:rPr>
          <w:rFonts w:hint="eastAsia" w:ascii="Times New Roman" w:hAnsi="Times New Roman" w:eastAsia="宋体" w:cs="宋体"/>
          <w:i w:val="0"/>
          <w:iCs w:val="0"/>
          <w:caps w:val="0"/>
          <w:spacing w:val="0"/>
          <w:sz w:val="24"/>
          <w:szCs w:val="24"/>
          <w:highlight w:val="none"/>
          <w:shd w:val="clear" w:fill="FFFFFF"/>
        </w:rPr>
      </w:pPr>
      <w:r>
        <w:rPr>
          <w:rFonts w:hint="eastAsia" w:ascii="Times New Roman" w:hAnsi="Times New Roman" w:eastAsia="黑体" w:cs="黑体"/>
          <w:sz w:val="24"/>
          <w:szCs w:val="24"/>
          <w:highlight w:val="none"/>
          <w:lang w:val="en-US" w:eastAsia="zh-CN"/>
        </w:rPr>
        <w:t>摘要：</w:t>
      </w:r>
      <w:r>
        <w:rPr>
          <w:rFonts w:hint="eastAsia" w:asciiTheme="minorEastAsia" w:hAnsiTheme="minorEastAsia" w:eastAsiaTheme="minorEastAsia" w:cstheme="minorEastAsia"/>
          <w:i w:val="0"/>
          <w:iCs w:val="0"/>
          <w:caps w:val="0"/>
          <w:spacing w:val="0"/>
          <w:kern w:val="0"/>
          <w:sz w:val="24"/>
          <w:szCs w:val="24"/>
          <w:highlight w:val="none"/>
          <w:u w:val="none"/>
          <w:shd w:val="clear" w:fill="FFFFFF"/>
          <w:lang w:val="en-US" w:eastAsia="zh-CN" w:bidi="ar"/>
        </w:rPr>
        <w:t>随着深海采矿技术的迭代升级，国际海底区域（以下简称 "区域"）资源勘探与试采活动已步入实质性推进阶段。然而，勘探阶段暴露的制度漏洞与风险不确定性，不仅对深海生态安全构成潜在威胁，更将为后续开发埋下风险隐患。在此背景下，探讨风险预防原则在区域勘探开发中的适用研究具有重要现实意义，且实践中该原则的适用多以弱风险预防原则为基调。</w:t>
      </w:r>
      <w:r>
        <w:rPr>
          <w:rFonts w:hint="eastAsia" w:ascii="Times New Roman" w:hAnsi="Times New Roman" w:cs="宋体"/>
          <w:i w:val="0"/>
          <w:iCs w:val="0"/>
          <w:caps w:val="0"/>
          <w:spacing w:val="0"/>
          <w:sz w:val="24"/>
          <w:szCs w:val="24"/>
          <w:highlight w:val="none"/>
          <w:shd w:val="clear" w:fill="FFFFFF"/>
          <w:lang w:val="en-US" w:eastAsia="zh-CN"/>
        </w:rPr>
        <w:t>研究发现</w:t>
      </w:r>
      <w:r>
        <w:rPr>
          <w:rFonts w:hint="eastAsia" w:ascii="Times New Roman" w:hAnsi="Times New Roman" w:eastAsia="宋体" w:cs="宋体"/>
          <w:i w:val="0"/>
          <w:iCs w:val="0"/>
          <w:caps w:val="0"/>
          <w:spacing w:val="0"/>
          <w:sz w:val="24"/>
          <w:szCs w:val="24"/>
          <w:highlight w:val="none"/>
          <w:shd w:val="clear" w:fill="FFFFFF"/>
        </w:rPr>
        <w:t>，</w:t>
      </w:r>
      <w:r>
        <w:rPr>
          <w:rFonts w:hint="eastAsia" w:ascii="Times New Roman" w:hAnsi="Times New Roman" w:cs="宋体"/>
          <w:i w:val="0"/>
          <w:iCs w:val="0"/>
          <w:caps w:val="0"/>
          <w:spacing w:val="0"/>
          <w:sz w:val="24"/>
          <w:szCs w:val="24"/>
          <w:highlight w:val="none"/>
          <w:shd w:val="clear" w:fill="FFFFFF"/>
          <w:lang w:val="en-US" w:eastAsia="zh-CN"/>
        </w:rPr>
        <w:t>该原则</w:t>
      </w:r>
      <w:r>
        <w:rPr>
          <w:rFonts w:hint="eastAsia" w:ascii="Times New Roman" w:hAnsi="Times New Roman" w:eastAsia="宋体" w:cs="宋体"/>
          <w:i w:val="0"/>
          <w:iCs w:val="0"/>
          <w:caps w:val="0"/>
          <w:spacing w:val="0"/>
          <w:sz w:val="24"/>
          <w:szCs w:val="24"/>
          <w:highlight w:val="none"/>
          <w:shd w:val="clear" w:fill="FFFFFF"/>
        </w:rPr>
        <w:t>在</w:t>
      </w:r>
      <w:bookmarkStart w:id="18" w:name="_GoBack"/>
      <w:bookmarkEnd w:id="18"/>
      <w:r>
        <w:rPr>
          <w:rFonts w:hint="eastAsia" w:ascii="Times New Roman" w:hAnsi="Times New Roman" w:eastAsia="宋体" w:cs="宋体"/>
          <w:i w:val="0"/>
          <w:iCs w:val="0"/>
          <w:caps w:val="0"/>
          <w:spacing w:val="0"/>
          <w:sz w:val="24"/>
          <w:szCs w:val="24"/>
          <w:highlight w:val="none"/>
          <w:shd w:val="clear" w:fill="FFFFFF"/>
        </w:rPr>
        <w:t>法律适用、主体义务履行</w:t>
      </w:r>
      <w:r>
        <w:rPr>
          <w:rFonts w:hint="eastAsia" w:ascii="Times New Roman" w:hAnsi="Times New Roman" w:cs="宋体"/>
          <w:i w:val="0"/>
          <w:iCs w:val="0"/>
          <w:caps w:val="0"/>
          <w:spacing w:val="0"/>
          <w:sz w:val="24"/>
          <w:szCs w:val="24"/>
          <w:highlight w:val="none"/>
          <w:shd w:val="clear" w:fill="FFFFFF"/>
          <w:lang w:val="en-US" w:eastAsia="zh-CN"/>
        </w:rPr>
        <w:t>及</w:t>
      </w:r>
      <w:r>
        <w:rPr>
          <w:rFonts w:hint="eastAsia" w:ascii="Times New Roman" w:hAnsi="Times New Roman" w:eastAsia="宋体" w:cs="宋体"/>
          <w:i w:val="0"/>
          <w:iCs w:val="0"/>
          <w:caps w:val="0"/>
          <w:spacing w:val="0"/>
          <w:sz w:val="24"/>
          <w:szCs w:val="24"/>
          <w:highlight w:val="none"/>
          <w:shd w:val="clear" w:fill="FFFFFF"/>
        </w:rPr>
        <w:t>预防性措施实施</w:t>
      </w:r>
      <w:r>
        <w:rPr>
          <w:rFonts w:hint="eastAsia" w:ascii="Times New Roman" w:hAnsi="Times New Roman" w:cs="宋体"/>
          <w:i w:val="0"/>
          <w:iCs w:val="0"/>
          <w:caps w:val="0"/>
          <w:spacing w:val="0"/>
          <w:sz w:val="24"/>
          <w:szCs w:val="24"/>
          <w:highlight w:val="none"/>
          <w:shd w:val="clear" w:fill="FFFFFF"/>
          <w:lang w:val="en-US" w:eastAsia="zh-CN"/>
        </w:rPr>
        <w:t>等</w:t>
      </w:r>
      <w:r>
        <w:rPr>
          <w:rFonts w:hint="eastAsia" w:ascii="Times New Roman" w:hAnsi="Times New Roman" w:eastAsia="宋体" w:cs="宋体"/>
          <w:i w:val="0"/>
          <w:iCs w:val="0"/>
          <w:caps w:val="0"/>
          <w:spacing w:val="0"/>
          <w:sz w:val="24"/>
          <w:szCs w:val="24"/>
          <w:highlight w:val="none"/>
          <w:shd w:val="clear" w:fill="FFFFFF"/>
        </w:rPr>
        <w:t>方面</w:t>
      </w:r>
      <w:r>
        <w:rPr>
          <w:rFonts w:hint="eastAsia" w:ascii="Times New Roman" w:hAnsi="Times New Roman" w:cs="宋体"/>
          <w:i w:val="0"/>
          <w:iCs w:val="0"/>
          <w:caps w:val="0"/>
          <w:spacing w:val="0"/>
          <w:sz w:val="24"/>
          <w:szCs w:val="24"/>
          <w:highlight w:val="none"/>
          <w:shd w:val="clear" w:fill="FFFFFF"/>
          <w:lang w:val="en-US" w:eastAsia="zh-CN"/>
        </w:rPr>
        <w:t>仍</w:t>
      </w:r>
      <w:r>
        <w:rPr>
          <w:rFonts w:hint="eastAsia" w:ascii="Times New Roman" w:hAnsi="Times New Roman" w:eastAsia="宋体" w:cs="宋体"/>
          <w:i w:val="0"/>
          <w:iCs w:val="0"/>
          <w:caps w:val="0"/>
          <w:spacing w:val="0"/>
          <w:sz w:val="24"/>
          <w:szCs w:val="24"/>
          <w:highlight w:val="none"/>
          <w:shd w:val="clear" w:fill="FFFFFF"/>
        </w:rPr>
        <w:t>面临</w:t>
      </w:r>
      <w:r>
        <w:rPr>
          <w:rFonts w:hint="eastAsia" w:ascii="Times New Roman" w:hAnsi="Times New Roman" w:cs="宋体"/>
          <w:i w:val="0"/>
          <w:iCs w:val="0"/>
          <w:caps w:val="0"/>
          <w:spacing w:val="0"/>
          <w:sz w:val="24"/>
          <w:szCs w:val="24"/>
          <w:highlight w:val="none"/>
          <w:shd w:val="clear" w:fill="FFFFFF"/>
          <w:lang w:val="en-US" w:eastAsia="zh-CN"/>
        </w:rPr>
        <w:t>多重</w:t>
      </w:r>
      <w:r>
        <w:rPr>
          <w:rFonts w:hint="eastAsia" w:ascii="Times New Roman" w:hAnsi="Times New Roman" w:eastAsia="宋体" w:cs="宋体"/>
          <w:i w:val="0"/>
          <w:iCs w:val="0"/>
          <w:caps w:val="0"/>
          <w:spacing w:val="0"/>
          <w:sz w:val="24"/>
          <w:szCs w:val="24"/>
          <w:highlight w:val="none"/>
          <w:shd w:val="clear" w:fill="FFFFFF"/>
        </w:rPr>
        <w:t>困境，</w:t>
      </w:r>
      <w:r>
        <w:rPr>
          <w:rFonts w:hint="eastAsia" w:ascii="Times New Roman" w:hAnsi="Times New Roman" w:cs="宋体"/>
          <w:i w:val="0"/>
          <w:iCs w:val="0"/>
          <w:caps w:val="0"/>
          <w:spacing w:val="0"/>
          <w:sz w:val="24"/>
          <w:szCs w:val="24"/>
          <w:highlight w:val="none"/>
          <w:shd w:val="clear" w:fill="FFFFFF"/>
          <w:lang w:val="en-US" w:eastAsia="zh-CN"/>
        </w:rPr>
        <w:t>具体表现为</w:t>
      </w:r>
      <w:r>
        <w:rPr>
          <w:rFonts w:hint="eastAsia" w:ascii="Times New Roman" w:hAnsi="Times New Roman" w:eastAsia="宋体" w:cs="宋体"/>
          <w:i w:val="0"/>
          <w:iCs w:val="0"/>
          <w:caps w:val="0"/>
          <w:spacing w:val="0"/>
          <w:sz w:val="24"/>
          <w:szCs w:val="24"/>
          <w:highlight w:val="none"/>
          <w:shd w:val="clear" w:fill="FFFFFF"/>
        </w:rPr>
        <w:t>法律术语模糊、体系碎片化、主体责任界定不明、技术标准缺失等。为此，文章提出应对措施，包括完善法律细则并协调法律体系、强化 ISA 监管责任、明确技术标准并加强国际技术协同合作等，</w:t>
      </w:r>
      <w:r>
        <w:rPr>
          <w:rFonts w:hint="eastAsia" w:ascii="Times New Roman" w:hAnsi="Times New Roman" w:cs="宋体"/>
          <w:i w:val="0"/>
          <w:iCs w:val="0"/>
          <w:caps w:val="0"/>
          <w:spacing w:val="0"/>
          <w:sz w:val="24"/>
          <w:szCs w:val="24"/>
          <w:highlight w:val="none"/>
          <w:shd w:val="clear" w:fill="FFFFFF"/>
          <w:lang w:val="en-US" w:eastAsia="zh-CN"/>
        </w:rPr>
        <w:t>以期</w:t>
      </w:r>
      <w:r>
        <w:rPr>
          <w:rFonts w:hint="eastAsia" w:ascii="Times New Roman" w:hAnsi="Times New Roman" w:eastAsia="宋体" w:cs="宋体"/>
          <w:i w:val="0"/>
          <w:iCs w:val="0"/>
          <w:caps w:val="0"/>
          <w:spacing w:val="0"/>
          <w:sz w:val="24"/>
          <w:szCs w:val="24"/>
          <w:highlight w:val="none"/>
          <w:shd w:val="clear" w:fill="FFFFFF"/>
        </w:rPr>
        <w:t>为全球深海治理提供参考，推动</w:t>
      </w:r>
      <w:r>
        <w:rPr>
          <w:rFonts w:hint="eastAsia" w:ascii="Times New Roman" w:hAnsi="Times New Roman" w:cs="宋体"/>
          <w:i w:val="0"/>
          <w:iCs w:val="0"/>
          <w:caps w:val="0"/>
          <w:spacing w:val="0"/>
          <w:sz w:val="24"/>
          <w:szCs w:val="24"/>
          <w:highlight w:val="none"/>
          <w:shd w:val="clear" w:fill="FFFFFF"/>
          <w:lang w:val="en-US" w:eastAsia="zh-CN"/>
        </w:rPr>
        <w:t>实现</w:t>
      </w:r>
      <w:r>
        <w:rPr>
          <w:rFonts w:hint="eastAsia" w:ascii="Times New Roman" w:hAnsi="Times New Roman" w:eastAsia="宋体" w:cs="宋体"/>
          <w:i w:val="0"/>
          <w:iCs w:val="0"/>
          <w:caps w:val="0"/>
          <w:spacing w:val="0"/>
          <w:sz w:val="24"/>
          <w:szCs w:val="24"/>
          <w:highlight w:val="none"/>
          <w:shd w:val="clear" w:fill="FFFFFF"/>
        </w:rPr>
        <w:t>资源开发与环境保护的动态平衡。</w:t>
      </w:r>
    </w:p>
    <w:p w14:paraId="56D31301">
      <w:pPr>
        <w:rPr>
          <w:rFonts w:hint="default" w:ascii="Times New Roman" w:hAnsi="Times New Roman" w:eastAsia="宋体" w:cs="宋体"/>
          <w:i w:val="0"/>
          <w:iCs w:val="0"/>
          <w:caps w:val="0"/>
          <w:spacing w:val="0"/>
          <w:sz w:val="24"/>
          <w:szCs w:val="24"/>
          <w:highlight w:val="none"/>
          <w:shd w:val="clear" w:fill="FFFFFF"/>
          <w:lang w:val="en-US" w:eastAsia="zh-CN"/>
        </w:rPr>
      </w:pPr>
      <w:r>
        <w:rPr>
          <w:rFonts w:hint="eastAsia" w:ascii="Times New Roman" w:hAnsi="Times New Roman" w:cs="宋体"/>
          <w:b/>
          <w:bCs/>
          <w:i w:val="0"/>
          <w:iCs w:val="0"/>
          <w:caps w:val="0"/>
          <w:spacing w:val="0"/>
          <w:sz w:val="24"/>
          <w:szCs w:val="24"/>
          <w:highlight w:val="none"/>
          <w:shd w:val="clear" w:fill="FFFFFF"/>
          <w:lang w:val="en-US" w:eastAsia="zh-CN"/>
        </w:rPr>
        <w:t>关键词</w:t>
      </w:r>
      <w:r>
        <w:rPr>
          <w:rFonts w:hint="eastAsia" w:ascii="Times New Roman" w:hAnsi="Times New Roman" w:cs="宋体"/>
          <w:i w:val="0"/>
          <w:iCs w:val="0"/>
          <w:caps w:val="0"/>
          <w:spacing w:val="0"/>
          <w:sz w:val="24"/>
          <w:szCs w:val="24"/>
          <w:highlight w:val="none"/>
          <w:shd w:val="clear" w:fill="FFFFFF"/>
          <w:lang w:val="en-US" w:eastAsia="zh-CN"/>
        </w:rPr>
        <w:t>：风险预防原则；国际海底区域；勘探开发制度；深海治理</w:t>
      </w:r>
    </w:p>
    <w:p w14:paraId="61CAB939">
      <w:pPr>
        <w:pStyle w:val="2"/>
        <w:tabs>
          <w:tab w:val="left" w:pos="0"/>
        </w:tabs>
        <w:bidi w:val="0"/>
        <w:ind w:left="-2" w:firstLineChars="0"/>
        <w:rPr>
          <w:rFonts w:hint="eastAsia" w:ascii="Times New Roman" w:hAnsi="Times New Roman"/>
          <w:highlight w:val="none"/>
          <w:lang w:val="en-US" w:eastAsia="zh-CN"/>
        </w:rPr>
      </w:pPr>
      <w:bookmarkStart w:id="0" w:name="_Toc765"/>
      <w:r>
        <w:rPr>
          <w:rFonts w:hint="eastAsia" w:ascii="Times New Roman" w:hAnsi="Times New Roman"/>
          <w:highlight w:val="none"/>
          <w:lang w:val="en-US" w:eastAsia="zh-CN"/>
        </w:rPr>
        <w:t>问题的</w:t>
      </w:r>
      <w:bookmarkEnd w:id="0"/>
      <w:r>
        <w:rPr>
          <w:rFonts w:hint="eastAsia" w:ascii="Times New Roman" w:hAnsi="Times New Roman"/>
          <w:highlight w:val="none"/>
          <w:lang w:val="en-US" w:eastAsia="zh-CN"/>
        </w:rPr>
        <w:t>提出</w:t>
      </w:r>
    </w:p>
    <w:p w14:paraId="2F82D158">
      <w:pPr>
        <w:rPr>
          <w:rFonts w:hint="eastAsia" w:ascii="Times New Roman" w:hAnsi="Times New Roman"/>
          <w:highlight w:val="none"/>
          <w:lang w:val="en-US" w:eastAsia="zh-CN"/>
        </w:rPr>
      </w:pPr>
      <w:r>
        <w:rPr>
          <w:rFonts w:hint="eastAsia" w:ascii="Times New Roman" w:hAnsi="Times New Roman"/>
          <w:highlight w:val="none"/>
          <w:lang w:val="en-US" w:eastAsia="zh-CN"/>
        </w:rPr>
        <w:t>随着深海采矿技术的突破，区域内多金属矿产资源的勘探与试采活动已进入实质性推进阶段，截至2025年1月，30份勘探合同均已生效。</w:t>
      </w:r>
      <w:r>
        <w:rPr>
          <w:rStyle w:val="16"/>
          <w:rFonts w:hint="eastAsia" w:ascii="Times New Roman" w:hAnsi="Times New Roman"/>
          <w:highlight w:val="none"/>
          <w:lang w:val="en-US" w:eastAsia="zh-CN"/>
        </w:rPr>
        <w:footnoteReference w:id="0"/>
      </w:r>
      <w:r>
        <w:rPr>
          <w:rFonts w:hint="eastAsia" w:ascii="Times New Roman" w:hAnsi="Times New Roman"/>
          <w:highlight w:val="none"/>
          <w:lang w:val="en-US" w:eastAsia="zh-CN"/>
        </w:rPr>
        <w:t>尽管目前尚未启动资源的大规模开发，但在勘探阶段暴露出的制度漏洞和风险不确定性已对深海生态安全构成潜在威胁，为开发阶段埋下风险隐患。2025年3月，国际海底管理局（</w:t>
      </w:r>
      <w:r>
        <w:rPr>
          <w:rFonts w:hint="default" w:ascii="Times New Roman" w:hAnsi="Times New Roman"/>
          <w:highlight w:val="none"/>
          <w:lang w:val="en-US" w:eastAsia="zh-CN"/>
        </w:rPr>
        <w:t>International Seabed Authority</w:t>
      </w:r>
      <w:r>
        <w:rPr>
          <w:rFonts w:hint="eastAsia" w:ascii="Times New Roman" w:hAnsi="Times New Roman"/>
          <w:highlight w:val="none"/>
          <w:lang w:val="en-US" w:eastAsia="zh-CN"/>
        </w:rPr>
        <w:t>，简称“</w:t>
      </w:r>
      <w:r>
        <w:rPr>
          <w:rFonts w:hint="default" w:ascii="Times New Roman" w:hAnsi="Times New Roman"/>
          <w:highlight w:val="none"/>
          <w:lang w:val="en-US" w:eastAsia="zh-CN"/>
        </w:rPr>
        <w:t>ISA</w:t>
      </w:r>
      <w:r>
        <w:rPr>
          <w:rFonts w:hint="eastAsia" w:ascii="Times New Roman" w:hAnsi="Times New Roman"/>
          <w:highlight w:val="none"/>
          <w:lang w:val="en-US" w:eastAsia="zh-CN"/>
        </w:rPr>
        <w:t>”）于牙买加召开第三十届会议理事会审议《“区域”内矿产资源开发规章草案》</w:t>
      </w:r>
      <w:r>
        <w:rPr>
          <w:rStyle w:val="16"/>
          <w:rFonts w:hint="eastAsia" w:ascii="Times New Roman" w:hAnsi="Times New Roman"/>
          <w:highlight w:val="none"/>
          <w:lang w:val="en-US" w:eastAsia="zh-CN"/>
        </w:rPr>
        <w:footnoteReference w:id="1"/>
      </w:r>
      <w:r>
        <w:rPr>
          <w:rFonts w:hint="eastAsia" w:ascii="Times New Roman" w:hAnsi="Times New Roman"/>
          <w:highlight w:val="none"/>
          <w:lang w:val="en-US" w:eastAsia="zh-CN"/>
        </w:rPr>
        <w:t>（以下简称《开发规章草案》）以期通过，其内容能否纳入明确的实施标准及其他条款决定了深海治理的生态底线。</w:t>
      </w:r>
      <w:r>
        <w:rPr>
          <w:rStyle w:val="16"/>
          <w:rFonts w:hint="eastAsia" w:ascii="Times New Roman" w:hAnsi="Times New Roman"/>
          <w:highlight w:val="none"/>
          <w:lang w:val="en-US" w:eastAsia="zh-CN"/>
        </w:rPr>
        <w:footnoteReference w:id="2"/>
      </w:r>
      <w:r>
        <w:rPr>
          <w:rFonts w:hint="eastAsia" w:ascii="Times New Roman" w:hAnsi="Times New Roman"/>
          <w:highlight w:val="none"/>
          <w:lang w:val="en-US" w:eastAsia="zh-CN"/>
        </w:rPr>
        <w:t>但是，2024年11月瑙鲁向管理局提交照会，要求在管理局在尚未未通过《开发规章草案》的情况下审议并核准开发工作的申请，为“区域”治理敲醒警钟。2020年，168个成员国一致通过的《海洋科学研究计划》</w:t>
      </w:r>
      <w:r>
        <w:rPr>
          <w:rStyle w:val="16"/>
          <w:rFonts w:hint="eastAsia" w:ascii="Times New Roman" w:hAnsi="Times New Roman"/>
          <w:highlight w:val="none"/>
          <w:lang w:val="en-US" w:eastAsia="zh-CN"/>
        </w:rPr>
        <w:footnoteReference w:id="3"/>
      </w:r>
      <w:r>
        <w:rPr>
          <w:rFonts w:hint="eastAsia" w:ascii="Times New Roman" w:hAnsi="Times New Roman"/>
          <w:highlight w:val="none"/>
          <w:lang w:val="en-US" w:eastAsia="zh-CN"/>
        </w:rPr>
        <w:t>也加强了在国家管辖范围以外海域应用预防方法的科学基础，彰显目前深海进程中预防性办法实施的重要意义。更重要的是，中国作为“区域”资源勘探的核心参与者和人类共同继承财产原则的坚定维护者，也亟需通过国内法与国际法的制度衔接，更好地实现资源勘探开发与环境保护的动态平衡。</w:t>
      </w:r>
    </w:p>
    <w:p w14:paraId="19AE4CCC">
      <w:pPr>
        <w:bidi w:val="0"/>
        <w:ind w:left="0" w:leftChars="0" w:firstLine="480" w:firstLineChars="200"/>
        <w:rPr>
          <w:rFonts w:hint="default" w:ascii="Times New Roman" w:hAnsi="Times New Roman"/>
          <w:highlight w:val="none"/>
          <w:lang w:val="en-US" w:eastAsia="zh-CN"/>
        </w:rPr>
      </w:pPr>
      <w:r>
        <w:rPr>
          <w:rFonts w:hint="eastAsia" w:ascii="Times New Roman" w:hAnsi="Times New Roman"/>
          <w:highlight w:val="none"/>
          <w:lang w:val="en-US" w:eastAsia="zh-CN"/>
        </w:rPr>
        <w:t>而区别于传统环境的深海生态系统，即任何超过两百海里深度的区域</w:t>
      </w:r>
      <w:r>
        <w:rPr>
          <w:rStyle w:val="16"/>
          <w:rFonts w:hint="eastAsia" w:ascii="Times New Roman" w:hAnsi="Times New Roman"/>
          <w:highlight w:val="none"/>
          <w:lang w:val="en-US" w:eastAsia="zh-CN"/>
        </w:rPr>
        <w:footnoteReference w:id="4"/>
      </w:r>
      <w:r>
        <w:rPr>
          <w:rFonts w:hint="eastAsia" w:ascii="Times New Roman" w:hAnsi="Times New Roman"/>
          <w:highlight w:val="none"/>
          <w:lang w:val="en-US" w:eastAsia="zh-CN"/>
        </w:rPr>
        <w:t>，尤其是作为人类共同继承财产的国际海底区域，人类对于其环境认知空白高达70%，一旦破深海生态的化能合成机制，其恢复周期可长达数千年。研究表明，镍、钴和锰等结核金属在深海海底的形成速度为每百万年增长1-10毫米，并因为海洋深度存在不同程度的氧合作用，使得结核中不同金属的占比存在差异</w:t>
      </w:r>
      <w:r>
        <w:rPr>
          <w:rStyle w:val="16"/>
          <w:rFonts w:hint="eastAsia" w:ascii="Times New Roman" w:hAnsi="Times New Roman"/>
          <w:highlight w:val="none"/>
          <w:lang w:val="en-US" w:eastAsia="zh-CN"/>
        </w:rPr>
        <w:footnoteReference w:id="5"/>
      </w:r>
      <w:r>
        <w:rPr>
          <w:rFonts w:hint="eastAsia" w:ascii="Times New Roman" w:hAnsi="Times New Roman"/>
          <w:highlight w:val="none"/>
          <w:lang w:val="en-US" w:eastAsia="zh-CN"/>
        </w:rPr>
        <w:t>，比如靠近底土表面的结核含有更多的钴，而较深底土的结核含有更多的镍和锂。由此，开发者在海底汲取矿产资源并将其运送到表面的过程中，会在海底、中层水域和表面产生沉积物云，并会对底栖生物造成物理覆盖和产生化学毒性，以及对中层遂于的浮游生物和鱼类均会产生生物紊乱、重金属污染。应对此种情形，风险预防原则下的环境影响评价制度便可以通过可观测损害标准对沉淀物扩散面积及造成的人为扰动和羽流进行预测。</w:t>
      </w:r>
    </w:p>
    <w:p w14:paraId="1C79915F">
      <w:pPr>
        <w:ind w:firstLine="480"/>
        <w:rPr>
          <w:rFonts w:hint="default" w:ascii="Times New Roman" w:hAnsi="Times New Roman"/>
          <w:highlight w:val="none"/>
          <w:lang w:val="en-US" w:eastAsia="zh-CN"/>
        </w:rPr>
      </w:pPr>
      <w:r>
        <w:rPr>
          <w:rFonts w:hint="eastAsia" w:ascii="Times New Roman" w:hAnsi="Times New Roman"/>
          <w:highlight w:val="none"/>
          <w:lang w:val="en-US" w:eastAsia="zh-CN"/>
        </w:rPr>
        <w:t>因此，在此背景下，以科学确定性为前提的损害预防原则与聚焦已知风险的预防原则，均难以应对深海资源勘探中未知的风险。唯有风险预防原则，即使存在科学不确定性情况，仍可以通过预防措施先行等制度为国际海底区域提供实质的保护。然而，尽管风险预防原则在应对科学不确定性方面具有不可替代的制度价值，但在“区域”的适用中也面临着多重挑战，多层级法律体系的不协调性、责任机制的模糊化以及预防措施实施的困境均影响风险预防原则的适用，这也是本文将风险预防原则作为研究对象的主要原因所在。</w:t>
      </w:r>
    </w:p>
    <w:p w14:paraId="5F5EF8D3">
      <w:pPr>
        <w:pStyle w:val="2"/>
        <w:tabs>
          <w:tab w:val="left" w:pos="0"/>
        </w:tabs>
        <w:bidi w:val="0"/>
        <w:ind w:left="-2" w:leftChars="0" w:firstLine="482" w:firstLineChars="0"/>
        <w:rPr>
          <w:rFonts w:hint="default" w:ascii="Times New Roman" w:hAnsi="Times New Roman"/>
          <w:highlight w:val="none"/>
          <w:lang w:val="en-US" w:eastAsia="zh-CN"/>
        </w:rPr>
      </w:pPr>
      <w:bookmarkStart w:id="1" w:name="_Toc20747"/>
      <w:r>
        <w:rPr>
          <w:rFonts w:hint="eastAsia" w:ascii="Times New Roman" w:hAnsi="Times New Roman"/>
          <w:highlight w:val="none"/>
          <w:lang w:val="en-US" w:eastAsia="zh-CN"/>
        </w:rPr>
        <w:t>风险预防原则的</w:t>
      </w:r>
      <w:bookmarkEnd w:id="1"/>
      <w:r>
        <w:rPr>
          <w:rFonts w:hint="eastAsia"/>
          <w:highlight w:val="none"/>
          <w:lang w:val="en-US" w:eastAsia="zh-CN"/>
        </w:rPr>
        <w:t>概念澄清与理论定位</w:t>
      </w:r>
    </w:p>
    <w:p w14:paraId="5BC3BB62">
      <w:pPr>
        <w:pStyle w:val="3"/>
        <w:bidi w:val="0"/>
        <w:ind w:left="240" w:leftChars="0" w:firstLine="0" w:firstLineChars="0"/>
        <w:rPr>
          <w:rFonts w:hint="default" w:ascii="Times New Roman" w:hAnsi="Times New Roman"/>
          <w:highlight w:val="none"/>
          <w:lang w:val="en-US" w:eastAsia="zh-CN"/>
        </w:rPr>
      </w:pPr>
      <w:bookmarkStart w:id="2" w:name="_Toc30436"/>
      <w:r>
        <w:rPr>
          <w:rFonts w:hint="eastAsia" w:ascii="Times New Roman" w:hAnsi="Times New Roman"/>
          <w:highlight w:val="none"/>
          <w:lang w:val="en-US" w:eastAsia="zh-CN"/>
        </w:rPr>
        <w:t>风险预防原则原则的概念分歧与核心内涵</w:t>
      </w:r>
      <w:bookmarkEnd w:id="2"/>
    </w:p>
    <w:p w14:paraId="7F35F88A">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highlight w:val="none"/>
          <w:lang w:val="en-US" w:eastAsia="zh-CN"/>
        </w:rPr>
      </w:pPr>
      <w:r>
        <w:rPr>
          <w:rFonts w:hint="eastAsia" w:ascii="Times New Roman" w:hAnsi="Times New Roman" w:eastAsia="宋体" w:cs="宋体"/>
          <w:sz w:val="24"/>
          <w:szCs w:val="24"/>
          <w:highlight w:val="none"/>
          <w:lang w:val="en-US" w:eastAsia="zh-CN"/>
        </w:rPr>
        <w:t>风险预防原则</w:t>
      </w:r>
      <w:r>
        <w:rPr>
          <w:rFonts w:hint="eastAsia" w:ascii="Times New Roman" w:hAnsi="Times New Roman" w:cs="宋体"/>
          <w:sz w:val="24"/>
          <w:szCs w:val="24"/>
          <w:highlight w:val="none"/>
          <w:lang w:val="en-US" w:eastAsia="zh-CN"/>
        </w:rPr>
        <w:t>雏形</w:t>
      </w:r>
      <w:r>
        <w:rPr>
          <w:rFonts w:hint="eastAsia" w:ascii="Times New Roman" w:hAnsi="Times New Roman" w:eastAsia="宋体" w:cs="宋体"/>
          <w:sz w:val="24"/>
          <w:szCs w:val="24"/>
          <w:highlight w:val="none"/>
          <w:lang w:val="en-US" w:eastAsia="zh-CN"/>
        </w:rPr>
        <w:t>可追溯</w:t>
      </w:r>
      <w:r>
        <w:rPr>
          <w:rFonts w:hint="eastAsia" w:ascii="Times New Roman" w:hAnsi="Times New Roman" w:cs="宋体"/>
          <w:sz w:val="24"/>
          <w:szCs w:val="24"/>
          <w:highlight w:val="none"/>
          <w:lang w:val="en-US" w:eastAsia="zh-CN"/>
        </w:rPr>
        <w:t>于20世纪70年代的德国空气清洁法案第一次草案，阐明了风险预防原则是一项普遍适用的原则。</w:t>
      </w:r>
      <w:r>
        <w:rPr>
          <w:rStyle w:val="16"/>
          <w:rFonts w:hint="eastAsia" w:ascii="Times New Roman" w:hAnsi="Times New Roman" w:cs="宋体"/>
          <w:sz w:val="24"/>
          <w:szCs w:val="24"/>
          <w:highlight w:val="none"/>
          <w:lang w:val="en-US" w:eastAsia="zh-CN"/>
        </w:rPr>
        <w:footnoteReference w:id="6"/>
      </w:r>
      <w:r>
        <w:rPr>
          <w:rFonts w:hint="eastAsia" w:ascii="Times New Roman" w:hAnsi="Times New Roman" w:cs="宋体"/>
          <w:sz w:val="24"/>
          <w:szCs w:val="24"/>
          <w:highlight w:val="none"/>
          <w:lang w:val="en-US" w:eastAsia="zh-CN"/>
        </w:rPr>
        <w:t>国际社会对于风险预防原则还没有一致或者权威的定义，但其核心内涵在不同法律文件中呈现共性特征。其中，最具代表性的是1992年《里约环境与发展宣言》（简称《里约宣言》）原则15规定：“为了保护环境，各国政府应该根据其能力广泛采用风险预防措施。在有严重或不可逆转的损害的威胁时，缺乏科学确定性不应被用来作为延缓采取有效措施防止环境退化的理由。”这也被国内很多学者采用作为风险预防原则的定义。</w:t>
      </w:r>
      <w:r>
        <w:rPr>
          <w:rStyle w:val="16"/>
          <w:rFonts w:hint="eastAsia" w:ascii="Times New Roman" w:hAnsi="Times New Roman" w:cs="宋体"/>
          <w:sz w:val="24"/>
          <w:szCs w:val="24"/>
          <w:highlight w:val="none"/>
          <w:lang w:val="en-US" w:eastAsia="zh-CN"/>
        </w:rPr>
        <w:footnoteReference w:id="7"/>
      </w:r>
      <w:r>
        <w:rPr>
          <w:rFonts w:hint="eastAsia" w:ascii="Times New Roman" w:hAnsi="Times New Roman" w:cs="宋体"/>
          <w:sz w:val="24"/>
          <w:szCs w:val="24"/>
          <w:highlight w:val="none"/>
          <w:lang w:val="en-US" w:eastAsia="zh-CN"/>
        </w:rPr>
        <w:t>这一定义表明建立风险预防措施是为了绕过传统的证据规则，尤其是不能有效应对或处理科学证据不足时的环境危害或风险的情形。该原则强调了在发生环境风险时，不应因缺乏科学确定性而推迟必要措施的实施。因此，风险预防原则对应对科学不确定性造成的环境风险具有重要作用。</w:t>
      </w:r>
    </w:p>
    <w:p w14:paraId="14E81DA1">
      <w:pPr>
        <w:bidi w:val="0"/>
        <w:rPr>
          <w:rFonts w:hint="eastAsia" w:ascii="Times New Roman" w:hAnsi="Times New Roman"/>
          <w:highlight w:val="none"/>
          <w:lang w:val="en-US" w:eastAsia="zh-CN"/>
        </w:rPr>
      </w:pPr>
      <w:r>
        <w:rPr>
          <w:rFonts w:hint="eastAsia" w:ascii="Times New Roman" w:hAnsi="Times New Roman"/>
          <w:highlight w:val="none"/>
          <w:lang w:val="en-US" w:eastAsia="zh-CN"/>
        </w:rPr>
        <w:t>但风险预防原则在学界中仍存在一定的争议。由于预防原则、风险预防原则、损害预防原则以及防止原则的中文名称在国际条约文本和学术研究中交错出现，以致众多学者对其概念界定常常产生争议与误解，并将对概念的混淆认知带入到制度执行上的错误适配。王曦教授认为损害预防原则的英文表述为“</w:t>
      </w:r>
      <w:r>
        <w:rPr>
          <w:rFonts w:hint="default" w:ascii="Times New Roman" w:hAnsi="Times New Roman" w:cs="Times New Roman"/>
          <w:highlight w:val="none"/>
          <w:lang w:val="en-US" w:eastAsia="zh-CN"/>
        </w:rPr>
        <w:t>principle of prevention</w:t>
      </w:r>
      <w:r>
        <w:rPr>
          <w:rFonts w:hint="eastAsia" w:ascii="Times New Roman" w:hAnsi="Times New Roman"/>
          <w:highlight w:val="none"/>
          <w:lang w:val="en-US" w:eastAsia="zh-CN"/>
        </w:rPr>
        <w:t>”或“</w:t>
      </w:r>
      <w:r>
        <w:rPr>
          <w:rFonts w:hint="default" w:ascii="Times New Roman" w:hAnsi="Times New Roman" w:cs="Times New Roman"/>
          <w:highlight w:val="none"/>
          <w:lang w:val="en-US" w:eastAsia="zh-CN"/>
        </w:rPr>
        <w:t>principle of preventive action</w:t>
      </w:r>
      <w:r>
        <w:rPr>
          <w:rFonts w:hint="eastAsia" w:ascii="Times New Roman" w:hAnsi="Times New Roman"/>
          <w:highlight w:val="none"/>
          <w:lang w:val="en-US" w:eastAsia="zh-CN"/>
        </w:rPr>
        <w:t>”，因此大多数学者也将防止原则译为损害预防原则，并对损害预防原则和风险预防原则归纳了四点区别</w:t>
      </w:r>
      <w:r>
        <w:rPr>
          <w:rStyle w:val="16"/>
          <w:rFonts w:hint="eastAsia" w:ascii="Times New Roman" w:hAnsi="Times New Roman"/>
          <w:highlight w:val="none"/>
          <w:lang w:val="en-US" w:eastAsia="zh-CN"/>
        </w:rPr>
        <w:footnoteReference w:id="8"/>
      </w:r>
      <w:r>
        <w:rPr>
          <w:rFonts w:hint="eastAsia" w:ascii="Times New Roman" w:hAnsi="Times New Roman"/>
          <w:highlight w:val="none"/>
          <w:lang w:val="en-US" w:eastAsia="zh-CN"/>
        </w:rPr>
        <w:t>；朱建庚认为两者均主张事先采取措施预防损害或风险的发生，所以将其统一在预防原则之下，并且其认为在理论上防止原则与风险预防原则确实存在一定的区别，但是在实践中的制度和适用措施中二者有很多相同之处</w:t>
      </w:r>
      <w:r>
        <w:rPr>
          <w:rStyle w:val="16"/>
          <w:rFonts w:hint="eastAsia" w:ascii="Times New Roman" w:hAnsi="Times New Roman"/>
          <w:highlight w:val="none"/>
          <w:lang w:val="en-US" w:eastAsia="zh-CN"/>
        </w:rPr>
        <w:footnoteReference w:id="9"/>
      </w:r>
      <w:r>
        <w:rPr>
          <w:rFonts w:hint="eastAsia" w:ascii="Times New Roman" w:hAnsi="Times New Roman"/>
          <w:highlight w:val="none"/>
          <w:lang w:val="en-US" w:eastAsia="zh-CN"/>
        </w:rPr>
        <w:t>；也有学者将二者视为同一概念，并认为预防原则分为损害预防原则和风险预防原则没有区分的必要。</w:t>
      </w:r>
      <w:r>
        <w:rPr>
          <w:rStyle w:val="16"/>
          <w:rFonts w:hint="eastAsia" w:ascii="Times New Roman" w:hAnsi="Times New Roman"/>
          <w:highlight w:val="none"/>
          <w:lang w:val="en-US" w:eastAsia="zh-CN"/>
        </w:rPr>
        <w:footnoteReference w:id="10"/>
      </w:r>
    </w:p>
    <w:p w14:paraId="76447200">
      <w:pPr>
        <w:bidi w:val="0"/>
        <w:rPr>
          <w:rFonts w:hint="eastAsia" w:ascii="Times New Roman" w:hAnsi="Times New Roman"/>
          <w:highlight w:val="none"/>
          <w:lang w:val="en-US" w:eastAsia="zh-CN"/>
        </w:rPr>
      </w:pPr>
      <w:r>
        <w:rPr>
          <w:rFonts w:hint="eastAsia" w:ascii="Times New Roman" w:hAnsi="Times New Roman"/>
          <w:highlight w:val="none"/>
          <w:lang w:val="en-US" w:eastAsia="zh-CN"/>
        </w:rPr>
        <w:t>本文认为，风险预防原则侧重适用于科学不确定性较高的情况，即使没有充分的科学证据，只要有潜在的严重或不可逆损害的可能性就应当采取预防措施；损害预防原则可能更侧重于已知损害的预防，根据意译不同也可以称作防止原则；而对于预防原则范围，本文持与</w:t>
      </w:r>
      <w:r>
        <w:rPr>
          <w:rFonts w:hint="eastAsia" w:ascii="Times New Roman" w:hAnsi="Times New Roman"/>
          <w:b w:val="0"/>
          <w:bCs w:val="0"/>
          <w:highlight w:val="none"/>
          <w:lang w:val="en-US" w:eastAsia="zh-CN"/>
        </w:rPr>
        <w:t>朱建庚</w:t>
      </w:r>
      <w:r>
        <w:rPr>
          <w:rFonts w:hint="eastAsia" w:ascii="Times New Roman" w:hAnsi="Times New Roman"/>
          <w:highlight w:val="none"/>
          <w:lang w:val="en-US" w:eastAsia="zh-CN"/>
        </w:rPr>
        <w:t>相同观点。另外，在传统环境领域，风险预防原则和损害预防原则在概念上可能并无区分意义。因为实践中的保护措施通常将已知的、充分的科学证据作为实施的前提，即适用举证责任前置原则。而对于所谓的“科学不确定性”通常并不会触发保护措施的实施。因此，当不存在明确的科学证据或者环境风险无法合理预见时，根据预防原则或损害预防原则便无法对此种情况采取保护措施，而风险预防原则的概念则填补了这一空白。</w:t>
      </w:r>
      <w:r>
        <w:rPr>
          <w:rStyle w:val="16"/>
          <w:rFonts w:hint="eastAsia" w:ascii="Times New Roman" w:hAnsi="Times New Roman"/>
          <w:highlight w:val="none"/>
          <w:lang w:val="en-US" w:eastAsia="zh-CN"/>
        </w:rPr>
        <w:footnoteReference w:id="11"/>
      </w:r>
      <w:r>
        <w:rPr>
          <w:rFonts w:hint="eastAsia" w:ascii="Times New Roman" w:hAnsi="Times New Roman"/>
          <w:highlight w:val="none"/>
          <w:lang w:val="en-US" w:eastAsia="zh-CN"/>
        </w:rPr>
        <w:t xml:space="preserve"> </w:t>
      </w:r>
    </w:p>
    <w:p w14:paraId="022AE179">
      <w:pPr>
        <w:pStyle w:val="3"/>
        <w:numPr>
          <w:ilvl w:val="1"/>
          <w:numId w:val="2"/>
        </w:numPr>
        <w:bidi w:val="0"/>
        <w:ind w:left="-240" w:firstLine="0"/>
        <w:rPr>
          <w:rFonts w:hint="default" w:ascii="Times New Roman" w:hAnsi="Times New Roman"/>
          <w:highlight w:val="none"/>
          <w:lang w:val="en-US" w:eastAsia="zh-CN"/>
        </w:rPr>
      </w:pPr>
      <w:bookmarkStart w:id="3" w:name="_Toc9111"/>
      <w:r>
        <w:rPr>
          <w:rFonts w:hint="eastAsia" w:ascii="Times New Roman" w:hAnsi="Times New Roman"/>
          <w:highlight w:val="none"/>
          <w:lang w:val="en-US" w:eastAsia="zh-CN"/>
        </w:rPr>
        <w:t>弱风险预防原则的实践选择</w:t>
      </w:r>
    </w:p>
    <w:p w14:paraId="610F17C3">
      <w:pPr>
        <w:bidi w:val="0"/>
        <w:rPr>
          <w:rFonts w:hint="default" w:ascii="Times New Roman" w:hAnsi="Times New Roman"/>
          <w:highlight w:val="none"/>
          <w:lang w:val="en-US" w:eastAsia="zh-CN"/>
        </w:rPr>
      </w:pPr>
      <w:r>
        <w:rPr>
          <w:rFonts w:hint="eastAsia" w:ascii="Times New Roman" w:hAnsi="Times New Roman"/>
          <w:highlight w:val="none"/>
          <w:lang w:val="en-US" w:eastAsia="zh-CN"/>
        </w:rPr>
        <w:t>在实践领域，风险预防原则通常会按照风险防范的严格程度划分为两类，一种是强风险预防原则（</w:t>
      </w:r>
      <w:r>
        <w:rPr>
          <w:rFonts w:hint="default" w:ascii="Times New Roman" w:hAnsi="Times New Roman"/>
          <w:highlight w:val="none"/>
          <w:lang w:val="en-US" w:eastAsia="zh-CN"/>
        </w:rPr>
        <w:t>S</w:t>
      </w:r>
      <w:r>
        <w:rPr>
          <w:rFonts w:hint="eastAsia" w:ascii="Times New Roman" w:hAnsi="Times New Roman"/>
          <w:highlight w:val="none"/>
          <w:lang w:val="en-US" w:eastAsia="zh-CN"/>
        </w:rPr>
        <w:t xml:space="preserve">trong </w:t>
      </w:r>
      <w:r>
        <w:rPr>
          <w:rFonts w:hint="default" w:ascii="Times New Roman" w:hAnsi="Times New Roman"/>
          <w:highlight w:val="none"/>
          <w:lang w:val="en-US" w:eastAsia="zh-CN"/>
        </w:rPr>
        <w:t>P</w:t>
      </w:r>
      <w:r>
        <w:rPr>
          <w:rFonts w:hint="eastAsia" w:ascii="Times New Roman" w:hAnsi="Times New Roman"/>
          <w:highlight w:val="none"/>
          <w:lang w:val="en-US" w:eastAsia="zh-CN"/>
        </w:rPr>
        <w:t xml:space="preserve">recautionary </w:t>
      </w:r>
      <w:r>
        <w:rPr>
          <w:rFonts w:hint="default" w:ascii="Times New Roman" w:hAnsi="Times New Roman"/>
          <w:highlight w:val="none"/>
          <w:lang w:val="en-US" w:eastAsia="zh-CN"/>
        </w:rPr>
        <w:t>P</w:t>
      </w:r>
      <w:r>
        <w:rPr>
          <w:rFonts w:hint="eastAsia" w:ascii="Times New Roman" w:hAnsi="Times New Roman"/>
          <w:highlight w:val="none"/>
          <w:lang w:val="en-US" w:eastAsia="zh-CN"/>
        </w:rPr>
        <w:t>rinciple），较为典型的</w:t>
      </w:r>
      <w:r>
        <w:rPr>
          <w:rFonts w:hint="eastAsia" w:ascii="Times New Roman" w:hAnsi="Times New Roman" w:cs="宋体"/>
          <w:sz w:val="24"/>
          <w:szCs w:val="24"/>
          <w:highlight w:val="none"/>
          <w:lang w:val="en-US" w:eastAsia="zh-CN"/>
        </w:rPr>
        <w:t>是1998年美国温思布莱德（Wingspread）会议形成的定义</w:t>
      </w:r>
      <w:r>
        <w:rPr>
          <w:rStyle w:val="16"/>
          <w:rFonts w:hint="eastAsia" w:ascii="Times New Roman" w:hAnsi="Times New Roman" w:cs="宋体"/>
          <w:sz w:val="24"/>
          <w:szCs w:val="24"/>
          <w:highlight w:val="none"/>
          <w:lang w:val="en-US" w:eastAsia="zh-CN"/>
        </w:rPr>
        <w:footnoteReference w:id="12"/>
      </w:r>
      <w:r>
        <w:rPr>
          <w:rFonts w:hint="eastAsia" w:ascii="Times New Roman" w:hAnsi="Times New Roman" w:cs="宋体"/>
          <w:sz w:val="24"/>
          <w:szCs w:val="24"/>
          <w:highlight w:val="none"/>
          <w:lang w:val="en-US" w:eastAsia="zh-CN"/>
        </w:rPr>
        <w:t>，</w:t>
      </w:r>
      <w:r>
        <w:rPr>
          <w:rFonts w:hint="eastAsia" w:ascii="Times New Roman" w:hAnsi="Times New Roman"/>
          <w:highlight w:val="none"/>
          <w:lang w:val="en-US" w:eastAsia="zh-CN"/>
        </w:rPr>
        <w:t>即使有些因果关系未得到科学上的充分确定，也应当采取风险预防的措施。其在1982年《世界自然宪章》、2000年《卡塔纳赫生物安全议定书》等国际文件中有体现。</w:t>
      </w:r>
      <w:r>
        <w:rPr>
          <w:rFonts w:hint="eastAsia" w:ascii="Times New Roman" w:hAnsi="Times New Roman" w:cs="宋体"/>
          <w:sz w:val="24"/>
          <w:szCs w:val="24"/>
          <w:highlight w:val="none"/>
          <w:lang w:val="en-US" w:eastAsia="zh-CN"/>
        </w:rPr>
        <w:t>该声明中的定义内容也是环境主义者比较推崇的定义。</w:t>
      </w:r>
      <w:r>
        <w:rPr>
          <w:rFonts w:hint="eastAsia" w:ascii="Times New Roman" w:hAnsi="Times New Roman"/>
          <w:highlight w:val="none"/>
          <w:lang w:val="en-US" w:eastAsia="zh-CN"/>
        </w:rPr>
        <w:t>另一种则是弱风险预防原则（</w:t>
      </w:r>
      <w:r>
        <w:rPr>
          <w:rFonts w:hint="default" w:ascii="Times New Roman" w:hAnsi="Times New Roman"/>
          <w:highlight w:val="none"/>
          <w:lang w:val="en-US" w:eastAsia="zh-CN"/>
        </w:rPr>
        <w:t>W</w:t>
      </w:r>
      <w:r>
        <w:rPr>
          <w:rFonts w:hint="eastAsia" w:ascii="Times New Roman" w:hAnsi="Times New Roman"/>
          <w:highlight w:val="none"/>
          <w:lang w:val="en-US" w:eastAsia="zh-CN"/>
        </w:rPr>
        <w:t xml:space="preserve">eak </w:t>
      </w:r>
      <w:r>
        <w:rPr>
          <w:rFonts w:hint="default" w:ascii="Times New Roman" w:hAnsi="Times New Roman"/>
          <w:highlight w:val="none"/>
          <w:lang w:val="en-US" w:eastAsia="zh-CN"/>
        </w:rPr>
        <w:t>P</w:t>
      </w:r>
      <w:r>
        <w:rPr>
          <w:rFonts w:hint="eastAsia" w:ascii="Times New Roman" w:hAnsi="Times New Roman"/>
          <w:highlight w:val="none"/>
          <w:lang w:val="en-US" w:eastAsia="zh-CN"/>
        </w:rPr>
        <w:t>recautionary</w:t>
      </w:r>
      <w:r>
        <w:rPr>
          <w:rFonts w:hint="default" w:ascii="Times New Roman" w:hAnsi="Times New Roman"/>
          <w:highlight w:val="none"/>
          <w:lang w:val="en-US" w:eastAsia="zh-CN"/>
        </w:rPr>
        <w:t xml:space="preserve"> P</w:t>
      </w:r>
      <w:r>
        <w:rPr>
          <w:rFonts w:hint="eastAsia" w:ascii="Times New Roman" w:hAnsi="Times New Roman"/>
          <w:highlight w:val="none"/>
          <w:lang w:val="en-US" w:eastAsia="zh-CN"/>
        </w:rPr>
        <w:t>rinciple），与上文提到的《里约宣言》中的表述极为相似：缺乏充分的确定性不能作为延缓有效措施防止环境损害的理由。该原则以《北海宣言》、《里约宣言》和《生物多样性公约》为代表。</w:t>
      </w:r>
      <w:r>
        <w:rPr>
          <w:rStyle w:val="16"/>
          <w:rFonts w:hint="eastAsia" w:ascii="Times New Roman" w:hAnsi="Times New Roman"/>
          <w:highlight w:val="none"/>
          <w:lang w:val="en-US" w:eastAsia="zh-CN"/>
        </w:rPr>
        <w:footnoteReference w:id="13"/>
      </w:r>
    </w:p>
    <w:p w14:paraId="735A8788">
      <w:pPr>
        <w:bidi w:val="0"/>
        <w:ind w:left="0" w:leftChars="0" w:firstLine="720" w:firstLineChars="300"/>
        <w:rPr>
          <w:rFonts w:hint="default"/>
          <w:highlight w:val="none"/>
          <w:lang w:val="en-US" w:eastAsia="zh-CN"/>
        </w:rPr>
      </w:pPr>
      <w:r>
        <w:rPr>
          <w:rFonts w:hint="eastAsia" w:ascii="Times New Roman" w:hAnsi="Times New Roman"/>
          <w:highlight w:val="none"/>
          <w:lang w:val="en-US" w:eastAsia="zh-CN"/>
        </w:rPr>
        <w:t>二者的异质性主要体现在防范风险的性质、可能造成损害的证明程度、举证责任等几个方面，在成本收益层面上，强风险预防原则较少考虑从事该危险活动可能带来的收益，只要具有不可逆转的风可能性就要实施预防措施，而弱风险预防原则的适用则需平衡实施预防措施成本与不作为时的成本效益。</w:t>
      </w:r>
      <w:r>
        <w:rPr>
          <w:rStyle w:val="16"/>
          <w:rFonts w:hint="eastAsia" w:ascii="Times New Roman" w:hAnsi="Times New Roman"/>
          <w:highlight w:val="none"/>
          <w:lang w:val="en-US" w:eastAsia="zh-CN"/>
        </w:rPr>
        <w:footnoteReference w:id="14"/>
      </w:r>
      <w:r>
        <w:rPr>
          <w:rFonts w:hint="eastAsia" w:ascii="Times New Roman" w:hAnsi="Times New Roman"/>
          <w:highlight w:val="none"/>
          <w:lang w:val="en-US" w:eastAsia="zh-CN"/>
        </w:rPr>
        <w:t>由于强风险预防原则严格禁止无证据证明其行为无害前不能从事活动，而后者并不严格禁止风险行为，所以后者在实践应用中采纳较多尤其在下文国际立法体系中的规定，便是以弱风险预防原则为基调，形成独特的制度框架。且该原则与后文提及适用主体的责任义务强度也相衔接，并非以绝对禁止或严格责任为出发点，而是通过规定“合理义务”或者“最低限度义务”以平衡责任的分配。因此，为促进深海采矿和海洋可持续双重目标的发展，对于深海矿产资源在弱风险预防原则的规制下进行合理开发是必要的。</w:t>
      </w:r>
      <w:bookmarkEnd w:id="3"/>
    </w:p>
    <w:p w14:paraId="0C2810C9">
      <w:pPr>
        <w:pStyle w:val="2"/>
        <w:tabs>
          <w:tab w:val="left" w:pos="0"/>
        </w:tabs>
        <w:bidi w:val="0"/>
        <w:ind w:left="-2" w:leftChars="0" w:firstLine="482" w:firstLineChars="0"/>
        <w:rPr>
          <w:rFonts w:ascii="Times New Roman" w:hAnsi="Times New Roman"/>
          <w:highlight w:val="none"/>
        </w:rPr>
      </w:pPr>
      <w:bookmarkStart w:id="4" w:name="_Toc13202"/>
      <w:bookmarkStart w:id="5" w:name="_Toc19955"/>
      <w:r>
        <w:rPr>
          <w:rFonts w:hint="eastAsia" w:ascii="Times New Roman" w:hAnsi="Times New Roman"/>
          <w:highlight w:val="none"/>
          <w:lang w:val="en-US" w:eastAsia="zh-CN"/>
        </w:rPr>
        <w:t>“区域”中风险预防原则的适用</w:t>
      </w:r>
      <w:bookmarkEnd w:id="4"/>
      <w:r>
        <w:rPr>
          <w:rFonts w:hint="eastAsia" w:ascii="Times New Roman" w:hAnsi="Times New Roman"/>
          <w:highlight w:val="none"/>
          <w:lang w:val="en-US" w:eastAsia="zh-CN"/>
        </w:rPr>
        <w:t>困境</w:t>
      </w:r>
      <w:bookmarkEnd w:id="5"/>
    </w:p>
    <w:p w14:paraId="50A069BF">
      <w:pPr>
        <w:pStyle w:val="3"/>
        <w:bidi w:val="0"/>
        <w:ind w:left="240" w:leftChars="0" w:firstLineChars="0"/>
        <w:rPr>
          <w:rFonts w:ascii="Times New Roman" w:hAnsi="Times New Roman"/>
          <w:highlight w:val="none"/>
        </w:rPr>
      </w:pPr>
      <w:bookmarkStart w:id="6" w:name="_Toc18300"/>
      <w:bookmarkStart w:id="7" w:name="_Toc16364"/>
      <w:r>
        <w:rPr>
          <w:rFonts w:hint="eastAsia" w:ascii="Times New Roman" w:hAnsi="Times New Roman"/>
          <w:highlight w:val="none"/>
          <w:lang w:val="en-US" w:eastAsia="zh-CN"/>
        </w:rPr>
        <w:t>“区域”中风险预防原则</w:t>
      </w:r>
      <w:bookmarkEnd w:id="6"/>
      <w:r>
        <w:rPr>
          <w:rFonts w:hint="eastAsia" w:ascii="Times New Roman" w:hAnsi="Times New Roman"/>
          <w:highlight w:val="none"/>
          <w:lang w:val="en-US" w:eastAsia="zh-CN"/>
        </w:rPr>
        <w:t>的法律框架与适用</w:t>
      </w:r>
      <w:bookmarkEnd w:id="7"/>
      <w:r>
        <w:rPr>
          <w:rFonts w:hint="eastAsia" w:ascii="Times New Roman" w:hAnsi="Times New Roman"/>
          <w:highlight w:val="none"/>
          <w:lang w:val="en-US" w:eastAsia="zh-CN"/>
        </w:rPr>
        <w:t>困境</w:t>
      </w:r>
    </w:p>
    <w:p w14:paraId="3F6608B1">
      <w:pPr>
        <w:pStyle w:val="4"/>
        <w:rPr>
          <w:rFonts w:hint="eastAsia"/>
          <w:highlight w:val="none"/>
          <w:lang w:val="en-US" w:eastAsia="zh-CN"/>
        </w:rPr>
      </w:pPr>
      <w:r>
        <w:rPr>
          <w:rFonts w:hint="eastAsia"/>
          <w:highlight w:val="none"/>
          <w:lang w:val="en-US" w:eastAsia="zh-CN"/>
        </w:rPr>
        <w:t>风险预防原则适用的法律框架</w:t>
      </w:r>
    </w:p>
    <w:p w14:paraId="1AE6BFA1">
      <w:pPr>
        <w:bidi w:val="0"/>
        <w:ind w:left="0" w:leftChars="0" w:firstLine="480" w:firstLineChars="200"/>
        <w:rPr>
          <w:rFonts w:hint="eastAsia" w:ascii="Times New Roman" w:hAnsi="Times New Roman"/>
          <w:highlight w:val="none"/>
          <w:lang w:val="en-US" w:eastAsia="zh-CN"/>
        </w:rPr>
      </w:pPr>
      <w:r>
        <w:rPr>
          <w:rFonts w:hint="eastAsia" w:ascii="Times New Roman" w:hAnsi="Times New Roman"/>
          <w:highlight w:val="none"/>
          <w:lang w:val="en-US" w:eastAsia="zh-CN"/>
        </w:rPr>
        <w:t>在联合国法律框架下，《联合国海洋法公约》（以下简称《公约》）和《关于执行1982年&lt;联合国海洋法公约&gt;</w:t>
      </w:r>
      <w:r>
        <w:rPr>
          <w:rFonts w:hint="eastAsia" w:ascii="Times New Roman" w:hAnsi="Times New Roman"/>
          <w:b w:val="0"/>
          <w:bCs w:val="0"/>
          <w:highlight w:val="none"/>
          <w:lang w:val="en-US" w:eastAsia="zh-CN"/>
        </w:rPr>
        <w:t>第十一部分的协定》（以下简称《执行协定》）构成区域矿产资源勘探开发活动的核心法律依据</w:t>
      </w:r>
      <w:r>
        <w:rPr>
          <w:rFonts w:hint="eastAsia" w:ascii="Times New Roman" w:hAnsi="Times New Roman"/>
          <w:highlight w:val="none"/>
          <w:lang w:val="en-US" w:eastAsia="zh-CN"/>
        </w:rPr>
        <w:t>。从理论层面看，《公约》虽未直接引入风险预防原则，但根据条文表达暗含了原则的核心内容。根据《公约》第十一部分“区域”中第145条规定</w:t>
      </w:r>
      <w:r>
        <w:rPr>
          <w:rStyle w:val="16"/>
          <w:rFonts w:hint="eastAsia" w:ascii="Times New Roman" w:hAnsi="Times New Roman"/>
          <w:highlight w:val="none"/>
          <w:lang w:val="en-US" w:eastAsia="zh-CN"/>
        </w:rPr>
        <w:footnoteReference w:id="15"/>
      </w:r>
      <w:r>
        <w:rPr>
          <w:rFonts w:hint="eastAsia" w:ascii="Times New Roman" w:hAnsi="Times New Roman"/>
          <w:highlight w:val="none"/>
          <w:lang w:val="en-US" w:eastAsia="zh-CN"/>
        </w:rPr>
        <w:t>需通过采取适当措施和防止等行为以避免对海洋环境其他生物造成不利影响。虽然措辞是“防止”，但其实条款中提及“这种活动的可能产生的有害影响”中的“可能”（may）一词涵盖的是科学不确定性下的潜在风险，而非仅限于已知或者已证实的损害；第194条第1款规定</w:t>
      </w:r>
      <w:r>
        <w:rPr>
          <w:rStyle w:val="16"/>
          <w:rFonts w:hint="eastAsia" w:ascii="Times New Roman" w:hAnsi="Times New Roman"/>
          <w:highlight w:val="none"/>
          <w:lang w:val="en-US" w:eastAsia="zh-CN"/>
        </w:rPr>
        <w:footnoteReference w:id="16"/>
      </w:r>
      <w:r>
        <w:rPr>
          <w:rFonts w:hint="eastAsia" w:ascii="Times New Roman" w:hAnsi="Times New Roman"/>
          <w:highlight w:val="none"/>
          <w:lang w:val="en-US" w:eastAsia="zh-CN"/>
        </w:rPr>
        <w:t>，各国应采取措施控制海洋环境污染，同样体现对潜在风险的前瞻性防范。同样，</w:t>
      </w:r>
      <w:r>
        <w:rPr>
          <w:rFonts w:hint="eastAsia" w:ascii="Times New Roman" w:hAnsi="Times New Roman"/>
          <w:b w:val="0"/>
          <w:bCs w:val="0"/>
          <w:highlight w:val="none"/>
          <w:lang w:val="en-US" w:eastAsia="zh-CN"/>
        </w:rPr>
        <w:t>《执行协定》中虽未明确提及风险预防原则，但却通过制度安排和责任分配间接提供补充支撑。《执行协定》附件第3条要求承包者在申请勘探或开发提交相关的环境数据和环境影响评估方法以及应急方案，但实质上要求承包者在科学不确定性下预先评估潜在风险，符合风险预防原则的核心；《执行协定》第4条规定了担保国的确保义务与赔偿责任，该规定间接落实风险预防原则对行为主体审慎义务的要求。</w:t>
      </w:r>
      <w:r>
        <w:rPr>
          <w:rFonts w:hint="eastAsia" w:ascii="Times New Roman" w:hAnsi="Times New Roman"/>
          <w:highlight w:val="none"/>
          <w:lang w:val="en-US" w:eastAsia="zh-CN"/>
        </w:rPr>
        <w:t>《公约》表面体现的仍是传统的损害预防原则，但是在深海环境下却赋予了其更加积极的内涵，即将“预防已知损害”拓展至“防范潜在风险”，与风险预防原则在“科学不确定性下采取行动”的核心要义相契合，这也与上文在概念辨析的观点相呼应。</w:t>
      </w:r>
    </w:p>
    <w:p w14:paraId="371438E7">
      <w:pPr>
        <w:bidi w:val="0"/>
        <w:ind w:left="0" w:leftChars="0" w:firstLine="480" w:firstLineChars="0"/>
        <w:rPr>
          <w:rFonts w:hint="eastAsia" w:ascii="Times New Roman" w:hAnsi="Times New Roman"/>
          <w:highlight w:val="none"/>
          <w:lang w:val="en-US" w:eastAsia="zh-CN"/>
        </w:rPr>
      </w:pPr>
      <w:r>
        <w:rPr>
          <w:rFonts w:hint="eastAsia" w:ascii="Times New Roman" w:hAnsi="Times New Roman"/>
          <w:highlight w:val="none"/>
        </w:rPr>
        <w:t>另外，管理局在上述的法律框架下也制定了一系列的规章与程序以规范“区域”资源活动。法律和技术委员会（LTC）编写的《“区域”内矿产资源开发规章草案》（以下简称《开发规章草案》）对《公约》145条有关海洋环境保护的内容进行细化，并围绕“区域”勘探活动对环境影响相关问题以及应对措施进行探究。虽然《公约》与《执行协定》未直接引入风险预防原则，但《开发规章草案》第44条</w:t>
      </w:r>
      <w:r>
        <w:rPr>
          <w:rStyle w:val="16"/>
          <w:rFonts w:hint="eastAsia" w:ascii="Times New Roman" w:hAnsi="Times New Roman"/>
          <w:highlight w:val="none"/>
        </w:rPr>
        <w:footnoteReference w:id="17"/>
      </w:r>
      <w:r>
        <w:rPr>
          <w:rFonts w:hint="eastAsia" w:ascii="Times New Roman" w:hAnsi="Times New Roman"/>
          <w:highlight w:val="none"/>
        </w:rPr>
        <w:t>明确声明利用预防性办法以保护海洋环境免受有害影响的风险，该条款奠定了风险预防原则在“区域”资源开发利用的国际法地位。并且，《规章草案》中环境影响报告制度和环境补偿金的设定，以及对环境管理和监测计划在一定程度上也是出于对风险预防原则的考量而制定。同时，为促进“区域”及其资源的纵深化发展，ISA针对“区域”相关资源的勘探开发内容制定了三部矿物勘探规章</w:t>
      </w:r>
      <w:r>
        <w:rPr>
          <w:rStyle w:val="16"/>
          <w:rFonts w:hint="eastAsia" w:ascii="Times New Roman" w:hAnsi="Times New Roman"/>
          <w:highlight w:val="none"/>
        </w:rPr>
        <w:footnoteReference w:id="18"/>
      </w:r>
      <w:r>
        <w:rPr>
          <w:rFonts w:hint="eastAsia" w:ascii="Times New Roman" w:hAnsi="Times New Roman"/>
          <w:highlight w:val="none"/>
        </w:rPr>
        <w:t>，并于第二部分规定承包者应采取必要措施和预防做法以防止或减少对海洋环境不良影响的内容同样对风险预防原则适用的体现。</w:t>
      </w:r>
    </w:p>
    <w:p w14:paraId="6D4056A5">
      <w:pPr>
        <w:pStyle w:val="4"/>
        <w:rPr>
          <w:rFonts w:hint="eastAsia"/>
          <w:highlight w:val="none"/>
          <w:lang w:val="en-US" w:eastAsia="zh-CN"/>
        </w:rPr>
      </w:pPr>
      <w:r>
        <w:rPr>
          <w:rFonts w:hint="eastAsia"/>
          <w:highlight w:val="none"/>
          <w:lang w:val="en-US" w:eastAsia="zh-CN"/>
        </w:rPr>
        <w:t>风险预防原则适用的法律困境</w:t>
      </w:r>
    </w:p>
    <w:p w14:paraId="7A3343B1">
      <w:pPr>
        <w:bidi w:val="0"/>
        <w:ind w:firstLine="480"/>
        <w:rPr>
          <w:rFonts w:hint="default" w:ascii="Times New Roman" w:hAnsi="Times New Roman"/>
          <w:highlight w:val="none"/>
          <w:lang w:val="en-US" w:eastAsia="zh-CN"/>
        </w:rPr>
      </w:pPr>
      <w:r>
        <w:rPr>
          <w:rFonts w:hint="eastAsia" w:ascii="Times New Roman" w:hAnsi="Times New Roman"/>
          <w:highlight w:val="none"/>
        </w:rPr>
        <w:t>根据上文提及风险预防原则适用的相关法律文件，我们可以看出该原则的适用已形成多层级的法律依据，但同时</w:t>
      </w:r>
      <w:r>
        <w:rPr>
          <w:rFonts w:hint="eastAsia" w:ascii="Times New Roman" w:hAnsi="Times New Roman"/>
          <w:highlight w:val="none"/>
          <w:lang w:val="en-US" w:eastAsia="zh-CN"/>
        </w:rPr>
        <w:t>在实践中风险预防原则的落地面临着双重法律困境。</w:t>
      </w:r>
    </w:p>
    <w:p w14:paraId="353ABDE3">
      <w:pPr>
        <w:bidi w:val="0"/>
        <w:ind w:left="0" w:leftChars="0" w:firstLine="480" w:firstLineChars="200"/>
        <w:rPr>
          <w:rFonts w:hint="default" w:ascii="Times New Roman" w:hAnsi="Times New Roman"/>
          <w:b w:val="0"/>
          <w:bCs w:val="0"/>
          <w:highlight w:val="none"/>
          <w:lang w:val="en-US" w:eastAsia="zh-CN"/>
        </w:rPr>
      </w:pPr>
      <w:r>
        <w:rPr>
          <w:rFonts w:hint="eastAsia" w:ascii="Times New Roman" w:hAnsi="Times New Roman"/>
          <w:highlight w:val="none"/>
          <w:lang w:val="en-US" w:eastAsia="zh-CN"/>
        </w:rPr>
        <w:t>首先，因法律术语的模糊性导致原则适用边界不清。上文中《公约》第145条和第194条提及的“可能”隐含了对于科学不确定性的关注，但也未明确“可能”的法律阈值和风险程度。这将会导致预防已知损害与防范潜在风险的界限存在模糊性，并且在科学证据证明活动存在风险可能性时是否触发预防措施的标准产生差异，易导致存在“过度预防”和“风险放任”的两极化倾向。同时，关于三部勘探规章的内容也是未对关键性概念进行科学层面的明确定义，如《多金属结核规章》第2条第2款规定“当有实质性证据表明可能对海洋环境造成严重损害时，应采用预防性方法并不得进行探矿”，其中“严重损害”的损害程度并未进行规定，这也会导致同样的后果。另外，《开发规章草案》虽引入了《里约宣言》的预防性办法，但是并未结合“区域”的特殊性质进行重新定义，这也可能加剧实践中的适用混乱情形。</w:t>
      </w:r>
    </w:p>
    <w:p w14:paraId="69306410">
      <w:pPr>
        <w:bidi w:val="0"/>
        <w:ind w:firstLine="480" w:firstLineChars="200"/>
        <w:rPr>
          <w:rFonts w:hint="eastAsia" w:ascii="Times New Roman" w:hAnsi="Times New Roman"/>
          <w:highlight w:val="none"/>
          <w:lang w:val="en-US" w:eastAsia="zh-CN"/>
        </w:rPr>
      </w:pPr>
      <w:r>
        <w:rPr>
          <w:rFonts w:hint="eastAsia" w:ascii="Times New Roman" w:hAnsi="Times New Roman"/>
          <w:highlight w:val="none"/>
          <w:lang w:val="en-US" w:eastAsia="zh-CN"/>
        </w:rPr>
        <w:t>其次，因法律规定过于分散和碎片化导致不同法律文件的不协调。上文提及ISA是在《公约》和《执行协定》的框架下制定《开发规章草案》和三部勘探规章，而在这多层级的法律文件中常常存在规则的重复与冲突，缺乏统一的协调机制。《公约》和《开发规章草案》之间规则目标的价值取向似乎就存在一定程度的差异。《公约》第153条规定的平行开发制度中，申请者的主要义务是提供两块价值相当的矿址并缴纳费用，管理局则是对矿质价值相当性和申请者资质进行形式审查，并未提及环境风险的实质审查标准，其制度设计隐含开发利益优先环境风险的价值导向；而《开发规章草案》则引入复杂的环境影响评估标准与流程，要求承包者在勘探开发前完成EIA，提交BAT方案并设立生态参照区，形成风险预防高于开发效率的严格标准。由此可知，作为上位法的《公约》侧重开发权力的分配，而下位法《开发规章草案》着重控制生态风险，缺乏中间层级的平衡机制去协调，这将使得ISA在促进“区域”开发和防范生态损害风险之间难以平衡，并且在实践中也会出现两难的局面。同时，三部勘探规章主要针对不同矿种制定预防措施，其中也并未建立统一的风险评估框架和判定标准。</w:t>
      </w:r>
    </w:p>
    <w:p w14:paraId="7A15300D">
      <w:pPr>
        <w:widowControl/>
        <w:bidi w:val="0"/>
        <w:ind w:firstLine="480" w:firstLineChars="200"/>
        <w:jc w:val="left"/>
        <w:rPr>
          <w:rFonts w:hint="default" w:ascii="Times New Roman" w:hAnsi="Times New Roman"/>
          <w:highlight w:val="none"/>
          <w:lang w:val="en-US" w:eastAsia="zh-CN"/>
        </w:rPr>
      </w:pPr>
      <w:r>
        <w:rPr>
          <w:rFonts w:hint="eastAsia" w:ascii="Times New Roman" w:hAnsi="Times New Roman"/>
          <w:highlight w:val="none"/>
          <w:lang w:val="en-US" w:eastAsia="zh-CN"/>
        </w:rPr>
        <w:t>而在实践中，瑙鲁海洋资源公司在克拉里昂-克利珀顿区（</w:t>
      </w:r>
      <w:r>
        <w:rPr>
          <w:rFonts w:hint="default" w:ascii="Times New Roman" w:hAnsi="Times New Roman"/>
          <w:highlight w:val="none"/>
          <w:lang w:val="en-US" w:eastAsia="zh-CN"/>
        </w:rPr>
        <w:t>C</w:t>
      </w:r>
      <w:r>
        <w:rPr>
          <w:rFonts w:hint="eastAsia" w:ascii="Times New Roman" w:hAnsi="Times New Roman"/>
          <w:highlight w:val="none"/>
          <w:lang w:val="en-US" w:eastAsia="zh-CN"/>
        </w:rPr>
        <w:t>l</w:t>
      </w:r>
      <w:r>
        <w:rPr>
          <w:rFonts w:hint="default" w:ascii="Times New Roman" w:hAnsi="Times New Roman"/>
          <w:highlight w:val="none"/>
          <w:lang w:val="en-US" w:eastAsia="zh-CN"/>
        </w:rPr>
        <w:t>arion-Clipperton Zone</w:t>
      </w:r>
      <w:r>
        <w:rPr>
          <w:rFonts w:hint="eastAsia" w:ascii="Times New Roman" w:hAnsi="Times New Roman"/>
          <w:highlight w:val="none"/>
          <w:lang w:val="en-US" w:eastAsia="zh-CN"/>
        </w:rPr>
        <w:t>，以下简称“</w:t>
      </w:r>
      <w:r>
        <w:rPr>
          <w:rFonts w:hint="default" w:ascii="Times New Roman" w:hAnsi="Times New Roman"/>
          <w:highlight w:val="none"/>
          <w:lang w:val="en-US" w:eastAsia="zh-CN"/>
        </w:rPr>
        <w:t>CCZ</w:t>
      </w:r>
      <w:r>
        <w:rPr>
          <w:rFonts w:hint="eastAsia" w:ascii="Times New Roman" w:hAnsi="Times New Roman"/>
          <w:highlight w:val="none"/>
          <w:lang w:val="en-US" w:eastAsia="zh-CN"/>
        </w:rPr>
        <w:t>”）进行多金属结核开采测试的申请便是对法律适用困境的具体印证。根据法律技术委员会的报告文件，该公司对拟开展的测试活动“涉及在8平方公里测试区直接干扰面积0.5平方公里海底区域”等数据主张风险可控，但</w:t>
      </w:r>
      <w:r>
        <w:rPr>
          <w:rFonts w:hint="default" w:ascii="Times New Roman" w:hAnsi="Times New Roman"/>
          <w:highlight w:val="none"/>
          <w:lang w:val="en-US" w:eastAsia="zh-CN"/>
        </w:rPr>
        <w:t>ISA</w:t>
      </w:r>
      <w:r>
        <w:rPr>
          <w:rFonts w:hint="eastAsia" w:ascii="Times New Roman" w:hAnsi="Times New Roman"/>
          <w:highlight w:val="none"/>
          <w:lang w:val="en-US" w:eastAsia="zh-CN"/>
        </w:rPr>
        <w:t>却指出报告中“试验采矿”和“商业开采”的界限模糊，且未明确生产是否涵盖结核的实质提取，并要求瑙鲁补充长期基线数据和高分辨率水深图等数据。</w:t>
      </w:r>
      <w:r>
        <w:rPr>
          <w:rStyle w:val="16"/>
          <w:rFonts w:hint="eastAsia" w:ascii="Times New Roman" w:hAnsi="Times New Roman"/>
          <w:highlight w:val="none"/>
          <w:lang w:val="en-US" w:eastAsia="zh-CN"/>
        </w:rPr>
        <w:footnoteReference w:id="19"/>
      </w:r>
      <w:r>
        <w:rPr>
          <w:rFonts w:hint="eastAsia" w:asciiTheme="minorEastAsia" w:hAnsiTheme="minorEastAsia" w:eastAsiaTheme="minorEastAsia" w:cstheme="minorEastAsia"/>
          <w:i w:val="0"/>
          <w:iCs w:val="0"/>
          <w:caps w:val="0"/>
          <w:color w:val="404040"/>
          <w:spacing w:val="0"/>
          <w:kern w:val="0"/>
          <w:sz w:val="24"/>
          <w:szCs w:val="24"/>
          <w:highlight w:val="none"/>
          <w:u w:val="none"/>
          <w:shd w:val="clear" w:fill="FFFFFF"/>
          <w:lang w:val="en-US" w:eastAsia="zh-CN" w:bidi="ar"/>
        </w:rPr>
        <w:t>这直接暴露了《多金属结核规章》第2条第2款中“严重损害”界定缺失的缺陷，由于“严重损害”本身缺乏量化标准，加之双方对“可能造成严重损害”的解读分歧，导致ISA陷入决策困境。同时，这一矛盾进一步映射于《开发规章草案》与既有法律体系的冲突。瑙鲁在致ISA的函件中强调</w:t>
      </w:r>
      <w:r>
        <w:rPr>
          <w:rStyle w:val="16"/>
          <w:rFonts w:hint="eastAsia" w:asciiTheme="minorEastAsia" w:hAnsiTheme="minorEastAsia" w:eastAsiaTheme="minorEastAsia" w:cstheme="minorEastAsia"/>
          <w:i w:val="0"/>
          <w:iCs w:val="0"/>
          <w:caps w:val="0"/>
          <w:color w:val="404040"/>
          <w:spacing w:val="0"/>
          <w:kern w:val="0"/>
          <w:sz w:val="24"/>
          <w:szCs w:val="24"/>
          <w:highlight w:val="none"/>
          <w:u w:val="none"/>
          <w:shd w:val="clear" w:fill="FFFFFF"/>
          <w:lang w:val="en-US" w:eastAsia="zh-CN" w:bidi="ar"/>
        </w:rPr>
        <w:footnoteReference w:id="20"/>
      </w:r>
      <w:r>
        <w:rPr>
          <w:rFonts w:hint="eastAsia" w:asciiTheme="minorEastAsia" w:hAnsiTheme="minorEastAsia" w:eastAsiaTheme="minorEastAsia" w:cstheme="minorEastAsia"/>
          <w:i w:val="0"/>
          <w:iCs w:val="0"/>
          <w:caps w:val="0"/>
          <w:color w:val="404040"/>
          <w:spacing w:val="0"/>
          <w:kern w:val="0"/>
          <w:sz w:val="24"/>
          <w:szCs w:val="24"/>
          <w:highlight w:val="none"/>
          <w:u w:val="none"/>
          <w:shd w:val="clear" w:fill="FFFFFF"/>
          <w:lang w:val="en-US" w:eastAsia="zh-CN" w:bidi="ar"/>
        </w:rPr>
        <w:t>，其申请基于《公约》赋予的“惠益共享”权利，主张小岛屿发展中国家应通过深海采矿实现经济转型。然而，《开发规章草案》环境影响评估（EIA）流程、最佳可行技术（BAT）要求与《公约》第145条“适当顾及”原则形成张力。例如，《公约》第153条仅要求矿址分配的“价值相当性”形式审查，而《开发规章草案》却引入实质性的生态风险审查标准，迫使瑙鲁额外承担科学举证成本。这种规则体系的分裂实质上是法律术语模糊性在制度层面的延伸：当“可能”“严重损害”等概念缺乏统一解释时，上位法与下位法的价值冲突被放大，ISA不得不在开发权与环保义务间进行个案裁量，最终导致瑙鲁申请陷入长达两年的磋商僵局。该案例表明，法律术语的模糊性不仅削弱了风险预防原则的操作性，更通过规则碎片化加剧了发展中国家与发达国家在深海治理中的权力失衡，亟待通过量化损害阈值、重构术语定义框架予以系统性回应。</w:t>
      </w:r>
    </w:p>
    <w:p w14:paraId="351C6242">
      <w:pPr>
        <w:pStyle w:val="3"/>
        <w:bidi w:val="0"/>
        <w:ind w:left="0" w:leftChars="0" w:firstLine="0" w:firstLineChars="0"/>
        <w:rPr>
          <w:rFonts w:ascii="Times New Roman" w:hAnsi="Times New Roman"/>
          <w:highlight w:val="none"/>
        </w:rPr>
      </w:pPr>
      <w:bookmarkStart w:id="8" w:name="_Toc23164"/>
      <w:bookmarkStart w:id="9" w:name="_Toc9631"/>
      <w:r>
        <w:rPr>
          <w:rFonts w:hint="eastAsia" w:ascii="Times New Roman" w:hAnsi="Times New Roman"/>
          <w:highlight w:val="none"/>
          <w:lang w:val="en-US" w:eastAsia="zh-CN"/>
        </w:rPr>
        <w:t>风险预防原则下义务主体的责任架构与适用困境</w:t>
      </w:r>
      <w:bookmarkEnd w:id="8"/>
      <w:bookmarkEnd w:id="9"/>
    </w:p>
    <w:p w14:paraId="68CA4D08">
      <w:pPr>
        <w:widowControl/>
        <w:ind w:left="0"/>
        <w:jc w:val="left"/>
        <w:rPr>
          <w:rFonts w:hint="default" w:ascii="Times New Roman" w:hAnsi="Times New Roman"/>
          <w:highlight w:val="none"/>
          <w:lang w:val="en-US"/>
        </w:rPr>
      </w:pP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风险预防原则的核心在于，</w:t>
      </w:r>
      <w:r>
        <w:rPr>
          <w:rStyle w:val="15"/>
          <w:rFonts w:hint="eastAsia" w:asciiTheme="minorEastAsia" w:hAnsiTheme="minorEastAsia" w:eastAsiaTheme="minorEastAsia" w:cstheme="minorEastAsia"/>
          <w:b w:val="0"/>
          <w:bCs w:val="0"/>
          <w:i w:val="0"/>
          <w:iCs w:val="0"/>
          <w:caps w:val="0"/>
          <w:color w:val="404040"/>
          <w:spacing w:val="0"/>
          <w:kern w:val="0"/>
          <w:sz w:val="24"/>
          <w:szCs w:val="24"/>
          <w:highlight w:val="none"/>
          <w:u w:val="none"/>
          <w:lang w:val="en-US" w:eastAsia="zh-CN" w:bidi="ar"/>
        </w:rPr>
        <w:t>在科学不确定性存在时，即使缺乏确凿证据证明损害必然发生，也应当提前采取预防性措施以避免环境风险</w:t>
      </w: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。这一原则的适用依赖于责任主体义务的明确界定与有效履行。而</w:t>
      </w:r>
      <w:r>
        <w:rPr>
          <w:rFonts w:hint="eastAsia" w:asciiTheme="minorEastAsia" w:hAnsiTheme="minorEastAsia" w:eastAsiaTheme="minorEastAsia" w:cstheme="minorEastAsia"/>
          <w:b w:val="0"/>
          <w:bCs w:val="0"/>
          <w:highlight w:val="none"/>
          <w:lang w:val="en-US" w:eastAsia="zh-CN"/>
        </w:rPr>
        <w:t xml:space="preserve">《公约》和《开发规章草案》规定体现了三类主要主体在不同层面的不同环境义务，形成“管理局的一般性首要义务、承担者的执行义务以及担保国的担保义务”三层义务主体架构。 </w:t>
      </w: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然而，当前ISA、承包者与担保国三方存在的责任承担困境，实质上反映了风险预防原则在“区域”开发活动中面临的</w:t>
      </w:r>
      <w:r>
        <w:rPr>
          <w:rStyle w:val="15"/>
          <w:rFonts w:hint="eastAsia" w:asciiTheme="minorEastAsia" w:hAnsiTheme="minorEastAsia" w:eastAsiaTheme="minorEastAsia" w:cstheme="minorEastAsia"/>
          <w:b w:val="0"/>
          <w:bCs w:val="0"/>
          <w:i w:val="0"/>
          <w:iCs w:val="0"/>
          <w:caps w:val="0"/>
          <w:color w:val="404040"/>
          <w:spacing w:val="0"/>
          <w:kern w:val="0"/>
          <w:sz w:val="24"/>
          <w:szCs w:val="24"/>
          <w:highlight w:val="none"/>
          <w:u w:val="none"/>
          <w:lang w:val="en-US" w:eastAsia="zh-CN" w:bidi="ar"/>
        </w:rPr>
        <w:t>结构性矛盾，</w:t>
      </w: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即原则的抽象性与义务主体责任的模糊性、原则的前瞻性与执行标准的滞后性之间的冲突。</w:t>
      </w:r>
    </w:p>
    <w:p w14:paraId="740C93D8">
      <w:pPr>
        <w:pStyle w:val="4"/>
        <w:bidi w:val="0"/>
        <w:ind w:firstLine="0" w:firstLineChars="0"/>
        <w:rPr>
          <w:rFonts w:hint="default" w:ascii="Times New Roman" w:hAnsi="Times New Roman"/>
          <w:highlight w:val="none"/>
          <w:lang w:val="en-US" w:eastAsia="zh-CN"/>
        </w:rPr>
      </w:pPr>
      <w:bookmarkStart w:id="10" w:name="_Toc28297"/>
      <w:r>
        <w:rPr>
          <w:rFonts w:hint="eastAsia" w:ascii="Times New Roman" w:hAnsi="Times New Roman"/>
          <w:highlight w:val="none"/>
          <w:lang w:val="en-US" w:eastAsia="zh-CN"/>
        </w:rPr>
        <w:t>义务主体的责任架构</w:t>
      </w:r>
      <w:bookmarkEnd w:id="10"/>
    </w:p>
    <w:p w14:paraId="4A775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highlight w:val="none"/>
          <w:lang w:val="en-US" w:eastAsia="zh-CN"/>
        </w:rPr>
      </w:pPr>
      <w:r>
        <w:rPr>
          <w:rFonts w:hint="eastAsia" w:ascii="Times New Roman" w:hAnsi="Times New Roman"/>
          <w:highlight w:val="none"/>
          <w:lang w:val="en-US" w:eastAsia="zh-CN"/>
        </w:rPr>
        <w:t>首先，ISA根据其设立的宗旨对“区域</w:t>
      </w:r>
      <w:r>
        <w:rPr>
          <w:rFonts w:hint="default" w:ascii="Times New Roman" w:hAnsi="Times New Roman"/>
          <w:highlight w:val="none"/>
          <w:lang w:val="en-US" w:eastAsia="zh-CN"/>
        </w:rPr>
        <w:t>”</w:t>
      </w:r>
      <w:r>
        <w:rPr>
          <w:rFonts w:hint="eastAsia" w:ascii="Times New Roman" w:hAnsi="Times New Roman"/>
          <w:highlight w:val="none"/>
          <w:lang w:val="en-US" w:eastAsia="zh-CN"/>
        </w:rPr>
        <w:t>负有一般性首要任务，有义务采取预防措施防止和减少活动对“区域”环境遭受损害和风险的可能性。根据《公约》第十一部分对“区域”特殊性质的规定，“区域”及其资源是人类的共同继承财产，并且对于“区域”内资源的一切权利由ISA代表全人类进行行使。由此关于“区域”内资源勘探开发活动的进行与产生的风险，ISA必然对其负有相应的责任。此规定阐明了ISA的职责，同时这也是ISA产生的原因。其次，ISA对“区域”海洋环境的保护也负有责任。根据《公约》第145条和《开发规章草案》第44条，ISA有义务按照规定采取必要措施以保护海洋环境不受“区域”活动可能产生的有害影响，并为防止、减少和控制可能对海洋环境造成的风险和损害制定适当的规则和规章的责任。除此以外，ISA还有因“区域”活动特殊性所负有的对“区域”保护的区域义务。海管局各机关有义务监测勘探工作计划的遵守情况，并在第29届LTC会议中确定了海管局各机关对承包者遵守情况的监测程序，表明只有理事会才能对承包者采取强制执行行动，即以课以罚款、暂停合同或终止合同。</w:t>
      </w:r>
      <w:r>
        <w:rPr>
          <w:rStyle w:val="16"/>
          <w:rFonts w:hint="eastAsia" w:ascii="Times New Roman" w:hAnsi="Times New Roman"/>
          <w:highlight w:val="none"/>
          <w:lang w:val="en-US" w:eastAsia="zh-CN"/>
        </w:rPr>
        <w:footnoteReference w:id="21"/>
      </w:r>
    </w:p>
    <w:p w14:paraId="39081C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其次，承包者是直接参与“区域”勘探开发活动的主要行为者，因此还需对活动的进行承担一系列的特殊义务。除了根据《开发规章草案》第44条规定承包者也有对于“区域”活动采取一般预防措施的义务。根据《开发规章草案》第四部分内容，承包者有义务采取必要措施防止和减少其他对海洋环境可能造成的损害、污染等风险，如在活动开始前应准备环境声明与应急计划，在活动过程中编制记录环境影响评估的环境影响报告以及环境管理和监测计划的责任，并对“区域”内活动可能对海洋环境造成的污染进行进行控制的义务。同时，“区域”内勘探矿物合同还要去承包者收集海洋学和环境基线数据，以对比评估其勘探工作计划的活动方案可能对海洋环境造成的影响。</w:t>
      </w:r>
      <w:r>
        <w:rPr>
          <w:rStyle w:val="16"/>
          <w:rFonts w:hint="eastAsia" w:ascii="Times New Roman" w:hAnsi="Times New Roman"/>
          <w:highlight w:val="none"/>
          <w:lang w:val="en-US" w:eastAsia="zh-CN"/>
        </w:rPr>
        <w:footnoteReference w:id="22"/>
      </w:r>
      <w:r>
        <w:rPr>
          <w:rFonts w:hint="eastAsia" w:ascii="Times New Roman" w:hAnsi="Times New Roman"/>
          <w:highlight w:val="none"/>
          <w:lang w:val="en-US" w:eastAsia="zh-CN"/>
        </w:rPr>
        <w:t>除此以外，承包者还有协作义务，接受管理局的监管以及配合其他主体的参与，绩效评估的独立审查员或利益相关者的公开咨询。根据勘探合同规定，承包者有义务在每年结束后的90天内想秘书长提交年度报告，说明其在勘探区域的活动方案，并在五年内由秘书长审查勘探工作计划的执行情况。</w:t>
      </w:r>
      <w:r>
        <w:rPr>
          <w:rStyle w:val="16"/>
          <w:rFonts w:hint="eastAsia" w:ascii="Times New Roman" w:hAnsi="Times New Roman"/>
          <w:highlight w:val="none"/>
          <w:lang w:val="en-US" w:eastAsia="zh-CN"/>
        </w:rPr>
        <w:footnoteReference w:id="23"/>
      </w:r>
    </w:p>
    <w:p w14:paraId="677D797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最后，由于作为个人的承包者无法承担因活动导致的国际法责任，所以还需由作为国际法主体的国籍国承担担保责任。担保国除了承担《开发规章草案》第44条规定的对海洋环境保护的一般责任外，根据《公约》第139条和第153条，各缔约国还负有独立的法律责任，有义务采取一切必要措施以确保个人或者企业在其管辖或控制的区域开展活动时符合法律规定，并对于承包者违反上述规定所造成的损害负有赔偿的责任。在2011年的国际海洋法法庭海底争端分庭（简称“分庭”）发表的咨询意见</w:t>
      </w:r>
      <w:r>
        <w:rPr>
          <w:rStyle w:val="16"/>
          <w:rFonts w:hint="eastAsia" w:ascii="Times New Roman" w:hAnsi="Times New Roman"/>
          <w:highlight w:val="none"/>
          <w:lang w:val="en-US" w:eastAsia="zh-CN"/>
        </w:rPr>
        <w:footnoteReference w:id="24"/>
      </w:r>
      <w:r>
        <w:rPr>
          <w:rFonts w:hint="eastAsia" w:ascii="Times New Roman" w:hAnsi="Times New Roman"/>
          <w:highlight w:val="none"/>
          <w:lang w:val="en-US" w:eastAsia="zh-CN"/>
        </w:rPr>
        <w:t>中将担保国的责任进一步划分为确保义务（Responsibility To Ensure）和直接责任（Direct Obligation）。一是担保国应采取一切合理措施确保承包者遵守规则和接受监管的确保义务，并提及尽责义务（Due Diligence），声称判断标准需结合风险程度和活动性质动态调整；二是因担保国自身疏忽等行为导致环境损害承担的直接责任，与确保义务独立，无需以承包者违约为前提。该区分进一步理清了ISA、承包者和担保国之间的责任界定。</w:t>
      </w:r>
    </w:p>
    <w:p w14:paraId="354FD83E">
      <w:pPr>
        <w:pStyle w:val="4"/>
        <w:bidi w:val="0"/>
        <w:ind w:left="0" w:leftChars="0" w:firstLine="0" w:firstLineChars="0"/>
        <w:rPr>
          <w:rFonts w:hint="default" w:ascii="Times New Roman" w:hAnsi="Times New Roman"/>
          <w:highlight w:val="none"/>
          <w:lang w:val="en-US" w:eastAsia="zh-CN"/>
        </w:rPr>
      </w:pPr>
      <w:bookmarkStart w:id="11" w:name="_Toc8008"/>
      <w:r>
        <w:rPr>
          <w:rFonts w:hint="eastAsia" w:ascii="Times New Roman" w:hAnsi="Times New Roman"/>
          <w:highlight w:val="none"/>
          <w:lang w:val="en-US" w:eastAsia="zh-CN"/>
        </w:rPr>
        <w:t>义务主体的责任承担</w:t>
      </w:r>
      <w:bookmarkEnd w:id="11"/>
      <w:r>
        <w:rPr>
          <w:rFonts w:hint="eastAsia" w:ascii="Times New Roman" w:hAnsi="Times New Roman"/>
          <w:highlight w:val="none"/>
          <w:lang w:val="en-US" w:eastAsia="zh-CN"/>
        </w:rPr>
        <w:t>困境</w:t>
      </w:r>
    </w:p>
    <w:p w14:paraId="67124277">
      <w:pPr>
        <w:bidi w:val="0"/>
        <w:rPr>
          <w:rFonts w:hint="default" w:ascii="Times New Roman" w:hAnsi="Times New Roman"/>
          <w:highlight w:val="none"/>
          <w:lang w:val="en-US" w:eastAsia="zh-CN"/>
        </w:rPr>
      </w:pPr>
      <w:r>
        <w:rPr>
          <w:rFonts w:hint="eastAsia" w:ascii="Times New Roman" w:hAnsi="Times New Roman"/>
          <w:highlight w:val="none"/>
          <w:lang w:val="en-US" w:eastAsia="zh-CN"/>
        </w:rPr>
        <w:t>在上述框架中，ISA、承包者和担保国三类主体的责任在义务划分已形成较完成的制度架构，但在实践中较为突出的矛盾常集中ISA监管标准和担保国责任界定，而承包者作为执行主体，其困境更多在执行层面。因此，下文将侧重于ISA和担保国的责任问题进行重点说明。</w:t>
      </w:r>
    </w:p>
    <w:p w14:paraId="4B679666">
      <w:pPr>
        <w:widowControl/>
        <w:bidi w:val="0"/>
        <w:ind w:firstLine="480" w:firstLineChars="200"/>
        <w:jc w:val="left"/>
        <w:rPr>
          <w:rFonts w:hint="default" w:ascii="Times New Roman" w:hAnsi="Times New Roman"/>
          <w:highlight w:val="none"/>
          <w:lang w:val="en-US" w:eastAsia="zh-CN"/>
        </w:rPr>
      </w:pPr>
      <w:r>
        <w:rPr>
          <w:rFonts w:hint="eastAsia" w:ascii="Times New Roman" w:hAnsi="Times New Roman"/>
          <w:highlight w:val="none"/>
          <w:lang w:val="en-US" w:eastAsia="zh-CN"/>
        </w:rPr>
        <w:t>“区域”的特殊性质意味着ISA在责任承担上具有双重性，既是规则的制定者，也是执行的监管者。一方面，根据上文提及法律术语和标准的模糊性，通常导致ISA在审查相关预防性措施的实施标准和界限缺乏统一的量化指标，致使ISA无法充分履行监管义务。2024年克拉里昂-克利珀顿区NORI-D合同区发生的事件，暴露了因监管标准模糊引发的执行争议。</w:t>
      </w:r>
      <w:r>
        <w:rPr>
          <w:rStyle w:val="16"/>
          <w:rFonts w:hint="eastAsia" w:ascii="Times New Roman" w:hAnsi="Times New Roman"/>
          <w:highlight w:val="none"/>
          <w:lang w:val="en-US" w:eastAsia="zh-CN"/>
        </w:rPr>
        <w:footnoteReference w:id="25"/>
      </w:r>
      <w:r>
        <w:rPr>
          <w:rFonts w:hint="eastAsia" w:ascii="Times New Roman" w:hAnsi="Times New Roman"/>
          <w:highlight w:val="none"/>
          <w:lang w:val="en-US" w:eastAsia="zh-CN"/>
        </w:rPr>
        <w:t>因绿色和平组织抗议导致承包者无法完成环境数据收集，ISA便依据《开发规章草案》第44条发布紧急措施要求抗议者撤离，绿色和平组织就秘书长对其采取的紧急措施向阿姆斯特丹地区法院提起诉讼，法院因标准模糊，就绿色和平组织的“抗议权”为由否定了ISA的部分权力，</w:t>
      </w: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表明监管弹性可能被滥用或误读，导致原则的预防性目标被</w:t>
      </w:r>
      <w:r>
        <w:rPr>
          <w:rStyle w:val="15"/>
          <w:rFonts w:hint="eastAsia" w:asciiTheme="minorEastAsia" w:hAnsiTheme="minorEastAsia" w:eastAsiaTheme="minorEastAsia" w:cstheme="minorEastAsia"/>
          <w:b w:val="0"/>
          <w:bCs w:val="0"/>
          <w:i w:val="0"/>
          <w:iCs w:val="0"/>
          <w:caps w:val="0"/>
          <w:color w:val="404040"/>
          <w:spacing w:val="0"/>
          <w:kern w:val="0"/>
          <w:sz w:val="24"/>
          <w:szCs w:val="24"/>
          <w:highlight w:val="none"/>
          <w:u w:val="none"/>
          <w:lang w:val="en-US" w:eastAsia="zh-CN" w:bidi="ar"/>
        </w:rPr>
        <w:t>司法裁量权架空。</w:t>
      </w:r>
      <w:r>
        <w:rPr>
          <w:rFonts w:hint="eastAsia" w:ascii="Times New Roman" w:hAnsi="Times New Roman"/>
          <w:highlight w:val="none"/>
          <w:lang w:val="en-US" w:eastAsia="zh-CN"/>
        </w:rPr>
        <w:t>另一方面，</w:t>
      </w:r>
      <w:r>
        <w:rPr>
          <w:rFonts w:hint="eastAsia" w:asciiTheme="minorEastAsia" w:hAnsiTheme="minorEastAsia" w:eastAsiaTheme="minorEastAsia" w:cstheme="minorEastAsia"/>
          <w:b w:val="0"/>
          <w:bCs w:val="0"/>
          <w:i w:val="0"/>
          <w:iCs w:val="0"/>
          <w:caps w:val="0"/>
          <w:color w:val="404040"/>
          <w:spacing w:val="0"/>
          <w:kern w:val="0"/>
          <w:sz w:val="24"/>
          <w:szCs w:val="24"/>
          <w:highlight w:val="none"/>
          <w:u w:val="none"/>
          <w:shd w:val="clear" w:fill="FFFFFF"/>
          <w:lang w:val="en-US" w:eastAsia="zh-CN" w:bidi="ar"/>
        </w:rPr>
        <w:t>风险预防原则要求监管者承担“谨慎决策”义务，但《公约》未规定ISA因规则制定或审批失误导致的法律责任，若ISA为加快开发进程降低环境标准，其行为缺乏追责机制。</w:t>
      </w:r>
      <w:r>
        <w:rPr>
          <w:rFonts w:hint="eastAsia" w:asciiTheme="minorEastAsia" w:hAnsiTheme="minorEastAsia" w:eastAsiaTheme="minorEastAsia" w:cstheme="minorEastAsia"/>
          <w:b w:val="0"/>
          <w:bCs w:val="0"/>
          <w:highlight w:val="none"/>
          <w:lang w:val="en-US" w:eastAsia="zh-CN"/>
        </w:rPr>
        <w:t>同样在2011年分庭的咨询意见</w:t>
      </w:r>
      <w:r>
        <w:rPr>
          <w:rStyle w:val="16"/>
          <w:rFonts w:hint="eastAsia" w:asciiTheme="minorEastAsia" w:hAnsiTheme="minorEastAsia" w:eastAsiaTheme="minorEastAsia" w:cstheme="minorEastAsia"/>
          <w:b w:val="0"/>
          <w:bCs w:val="0"/>
          <w:highlight w:val="none"/>
          <w:lang w:val="en-US" w:eastAsia="zh-CN"/>
        </w:rPr>
        <w:footnoteReference w:id="26"/>
      </w:r>
      <w:r>
        <w:rPr>
          <w:rFonts w:hint="eastAsia" w:asciiTheme="minorEastAsia" w:hAnsiTheme="minorEastAsia" w:eastAsiaTheme="minorEastAsia" w:cstheme="minorEastAsia"/>
          <w:b w:val="0"/>
          <w:bCs w:val="0"/>
          <w:highlight w:val="none"/>
          <w:lang w:val="en-US" w:eastAsia="zh-CN"/>
        </w:rPr>
        <w:t>中仅细化了但担保国的责任，但对ISA监管过失责任避而不谈，从而可能导致实施主体自身放宽环境标准致使形成监管宽松的实施漏洞。</w:t>
      </w:r>
      <w:r>
        <w:rPr>
          <w:rFonts w:hint="eastAsia" w:ascii="Times New Roman" w:hAnsi="Times New Roman"/>
          <w:highlight w:val="none"/>
          <w:lang w:val="en-US" w:eastAsia="zh-CN"/>
        </w:rPr>
        <w:t>但在2025年3月LTC工作报告中，</w:t>
      </w:r>
      <w:r>
        <w:rPr>
          <w:rFonts w:hint="default" w:ascii="Times New Roman" w:hAnsi="Times New Roman"/>
          <w:highlight w:val="none"/>
          <w:lang w:val="en-US" w:eastAsia="zh-CN"/>
        </w:rPr>
        <w:t>ISA</w:t>
      </w:r>
      <w:r>
        <w:rPr>
          <w:rFonts w:hint="eastAsia" w:ascii="Times New Roman" w:hAnsi="Times New Roman"/>
          <w:highlight w:val="none"/>
          <w:lang w:val="en-US" w:eastAsia="zh-CN"/>
        </w:rPr>
        <w:t>已经逐渐采取一定的应对措施，对监管活动制定相应的环境阈值、拟定标准化流程和环境管理规划。</w:t>
      </w:r>
      <w:r>
        <w:rPr>
          <w:rStyle w:val="16"/>
          <w:rFonts w:hint="eastAsia" w:ascii="Times New Roman" w:hAnsi="Times New Roman"/>
          <w:highlight w:val="none"/>
          <w:lang w:val="en-US" w:eastAsia="zh-CN"/>
        </w:rPr>
        <w:footnoteReference w:id="27"/>
      </w:r>
    </w:p>
    <w:p w14:paraId="7A61D5F4">
      <w:pPr>
        <w:bidi w:val="0"/>
        <w:rPr>
          <w:rFonts w:hint="default" w:ascii="Times New Roman" w:hAnsi="Times New Roman"/>
          <w:highlight w:val="none"/>
          <w:lang w:val="en-US" w:eastAsia="zh-CN"/>
        </w:rPr>
      </w:pPr>
      <w:r>
        <w:rPr>
          <w:rFonts w:hint="eastAsia" w:ascii="Times New Roman" w:hAnsi="Times New Roman"/>
          <w:highlight w:val="none"/>
          <w:lang w:val="en-US" w:eastAsia="zh-CN"/>
        </w:rPr>
        <w:t>关于担保国义务，首先，咨询意见并未对确保义务中承包者违约和本国疏忽导致直接责任的情形和区分标准进行具体阐释，存在衔接逻辑空白。确保义务中如何认定担保国“已尽合理注意义务”，“合理适当措施”的具体内涵如何，还有直接责任的承担需担保国证明“未履行义务与损害之间因果关系”的界定标准，也无相关规定解释。在2011年国际海底争端分庭“瑙鲁与汤加担保国责任咨询案”中，海底争端分庭在咨询案件中明确，担保国需采取“一切合理措施”确保承包者合规，但因未细化“合理措施”的标准，导致部分国家在后续立法中以咨询意见缺乏操作性为由，仅通过行使立法以应付</w:t>
      </w:r>
      <w:r>
        <w:rPr>
          <w:rFonts w:hint="default" w:ascii="Times New Roman" w:hAnsi="Times New Roman"/>
          <w:highlight w:val="none"/>
          <w:lang w:val="en-US" w:eastAsia="zh-CN"/>
        </w:rPr>
        <w:t>ISA</w:t>
      </w:r>
      <w:r>
        <w:rPr>
          <w:rFonts w:hint="eastAsia" w:ascii="Times New Roman" w:hAnsi="Times New Roman"/>
          <w:highlight w:val="none"/>
          <w:lang w:val="en-US" w:eastAsia="zh-CN"/>
        </w:rPr>
        <w:t>审查，并未建立实质性监督机制</w:t>
      </w:r>
      <w:r>
        <w:rPr>
          <w:rStyle w:val="16"/>
          <w:rFonts w:hint="eastAsia" w:ascii="Times New Roman" w:hAnsi="Times New Roman"/>
          <w:highlight w:val="none"/>
          <w:lang w:val="en-US" w:eastAsia="zh-CN"/>
        </w:rPr>
        <w:footnoteReference w:id="28"/>
      </w:r>
      <w:r>
        <w:rPr>
          <w:rFonts w:hint="eastAsia" w:ascii="Times New Roman" w:hAnsi="Times New Roman"/>
          <w:highlight w:val="none"/>
          <w:lang w:val="en-US" w:eastAsia="zh-CN"/>
        </w:rPr>
        <w:t>，从而使担保国责任标准虚化，导致风险预防原则的尽责义务沦为形式合规，而非实质性的风险防控。其次，担保国责任的承担缺乏统一法律依据和标准。如2025年法律技术委员会的工作报告提及区域环境管理计划，有成员国提出区域管理计划应具有法律约束力，但实践中仅通过理事会决议生效，如</w:t>
      </w:r>
      <w:r>
        <w:rPr>
          <w:rFonts w:ascii="Times New Roman" w:hAnsi="Times New Roman"/>
          <w:highlight w:val="none"/>
        </w:rPr>
        <w:t>克拉里昂</w:t>
      </w:r>
      <w:r>
        <w:rPr>
          <w:rFonts w:hint="eastAsia" w:ascii="Times New Roman" w:hAnsi="Times New Roman"/>
          <w:highlight w:val="none"/>
          <w:lang w:val="en-US" w:eastAsia="zh-CN"/>
        </w:rPr>
        <w:t>-</w:t>
      </w:r>
      <w:r>
        <w:rPr>
          <w:rFonts w:ascii="Times New Roman" w:hAnsi="Times New Roman"/>
          <w:highlight w:val="none"/>
        </w:rPr>
        <w:t>克利珀顿区计划</w:t>
      </w:r>
      <w:r>
        <w:rPr>
          <w:rFonts w:hint="default" w:ascii="Times New Roman" w:hAnsi="Times New Roman"/>
          <w:highlight w:val="none"/>
        </w:rPr>
        <w:t>。这种</w:t>
      </w:r>
      <w:r>
        <w:rPr>
          <w:rFonts w:hint="eastAsia" w:ascii="Times New Roman" w:hAnsi="Times New Roman"/>
          <w:highlight w:val="none"/>
          <w:lang w:val="en-US" w:eastAsia="zh-CN"/>
        </w:rPr>
        <w:t>并无强制性约束力的</w:t>
      </w:r>
      <w:r>
        <w:rPr>
          <w:rFonts w:hint="default" w:ascii="Times New Roman" w:hAnsi="Times New Roman"/>
          <w:highlight w:val="none"/>
        </w:rPr>
        <w:t>软法性质导致担保国在履行区域监测责任时，缺乏明确的法律义务界定</w:t>
      </w:r>
      <w:r>
        <w:rPr>
          <w:rFonts w:hint="eastAsia" w:ascii="Times New Roman" w:hAnsi="Times New Roman"/>
          <w:highlight w:val="none"/>
          <w:lang w:eastAsia="zh-CN"/>
        </w:rPr>
        <w:t>，</w:t>
      </w:r>
      <w:r>
        <w:rPr>
          <w:rFonts w:hint="eastAsia" w:ascii="Times New Roman" w:hAnsi="Times New Roman"/>
          <w:highlight w:val="none"/>
          <w:lang w:val="en-US" w:eastAsia="zh-CN"/>
        </w:rPr>
        <w:t>并且担保国能否以非强制性标准为由主张免责存在争议以及影响后续区域监测责任的划定</w:t>
      </w:r>
      <w:r>
        <w:rPr>
          <w:rFonts w:hint="default" w:ascii="Times New Roman" w:hAnsi="Times New Roman"/>
          <w:highlight w:val="none"/>
        </w:rPr>
        <w:t>。</w:t>
      </w:r>
      <w:r>
        <w:rPr>
          <w:rStyle w:val="16"/>
          <w:rFonts w:hint="default" w:ascii="Times New Roman" w:hAnsi="Times New Roman"/>
          <w:highlight w:val="none"/>
        </w:rPr>
        <w:footnoteReference w:id="29"/>
      </w:r>
      <w:r>
        <w:rPr>
          <w:rFonts w:hint="eastAsia" w:ascii="Times New Roman" w:hAnsi="Times New Roman"/>
          <w:highlight w:val="none"/>
          <w:lang w:val="en-US" w:eastAsia="zh-CN"/>
        </w:rPr>
        <w:t>最后，ISA与担保国之间责任边界模糊。2015年第21届会议秘书长的报告曾指出</w:t>
      </w:r>
      <w:r>
        <w:rPr>
          <w:rStyle w:val="16"/>
          <w:rFonts w:hint="eastAsia" w:ascii="Times New Roman" w:hAnsi="Times New Roman"/>
          <w:highlight w:val="none"/>
          <w:lang w:val="en-US" w:eastAsia="zh-CN"/>
        </w:rPr>
        <w:footnoteReference w:id="30"/>
      </w:r>
      <w:r>
        <w:rPr>
          <w:rFonts w:hint="eastAsia" w:ascii="Times New Roman" w:hAnsi="Times New Roman"/>
          <w:highlight w:val="none"/>
          <w:lang w:val="en-US" w:eastAsia="zh-CN"/>
        </w:rPr>
        <w:t>，因资源有限未能按时对现有国家立法进行全面审查，因此可能会影响对担保国立法的系统性评估。若因</w:t>
      </w:r>
      <w:r>
        <w:rPr>
          <w:rFonts w:ascii="Times New Roman" w:hAnsi="Times New Roman"/>
          <w:highlight w:val="none"/>
        </w:rPr>
        <w:t>担保国立法漏洞导致承包者违规，ISA可能因未完成全面审查而难以追责，担保国则可能以已提交立法为由抗辩，</w:t>
      </w:r>
      <w:r>
        <w:rPr>
          <w:rFonts w:hint="eastAsia" w:ascii="Times New Roman" w:hAnsi="Times New Roman"/>
          <w:highlight w:val="none"/>
          <w:lang w:val="en-US" w:eastAsia="zh-CN"/>
        </w:rPr>
        <w:t>从而</w:t>
      </w:r>
      <w:r>
        <w:rPr>
          <w:rFonts w:ascii="Times New Roman" w:hAnsi="Times New Roman"/>
          <w:highlight w:val="none"/>
        </w:rPr>
        <w:t>形成监管</w:t>
      </w:r>
      <w:r>
        <w:rPr>
          <w:rFonts w:hint="eastAsia" w:ascii="Times New Roman" w:hAnsi="Times New Roman"/>
          <w:highlight w:val="none"/>
          <w:lang w:val="en-US" w:eastAsia="zh-CN"/>
        </w:rPr>
        <w:t>漏洞</w:t>
      </w:r>
      <w:r>
        <w:rPr>
          <w:rFonts w:ascii="Times New Roman" w:hAnsi="Times New Roman"/>
          <w:highlight w:val="none"/>
        </w:rPr>
        <w:t>。</w:t>
      </w:r>
    </w:p>
    <w:p w14:paraId="3180B8B0">
      <w:pPr>
        <w:pStyle w:val="3"/>
        <w:bidi w:val="0"/>
        <w:ind w:left="240" w:leftChars="0" w:firstLine="0" w:firstLineChars="0"/>
        <w:rPr>
          <w:rFonts w:ascii="Times New Roman" w:hAnsi="Times New Roman"/>
          <w:highlight w:val="none"/>
        </w:rPr>
      </w:pPr>
      <w:bookmarkStart w:id="12" w:name="_Toc6462"/>
      <w:bookmarkStart w:id="13" w:name="_Toc22852"/>
      <w:r>
        <w:rPr>
          <w:rFonts w:hint="eastAsia" w:ascii="Times New Roman" w:hAnsi="Times New Roman"/>
          <w:highlight w:val="none"/>
          <w:lang w:val="en-US" w:eastAsia="zh-CN"/>
        </w:rPr>
        <w:t>风险预防原则下的预防性</w:t>
      </w:r>
      <w:bookmarkEnd w:id="12"/>
      <w:r>
        <w:rPr>
          <w:rFonts w:hint="eastAsia" w:ascii="Times New Roman" w:hAnsi="Times New Roman"/>
          <w:highlight w:val="none"/>
          <w:lang w:val="en-US" w:eastAsia="zh-CN"/>
        </w:rPr>
        <w:t>措施及其实施</w:t>
      </w:r>
      <w:bookmarkEnd w:id="13"/>
      <w:r>
        <w:rPr>
          <w:rFonts w:hint="eastAsia" w:ascii="Times New Roman" w:hAnsi="Times New Roman"/>
          <w:highlight w:val="none"/>
          <w:lang w:val="en-US" w:eastAsia="zh-CN"/>
        </w:rPr>
        <w:t>困境</w:t>
      </w:r>
    </w:p>
    <w:p w14:paraId="1645CCDB">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highlight w:val="none"/>
          <w:lang w:val="en-US" w:eastAsia="zh-CN"/>
        </w:rPr>
      </w:pPr>
      <w:r>
        <w:rPr>
          <w:rFonts w:hint="eastAsia" w:ascii="Times New Roman" w:hAnsi="Times New Roman" w:cs="宋体"/>
          <w:sz w:val="24"/>
          <w:szCs w:val="24"/>
          <w:highlight w:val="none"/>
          <w:lang w:val="en-US" w:eastAsia="zh-CN"/>
        </w:rPr>
        <w:t>随着风险预防原则相关准则在各个环境保护领域不断被完善，国际司法机构也开始在一些案例实践中开始援引风险预防原则，如核试验案（Nuclear Test Case）、南方金枪鱼案（Southern Bluefin Tuna Case）,由于案件中国家实践的加入，风险预防原则也逐渐被认为是一项正在形成的习惯国际法原则。</w:t>
      </w:r>
      <w:r>
        <w:rPr>
          <w:rStyle w:val="16"/>
          <w:rFonts w:hint="eastAsia" w:ascii="Times New Roman" w:hAnsi="Times New Roman" w:cs="宋体"/>
          <w:sz w:val="24"/>
          <w:szCs w:val="24"/>
          <w:highlight w:val="none"/>
          <w:lang w:val="en-US" w:eastAsia="zh-CN"/>
        </w:rPr>
        <w:footnoteReference w:id="31"/>
      </w:r>
      <w:r>
        <w:rPr>
          <w:rFonts w:hint="eastAsia" w:ascii="Times New Roman" w:hAnsi="Times New Roman"/>
          <w:highlight w:val="none"/>
          <w:lang w:val="en-US" w:eastAsia="zh-CN"/>
        </w:rPr>
        <w:t>但是，如上文所提的若干文书其实并没有明确规定使用风险预防原则的概念，而是通过引用其他术语来反映这一概念，如风险预防方法（the precautionary approach）和风险预防措施（the precautionary measures)。虽然文书并没有直接引用风险预防原则一词，但要求各国在满足“缺乏科学证据的合理预见性损害”和“严重或不可逆转的损害威胁”等触发因素时采取预防措施也是适用该原则的体现，如《开发规章草案》第44条的规定和三部勘探规章，均未明确规定适用风险预防原则，但援引适用了《里约宣言》原则15规定的预防性办法。</w:t>
      </w:r>
    </w:p>
    <w:p w14:paraId="28BA2045">
      <w:pPr>
        <w:rPr>
          <w:rFonts w:hint="eastAsia" w:ascii="Times New Roman" w:hAnsi="Times New Roman"/>
          <w:highlight w:val="none"/>
          <w:lang w:val="en-US" w:eastAsia="zh-CN"/>
        </w:rPr>
      </w:pPr>
      <w:r>
        <w:rPr>
          <w:rFonts w:hint="eastAsia" w:ascii="Times New Roman" w:hAnsi="Times New Roman"/>
          <w:highlight w:val="none"/>
          <w:lang w:val="en-US" w:eastAsia="zh-CN"/>
        </w:rPr>
        <w:t>在海底区域资源勘探的过程中，《开发规章草案》和三部勘探规章主要采取的预防性措施有最佳可行技术（Best Available Technology，BAT）、最佳环境实践（Best Environment Practice，BEP）、环境影响评价（Environment Impact Assessment，EIA）以及环境风险评价（Environment Risk Assessment，ERA）等。</w:t>
      </w:r>
      <w:r>
        <w:rPr>
          <w:rFonts w:hint="eastAsia" w:ascii="Times New Roman" w:hAnsi="Times New Roman"/>
          <w:b w:val="0"/>
          <w:bCs w:val="0"/>
          <w:highlight w:val="none"/>
          <w:lang w:val="en-US" w:eastAsia="zh-CN"/>
        </w:rPr>
        <w:t>其中，BAT强调适用最佳可行技术减少生态破坏，EIA则通过系统评估潜在影响来预防不可逆损害，两者的适用根植于深海环境的特殊性与国际法实践的需求，是“区域”勘探开发适用风险预防原则的一大进步。</w:t>
      </w:r>
      <w:r>
        <w:rPr>
          <w:rFonts w:hint="eastAsia" w:ascii="Times New Roman" w:hAnsi="Times New Roman"/>
          <w:highlight w:val="none"/>
          <w:lang w:val="en-US" w:eastAsia="zh-CN"/>
        </w:rPr>
        <w:t>尽管，风险预防措施的实施是风险预防的核心工具，但在深海的实践效力却受到极大的限制，从而</w:t>
      </w:r>
      <w:r>
        <w:rPr>
          <w:rFonts w:hint="eastAsia" w:ascii="Times New Roman" w:hAnsi="Times New Roman"/>
          <w:sz w:val="24"/>
          <w:szCs w:val="24"/>
          <w:highlight w:val="none"/>
          <w:lang w:val="en-US" w:eastAsia="zh-CN"/>
        </w:rPr>
        <w:t>导致风险预防原则未能有效落实，</w:t>
      </w:r>
      <w:r>
        <w:rPr>
          <w:rFonts w:hint="eastAsia" w:ascii="Times New Roman" w:hAnsi="Times New Roman"/>
          <w:highlight w:val="none"/>
          <w:lang w:val="en-US" w:eastAsia="zh-CN"/>
        </w:rPr>
        <w:t>下文将具体围绕两者的适用及实施困境展开说明。</w:t>
      </w:r>
    </w:p>
    <w:p w14:paraId="12209783">
      <w:pPr>
        <w:pStyle w:val="4"/>
        <w:bidi w:val="0"/>
        <w:ind w:left="0" w:leftChars="0" w:firstLine="0" w:firstLineChars="0"/>
        <w:rPr>
          <w:rFonts w:hint="eastAsia" w:ascii="Times New Roman" w:hAnsi="Times New Roman"/>
          <w:highlight w:val="none"/>
          <w:lang w:val="en-US" w:eastAsia="zh-CN"/>
        </w:rPr>
      </w:pPr>
      <w:bookmarkStart w:id="14" w:name="_Toc19928"/>
      <w:r>
        <w:rPr>
          <w:rFonts w:hint="eastAsia" w:ascii="Times New Roman" w:hAnsi="Times New Roman"/>
          <w:highlight w:val="none"/>
          <w:lang w:val="en-US" w:eastAsia="zh-CN"/>
        </w:rPr>
        <w:t>最佳可行技术</w:t>
      </w:r>
      <w:bookmarkEnd w:id="14"/>
    </w:p>
    <w:p w14:paraId="799F30FD">
      <w:pPr>
        <w:bidi w:val="0"/>
        <w:rPr>
          <w:rFonts w:hint="eastAsia" w:ascii="Times New Roman" w:hAnsi="Times New Roman"/>
          <w:highlight w:val="none"/>
          <w:lang w:val="en-US" w:eastAsia="zh-CN"/>
        </w:rPr>
      </w:pPr>
      <w:r>
        <w:rPr>
          <w:rFonts w:hint="eastAsia" w:ascii="Times New Roman" w:hAnsi="Times New Roman"/>
          <w:highlight w:val="none"/>
          <w:lang w:val="en-US" w:eastAsia="zh-CN"/>
        </w:rPr>
        <w:t>关于BAT，《开发规章草案》在修订中新增了一个备选定义，对“技术”（Techniques）、“可得技术”（Available Techniques）以及“最佳”（Best）含义进行了规定。“可得技术”指在经济和技术可行的条件下的开发的并能够在相关部门实施的技术，无论是都在成员国国内适用或生产，只要对操作者是合理可及的即可，而“最佳”要求技术有效实现整体环境的高水平保护。</w:t>
      </w:r>
      <w:r>
        <w:rPr>
          <w:rStyle w:val="16"/>
          <w:rFonts w:hint="eastAsia" w:ascii="Times New Roman" w:hAnsi="Times New Roman"/>
          <w:highlight w:val="none"/>
          <w:lang w:val="en-US" w:eastAsia="zh-CN"/>
        </w:rPr>
        <w:footnoteReference w:id="32"/>
      </w:r>
      <w:r>
        <w:rPr>
          <w:rFonts w:hint="eastAsia" w:ascii="Times New Roman" w:hAnsi="Times New Roman"/>
          <w:highlight w:val="none"/>
          <w:lang w:val="en-US" w:eastAsia="zh-CN"/>
        </w:rPr>
        <w:t>这明确的表明技术的使用应以保护环境宗旨为前提。</w:t>
      </w:r>
    </w:p>
    <w:p w14:paraId="3DCB9606">
      <w:pPr>
        <w:bidi w:val="0"/>
        <w:rPr>
          <w:rFonts w:hint="default" w:ascii="Times New Roman" w:hAnsi="Times New Roman"/>
          <w:sz w:val="24"/>
          <w:szCs w:val="24"/>
          <w:highlight w:val="none"/>
          <w:lang w:val="en-US" w:eastAsia="zh-CN"/>
        </w:rPr>
      </w:pPr>
      <w:r>
        <w:rPr>
          <w:rFonts w:hint="eastAsia" w:ascii="Times New Roman" w:hAnsi="Times New Roman"/>
          <w:highlight w:val="none"/>
          <w:lang w:val="en-US" w:eastAsia="zh-CN"/>
        </w:rPr>
        <w:t>一般而言，预防性方法的适用通常与各国为防止环境遭受损害而采取必要措施的能力有关，由此并没有对国家采取措施程度作出硬性要求，但BAT的适用提高了各国在活动中对于预防措施的适用门槛。BAT要求开采海底矿物应以生态扰动最小化为前提，处理表层沉淀有关的问题以及海底生物群落与沉积其上沉积物之间的数量关系，通过最保守和可行的技术弥补科学认知不足产生的盲区。由于活动可能因沉积物云引发其他生物或化学干扰，因此更需适用BAT原则。根据</w:t>
      </w:r>
      <w:r>
        <w:rPr>
          <w:rFonts w:hint="eastAsia" w:ascii="Times New Roman" w:hAnsi="Times New Roman"/>
          <w:sz w:val="24"/>
          <w:szCs w:val="24"/>
          <w:highlight w:val="none"/>
          <w:lang w:val="en-US" w:eastAsia="zh-CN"/>
        </w:rPr>
        <w:t>《多金属结核规章》第31条第4款、</w:t>
      </w:r>
      <w:r>
        <w:rPr>
          <w:rFonts w:hint="eastAsia" w:ascii="Times New Roman" w:hAnsi="Times New Roman" w:eastAsia="宋体" w:cs="宋体"/>
          <w:color w:val="000000"/>
          <w:kern w:val="0"/>
          <w:sz w:val="24"/>
          <w:szCs w:val="24"/>
          <w:highlight w:val="none"/>
          <w:lang w:val="en-US" w:eastAsia="zh-CN" w:bidi="ar"/>
        </w:rPr>
        <w:t>《富钴</w:t>
      </w:r>
      <w:r>
        <w:rPr>
          <w:rFonts w:hint="eastAsia" w:ascii="Times New Roman" w:hAnsi="Times New Roman" w:cs="宋体"/>
          <w:color w:val="000000"/>
          <w:kern w:val="0"/>
          <w:sz w:val="24"/>
          <w:szCs w:val="24"/>
          <w:highlight w:val="none"/>
          <w:lang w:val="en-US" w:eastAsia="zh-CN" w:bidi="ar"/>
        </w:rPr>
        <w:t>铁锰</w:t>
      </w:r>
      <w:r>
        <w:rPr>
          <w:rFonts w:hint="eastAsia" w:ascii="Times New Roman" w:hAnsi="Times New Roman" w:eastAsia="宋体" w:cs="宋体"/>
          <w:color w:val="000000"/>
          <w:kern w:val="0"/>
          <w:sz w:val="24"/>
          <w:szCs w:val="24"/>
          <w:highlight w:val="none"/>
          <w:lang w:val="en-US" w:eastAsia="zh-CN" w:bidi="ar"/>
        </w:rPr>
        <w:t>结壳规章》</w:t>
      </w:r>
      <w:r>
        <w:rPr>
          <w:rFonts w:hint="eastAsia" w:ascii="Times New Roman" w:hAnsi="Times New Roman"/>
          <w:sz w:val="24"/>
          <w:szCs w:val="24"/>
          <w:highlight w:val="none"/>
          <w:lang w:val="en-US" w:eastAsia="zh-CN"/>
        </w:rPr>
        <w:t>和</w:t>
      </w:r>
      <w:r>
        <w:rPr>
          <w:rFonts w:hint="eastAsia" w:ascii="Times New Roman" w:hAnsi="Times New Roman" w:eastAsia="宋体" w:cs="宋体"/>
          <w:color w:val="000000"/>
          <w:kern w:val="0"/>
          <w:sz w:val="24"/>
          <w:szCs w:val="24"/>
          <w:highlight w:val="none"/>
          <w:lang w:val="en-US" w:eastAsia="zh-CN" w:bidi="ar"/>
        </w:rPr>
        <w:t>《</w:t>
      </w:r>
      <w:r>
        <w:rPr>
          <w:rFonts w:hint="eastAsia" w:ascii="Times New Roman" w:hAnsi="Times New Roman" w:cs="宋体"/>
          <w:color w:val="000000"/>
          <w:kern w:val="0"/>
          <w:sz w:val="24"/>
          <w:szCs w:val="24"/>
          <w:highlight w:val="none"/>
          <w:lang w:val="en-US" w:eastAsia="zh-CN" w:bidi="ar"/>
        </w:rPr>
        <w:t>多金属</w:t>
      </w:r>
      <w:r>
        <w:rPr>
          <w:rFonts w:hint="eastAsia" w:ascii="Times New Roman" w:hAnsi="Times New Roman" w:eastAsia="宋体" w:cs="宋体"/>
          <w:color w:val="000000"/>
          <w:kern w:val="0"/>
          <w:sz w:val="24"/>
          <w:szCs w:val="24"/>
          <w:highlight w:val="none"/>
          <w:lang w:val="en-US" w:eastAsia="zh-CN" w:bidi="ar"/>
        </w:rPr>
        <w:t>硫化物规章》</w:t>
      </w:r>
      <w:r>
        <w:rPr>
          <w:rFonts w:hint="eastAsia" w:ascii="Times New Roman" w:hAnsi="Times New Roman"/>
          <w:sz w:val="24"/>
          <w:szCs w:val="24"/>
          <w:highlight w:val="none"/>
          <w:lang w:val="en-US" w:eastAsia="zh-CN"/>
        </w:rPr>
        <w:t>第33条第4款规定了应当根据最佳科学和技术信息确定“区域”内活动是否会对海洋造成严重的有害影响，以及《开发规章草案》第47条第3款规定，承包者编写环境影响报告时应当依据最佳可得科学证据、最佳环保做法和最佳可得技术进行。在《建议报告》更加体现运用BAT克服深海环境构成的挑战，针对多金属硫化物热液喷口区极端环境，可以适用于耐高温、抗腐蚀的复合型传感器。由此ISA与承包者均应利用最佳的科学技术信息去应对脆弱的深海系统，在一定程度上加强和提高了对于风险预防原则适用的程度与标准。</w:t>
      </w:r>
    </w:p>
    <w:p w14:paraId="0E0B17FC">
      <w:pPr>
        <w:pStyle w:val="4"/>
        <w:bidi w:val="0"/>
        <w:ind w:left="0" w:leftChars="0" w:firstLine="0" w:firstLineChars="0"/>
        <w:rPr>
          <w:rFonts w:hint="eastAsia" w:ascii="Times New Roman" w:hAnsi="Times New Roman"/>
          <w:highlight w:val="none"/>
          <w:lang w:val="en-US" w:eastAsia="zh-CN"/>
        </w:rPr>
      </w:pPr>
      <w:bookmarkStart w:id="15" w:name="_Toc13044"/>
      <w:r>
        <w:rPr>
          <w:rFonts w:hint="eastAsia" w:ascii="Times New Roman" w:hAnsi="Times New Roman"/>
          <w:highlight w:val="none"/>
          <w:lang w:val="en-US" w:eastAsia="zh-CN"/>
        </w:rPr>
        <w:t>环境影响评价</w:t>
      </w:r>
      <w:bookmarkEnd w:id="15"/>
    </w:p>
    <w:p w14:paraId="11CB9F7F">
      <w:pPr>
        <w:bidi w:val="0"/>
        <w:rPr>
          <w:rFonts w:hint="default" w:ascii="Times New Roman" w:hAnsi="Times New Roman"/>
          <w:sz w:val="24"/>
          <w:szCs w:val="24"/>
          <w:highlight w:val="none"/>
          <w:lang w:val="en-US" w:eastAsia="zh-CN"/>
        </w:rPr>
      </w:pPr>
      <w:r>
        <w:rPr>
          <w:rFonts w:hint="eastAsia" w:ascii="Times New Roman" w:hAnsi="Times New Roman"/>
          <w:sz w:val="24"/>
          <w:szCs w:val="24"/>
          <w:highlight w:val="none"/>
          <w:lang w:val="en-US" w:eastAsia="zh-CN"/>
        </w:rPr>
        <w:t>为预估和减少“区域”内活动可能产生的有害环境影响，主要是通过对活动可能产生的环境影响进行评估，如对生物、社会等其他相关影响以及环境风险进行评估，这是资源开发准备阶段的必经环节。环境影响评价是落实风险预防原则的重要途径，也是一项已经被确定的习惯国际法义务</w:t>
      </w:r>
      <w:r>
        <w:rPr>
          <w:rStyle w:val="16"/>
          <w:rFonts w:hint="eastAsia" w:ascii="Times New Roman" w:hAnsi="Times New Roman"/>
          <w:sz w:val="24"/>
          <w:szCs w:val="24"/>
          <w:highlight w:val="none"/>
          <w:lang w:val="en-US" w:eastAsia="zh-CN"/>
        </w:rPr>
        <w:footnoteReference w:id="33"/>
      </w:r>
      <w:r>
        <w:rPr>
          <w:rFonts w:hint="eastAsia" w:ascii="Times New Roman" w:hAnsi="Times New Roman"/>
          <w:sz w:val="24"/>
          <w:szCs w:val="24"/>
          <w:highlight w:val="none"/>
          <w:lang w:val="en-US" w:eastAsia="zh-CN"/>
        </w:rPr>
        <w:t>，其首次被确定国际法义务是在2010年的“乌拉圭河纸浆厂案”中，确定各国有义务监测在其管辖范围内活动的环境影响并作出评价。由于勘探开发活动在海底，并可能因沉积物扰动系统造成人为扰动和羽流，更需该措施应对海底、海底边界层以及大洋环境可能造成的影响进行评估。</w:t>
      </w:r>
    </w:p>
    <w:p w14:paraId="76E9076C">
      <w:pPr>
        <w:bidi w:val="0"/>
        <w:rPr>
          <w:rFonts w:hint="eastAsia" w:ascii="Times New Roman" w:hAnsi="Times New Roman"/>
          <w:sz w:val="24"/>
          <w:szCs w:val="24"/>
          <w:highlight w:val="none"/>
          <w:lang w:val="en-US" w:eastAsia="zh-CN"/>
        </w:rPr>
      </w:pPr>
      <w:r>
        <w:rPr>
          <w:rFonts w:hint="eastAsia" w:ascii="Times New Roman" w:hAnsi="Times New Roman"/>
          <w:sz w:val="24"/>
          <w:szCs w:val="24"/>
          <w:highlight w:val="none"/>
          <w:lang w:val="en-US" w:eastAsia="zh-CN"/>
        </w:rPr>
        <w:t>《公约》第206条规定各国应对活动可能产生的影响进行评价，并提交环境影响报告；《执行协定》并未明确提及EIA，只是在附件中提及与其相关的科学研究与材料。《开发规章草案》对于EIA规定了两类适用主体，一种是上文提及的一般义务，ISA、担保国和承包者需承担活动在“区域”内造成环境影响的评估、评价和管理，即提供和获取相关环境数据和信息以及让利益相关方参与的机会方面；另一种是根据规章第47条和第48条，作为活动实施主体的承包者撰写环境影响报告的责任，环境影响报告主要对环境影响评估的结果进行记录和汇监测计划。该规章对于承担者的要求有了更加具体的规定，三部探矿勘探规章在规定环境影响评价相关的内容上具有极大的一致性，并且《多金属硫化物勘探规章》还规定了“影响参照区”和“保全参照区”的概念，进一步明确承包者的权利义务。在LTC指导承包者评估“区域”内勘探活动可能对环境造成的影响建议中，明确要求承包者在勘探活动开始前必须向ISA提交环境影响评估书、监测方案计划书以及用于环境基线的数据</w:t>
      </w:r>
      <w:r>
        <w:rPr>
          <w:rStyle w:val="16"/>
          <w:rFonts w:hint="eastAsia" w:ascii="Times New Roman" w:hAnsi="Times New Roman"/>
          <w:sz w:val="24"/>
          <w:szCs w:val="24"/>
          <w:highlight w:val="none"/>
          <w:lang w:val="en-US" w:eastAsia="zh-CN"/>
        </w:rPr>
        <w:footnoteReference w:id="34"/>
      </w:r>
      <w:r>
        <w:rPr>
          <w:rFonts w:hint="eastAsia" w:ascii="Times New Roman" w:hAnsi="Times New Roman"/>
          <w:sz w:val="24"/>
          <w:szCs w:val="24"/>
          <w:highlight w:val="none"/>
          <w:lang w:val="en-US" w:eastAsia="zh-CN"/>
        </w:rPr>
        <w:t>，以及2022年LTC编制的《环境影响评估过程的标准和指南草案》</w:t>
      </w:r>
      <w:r>
        <w:rPr>
          <w:rStyle w:val="16"/>
          <w:rFonts w:hint="eastAsia" w:ascii="Times New Roman" w:hAnsi="Times New Roman"/>
          <w:sz w:val="24"/>
          <w:szCs w:val="24"/>
          <w:highlight w:val="none"/>
          <w:lang w:val="en-US" w:eastAsia="zh-CN"/>
        </w:rPr>
        <w:footnoteReference w:id="35"/>
      </w:r>
      <w:r>
        <w:rPr>
          <w:rFonts w:hint="eastAsia" w:ascii="Times New Roman" w:hAnsi="Times New Roman"/>
          <w:sz w:val="24"/>
          <w:szCs w:val="24"/>
          <w:highlight w:val="none"/>
          <w:lang w:val="en-US" w:eastAsia="zh-CN"/>
        </w:rPr>
        <w:t>进一步对EIA的评估流程和评估报告的步骤和标准进行确定。</w:t>
      </w:r>
    </w:p>
    <w:p w14:paraId="787FA54E">
      <w:pPr>
        <w:bidi w:val="0"/>
        <w:rPr>
          <w:rFonts w:hint="default" w:ascii="Times New Roman" w:hAnsi="Times New Roman"/>
          <w:sz w:val="24"/>
          <w:szCs w:val="24"/>
          <w:highlight w:val="none"/>
          <w:lang w:val="en-US" w:eastAsia="zh-CN"/>
        </w:rPr>
      </w:pPr>
      <w:r>
        <w:rPr>
          <w:rFonts w:hint="eastAsia" w:ascii="Times New Roman" w:hAnsi="Times New Roman"/>
          <w:sz w:val="24"/>
          <w:szCs w:val="24"/>
          <w:highlight w:val="none"/>
          <w:lang w:val="en-US" w:eastAsia="zh-CN"/>
        </w:rPr>
        <w:t>除此以外，EIA不仅应对直接受到影响的地区进行评估，还应覆盖受海底扰动羽流、排放羽流以及运输矿物至海洋表面时所排放物质的影响的更广泛区域进行使用。只有通过影响EIA，才能评估排放羽流是否会造成食物链的改变，或者是否存在扰乱生物的垂直迁移或其他迁移，甚至是否对大洋最小含氧带生物地球化学变化造成危害。因此，只有依托EIA全流程的介入，风险预防原则才能从理论转化为可操作的行动指南。</w:t>
      </w:r>
    </w:p>
    <w:p w14:paraId="10254194">
      <w:pPr>
        <w:pStyle w:val="4"/>
        <w:bidi w:val="0"/>
        <w:rPr>
          <w:rFonts w:hint="eastAsia" w:ascii="Times New Roman" w:hAnsi="Times New Roman"/>
          <w:highlight w:val="none"/>
          <w:lang w:val="en-US" w:eastAsia="zh-CN"/>
        </w:rPr>
      </w:pPr>
      <w:bookmarkStart w:id="16" w:name="_Toc31687"/>
      <w:r>
        <w:rPr>
          <w:rFonts w:hint="eastAsia" w:ascii="Times New Roman" w:hAnsi="Times New Roman"/>
          <w:highlight w:val="none"/>
          <w:lang w:val="en-US" w:eastAsia="zh-CN"/>
        </w:rPr>
        <w:t>预防性措施实施挑战</w:t>
      </w:r>
      <w:bookmarkEnd w:id="16"/>
    </w:p>
    <w:p w14:paraId="0C5ED38F">
      <w:pPr>
        <w:bidi w:val="0"/>
        <w:rPr>
          <w:rFonts w:hint="default" w:ascii="Times New Roman" w:hAnsi="Times New Roman"/>
          <w:highlight w:val="none"/>
          <w:lang w:val="en-US" w:eastAsia="zh-CN"/>
        </w:rPr>
      </w:pPr>
      <w:r>
        <w:rPr>
          <w:rFonts w:hint="eastAsia" w:ascii="Times New Roman" w:hAnsi="Times New Roman"/>
          <w:highlight w:val="none"/>
          <w:lang w:val="en-US" w:eastAsia="zh-CN"/>
        </w:rPr>
        <w:t>尽管风险预防措施在规则设计上为海底勘探风险提供了框架支撑，并通过法律文件逐步对其措施进行细化，但这些措施在实践中仍面临着显著的实施困境。</w:t>
      </w:r>
    </w:p>
    <w:p w14:paraId="5CE718C7">
      <w:pPr>
        <w:bidi w:val="0"/>
        <w:rPr>
          <w:rFonts w:hint="eastAsia" w:ascii="Times New Roman" w:hAnsi="Times New Roman"/>
          <w:highlight w:val="none"/>
          <w:lang w:val="en-US" w:eastAsia="zh-CN"/>
        </w:rPr>
      </w:pPr>
      <w:r>
        <w:rPr>
          <w:rFonts w:hint="eastAsia" w:ascii="Times New Roman" w:hAnsi="Times New Roman"/>
          <w:highlight w:val="none"/>
          <w:lang w:val="en-US" w:eastAsia="zh-CN"/>
        </w:rPr>
        <w:t>首先，关于预防性方法的规定用语以及适用阈值不明确，《开发规章（草案）》第44条设定的风险阈值如在《多金属结核规章》第2条第2款规定，如果有实质性证据表明可能对海洋环境造成严重损害时，应采用预防性办法禁止探矿。虽然这一条款适用了风险预防原则，但是该规章以及ISA任何其他文书都没有对“实质性证据”或“严重损害”的程度与概念进行界定。并且根据《多金属结核规章》甚至其他规章的宗旨，很难推测因活动的“危害”标准或阈值而致使采取预防性措施的界限。</w:t>
      </w:r>
      <w:r>
        <w:rPr>
          <w:rFonts w:hint="eastAsia" w:ascii="Times New Roman" w:hAnsi="Times New Roman"/>
          <w:sz w:val="24"/>
          <w:szCs w:val="24"/>
          <w:highlight w:val="none"/>
          <w:lang w:val="en-US" w:eastAsia="zh-CN"/>
        </w:rPr>
        <w:t>三部探矿勘探规章均规定了BAT和BEP的适用，但是并未指定具体的技术指标，如结核矿区的生态恢复周期指标或开采中海底噪声控制的分贝阈值，缺乏科学界定的技术标准将会使得预防性办法沦为原则性的宣示，缺乏可操作性。</w:t>
      </w:r>
      <w:r>
        <w:rPr>
          <w:rFonts w:hint="eastAsia" w:ascii="Times New Roman" w:hAnsi="Times New Roman"/>
          <w:highlight w:val="none"/>
          <w:lang w:val="en-US" w:eastAsia="zh-CN"/>
        </w:rPr>
        <w:t>此外，此类模糊界定直接影响后续监管审查效率，如中国五矿集团2025年3月提交的环境影响报告经LTC多轮审查质询，审查了除环境报告外的收集器作业、生物基线数据的有限性、采样站的数量和密度以及工具类型等情况，反映出LTC审查过程依赖个案协商，而非基于明确的科学指标体系和统一评估标准。</w:t>
      </w:r>
    </w:p>
    <w:p w14:paraId="347380F5">
      <w:pPr>
        <w:bidi w:val="0"/>
        <w:rPr>
          <w:rFonts w:hint="default" w:ascii="Times New Roman" w:hAnsi="Times New Roman"/>
          <w:sz w:val="24"/>
          <w:szCs w:val="24"/>
          <w:highlight w:val="none"/>
          <w:lang w:val="en-US" w:eastAsia="zh-CN"/>
        </w:rPr>
      </w:pPr>
      <w:r>
        <w:rPr>
          <w:rFonts w:hint="eastAsia" w:ascii="Times New Roman" w:hAnsi="Times New Roman"/>
          <w:sz w:val="24"/>
          <w:szCs w:val="24"/>
          <w:highlight w:val="none"/>
          <w:lang w:val="en-US" w:eastAsia="zh-CN"/>
        </w:rPr>
        <w:t>其次，深海环境复杂性和不确定性，对预防性措施的实施构成直接技术制约，集中体现在多维度数据的获取和技术的高标准要求。根据《LTC指导承包者评估“区域”内勘探活动可能对环境造成影响的建议》报告（简称《建议报告》），为建立可靠的环境基线，要求承包者通过最佳采样技术收集地质性质、物理海洋学、化学海洋学以及生物群落等多维度参数。除上述提及的多学科数据外，《建议报告》还对特殊资源附加数据要求。对于多金属硫化物应进行热液环境监测，但活性硫化物区热液喷口周边高温达300摄氏度，并且其液体环境具有强腐蚀性，箱式取样器等传统采样设备的材料耐受性以及数据稳定性不足以支撑极端环境勘探活动的进行，因此对承包者取样技术提出更高水平要求；而对于富钴铁锰结壳的收集，承包者应在硬底质海山进行分层生物采样，按海山地形、深度、底质等分层分别统计样本，但结壳覆盖的岩石抗压强度大于200MPa</w:t>
      </w:r>
      <w:r>
        <w:rPr>
          <w:rStyle w:val="16"/>
          <w:rFonts w:hint="eastAsia" w:ascii="Times New Roman" w:hAnsi="Times New Roman"/>
          <w:sz w:val="24"/>
          <w:szCs w:val="24"/>
          <w:highlight w:val="none"/>
          <w:lang w:val="en-US" w:eastAsia="zh-CN"/>
        </w:rPr>
        <w:footnoteReference w:id="36"/>
      </w:r>
      <w:r>
        <w:rPr>
          <w:rFonts w:hint="eastAsia" w:ascii="Times New Roman" w:hAnsi="Times New Roman"/>
          <w:sz w:val="24"/>
          <w:szCs w:val="24"/>
          <w:highlight w:val="none"/>
          <w:lang w:val="en-US" w:eastAsia="zh-CN"/>
        </w:rPr>
        <w:t>，传统沉淀物取样器仍无法穿透，需要承包者采用深海凿岩机或振动式取样钻等切割工具。因此，深海环境自身的特殊性和不确定性对“区域”勘探活动的制约，本质上体现了环境数据需求与技术供给能力之间的代际鸿沟，同时，也从侧面反映出预防性措施实施的紧迫性与必要性。</w:t>
      </w:r>
    </w:p>
    <w:p w14:paraId="67A0D729">
      <w:pPr>
        <w:pStyle w:val="2"/>
        <w:tabs>
          <w:tab w:val="left" w:pos="0"/>
        </w:tabs>
        <w:bidi w:val="0"/>
        <w:ind w:left="-2" w:leftChars="0" w:firstLine="482" w:firstLineChars="0"/>
        <w:rPr>
          <w:rFonts w:hint="default" w:ascii="Times New Roman" w:hAnsi="Times New Roman"/>
          <w:highlight w:val="none"/>
          <w:lang w:val="en-US" w:eastAsia="zh-CN"/>
        </w:rPr>
      </w:pPr>
      <w:bookmarkStart w:id="17" w:name="_Toc14026"/>
      <w:r>
        <w:rPr>
          <w:rFonts w:hint="eastAsia" w:ascii="Times New Roman" w:hAnsi="Times New Roman"/>
          <w:highlight w:val="none"/>
          <w:lang w:val="en-US" w:eastAsia="zh-CN"/>
        </w:rPr>
        <w:t>风险预防原则制度困境的应对</w:t>
      </w:r>
      <w:bookmarkEnd w:id="17"/>
      <w:r>
        <w:rPr>
          <w:rFonts w:hint="eastAsia" w:ascii="Times New Roman" w:hAnsi="Times New Roman"/>
          <w:highlight w:val="none"/>
          <w:lang w:val="en-US" w:eastAsia="zh-CN"/>
        </w:rPr>
        <w:t>措施</w:t>
      </w:r>
    </w:p>
    <w:p w14:paraId="0F1A36F4">
      <w:pPr>
        <w:pStyle w:val="3"/>
        <w:bidi w:val="0"/>
        <w:ind w:left="-240"/>
        <w:rPr>
          <w:rFonts w:hint="eastAsia" w:ascii="Times New Roman" w:hAnsi="Times New Roman"/>
          <w:highlight w:val="none"/>
          <w:lang w:val="en-US" w:eastAsia="zh-CN"/>
        </w:rPr>
      </w:pPr>
      <w:r>
        <w:rPr>
          <w:rFonts w:hint="eastAsia" w:ascii="Times New Roman" w:hAnsi="Times New Roman"/>
          <w:highlight w:val="none"/>
          <w:lang w:val="en-US" w:eastAsia="zh-CN"/>
        </w:rPr>
        <w:t>法律细则的完善与协调</w:t>
      </w:r>
    </w:p>
    <w:p w14:paraId="4FCC6EC9">
      <w:pPr>
        <w:bidi w:val="0"/>
        <w:ind w:left="0" w:leftChars="0" w:firstLine="480" w:firstLineChars="0"/>
        <w:rPr>
          <w:rFonts w:hint="default" w:ascii="Times New Roman" w:hAnsi="Times New Roman"/>
          <w:highlight w:val="none"/>
          <w:lang w:val="en-US" w:eastAsia="zh-CN"/>
        </w:rPr>
      </w:pPr>
      <w:r>
        <w:rPr>
          <w:rFonts w:hint="eastAsia" w:ascii="Times New Roman" w:hAnsi="Times New Roman"/>
          <w:highlight w:val="none"/>
          <w:lang w:val="en-US" w:eastAsia="zh-CN"/>
        </w:rPr>
        <w:t>在国际海底区域资源勘探开发中，风险预防原则的法律适用困境显著，主要涉及各个国家利益诉求和技术能力参差不齐，更深层的原因在于国际法的固有局限性，为平衡各国利益而力求条款用语宽泛和包容，导致在实践运用中缺乏具体性和可操纵性，使得导致风险预防原则在适用与执行中存在困境。ISA已清晰意识到实践适用中面临的一系列问题，并积极采取行动加以修正与完善。尽管受深海环境、各国利益和技术挑战等多方面艰巨因素的制约，短期内难以取得立竿见影的效果，但ISA在《开发规章草案》的修订与磋商中提出了诸多关键举措。</w:t>
      </w:r>
    </w:p>
    <w:p w14:paraId="6FF8BC5A">
      <w:pPr>
        <w:bidi w:val="0"/>
        <w:ind w:left="0" w:leftChars="0" w:firstLine="480" w:firstLineChars="200"/>
        <w:rPr>
          <w:rFonts w:hint="default" w:ascii="Times New Roman" w:hAnsi="Times New Roman"/>
          <w:highlight w:val="none"/>
          <w:lang w:val="en-US" w:eastAsia="zh-CN"/>
        </w:rPr>
      </w:pPr>
      <w:r>
        <w:rPr>
          <w:rFonts w:hint="eastAsia" w:ascii="Times New Roman" w:hAnsi="Times New Roman"/>
          <w:highlight w:val="none"/>
          <w:lang w:val="en-US" w:eastAsia="zh-CN"/>
        </w:rPr>
        <w:t>2025年3月，理事会发布了《开发规章草案》的修订合并案文（以下所提及的均是修订文本），关于《开发规章草案》的法律修订有较多代表提出</w:t>
      </w:r>
      <w:r>
        <w:rPr>
          <w:rFonts w:hint="default" w:ascii="Times New Roman" w:hAnsi="Times New Roman"/>
          <w:highlight w:val="none"/>
          <w:lang w:eastAsia="zh-CN"/>
        </w:rPr>
        <w:t>了切实的建议。在序言部分，有代表</w:t>
      </w:r>
      <w:r>
        <w:rPr>
          <w:rFonts w:hint="eastAsia" w:ascii="Times New Roman" w:hAnsi="Times New Roman"/>
          <w:highlight w:val="none"/>
          <w:lang w:val="en-US" w:eastAsia="zh-CN"/>
        </w:rPr>
        <w:t>指出人类对于深海生态系统和“区域”内活动的认知仍有较大局限性，建议规章应根据科学知识的进步而适时进行修订</w:t>
      </w:r>
      <w:r>
        <w:rPr>
          <w:rStyle w:val="16"/>
          <w:rFonts w:hint="default" w:ascii="Times New Roman" w:hAnsi="Times New Roman"/>
          <w:highlight w:val="none"/>
          <w:lang w:eastAsia="zh-CN"/>
        </w:rPr>
        <w:footnoteReference w:id="37"/>
      </w:r>
      <w:r>
        <w:rPr>
          <w:rFonts w:hint="eastAsia" w:ascii="Times New Roman" w:hAnsi="Times New Roman"/>
          <w:highlight w:val="none"/>
          <w:lang w:val="en-US" w:eastAsia="zh-CN"/>
        </w:rPr>
        <w:t>；同时，草案还对资源和区域特定指标以及环境定量阈值进行简单的概要，包括但不限于毒性、悬浮沉积物的浑浊度与沉降、生物多样性状况以及生态系统结构与功能等指标。</w:t>
      </w:r>
      <w:r>
        <w:rPr>
          <w:rStyle w:val="16"/>
          <w:rFonts w:hint="eastAsia" w:ascii="Times New Roman" w:hAnsi="Times New Roman"/>
          <w:highlight w:val="none"/>
          <w:lang w:val="en-US" w:eastAsia="zh-CN"/>
        </w:rPr>
        <w:footnoteReference w:id="38"/>
      </w:r>
      <w:r>
        <w:rPr>
          <w:rFonts w:hint="eastAsia" w:ascii="Times New Roman" w:hAnsi="Times New Roman"/>
          <w:highlight w:val="none"/>
          <w:lang w:val="en-US" w:eastAsia="zh-CN"/>
        </w:rPr>
        <w:t>尽管部分指标仍存在争议，但却能展现出ISA以及各成员国力求推动《开发规章草案》朝着精细化方向发展的积极意愿。除此以外，在责任界定和技术规范方面也取得了显著进展，针对ISA、承包者和担保国不同主体的责任划分，进行了更为清晰的界定；在技术规范层面，对勘探开发所涉及的各类技术标准和操作流程进行了全面的完善，具体细节将在后续内容进行展开说明。</w:t>
      </w:r>
    </w:p>
    <w:p w14:paraId="3885CDBF">
      <w:pPr>
        <w:bidi w:val="0"/>
        <w:rPr>
          <w:rFonts w:ascii="Times New Roman" w:hAnsi="Times New Roman"/>
          <w:highlight w:val="none"/>
        </w:rPr>
      </w:pPr>
      <w:r>
        <w:rPr>
          <w:rFonts w:hint="eastAsia" w:ascii="Times New Roman" w:hAnsi="Times New Roman"/>
          <w:highlight w:val="none"/>
          <w:lang w:val="en-US" w:eastAsia="zh-CN"/>
        </w:rPr>
        <w:t>为进一步完善规章细则，除在修订草案环节外，还应从多方面深入推进。在法律体系的协调性层面，对于《公约》、《执行协定》、《开发规章草案》以及三部勘探规章等法律文件的关键术语进行统一界定至关重要。在修订草案的过程中，不少代表团认为《开发规章草案》的修订应充分考量与其他国际文书和框架的一致性，尤其是最近通过的《国家管辖范围以外海洋生物多样性养护和可持续利用协定》（BBNJ协定）</w:t>
      </w:r>
      <w:r>
        <w:rPr>
          <w:rStyle w:val="16"/>
          <w:rFonts w:hint="eastAsia" w:ascii="Times New Roman" w:hAnsi="Times New Roman"/>
          <w:highlight w:val="none"/>
          <w:lang w:val="en-US" w:eastAsia="zh-CN"/>
        </w:rPr>
        <w:footnoteReference w:id="39"/>
      </w:r>
      <w:r>
        <w:rPr>
          <w:rFonts w:hint="eastAsia" w:ascii="Times New Roman" w:hAnsi="Times New Roman"/>
          <w:highlight w:val="none"/>
          <w:lang w:val="en-US" w:eastAsia="zh-CN"/>
        </w:rPr>
        <w:t>，只有这样才能构建统一、有效的海洋治理体系。事实上，在整个修订的过程中，实现各类国际文书的协同已成为一项核心的重要内容。</w:t>
      </w:r>
      <w:r>
        <w:rPr>
          <w:rFonts w:ascii="Times New Roman" w:hAnsi="Times New Roman"/>
          <w:highlight w:val="none"/>
        </w:rPr>
        <w:t>同时，三部勘探规章应依据统一的风险评估框架和判定标准进行修订，确保对不同矿种的勘探开发活动进行科学、一致的管理。另一方面，在</w:t>
      </w:r>
      <w:r>
        <w:rPr>
          <w:rFonts w:hint="eastAsia" w:ascii="Times New Roman" w:hAnsi="Times New Roman"/>
          <w:highlight w:val="none"/>
          <w:lang w:val="en-US" w:eastAsia="zh-CN"/>
        </w:rPr>
        <w:t>实现</w:t>
      </w:r>
      <w:r>
        <w:rPr>
          <w:rFonts w:ascii="Times New Roman" w:hAnsi="Times New Roman"/>
          <w:highlight w:val="none"/>
        </w:rPr>
        <w:t>法律统一的同时，</w:t>
      </w:r>
      <w:r>
        <w:rPr>
          <w:rFonts w:hint="eastAsia" w:ascii="Times New Roman" w:hAnsi="Times New Roman"/>
          <w:highlight w:val="none"/>
          <w:lang w:val="en-US" w:eastAsia="zh-CN"/>
        </w:rPr>
        <w:t>还应</w:t>
      </w:r>
      <w:r>
        <w:rPr>
          <w:rFonts w:ascii="Times New Roman" w:hAnsi="Times New Roman"/>
          <w:highlight w:val="none"/>
        </w:rPr>
        <w:t>消除规则之间的重复与冲突。为此，</w:t>
      </w:r>
      <w:r>
        <w:rPr>
          <w:rFonts w:hint="eastAsia" w:ascii="Times New Roman" w:hAnsi="Times New Roman"/>
          <w:highlight w:val="none"/>
          <w:lang w:val="en-US" w:eastAsia="zh-CN"/>
        </w:rPr>
        <w:t>相关机构</w:t>
      </w:r>
      <w:r>
        <w:rPr>
          <w:rFonts w:ascii="Times New Roman" w:hAnsi="Times New Roman"/>
          <w:highlight w:val="none"/>
        </w:rPr>
        <w:t>应建立专门的协调机制，</w:t>
      </w:r>
      <w:r>
        <w:rPr>
          <w:rFonts w:hint="eastAsia" w:ascii="Times New Roman" w:hAnsi="Times New Roman"/>
          <w:highlight w:val="none"/>
          <w:lang w:val="en-US" w:eastAsia="zh-CN"/>
        </w:rPr>
        <w:t>通过</w:t>
      </w:r>
      <w:r>
        <w:rPr>
          <w:rFonts w:ascii="Times New Roman" w:hAnsi="Times New Roman"/>
          <w:highlight w:val="none"/>
        </w:rPr>
        <w:t>制定中间层级的平衡规则，明确在不同情况下开发活动与生态保护的优先顺序。</w:t>
      </w:r>
      <w:r>
        <w:rPr>
          <w:rFonts w:hint="eastAsia" w:ascii="Times New Roman" w:hAnsi="Times New Roman"/>
          <w:highlight w:val="none"/>
          <w:lang w:val="en-US" w:eastAsia="zh-CN"/>
        </w:rPr>
        <w:t>尤其是</w:t>
      </w:r>
      <w:r>
        <w:rPr>
          <w:rFonts w:ascii="Times New Roman" w:hAnsi="Times New Roman"/>
          <w:highlight w:val="none"/>
        </w:rPr>
        <w:t>在生态脆弱的深海区域，应优先保障生态保护，严格限制开发活动的规模和强度；而在资源丰富且生态恢复能力较强的区域，可以在确保生态安全的前提下，适度提高开发效率。通过这种方式，实现资源开发与生态保护的动态平衡。</w:t>
      </w:r>
    </w:p>
    <w:p w14:paraId="0BADA26F">
      <w:pPr>
        <w:bidi w:val="0"/>
        <w:rPr>
          <w:rFonts w:hint="default" w:ascii="Times New Roman" w:hAnsi="Times New Roman"/>
          <w:highlight w:val="none"/>
          <w:lang w:val="en-US" w:eastAsia="zh-CN"/>
        </w:rPr>
      </w:pPr>
      <w:r>
        <w:rPr>
          <w:rFonts w:ascii="Times New Roman" w:hAnsi="Times New Roman"/>
          <w:highlight w:val="none"/>
        </w:rPr>
        <w:t>此外，</w:t>
      </w:r>
      <w:r>
        <w:rPr>
          <w:rFonts w:hint="eastAsia" w:ascii="Times New Roman" w:hAnsi="Times New Roman"/>
          <w:highlight w:val="none"/>
          <w:lang w:val="en-US" w:eastAsia="zh-CN"/>
        </w:rPr>
        <w:t>根据上述提及根据科技发展适时修改草案的条款</w:t>
      </w:r>
      <w:r>
        <w:rPr>
          <w:rFonts w:ascii="Times New Roman" w:hAnsi="Times New Roman"/>
          <w:highlight w:val="none"/>
        </w:rPr>
        <w:t>，</w:t>
      </w:r>
      <w:r>
        <w:rPr>
          <w:rFonts w:hint="eastAsia" w:ascii="Times New Roman" w:hAnsi="Times New Roman"/>
          <w:highlight w:val="none"/>
          <w:lang w:val="en-US" w:eastAsia="zh-CN"/>
        </w:rPr>
        <w:t>还</w:t>
      </w:r>
      <w:r>
        <w:rPr>
          <w:rFonts w:ascii="Times New Roman" w:hAnsi="Times New Roman"/>
          <w:highlight w:val="none"/>
        </w:rPr>
        <w:t>应建立法律动态更新机制。</w:t>
      </w:r>
      <w:r>
        <w:rPr>
          <w:rFonts w:hint="eastAsia" w:ascii="Times New Roman" w:hAnsi="Times New Roman"/>
          <w:highlight w:val="none"/>
          <w:lang w:val="en-US" w:eastAsia="zh-CN"/>
        </w:rPr>
        <w:t>通过</w:t>
      </w:r>
      <w:r>
        <w:rPr>
          <w:rFonts w:ascii="Times New Roman" w:hAnsi="Times New Roman"/>
          <w:highlight w:val="none"/>
        </w:rPr>
        <w:t>定期组织专家团队，</w:t>
      </w:r>
      <w:r>
        <w:rPr>
          <w:rFonts w:hint="eastAsia" w:ascii="Times New Roman" w:hAnsi="Times New Roman"/>
          <w:highlight w:val="none"/>
          <w:lang w:val="en-US" w:eastAsia="zh-CN"/>
        </w:rPr>
        <w:t>以及</w:t>
      </w:r>
      <w:r>
        <w:rPr>
          <w:rFonts w:ascii="Times New Roman" w:hAnsi="Times New Roman"/>
          <w:highlight w:val="none"/>
        </w:rPr>
        <w:t>结合最新的深海科学研究成果、技术发展水平以及国际海底区域资源勘探开发的实践经验，对相关法律文件进行全面审查和修订，以确保法律细则能够紧跟时代步伐，有效应对新出现的问题和挑战，使风险预防原则在国际海底区域资源勘探开发中真正得以有效落实，实现资源开发与环境保护的可持续发展。</w:t>
      </w:r>
    </w:p>
    <w:p w14:paraId="486EA209">
      <w:pPr>
        <w:pStyle w:val="3"/>
        <w:bidi w:val="0"/>
        <w:ind w:left="-240"/>
        <w:rPr>
          <w:rFonts w:hint="eastAsia" w:ascii="Times New Roman" w:hAnsi="Times New Roman"/>
          <w:highlight w:val="none"/>
          <w:lang w:val="en-US" w:eastAsia="zh-CN"/>
        </w:rPr>
      </w:pPr>
      <w:r>
        <w:rPr>
          <w:rFonts w:hint="eastAsia" w:ascii="Times New Roman" w:hAnsi="Times New Roman"/>
          <w:highlight w:val="none"/>
          <w:lang w:val="en-US" w:eastAsia="zh-CN"/>
        </w:rPr>
        <w:t>ISA监管责任的强化</w:t>
      </w:r>
    </w:p>
    <w:p w14:paraId="101C97F8">
      <w:pPr>
        <w:bidi w:val="0"/>
        <w:rPr>
          <w:rFonts w:hint="eastAsia" w:ascii="Times New Roman" w:hAnsi="Times New Roman"/>
          <w:highlight w:val="none"/>
          <w:lang w:eastAsia="zh-CN"/>
        </w:rPr>
      </w:pPr>
      <w:r>
        <w:rPr>
          <w:rFonts w:hint="eastAsia" w:ascii="Times New Roman" w:hAnsi="Times New Roman"/>
          <w:highlight w:val="none"/>
          <w:lang w:val="en-US" w:eastAsia="zh-CN"/>
        </w:rPr>
        <w:t>ISA在2025年3月的工作报告</w:t>
      </w:r>
      <w:r>
        <w:rPr>
          <w:rStyle w:val="16"/>
          <w:rFonts w:hint="eastAsia" w:ascii="Times New Roman" w:hAnsi="Times New Roman"/>
          <w:highlight w:val="none"/>
          <w:lang w:val="en-US" w:eastAsia="zh-CN"/>
        </w:rPr>
        <w:footnoteReference w:id="40"/>
      </w:r>
      <w:r>
        <w:rPr>
          <w:rFonts w:hint="eastAsia" w:ascii="Times New Roman" w:hAnsi="Times New Roman"/>
          <w:highlight w:val="none"/>
          <w:lang w:val="en-US" w:eastAsia="zh-CN"/>
        </w:rPr>
        <w:t>中针对责任承担方面提供了相应的应对策略，围绕ISA在环境阈值制定、环境管理规划的标准化流程、数据管理以及承包者活动的审查等方面展开深入讨论，其核心在于强化其监管责任。</w:t>
      </w:r>
      <w:r>
        <w:rPr>
          <w:rFonts w:ascii="Times New Roman" w:hAnsi="Times New Roman"/>
          <w:highlight w:val="none"/>
        </w:rPr>
        <w:t>在环境阈值制定方面，持续推进闭会期间专家组各分组工作，加快毒性、再悬浮沉积物的湍流和沉降以及水下噪音和光污染等环境阈值的确定，明确量化指标，为</w:t>
      </w:r>
      <w:r>
        <w:rPr>
          <w:rFonts w:hint="eastAsia" w:ascii="Times New Roman" w:hAnsi="Times New Roman"/>
          <w:highlight w:val="none"/>
          <w:lang w:val="en-US" w:eastAsia="zh-CN"/>
        </w:rPr>
        <w:t>其</w:t>
      </w:r>
      <w:r>
        <w:rPr>
          <w:rFonts w:ascii="Times New Roman" w:hAnsi="Times New Roman"/>
          <w:highlight w:val="none"/>
        </w:rPr>
        <w:t>监管提供</w:t>
      </w:r>
      <w:r>
        <w:rPr>
          <w:rFonts w:hint="eastAsia" w:ascii="Times New Roman" w:hAnsi="Times New Roman"/>
          <w:highlight w:val="none"/>
          <w:lang w:val="en-US" w:eastAsia="zh-CN"/>
        </w:rPr>
        <w:t>更加</w:t>
      </w:r>
      <w:r>
        <w:rPr>
          <w:rFonts w:ascii="Times New Roman" w:hAnsi="Times New Roman"/>
          <w:highlight w:val="none"/>
        </w:rPr>
        <w:t>科学</w:t>
      </w:r>
      <w:r>
        <w:rPr>
          <w:rFonts w:hint="eastAsia" w:ascii="Times New Roman" w:hAnsi="Times New Roman"/>
          <w:highlight w:val="none"/>
          <w:lang w:val="en-US" w:eastAsia="zh-CN"/>
        </w:rPr>
        <w:t>的</w:t>
      </w:r>
      <w:r>
        <w:rPr>
          <w:rFonts w:ascii="Times New Roman" w:hAnsi="Times New Roman"/>
          <w:highlight w:val="none"/>
        </w:rPr>
        <w:t>依据</w:t>
      </w:r>
      <w:r>
        <w:rPr>
          <w:rFonts w:hint="eastAsia" w:ascii="Times New Roman" w:hAnsi="Times New Roman"/>
          <w:highlight w:val="none"/>
          <w:lang w:eastAsia="zh-CN"/>
        </w:rPr>
        <w:t>；</w:t>
      </w:r>
      <w:r>
        <w:rPr>
          <w:rFonts w:ascii="Times New Roman" w:hAnsi="Times New Roman"/>
          <w:highlight w:val="none"/>
        </w:rPr>
        <w:t>在环境管理规划标准化流程上，法技委积极整合各方意见，完善区域环境管理计划的拟订、制定和审查程序，增强监管规范性与系统性</w:t>
      </w:r>
      <w:r>
        <w:rPr>
          <w:rFonts w:hint="eastAsia" w:ascii="Times New Roman" w:hAnsi="Times New Roman"/>
          <w:highlight w:val="none"/>
          <w:lang w:eastAsia="zh-CN"/>
        </w:rPr>
        <w:t>；</w:t>
      </w:r>
      <w:r>
        <w:rPr>
          <w:rFonts w:ascii="Times New Roman" w:hAnsi="Times New Roman"/>
          <w:highlight w:val="none"/>
        </w:rPr>
        <w:t>数据管理层面，</w:t>
      </w:r>
      <w:r>
        <w:rPr>
          <w:rFonts w:hint="eastAsia" w:ascii="Times New Roman" w:hAnsi="Times New Roman"/>
          <w:highlight w:val="none"/>
          <w:lang w:val="en-US" w:eastAsia="zh-CN"/>
        </w:rPr>
        <w:t>ISA</w:t>
      </w:r>
      <w:r>
        <w:rPr>
          <w:rFonts w:ascii="Times New Roman" w:hAnsi="Times New Roman"/>
          <w:highlight w:val="none"/>
        </w:rPr>
        <w:t>加大投入</w:t>
      </w:r>
      <w:r>
        <w:rPr>
          <w:rFonts w:hint="eastAsia" w:ascii="Times New Roman" w:hAnsi="Times New Roman"/>
          <w:highlight w:val="none"/>
          <w:lang w:val="en-US" w:eastAsia="zh-CN"/>
        </w:rPr>
        <w:t>以</w:t>
      </w:r>
      <w:r>
        <w:rPr>
          <w:rFonts w:ascii="Times New Roman" w:hAnsi="Times New Roman"/>
          <w:highlight w:val="none"/>
        </w:rPr>
        <w:t>提升数据质量、可用性和可获取性，强化与其他数据库的交互性，为监管决策提供有力支持。针对承包者活动审查，</w:t>
      </w:r>
      <w:r>
        <w:rPr>
          <w:rFonts w:hint="eastAsia" w:ascii="Times New Roman" w:hAnsi="Times New Roman"/>
          <w:highlight w:val="none"/>
          <w:lang w:val="en-US" w:eastAsia="zh-CN"/>
        </w:rPr>
        <w:t>ISA建立</w:t>
      </w:r>
      <w:r>
        <w:rPr>
          <w:rFonts w:ascii="Times New Roman" w:hAnsi="Times New Roman"/>
          <w:highlight w:val="none"/>
        </w:rPr>
        <w:t>严格规范</w:t>
      </w:r>
      <w:r>
        <w:rPr>
          <w:rFonts w:hint="eastAsia" w:ascii="Times New Roman" w:hAnsi="Times New Roman"/>
          <w:highlight w:val="none"/>
          <w:lang w:val="en-US" w:eastAsia="zh-CN"/>
        </w:rPr>
        <w:t>的</w:t>
      </w:r>
      <w:r>
        <w:rPr>
          <w:rFonts w:ascii="Times New Roman" w:hAnsi="Times New Roman"/>
          <w:highlight w:val="none"/>
        </w:rPr>
        <w:t>审查流程</w:t>
      </w:r>
      <w:r>
        <w:rPr>
          <w:rFonts w:hint="eastAsia" w:ascii="Times New Roman" w:hAnsi="Times New Roman"/>
          <w:highlight w:val="none"/>
          <w:lang w:eastAsia="zh-CN"/>
        </w:rPr>
        <w:t>。</w:t>
      </w:r>
      <w:r>
        <w:rPr>
          <w:rFonts w:ascii="Times New Roman" w:hAnsi="Times New Roman"/>
          <w:highlight w:val="none"/>
        </w:rPr>
        <w:t>法技委注意秘书长关于勘探合同状况等报告，审查承包者五年期定期报告，关注展期契约和放弃状况，</w:t>
      </w:r>
      <w:r>
        <w:rPr>
          <w:rFonts w:hint="eastAsia" w:ascii="Times New Roman" w:hAnsi="Times New Roman"/>
          <w:highlight w:val="none"/>
          <w:lang w:val="en-US" w:eastAsia="zh-CN"/>
        </w:rPr>
        <w:t>并</w:t>
      </w:r>
      <w:r>
        <w:rPr>
          <w:rFonts w:ascii="Times New Roman" w:hAnsi="Times New Roman"/>
          <w:highlight w:val="none"/>
        </w:rPr>
        <w:t>要求秘书处通报定期审查进程进展和及时性。</w:t>
      </w:r>
      <w:r>
        <w:rPr>
          <w:rFonts w:hint="eastAsia" w:ascii="Times New Roman" w:hAnsi="Times New Roman"/>
          <w:highlight w:val="none"/>
          <w:lang w:val="en-US" w:eastAsia="zh-CN"/>
        </w:rPr>
        <w:t>同时</w:t>
      </w:r>
      <w:r>
        <w:rPr>
          <w:rFonts w:ascii="Times New Roman" w:hAnsi="Times New Roman"/>
          <w:highlight w:val="none"/>
        </w:rPr>
        <w:t>依据相关标准评估承包者活动业绩，审查特定承包者答复，邀请部分承包者进行虚拟意见交流，后续向理事会报告交流结果</w:t>
      </w:r>
      <w:r>
        <w:rPr>
          <w:rFonts w:hint="eastAsia" w:ascii="Times New Roman" w:hAnsi="Times New Roman"/>
          <w:highlight w:val="none"/>
          <w:lang w:eastAsia="zh-CN"/>
        </w:rPr>
        <w:t>，</w:t>
      </w:r>
      <w:r>
        <w:rPr>
          <w:rFonts w:hint="eastAsia" w:ascii="Times New Roman" w:hAnsi="Times New Roman"/>
          <w:highlight w:val="none"/>
          <w:lang w:val="en-US" w:eastAsia="zh-CN"/>
        </w:rPr>
        <w:t>并</w:t>
      </w:r>
      <w:r>
        <w:rPr>
          <w:rFonts w:ascii="Times New Roman" w:hAnsi="Times New Roman"/>
          <w:highlight w:val="none"/>
        </w:rPr>
        <w:t>仔细审查承包者提交的环境影响报告，评估其完整性、准确性和统计可靠性，与承包者沟通，根据审查结果给出是否纳入勘探合同活动方案的建议</w:t>
      </w:r>
      <w:r>
        <w:rPr>
          <w:rFonts w:hint="eastAsia" w:ascii="Times New Roman" w:hAnsi="Times New Roman"/>
          <w:highlight w:val="none"/>
          <w:lang w:eastAsia="zh-CN"/>
        </w:rPr>
        <w:t>。</w:t>
      </w:r>
    </w:p>
    <w:p w14:paraId="035FB80A">
      <w:pPr>
        <w:bidi w:val="0"/>
        <w:rPr>
          <w:rFonts w:hint="default" w:ascii="Times New Roman" w:hAnsi="Times New Roman"/>
          <w:highlight w:val="none"/>
          <w:lang w:val="en-US" w:eastAsia="zh-CN"/>
        </w:rPr>
      </w:pPr>
      <w:r>
        <w:rPr>
          <w:rFonts w:ascii="Times New Roman" w:hAnsi="Times New Roman"/>
          <w:highlight w:val="none"/>
        </w:rPr>
        <w:t>除此以外，ISA 还应加强与各成员国、担保国以及相关国际组织的沟通与协作。</w:t>
      </w:r>
      <w:r>
        <w:rPr>
          <w:rFonts w:hint="eastAsia" w:ascii="Times New Roman" w:hAnsi="Times New Roman"/>
          <w:highlight w:val="none"/>
          <w:lang w:val="en-US" w:eastAsia="zh-CN"/>
        </w:rPr>
        <w:t>在督促各国履行义务的同时，也要定期提交国内相关法规的以供ISA进行审查，</w:t>
      </w:r>
      <w:r>
        <w:rPr>
          <w:rFonts w:ascii="Times New Roman" w:hAnsi="Times New Roman"/>
          <w:highlight w:val="none"/>
        </w:rPr>
        <w:t>同时，</w:t>
      </w:r>
      <w:r>
        <w:rPr>
          <w:rFonts w:hint="eastAsia" w:ascii="Times New Roman" w:hAnsi="Times New Roman"/>
          <w:highlight w:val="none"/>
          <w:lang w:val="en-US" w:eastAsia="zh-CN"/>
        </w:rPr>
        <w:t>ISA应</w:t>
      </w:r>
      <w:r>
        <w:rPr>
          <w:rFonts w:ascii="Times New Roman" w:hAnsi="Times New Roman"/>
          <w:highlight w:val="none"/>
        </w:rPr>
        <w:t>积极参与国际规则的制定和完善，将</w:t>
      </w:r>
      <w:r>
        <w:rPr>
          <w:rFonts w:hint="eastAsia" w:ascii="Times New Roman" w:hAnsi="Times New Roman"/>
          <w:highlight w:val="none"/>
          <w:lang w:eastAsia="zh-CN"/>
        </w:rPr>
        <w:t>“</w:t>
      </w:r>
      <w:r>
        <w:rPr>
          <w:rFonts w:ascii="Times New Roman" w:hAnsi="Times New Roman"/>
          <w:highlight w:val="none"/>
        </w:rPr>
        <w:t>区域</w:t>
      </w:r>
      <w:r>
        <w:rPr>
          <w:rFonts w:hint="eastAsia" w:ascii="Times New Roman" w:hAnsi="Times New Roman"/>
          <w:highlight w:val="none"/>
          <w:lang w:eastAsia="zh-CN"/>
        </w:rPr>
        <w:t>”</w:t>
      </w:r>
      <w:r>
        <w:rPr>
          <w:rFonts w:ascii="Times New Roman" w:hAnsi="Times New Roman"/>
          <w:highlight w:val="none"/>
        </w:rPr>
        <w:t>资源勘探开发的监管经验反馈到国际层面，</w:t>
      </w:r>
      <w:r>
        <w:rPr>
          <w:rFonts w:hint="eastAsia" w:ascii="Times New Roman" w:hAnsi="Times New Roman"/>
          <w:highlight w:val="none"/>
          <w:lang w:val="en-US" w:eastAsia="zh-CN"/>
        </w:rPr>
        <w:t>通过</w:t>
      </w:r>
      <w:r>
        <w:rPr>
          <w:rFonts w:ascii="Times New Roman" w:hAnsi="Times New Roman"/>
          <w:highlight w:val="none"/>
        </w:rPr>
        <w:t>定期组织多边会议和交流活动，分享监管经验和最新研究成果，促进各方在监管理念和行动上的协调一致</w:t>
      </w:r>
      <w:r>
        <w:rPr>
          <w:rFonts w:hint="eastAsia" w:ascii="Times New Roman" w:hAnsi="Times New Roman"/>
          <w:highlight w:val="none"/>
          <w:lang w:eastAsia="zh-CN"/>
        </w:rPr>
        <w:t>，</w:t>
      </w:r>
      <w:r>
        <w:rPr>
          <w:rFonts w:ascii="Times New Roman" w:hAnsi="Times New Roman"/>
          <w:highlight w:val="none"/>
        </w:rPr>
        <w:t>推动全球海洋资源开发监管体系的协同发展。此外，</w:t>
      </w:r>
      <w:r>
        <w:rPr>
          <w:rFonts w:hint="eastAsia" w:ascii="Times New Roman" w:hAnsi="Times New Roman"/>
          <w:highlight w:val="none"/>
          <w:lang w:val="en-US" w:eastAsia="zh-CN"/>
        </w:rPr>
        <w:t>ISA要</w:t>
      </w:r>
      <w:r>
        <w:rPr>
          <w:rFonts w:ascii="Times New Roman" w:hAnsi="Times New Roman"/>
          <w:highlight w:val="none"/>
        </w:rPr>
        <w:t>持续关注深海技术发展和行业动态，及时调整监管策略和重点，以适应不断变化的</w:t>
      </w:r>
      <w:r>
        <w:rPr>
          <w:rFonts w:hint="eastAsia" w:ascii="Times New Roman" w:hAnsi="Times New Roman"/>
          <w:highlight w:val="none"/>
          <w:lang w:eastAsia="zh-CN"/>
        </w:rPr>
        <w:t>“</w:t>
      </w:r>
      <w:r>
        <w:rPr>
          <w:rFonts w:ascii="Times New Roman" w:hAnsi="Times New Roman"/>
          <w:highlight w:val="none"/>
        </w:rPr>
        <w:t>区域</w:t>
      </w:r>
      <w:r>
        <w:rPr>
          <w:rFonts w:hint="eastAsia" w:ascii="Times New Roman" w:hAnsi="Times New Roman"/>
          <w:highlight w:val="none"/>
          <w:lang w:eastAsia="zh-CN"/>
        </w:rPr>
        <w:t>”</w:t>
      </w:r>
      <w:r>
        <w:rPr>
          <w:rFonts w:ascii="Times New Roman" w:hAnsi="Times New Roman"/>
          <w:highlight w:val="none"/>
        </w:rPr>
        <w:t>资源勘探开发环境，全方位、多层次地强化 ISA 的监管责任，切实保障国际海底区域资源开发与环境保护的协调发展。</w:t>
      </w:r>
    </w:p>
    <w:p w14:paraId="5FF69034">
      <w:pPr>
        <w:pStyle w:val="3"/>
        <w:bidi w:val="0"/>
        <w:ind w:left="-180" w:leftChars="0" w:firstLine="0" w:firstLineChars="0"/>
        <w:rPr>
          <w:rFonts w:hint="default" w:ascii="Times New Roman" w:hAnsi="Times New Roman"/>
          <w:highlight w:val="none"/>
          <w:lang w:val="en-US" w:eastAsia="zh-CN"/>
        </w:rPr>
      </w:pPr>
      <w:r>
        <w:rPr>
          <w:rFonts w:hint="eastAsia" w:ascii="Times New Roman" w:hAnsi="Times New Roman"/>
          <w:highlight w:val="none"/>
          <w:lang w:val="en-US" w:eastAsia="zh-CN"/>
        </w:rPr>
        <w:t>技术标准的界定与协同</w:t>
      </w:r>
    </w:p>
    <w:p w14:paraId="13DC80A3">
      <w:pPr>
        <w:bidi w:val="0"/>
        <w:rPr>
          <w:rFonts w:hint="default" w:ascii="Times New Roman" w:hAnsi="Times New Roman"/>
          <w:highlight w:val="none"/>
          <w:lang w:val="en-US" w:eastAsia="zh-CN"/>
        </w:rPr>
      </w:pPr>
      <w:r>
        <w:rPr>
          <w:rFonts w:hint="eastAsia" w:ascii="Times New Roman" w:hAnsi="Times New Roman"/>
          <w:highlight w:val="none"/>
          <w:lang w:val="en-US" w:eastAsia="zh-CN"/>
        </w:rPr>
        <w:t>对于前文提及预防性措施的适用困境，归根结底是因为科学研究本身存在的局限性，对于深海生态系统的运行机制以及物种间的相互关系认知仍不明晰，深海不同区域环境条件差异巨大，这种多样性和复杂性致使难以构建统一的评估体系，导致预防性措施的适用阈值难以确定。与此同时，深海环境的</w:t>
      </w:r>
      <w:r>
        <w:rPr>
          <w:rFonts w:ascii="Times New Roman" w:hAnsi="Times New Roman"/>
          <w:highlight w:val="none"/>
        </w:rPr>
        <w:t>不确定性</w:t>
      </w:r>
      <w:r>
        <w:rPr>
          <w:rFonts w:hint="eastAsia" w:ascii="Times New Roman" w:hAnsi="Times New Roman"/>
          <w:highlight w:val="none"/>
          <w:lang w:val="en-US" w:eastAsia="zh-CN"/>
        </w:rPr>
        <w:t>极大增加了</w:t>
      </w:r>
      <w:r>
        <w:rPr>
          <w:rFonts w:ascii="Times New Roman" w:hAnsi="Times New Roman"/>
          <w:highlight w:val="none"/>
        </w:rPr>
        <w:t>技术研发难度，现有技术难以满足多维度数据获取的需求，进一步制约了预防性措施的有效实施。</w:t>
      </w:r>
    </w:p>
    <w:p w14:paraId="3EA29E6D">
      <w:pPr>
        <w:bidi w:val="0"/>
        <w:rPr>
          <w:rFonts w:ascii="Times New Roman" w:hAnsi="Times New Roman"/>
          <w:highlight w:val="none"/>
        </w:rPr>
      </w:pPr>
      <w:r>
        <w:rPr>
          <w:rFonts w:hint="eastAsia" w:ascii="Times New Roman" w:hAnsi="Times New Roman"/>
          <w:highlight w:val="none"/>
          <w:lang w:val="en-US" w:eastAsia="zh-CN"/>
        </w:rPr>
        <w:t>首先，对于预防性措施适用阈值的界定，可以通过引入多学科、多维度的研究数据进行量化界定。《开发规章草案》修订中认为“重大变化”（Material Change）应基于ISA已批准的原工作计划而言，产生的重大的、显著的变化</w:t>
      </w:r>
      <w:r>
        <w:rPr>
          <w:rStyle w:val="16"/>
          <w:rFonts w:hint="eastAsia" w:ascii="Times New Roman" w:hAnsi="Times New Roman"/>
          <w:highlight w:val="none"/>
          <w:lang w:val="en-US" w:eastAsia="zh-CN"/>
        </w:rPr>
        <w:footnoteReference w:id="41"/>
      </w:r>
      <w:r>
        <w:rPr>
          <w:rFonts w:hint="eastAsia" w:ascii="Times New Roman" w:hAnsi="Times New Roman"/>
          <w:highlight w:val="none"/>
          <w:lang w:val="en-US" w:eastAsia="zh-CN"/>
        </w:rPr>
        <w:t>；同时也对“严重损害”（Serious Harm）范围进行界定</w:t>
      </w:r>
      <w:r>
        <w:rPr>
          <w:rStyle w:val="16"/>
          <w:rFonts w:hint="eastAsia" w:ascii="Times New Roman" w:hAnsi="Times New Roman"/>
          <w:highlight w:val="none"/>
          <w:lang w:val="en-US" w:eastAsia="zh-CN"/>
        </w:rPr>
        <w:footnoteReference w:id="42"/>
      </w:r>
      <w:r>
        <w:rPr>
          <w:rFonts w:hint="eastAsia" w:ascii="Times New Roman" w:hAnsi="Times New Roman"/>
          <w:highlight w:val="none"/>
          <w:lang w:val="en-US" w:eastAsia="zh-CN"/>
        </w:rPr>
        <w:t>，指“区域”内活动基于规定对海洋环境产生的非法的或重大不利影响，对其判断应结合最佳可行科学信息和国际公认的标准与实践进行，必要情况下可以根据当地公众认知进行确定。然而，在实践中，此类界定因地区或主观等各种因素的影响，仍会面临标准不一的情况。因此，我们可以引入多学科数据进行量化分析，构建更为精准的判断体系。比如，</w:t>
      </w:r>
      <w:r>
        <w:rPr>
          <w:rFonts w:ascii="Times New Roman" w:hAnsi="Times New Roman"/>
          <w:highlight w:val="none"/>
        </w:rPr>
        <w:t>对</w:t>
      </w:r>
      <w:r>
        <w:rPr>
          <w:rFonts w:hint="eastAsia" w:ascii="Times New Roman" w:hAnsi="Times New Roman"/>
          <w:highlight w:val="none"/>
          <w:lang w:eastAsia="zh-CN"/>
        </w:rPr>
        <w:t>“</w:t>
      </w:r>
      <w:r>
        <w:rPr>
          <w:rFonts w:ascii="Times New Roman" w:hAnsi="Times New Roman"/>
          <w:highlight w:val="none"/>
        </w:rPr>
        <w:t>严重损害</w:t>
      </w:r>
      <w:r>
        <w:rPr>
          <w:rFonts w:hint="eastAsia" w:ascii="Times New Roman" w:hAnsi="Times New Roman"/>
          <w:highlight w:val="none"/>
          <w:lang w:eastAsia="zh-CN"/>
        </w:rPr>
        <w:t>”</w:t>
      </w:r>
      <w:r>
        <w:rPr>
          <w:rFonts w:hint="eastAsia" w:ascii="Times New Roman" w:hAnsi="Times New Roman"/>
          <w:highlight w:val="none"/>
          <w:lang w:val="en-US" w:eastAsia="zh-CN"/>
        </w:rPr>
        <w:t>的界定可以</w:t>
      </w:r>
      <w:r>
        <w:rPr>
          <w:rFonts w:ascii="Times New Roman" w:hAnsi="Times New Roman"/>
          <w:highlight w:val="none"/>
        </w:rPr>
        <w:t>从生物多样性、生态系统功能等方面进行量化界定，</w:t>
      </w:r>
      <w:r>
        <w:rPr>
          <w:rFonts w:hint="eastAsia" w:ascii="Times New Roman" w:hAnsi="Times New Roman"/>
          <w:highlight w:val="none"/>
          <w:lang w:val="en-US" w:eastAsia="zh-CN"/>
        </w:rPr>
        <w:t>通过</w:t>
      </w:r>
      <w:r>
        <w:rPr>
          <w:rFonts w:ascii="Times New Roman" w:hAnsi="Times New Roman"/>
          <w:highlight w:val="none"/>
        </w:rPr>
        <w:t>规定特定物种数量减少比例、生态系统服务功能下降程度等</w:t>
      </w:r>
      <w:r>
        <w:rPr>
          <w:rFonts w:hint="eastAsia" w:ascii="Times New Roman" w:hAnsi="Times New Roman"/>
          <w:highlight w:val="none"/>
          <w:lang w:val="en-US" w:eastAsia="zh-CN"/>
        </w:rPr>
        <w:t>具体数值指标作为判断标准，使其判断更加客观和科学，</w:t>
      </w:r>
      <w:r>
        <w:rPr>
          <w:rFonts w:ascii="Times New Roman" w:hAnsi="Times New Roman"/>
          <w:highlight w:val="none"/>
        </w:rPr>
        <w:t>减少因主观因素和标准不一致导致的判断差异，为海洋环境保护和相关决策提供更为可靠的依据。</w:t>
      </w:r>
    </w:p>
    <w:p w14:paraId="22F11C55">
      <w:pPr>
        <w:bidi w:val="0"/>
        <w:rPr>
          <w:rFonts w:hint="eastAsia" w:ascii="Times New Roman" w:hAnsi="Times New Roman"/>
          <w:highlight w:val="none"/>
          <w:lang w:val="en-US" w:eastAsia="zh-CN"/>
        </w:rPr>
      </w:pPr>
      <w:r>
        <w:rPr>
          <w:rFonts w:hint="eastAsia" w:ascii="Times New Roman" w:hAnsi="Times New Roman"/>
          <w:highlight w:val="none"/>
          <w:lang w:val="en-US" w:eastAsia="zh-CN"/>
        </w:rPr>
        <w:t>同时，针对不同的海底资源类型与开采技术，应制定专门的技术操作规范，。对于BAT和BEP应结合不同海底环境以及资源开采特点，可以参照《环境影响评价程序标准和规则草案》</w:t>
      </w:r>
      <w:r>
        <w:rPr>
          <w:rStyle w:val="16"/>
          <w:rFonts w:hint="eastAsia" w:ascii="Times New Roman" w:hAnsi="Times New Roman"/>
          <w:highlight w:val="none"/>
          <w:lang w:val="en-US" w:eastAsia="zh-CN"/>
        </w:rPr>
        <w:footnoteReference w:id="43"/>
      </w:r>
      <w:r>
        <w:rPr>
          <w:rFonts w:hint="eastAsia" w:ascii="Times New Roman" w:hAnsi="Times New Roman"/>
          <w:highlight w:val="none"/>
          <w:lang w:val="en-US" w:eastAsia="zh-CN"/>
        </w:rPr>
        <w:t>对环境管理和监测计划的要求制定技术指标。以</w:t>
      </w:r>
      <w:r>
        <w:rPr>
          <w:rFonts w:ascii="Times New Roman" w:hAnsi="Times New Roman"/>
          <w:highlight w:val="none"/>
        </w:rPr>
        <w:t>多金属硫化物</w:t>
      </w:r>
      <w:r>
        <w:rPr>
          <w:rFonts w:hint="eastAsia" w:ascii="Times New Roman" w:hAnsi="Times New Roman"/>
          <w:highlight w:val="none"/>
          <w:lang w:val="en-US" w:eastAsia="zh-CN"/>
        </w:rPr>
        <w:t>开采为例</w:t>
      </w:r>
      <w:r>
        <w:rPr>
          <w:rFonts w:ascii="Times New Roman" w:hAnsi="Times New Roman"/>
          <w:highlight w:val="none"/>
        </w:rPr>
        <w:t>，考虑到其热液环境的特殊性，在技术操作规范中，不仅要对采样设备的耐高温、耐腐蚀性能提出严格要求，还需规定设备的维护周期和检测标准，以保障其在极端环境下能稳定运行，准确获取数据。</w:t>
      </w:r>
      <w:r>
        <w:rPr>
          <w:rFonts w:hint="eastAsia" w:ascii="Times New Roman" w:hAnsi="Times New Roman"/>
          <w:highlight w:val="none"/>
        </w:rPr>
        <w:t>开采过程中需针对热液排放的环境影响制定污染物排放标准及监测方案，实时监控重金属与化学物质的浓度，确保符合安全阈值</w:t>
      </w:r>
      <w:r>
        <w:rPr>
          <w:rFonts w:ascii="Times New Roman" w:hAnsi="Times New Roman"/>
          <w:highlight w:val="none"/>
        </w:rPr>
        <w:t>。</w:t>
      </w:r>
      <w:r>
        <w:rPr>
          <w:rFonts w:hint="eastAsia" w:ascii="Times New Roman" w:hAnsi="Times New Roman"/>
          <w:highlight w:val="none"/>
          <w:lang w:val="en-US" w:eastAsia="zh-CN"/>
        </w:rPr>
        <w:t>但是，区别于多金属硫化物热液区，</w:t>
      </w:r>
      <w:r>
        <w:rPr>
          <w:rFonts w:ascii="Times New Roman" w:hAnsi="Times New Roman"/>
          <w:highlight w:val="none"/>
        </w:rPr>
        <w:t>富钴铁锰结壳</w:t>
      </w:r>
      <w:r>
        <w:rPr>
          <w:rFonts w:hint="eastAsia" w:ascii="Times New Roman" w:hAnsi="Times New Roman"/>
          <w:highlight w:val="none"/>
          <w:lang w:val="en-US" w:eastAsia="zh-CN"/>
        </w:rPr>
        <w:t>主要分布在海山区，对于其</w:t>
      </w:r>
      <w:r>
        <w:rPr>
          <w:rFonts w:ascii="Times New Roman" w:hAnsi="Times New Roman"/>
          <w:highlight w:val="none"/>
        </w:rPr>
        <w:t>开采，开采技术操作规范</w:t>
      </w:r>
      <w:r>
        <w:rPr>
          <w:rFonts w:hint="eastAsia" w:ascii="Times New Roman" w:hAnsi="Times New Roman"/>
          <w:highlight w:val="none"/>
          <w:lang w:val="en-US" w:eastAsia="zh-CN"/>
        </w:rPr>
        <w:t>更注重</w:t>
      </w:r>
      <w:r>
        <w:rPr>
          <w:rFonts w:ascii="Times New Roman" w:hAnsi="Times New Roman"/>
          <w:highlight w:val="none"/>
        </w:rPr>
        <w:t>围绕如何高效、安全地进行结壳采集制定。</w:t>
      </w:r>
      <w:r>
        <w:rPr>
          <w:rFonts w:hint="eastAsia" w:ascii="Times New Roman" w:hAnsi="Times New Roman"/>
          <w:highlight w:val="none"/>
          <w:lang w:val="en-US" w:eastAsia="zh-CN"/>
        </w:rPr>
        <w:t>针对</w:t>
      </w:r>
      <w:r>
        <w:rPr>
          <w:rFonts w:ascii="Times New Roman" w:hAnsi="Times New Roman"/>
          <w:highlight w:val="none"/>
        </w:rPr>
        <w:t>用于穿透硬底质岩石的深海凿岩机或振动式取样钻等工具，应明确其技术参数和操作流程，包括设备的功率、钻进深度、采样频率等，以避免过度开采或对周边环境造成不必要的破坏。在开采区域的选择上，应依据海山的地形地貌、生态特征等因素，制定详细的规划和评估标准，确保开采活动不会对海山生态系统造成不可逆转的影响。同时，考虑到结壳开采可能引发的海底地质变化，需建立地质稳定性监测机制，规定监测的频率和指标，以及在发现异常时应采取的应急措施。</w:t>
      </w:r>
      <w:r>
        <w:rPr>
          <w:rFonts w:hint="eastAsia" w:ascii="Times New Roman" w:hAnsi="Times New Roman"/>
          <w:highlight w:val="none"/>
          <w:lang w:val="en-US" w:eastAsia="zh-CN"/>
        </w:rPr>
        <w:t>因此，对不同海底环境的开采活动应充分考虑其环境差异，并制定与之适应的技术标准，以更好协调海洋生态环境保护与海底资源的开发。</w:t>
      </w:r>
    </w:p>
    <w:p w14:paraId="044FC433">
      <w:pPr>
        <w:bidi w:val="0"/>
        <w:rPr>
          <w:rFonts w:hint="eastAsia" w:ascii="Times New Roman" w:hAnsi="Times New Roman"/>
          <w:highlight w:val="none"/>
          <w:lang w:val="en-US" w:eastAsia="zh-CN"/>
        </w:rPr>
      </w:pPr>
      <w:r>
        <w:rPr>
          <w:rFonts w:hint="default" w:ascii="Times New Roman" w:hAnsi="Times New Roman"/>
          <w:highlight w:val="none"/>
          <w:lang w:val="en-US" w:eastAsia="zh-CN"/>
        </w:rPr>
        <w:t>最后，鉴于当前技术水平难以充分满足深海勘探对多维度数据的获取需求，且仅依靠单个国家的力量在短期内无法实现技术突破，国际间的技术协同合作显得尤为关键。各国应消除技术壁垒，积极加强在深海勘探技术研发、数据共享以及经验交流等方面的合作。</w:t>
      </w:r>
      <w:r>
        <w:rPr>
          <w:rFonts w:hint="eastAsia" w:ascii="Times New Roman" w:hAnsi="Times New Roman"/>
          <w:highlight w:val="none"/>
          <w:lang w:val="en-US" w:eastAsia="zh-CN"/>
        </w:rPr>
        <w:t>通过</w:t>
      </w:r>
      <w:r>
        <w:rPr>
          <w:rFonts w:hint="default" w:ascii="Times New Roman" w:hAnsi="Times New Roman"/>
          <w:highlight w:val="none"/>
          <w:lang w:val="en-US" w:eastAsia="zh-CN"/>
        </w:rPr>
        <w:t>整合全球科研力量与资源，集中攻克深海环境下采样、监测、数据传输等关键技术难题。同时，</w:t>
      </w:r>
      <w:r>
        <w:rPr>
          <w:rFonts w:hint="eastAsia" w:ascii="Times New Roman" w:hAnsi="Times New Roman"/>
          <w:highlight w:val="none"/>
          <w:lang w:val="en-US" w:eastAsia="zh-CN"/>
        </w:rPr>
        <w:t>未来可以可以尝试</w:t>
      </w:r>
      <w:r>
        <w:rPr>
          <w:rFonts w:hint="default" w:ascii="Times New Roman" w:hAnsi="Times New Roman"/>
          <w:highlight w:val="none"/>
          <w:lang w:val="en-US" w:eastAsia="zh-CN"/>
        </w:rPr>
        <w:t>建立统一的数据标准和共享机制，充分发挥各国技术优势，实现</w:t>
      </w:r>
      <w:r>
        <w:rPr>
          <w:rFonts w:hint="eastAsia" w:ascii="Times New Roman" w:hAnsi="Times New Roman"/>
          <w:highlight w:val="none"/>
          <w:lang w:val="en-US" w:eastAsia="zh-CN"/>
        </w:rPr>
        <w:t>资源</w:t>
      </w:r>
      <w:r>
        <w:rPr>
          <w:rFonts w:hint="default" w:ascii="Times New Roman" w:hAnsi="Times New Roman"/>
          <w:highlight w:val="none"/>
          <w:lang w:val="en-US" w:eastAsia="zh-CN"/>
        </w:rPr>
        <w:t>互补与</w:t>
      </w:r>
      <w:r>
        <w:rPr>
          <w:rFonts w:hint="eastAsia" w:ascii="Times New Roman" w:hAnsi="Times New Roman"/>
          <w:highlight w:val="none"/>
          <w:lang w:val="en-US" w:eastAsia="zh-CN"/>
        </w:rPr>
        <w:t>技术</w:t>
      </w:r>
      <w:r>
        <w:rPr>
          <w:rFonts w:hint="default" w:ascii="Times New Roman" w:hAnsi="Times New Roman"/>
          <w:highlight w:val="none"/>
          <w:lang w:val="en-US" w:eastAsia="zh-CN"/>
        </w:rPr>
        <w:t>协同发展，为预防性措施的有效实施提供坚实的技术支撑。在技术标准</w:t>
      </w:r>
      <w:r>
        <w:rPr>
          <w:rFonts w:hint="eastAsia" w:ascii="Times New Roman" w:hAnsi="Times New Roman"/>
          <w:highlight w:val="none"/>
          <w:lang w:val="en-US" w:eastAsia="zh-CN"/>
        </w:rPr>
        <w:t>设定</w:t>
      </w:r>
      <w:r>
        <w:rPr>
          <w:rFonts w:hint="default" w:ascii="Times New Roman" w:hAnsi="Times New Roman"/>
          <w:highlight w:val="none"/>
          <w:lang w:val="en-US" w:eastAsia="zh-CN"/>
        </w:rPr>
        <w:t>方面，由国际组织牵头，各国共同参与制定覆盖深海勘探各个环节的通用标准，特别是统一深海环境监测数据的格式和质量标准应推动统一与互认工作。这不仅有助于避免技术重复研发造成的资源浪费，还能为全球性深海环境研究以及预防性措施的制定提供有力支持。</w:t>
      </w:r>
      <w:r>
        <w:rPr>
          <w:rFonts w:hint="eastAsia" w:ascii="Times New Roman" w:hAnsi="Times New Roman"/>
          <w:highlight w:val="none"/>
          <w:lang w:val="en-US" w:eastAsia="zh-CN"/>
        </w:rPr>
        <w:t>另外，</w:t>
      </w:r>
      <w:r>
        <w:rPr>
          <w:rFonts w:hint="default" w:ascii="Times New Roman" w:hAnsi="Times New Roman"/>
          <w:highlight w:val="none"/>
          <w:lang w:val="en-US" w:eastAsia="zh-CN"/>
        </w:rPr>
        <w:t>为进一步攻克技术难题，国际社会需在现有合作基础上，不断拓展合作领域，加深合作深度</w:t>
      </w:r>
      <w:r>
        <w:rPr>
          <w:rFonts w:hint="eastAsia" w:ascii="Times New Roman" w:hAnsi="Times New Roman"/>
          <w:highlight w:val="none"/>
          <w:lang w:val="en-US" w:eastAsia="zh-CN"/>
        </w:rPr>
        <w:t>。</w:t>
      </w:r>
      <w:r>
        <w:rPr>
          <w:rFonts w:hint="default" w:ascii="Times New Roman" w:hAnsi="Times New Roman"/>
          <w:highlight w:val="none"/>
          <w:lang w:val="en-US" w:eastAsia="zh-CN"/>
        </w:rPr>
        <w:t>各国应携手应对技术挑战，逐步缩小环境数据需求与技术供给能力之间的差距，推动深海勘探行业朝着</w:t>
      </w:r>
      <w:r>
        <w:rPr>
          <w:rFonts w:hint="eastAsia" w:ascii="Times New Roman" w:hAnsi="Times New Roman"/>
          <w:highlight w:val="none"/>
          <w:lang w:val="en-US" w:eastAsia="zh-CN"/>
        </w:rPr>
        <w:t>更加</w:t>
      </w:r>
      <w:r>
        <w:rPr>
          <w:rFonts w:hint="default" w:ascii="Times New Roman" w:hAnsi="Times New Roman"/>
          <w:highlight w:val="none"/>
          <w:lang w:val="en-US" w:eastAsia="zh-CN"/>
        </w:rPr>
        <w:t>科学、可持续的方向稳步发展。</w:t>
      </w:r>
    </w:p>
    <w:p w14:paraId="7E1DF1F4">
      <w:pPr>
        <w:pStyle w:val="2"/>
        <w:tabs>
          <w:tab w:val="left" w:pos="0"/>
        </w:tabs>
        <w:bidi w:val="0"/>
        <w:ind w:left="-2" w:firstLineChars="0"/>
        <w:rPr>
          <w:rFonts w:hint="eastAsia" w:ascii="Times New Roman" w:hAnsi="Times New Roman"/>
          <w:highlight w:val="none"/>
          <w:lang w:val="en-US" w:eastAsia="zh-CN"/>
        </w:rPr>
      </w:pPr>
      <w:r>
        <w:rPr>
          <w:rFonts w:hint="eastAsia" w:ascii="Times New Roman" w:hAnsi="Times New Roman"/>
          <w:highlight w:val="none"/>
          <w:lang w:val="en-US" w:eastAsia="zh-CN"/>
        </w:rPr>
        <w:t>结语</w:t>
      </w:r>
    </w:p>
    <w:p w14:paraId="17F57811">
      <w:pPr>
        <w:bidi w:val="0"/>
        <w:rPr>
          <w:rFonts w:ascii="Times New Roman" w:hAnsi="Times New Roman"/>
          <w:highlight w:val="none"/>
        </w:rPr>
      </w:pPr>
      <w:r>
        <w:rPr>
          <w:rFonts w:hint="default" w:ascii="Times New Roman" w:hAnsi="Times New Roman"/>
          <w:highlight w:val="none"/>
          <w:lang w:val="en-US" w:eastAsia="zh-CN"/>
        </w:rPr>
        <w:t>本文围绕风险预防原则在国际海底区域资源勘探开发中的适用展开深入探讨，从多维度揭示了其在理论与实践中的复杂图景。在</w:t>
      </w:r>
      <w:r>
        <w:rPr>
          <w:rFonts w:hint="eastAsia" w:ascii="Times New Roman" w:hAnsi="Times New Roman"/>
          <w:highlight w:val="none"/>
          <w:lang w:val="en-US" w:eastAsia="zh-CN"/>
        </w:rPr>
        <w:t>“</w:t>
      </w:r>
      <w:r>
        <w:rPr>
          <w:rFonts w:hint="default" w:ascii="Times New Roman" w:hAnsi="Times New Roman"/>
          <w:highlight w:val="none"/>
          <w:lang w:val="en-US" w:eastAsia="zh-CN"/>
        </w:rPr>
        <w:t>区域</w:t>
      </w:r>
      <w:r>
        <w:rPr>
          <w:rFonts w:hint="eastAsia" w:ascii="Times New Roman" w:hAnsi="Times New Roman"/>
          <w:highlight w:val="none"/>
          <w:lang w:val="en-US" w:eastAsia="zh-CN"/>
        </w:rPr>
        <w:t>”</w:t>
      </w:r>
      <w:r>
        <w:rPr>
          <w:rFonts w:hint="default" w:ascii="Times New Roman" w:hAnsi="Times New Roman"/>
          <w:highlight w:val="none"/>
          <w:lang w:val="en-US" w:eastAsia="zh-CN"/>
        </w:rPr>
        <w:t>勘探开发进程加速的当下，风险预防原则成为平衡资源开发与生态保护的关键准则，其在应对科学不确定性带来的环境风险方面具有不可替代的价值，尤其在深海生态系统脆弱且认知有限的背景下，为可持续发展提供了重要的制度支撑。</w:t>
      </w:r>
    </w:p>
    <w:p w14:paraId="07E67431">
      <w:pPr>
        <w:bidi w:val="0"/>
        <w:rPr>
          <w:rFonts w:ascii="Times New Roman" w:hAnsi="Times New Roman"/>
          <w:highlight w:val="none"/>
        </w:rPr>
      </w:pPr>
      <w:r>
        <w:rPr>
          <w:rFonts w:hint="default" w:ascii="Times New Roman" w:hAnsi="Times New Roman"/>
          <w:highlight w:val="none"/>
          <w:lang w:val="en-US" w:eastAsia="zh-CN"/>
        </w:rPr>
        <w:t>然而，风险预防原则在</w:t>
      </w:r>
      <w:r>
        <w:rPr>
          <w:rFonts w:hint="eastAsia" w:ascii="Times New Roman" w:hAnsi="Times New Roman"/>
          <w:highlight w:val="none"/>
          <w:lang w:val="en-US" w:eastAsia="zh-CN"/>
        </w:rPr>
        <w:t>“</w:t>
      </w:r>
      <w:r>
        <w:rPr>
          <w:rFonts w:hint="default" w:ascii="Times New Roman" w:hAnsi="Times New Roman"/>
          <w:highlight w:val="none"/>
          <w:lang w:val="en-US" w:eastAsia="zh-CN"/>
        </w:rPr>
        <w:t>区域</w:t>
      </w:r>
      <w:r>
        <w:rPr>
          <w:rFonts w:hint="eastAsia" w:ascii="Times New Roman" w:hAnsi="Times New Roman"/>
          <w:highlight w:val="none"/>
          <w:lang w:val="en-US" w:eastAsia="zh-CN"/>
        </w:rPr>
        <w:t>”</w:t>
      </w:r>
      <w:r>
        <w:rPr>
          <w:rFonts w:hint="default" w:ascii="Times New Roman" w:hAnsi="Times New Roman"/>
          <w:highlight w:val="none"/>
          <w:lang w:val="en-US" w:eastAsia="zh-CN"/>
        </w:rPr>
        <w:t>的适用面临诸多困境。</w:t>
      </w:r>
      <w:r>
        <w:rPr>
          <w:rFonts w:hint="eastAsia" w:ascii="Times New Roman" w:hAnsi="Times New Roman"/>
          <w:highlight w:val="none"/>
          <w:lang w:val="en-US" w:eastAsia="zh-CN"/>
        </w:rPr>
        <w:t>在</w:t>
      </w:r>
      <w:r>
        <w:rPr>
          <w:rFonts w:hint="default" w:ascii="Times New Roman" w:hAnsi="Times New Roman"/>
          <w:highlight w:val="none"/>
          <w:lang w:val="en-US" w:eastAsia="zh-CN"/>
        </w:rPr>
        <w:t>法律体系层面，术语模糊、规则碎片化导致适用边界不清与协调困难，削弱了原则的指引效力；不同主体义务履行方面，ISA监管标准不明、担保国责任界定模糊，承包者执行艰难，使得风险预防难以有效落实；预防性措施实施上，技术标准缺失、深海环境复杂，阻碍了风险预防目标的实现。这些问题不仅影响深海治理成效，也对全球海洋生态安全构成挑战。为此，文章提出了针对性的应对策略。</w:t>
      </w:r>
      <w:r>
        <w:rPr>
          <w:rFonts w:hint="eastAsia" w:ascii="Times New Roman" w:hAnsi="Times New Roman"/>
          <w:highlight w:val="none"/>
          <w:lang w:val="en-US" w:eastAsia="zh-CN"/>
        </w:rPr>
        <w:t>通过</w:t>
      </w:r>
      <w:r>
        <w:rPr>
          <w:rFonts w:hint="default" w:ascii="Times New Roman" w:hAnsi="Times New Roman"/>
          <w:highlight w:val="none"/>
          <w:lang w:val="en-US" w:eastAsia="zh-CN"/>
        </w:rPr>
        <w:t>完善法律细则与协调法律体系，有助于增强风险预防原则的可操作性与法律协同性</w:t>
      </w:r>
      <w:r>
        <w:rPr>
          <w:rFonts w:hint="eastAsia" w:ascii="Times New Roman" w:hAnsi="Times New Roman"/>
          <w:highlight w:val="none"/>
          <w:lang w:val="en-US" w:eastAsia="zh-CN"/>
        </w:rPr>
        <w:t>；</w:t>
      </w:r>
      <w:r>
        <w:rPr>
          <w:rFonts w:hint="default" w:ascii="Times New Roman" w:hAnsi="Times New Roman"/>
          <w:highlight w:val="none"/>
          <w:lang w:val="en-US" w:eastAsia="zh-CN"/>
        </w:rPr>
        <w:t>强化ISA监管责任，能提升监管效能</w:t>
      </w:r>
      <w:r>
        <w:rPr>
          <w:rFonts w:hint="eastAsia" w:ascii="Times New Roman" w:hAnsi="Times New Roman"/>
          <w:highlight w:val="none"/>
          <w:lang w:val="en-US" w:eastAsia="zh-CN"/>
        </w:rPr>
        <w:t>以确保</w:t>
      </w:r>
      <w:r>
        <w:rPr>
          <w:rFonts w:hint="default" w:ascii="Times New Roman" w:hAnsi="Times New Roman"/>
          <w:highlight w:val="none"/>
          <w:lang w:val="en-US" w:eastAsia="zh-CN"/>
        </w:rPr>
        <w:t>保障“区域”活动合规开展；明确技术标准并加强国际技术协同合作，将突破技术瓶颈为风险预防提供坚实技术保障。通过这些措施的协同推进，有望构建更加完善的深海治理体系，实现“区域”资源的可持续开发利用与海洋生态环境的有效保护。</w:t>
      </w:r>
    </w:p>
    <w:p w14:paraId="32FD7F71">
      <w:pPr>
        <w:bidi w:val="0"/>
        <w:rPr>
          <w:rFonts w:hint="default" w:ascii="Times New Roman" w:hAnsi="Times New Roman"/>
          <w:highlight w:val="none"/>
          <w:lang w:val="en-US" w:eastAsia="zh-CN"/>
        </w:rPr>
      </w:pPr>
      <w:r>
        <w:rPr>
          <w:rFonts w:hint="default" w:ascii="Times New Roman" w:hAnsi="Times New Roman"/>
          <w:highlight w:val="none"/>
          <w:lang w:val="en-US" w:eastAsia="zh-CN"/>
        </w:rPr>
        <w:t>但</w:t>
      </w:r>
      <w:r>
        <w:rPr>
          <w:rFonts w:hint="eastAsia" w:ascii="Times New Roman" w:hAnsi="Times New Roman"/>
          <w:highlight w:val="none"/>
          <w:lang w:val="en-US" w:eastAsia="zh-CN"/>
        </w:rPr>
        <w:t>仍需注意的是，</w:t>
      </w:r>
      <w:r>
        <w:rPr>
          <w:rFonts w:hint="default" w:ascii="Times New Roman" w:hAnsi="Times New Roman"/>
          <w:highlight w:val="none"/>
          <w:lang w:val="en-US" w:eastAsia="zh-CN"/>
        </w:rPr>
        <w:t>深海治理是一个动态发展的过程，随着深海技术的进步和人类对海洋生态系统认知的加深，新的问题与挑战将不断涌现。未来，应持续关注风险预防原则在实践中的应用效果，根据实际情况及时调整和完善相关制度与措施。同时，加强国际合作，凝聚各国共识，共同应对深海治理中的难题，确保国际海底区域这一人类共同继承财产得到妥善管理和可持续利用推动全球深海治理体系朝着更加公平、合理、有效的方向发展</w:t>
      </w:r>
      <w:r>
        <w:rPr>
          <w:rFonts w:hint="eastAsia" w:ascii="Times New Roman" w:hAnsi="Times New Roman"/>
          <w:highlight w:val="none"/>
          <w:lang w:val="en-US" w:eastAsia="zh-CN"/>
        </w:rPr>
        <w:t>。</w:t>
      </w:r>
    </w:p>
    <w:p w14:paraId="657EE99F">
      <w:pPr>
        <w:rPr>
          <w:highlight w:val="none"/>
        </w:rPr>
      </w:pPr>
    </w:p>
    <w:p w14:paraId="6B659421">
      <w:pPr>
        <w:rPr>
          <w:highlight w:val="none"/>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TimesNewRomanPS-BoldMT">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8">
    <w:p>
      <w:pPr>
        <w:spacing w:line="360" w:lineRule="auto"/>
        <w:ind w:firstLine="480"/>
      </w:pPr>
      <w:r>
        <w:separator/>
      </w:r>
    </w:p>
  </w:footnote>
  <w:footnote w:type="continuationSeparator" w:id="89">
    <w:p>
      <w:pPr>
        <w:spacing w:line="360" w:lineRule="auto"/>
        <w:ind w:firstLine="480"/>
      </w:pPr>
      <w:r>
        <w:continuationSeparator/>
      </w:r>
    </w:p>
  </w:footnote>
  <w:footnote w:id="0">
    <w:p w14:paraId="2849F3F6">
      <w:pPr>
        <w:pStyle w:val="12"/>
        <w:snapToGrid w:val="0"/>
        <w:rPr>
          <w:rFonts w:hint="default" w:eastAsia="宋体"/>
          <w:lang w:val="en-US" w:eastAsia="zh-CN"/>
        </w:rPr>
      </w:pPr>
      <w:r>
        <w:rPr>
          <w:rStyle w:val="16"/>
        </w:rPr>
        <w:footnoteRef/>
      </w:r>
      <w:r>
        <w:t xml:space="preserve"> </w:t>
      </w:r>
      <w:r>
        <w:rPr>
          <w:rFonts w:hint="eastAsia"/>
          <w:lang w:val="en-US" w:eastAsia="zh-CN"/>
        </w:rPr>
        <w:t>国际海底管理局理事会第三十届会议第一期会议：《勘探合同现状及相关事项，包括有关已核准的勘探工作计划执行情况定期审查的信息》，</w:t>
      </w:r>
      <w:r>
        <w:rPr>
          <w:rFonts w:hint="default" w:ascii="Times New Roman" w:hAnsi="Times New Roman" w:cs="Times New Roman"/>
          <w:lang w:val="en-US" w:eastAsia="zh-CN"/>
        </w:rPr>
        <w:t>ISBA/30/C/2</w:t>
      </w:r>
      <w:r>
        <w:rPr>
          <w:rFonts w:hint="eastAsia" w:ascii="Times New Roman" w:hAnsi="Times New Roman" w:cs="Times New Roman"/>
          <w:lang w:val="en-US" w:eastAsia="zh-CN"/>
        </w:rPr>
        <w:t>（2025），第1页。</w:t>
      </w:r>
    </w:p>
  </w:footnote>
  <w:footnote w:id="1">
    <w:p w14:paraId="44425C91">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ISBA/30/C/CRP.1</w:t>
      </w:r>
    </w:p>
  </w:footnote>
  <w:footnote w:id="2">
    <w:p w14:paraId="169A3DF9">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ISBA/30/C/L.1</w:t>
      </w:r>
    </w:p>
  </w:footnote>
  <w:footnote w:id="3">
    <w:p w14:paraId="2BA0D5AF">
      <w:pPr>
        <w:pStyle w:val="12"/>
        <w:snapToGrid w:val="0"/>
        <w:rPr>
          <w:rFonts w:hint="default"/>
          <w:lang w:val="en-US"/>
        </w:rPr>
      </w:pPr>
      <w:r>
        <w:rPr>
          <w:rStyle w:val="16"/>
        </w:rPr>
        <w:footnoteRef/>
      </w:r>
      <w:r>
        <w:t xml:space="preserve"> </w:t>
      </w:r>
      <w:r>
        <w:rPr>
          <w:rFonts w:hint="default"/>
          <w:lang w:val="en-US"/>
        </w:rPr>
        <w:t>ISBA/26/A/17</w:t>
      </w:r>
    </w:p>
  </w:footnote>
  <w:footnote w:id="4">
    <w:p w14:paraId="24491223">
      <w:pPr>
        <w:keepNext w:val="0"/>
        <w:keepLines w:val="0"/>
        <w:pageBreakBefore w:val="0"/>
        <w:widowControl w:val="0"/>
        <w:suppressLineNumbers w:val="0"/>
        <w:kinsoku/>
        <w:wordWrap w:val="0"/>
        <w:overflowPunct/>
        <w:topLinePunct w:val="0"/>
        <w:bidi w:val="0"/>
        <w:adjustRightInd/>
        <w:snapToGrid/>
        <w:spacing w:line="240" w:lineRule="auto"/>
        <w:ind w:left="0" w:leftChars="0" w:firstLine="360" w:firstLineChars="200"/>
        <w:jc w:val="left"/>
        <w:textAlignment w:val="auto"/>
        <w:rPr>
          <w:rFonts w:hint="default" w:ascii="Times New Roman" w:hAnsi="Times New Roman" w:cs="Times New Roman"/>
        </w:rPr>
      </w:pPr>
      <w:r>
        <w:rPr>
          <w:rStyle w:val="16"/>
          <w:rFonts w:hint="default" w:eastAsia="宋体" w:cs="Times New Roman" w:asciiTheme="minorAscii" w:hAnsiTheme="minorAscii"/>
          <w:sz w:val="18"/>
          <w:szCs w:val="18"/>
        </w:rPr>
        <w:footnoteRef/>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i/>
          <w:iCs/>
          <w:color w:val="000000"/>
          <w:kern w:val="0"/>
          <w:sz w:val="18"/>
          <w:szCs w:val="18"/>
          <w:lang w:val="en-US" w:eastAsia="zh-CN" w:bidi="ar"/>
        </w:rPr>
        <w:t xml:space="preserve">See </w:t>
      </w:r>
      <w:r>
        <w:rPr>
          <w:rFonts w:hint="default" w:ascii="Times New Roman" w:hAnsi="Times New Roman" w:eastAsia="宋体" w:cs="Times New Roman"/>
          <w:b w:val="0"/>
          <w:bCs w:val="0"/>
          <w:color w:val="000000"/>
          <w:kern w:val="0"/>
          <w:sz w:val="18"/>
          <w:szCs w:val="18"/>
          <w:lang w:val="en-US" w:eastAsia="zh-CN" w:bidi="ar"/>
        </w:rPr>
        <w:t xml:space="preserve">INT'L UNION FOR THE CONSERVATION OF NATURE, </w:t>
      </w:r>
      <w:r>
        <w:rPr>
          <w:rFonts w:hint="default" w:ascii="Times New Roman" w:hAnsi="Times New Roman" w:eastAsia="宋体" w:cs="Times New Roman"/>
          <w:b w:val="0"/>
          <w:bCs w:val="0"/>
          <w:i/>
          <w:iCs/>
          <w:color w:val="000000"/>
          <w:kern w:val="0"/>
          <w:sz w:val="18"/>
          <w:szCs w:val="18"/>
          <w:lang w:val="en-US" w:eastAsia="zh-CN" w:bidi="ar"/>
        </w:rPr>
        <w:t xml:space="preserve">Issues Brief 'Deep-Sea Mining' </w:t>
      </w:r>
      <w:r>
        <w:rPr>
          <w:rFonts w:hint="default" w:ascii="Times New Roman" w:hAnsi="Times New Roman" w:eastAsia="宋体" w:cs="Times New Roman"/>
          <w:b w:val="0"/>
          <w:bCs w:val="0"/>
          <w:color w:val="000000"/>
          <w:kern w:val="0"/>
          <w:sz w:val="18"/>
          <w:szCs w:val="18"/>
          <w:lang w:val="en-US" w:eastAsia="zh-CN" w:bidi="ar"/>
        </w:rPr>
        <w:t>(2022),</w:t>
      </w:r>
      <w:r>
        <w:rPr>
          <w:rFonts w:hint="default" w:ascii="Times New Roman" w:hAnsi="Times New Roman" w:cs="Times New Roman"/>
          <w:b w:val="0"/>
          <w:bCs w:val="0"/>
          <w:color w:val="000000"/>
          <w:kern w:val="0"/>
          <w:sz w:val="18"/>
          <w:szCs w:val="18"/>
          <w:lang w:val="en-US" w:eastAsia="zh-CN" w:bidi="ar"/>
        </w:rPr>
        <w:t xml:space="preserve"> </w:t>
      </w:r>
      <w:r>
        <w:rPr>
          <w:rFonts w:hint="default" w:ascii="Times New Roman" w:hAnsi="Times New Roman" w:eastAsia="宋体" w:cs="Times New Roman"/>
          <w:b w:val="0"/>
          <w:bCs w:val="0"/>
          <w:color w:val="000000"/>
          <w:kern w:val="0"/>
          <w:sz w:val="18"/>
          <w:szCs w:val="18"/>
          <w:lang w:val="en-US" w:eastAsia="zh-CN" w:bidi="ar"/>
        </w:rPr>
        <w:t>https://www.iucn.org/sites/default/files/2022-07/iucn-issues-brief</w:t>
      </w:r>
      <w:r>
        <w:rPr>
          <w:rFonts w:hint="default" w:ascii="Times New Roman" w:hAnsi="Times New Roman" w:cs="Times New Roman"/>
          <w:b w:val="0"/>
          <w:bCs w:val="0"/>
          <w:color w:val="000000"/>
          <w:kern w:val="0"/>
          <w:sz w:val="18"/>
          <w:szCs w:val="18"/>
          <w:lang w:val="en-US" w:eastAsia="zh-CN" w:bidi="ar"/>
        </w:rPr>
        <w:t>-</w:t>
      </w:r>
      <w:r>
        <w:rPr>
          <w:rFonts w:hint="default" w:ascii="Times New Roman" w:hAnsi="Times New Roman" w:eastAsia="宋体" w:cs="Times New Roman"/>
          <w:b w:val="0"/>
          <w:bCs w:val="0"/>
          <w:color w:val="000000"/>
          <w:kern w:val="0"/>
          <w:sz w:val="18"/>
          <w:szCs w:val="18"/>
          <w:lang w:val="en-US" w:eastAsia="zh-CN" w:bidi="ar"/>
        </w:rPr>
        <w:t>dsmupdate-final.pdf[https://perma.cc/4VEF-SRT2].</w:t>
      </w:r>
    </w:p>
  </w:footnote>
  <w:footnote w:id="5">
    <w:p w14:paraId="2F813962">
      <w:pPr>
        <w:keepNext w:val="0"/>
        <w:keepLines w:val="0"/>
        <w:pageBreakBefore w:val="0"/>
        <w:widowControl/>
        <w:suppressLineNumbers w:val="0"/>
        <w:kinsoku/>
        <w:wordWrap w:val="0"/>
        <w:overflowPunct/>
        <w:topLinePunct w:val="0"/>
        <w:autoSpaceDE w:val="0"/>
        <w:autoSpaceDN w:val="0"/>
        <w:bidi w:val="0"/>
        <w:adjustRightInd/>
        <w:snapToGrid/>
        <w:spacing w:line="240" w:lineRule="auto"/>
        <w:ind w:left="0" w:leftChars="0" w:firstLine="360" w:firstLineChars="200"/>
        <w:jc w:val="left"/>
        <w:textAlignment w:val="auto"/>
        <w:rPr>
          <w:rFonts w:hint="default"/>
          <w:lang w:val="en-US"/>
        </w:rPr>
      </w:pPr>
      <w:r>
        <w:rPr>
          <w:rStyle w:val="16"/>
          <w:sz w:val="18"/>
          <w:szCs w:val="18"/>
        </w:rPr>
        <w:footnoteRef/>
      </w:r>
      <w:r>
        <w:rPr>
          <w:rFonts w:hint="eastAsia" w:ascii="Times New Roman" w:hAnsi="Times New Roman" w:cs="Times New Roman"/>
          <w:lang w:val="en-US" w:eastAsia="zh-CN"/>
        </w:rPr>
        <w:t xml:space="preserve"> </w:t>
      </w:r>
      <w:r>
        <w:rPr>
          <w:rFonts w:hint="default" w:ascii="Times New Roman" w:hAnsi="Times New Roman" w:eastAsia="宋体" w:cs="Times New Roman"/>
          <w:b w:val="0"/>
          <w:bCs w:val="0"/>
          <w:color w:val="000000"/>
          <w:kern w:val="0"/>
          <w:sz w:val="18"/>
          <w:szCs w:val="18"/>
          <w:lang w:val="en-US" w:eastAsia="zh-CN" w:bidi="ar"/>
        </w:rPr>
        <w:t xml:space="preserve">Jon Copley, </w:t>
      </w:r>
      <w:r>
        <w:rPr>
          <w:rFonts w:hint="default" w:ascii="Times New Roman" w:hAnsi="Times New Roman" w:eastAsia="宋体" w:cs="Times New Roman"/>
          <w:b w:val="0"/>
          <w:bCs w:val="0"/>
          <w:i/>
          <w:iCs/>
          <w:color w:val="000000"/>
          <w:kern w:val="0"/>
          <w:sz w:val="18"/>
          <w:szCs w:val="18"/>
          <w:lang w:val="en-US" w:eastAsia="zh-CN" w:bidi="ar"/>
        </w:rPr>
        <w:t xml:space="preserve">Deep-sea mining is making the seabed the hottest real estate on Earth, </w:t>
      </w:r>
      <w:r>
        <w:rPr>
          <w:rFonts w:hint="default" w:ascii="Times New Roman" w:hAnsi="Times New Roman" w:eastAsia="宋体" w:cs="Times New Roman"/>
          <w:b w:val="0"/>
          <w:bCs w:val="0"/>
          <w:color w:val="000000"/>
          <w:kern w:val="0"/>
          <w:sz w:val="18"/>
          <w:szCs w:val="18"/>
          <w:lang w:val="en-US" w:eastAsia="zh-CN" w:bidi="ar"/>
        </w:rPr>
        <w:t>NEWSCIENTIST (Nov.</w:t>
      </w:r>
      <w:r>
        <w:rPr>
          <w:rFonts w:hint="eastAsia" w:ascii="Times New Roman" w:hAnsi="Times New Roman" w:cs="Times New Roman"/>
          <w:b w:val="0"/>
          <w:bCs w:val="0"/>
          <w:color w:val="000000"/>
          <w:kern w:val="0"/>
          <w:sz w:val="18"/>
          <w:szCs w:val="18"/>
          <w:lang w:val="en-US" w:eastAsia="zh-CN" w:bidi="ar"/>
        </w:rPr>
        <w:t xml:space="preserve"> </w:t>
      </w:r>
      <w:r>
        <w:rPr>
          <w:rFonts w:hint="default" w:ascii="Times New Roman" w:hAnsi="Times New Roman" w:eastAsia="宋体" w:cs="Times New Roman"/>
          <w:b w:val="0"/>
          <w:bCs w:val="0"/>
          <w:color w:val="000000"/>
          <w:kern w:val="0"/>
          <w:sz w:val="18"/>
          <w:szCs w:val="18"/>
          <w:lang w:val="en-US" w:eastAsia="zh-CN" w:bidi="ar"/>
        </w:rPr>
        <w:t>4 2020)</w:t>
      </w:r>
      <w:r>
        <w:rPr>
          <w:rFonts w:hint="eastAsia" w:ascii="Times New Roman" w:hAnsi="Times New Roman" w:cs="Times New Roman"/>
          <w:b w:val="0"/>
          <w:bCs w:val="0"/>
          <w:color w:val="000000"/>
          <w:kern w:val="0"/>
          <w:sz w:val="18"/>
          <w:szCs w:val="18"/>
          <w:lang w:val="en-US" w:eastAsia="zh-CN" w:bidi="ar"/>
        </w:rPr>
        <w:t>.</w:t>
      </w:r>
    </w:p>
  </w:footnote>
  <w:footnote w:id="6">
    <w:p w14:paraId="146E568E">
      <w:pPr>
        <w:pStyle w:val="12"/>
        <w:keepNext w:val="0"/>
        <w:keepLines w:val="0"/>
        <w:pageBreakBefore w:val="0"/>
        <w:kinsoku/>
        <w:wordWrap/>
        <w:overflowPunct/>
        <w:topLinePunct w:val="0"/>
        <w:bidi w:val="0"/>
        <w:adjustRightInd/>
        <w:snapToGrid w:val="0"/>
        <w:spacing w:line="360" w:lineRule="auto"/>
        <w:ind w:left="0" w:leftChars="0" w:firstLine="360" w:firstLineChars="200"/>
        <w:textAlignment w:val="auto"/>
        <w:rPr>
          <w:rFonts w:hint="default" w:ascii="Times New Roman" w:hAnsi="Times New Roman" w:eastAsia="宋体" w:cs="Times New Roman"/>
          <w:sz w:val="18"/>
          <w:szCs w:val="18"/>
          <w:lang w:val="en-US" w:eastAsia="zh-CN"/>
        </w:rPr>
      </w:pPr>
      <w:r>
        <w:rPr>
          <w:rStyle w:val="16"/>
          <w:rFonts w:hint="default" w:eastAsia="宋体" w:cs="宋体" w:asciiTheme="minorAscii" w:hAnsiTheme="minorAscii"/>
          <w:sz w:val="18"/>
          <w:szCs w:val="18"/>
        </w:rPr>
        <w:footnoteRef/>
      </w:r>
      <w:r>
        <w:rPr>
          <w:rFonts w:hint="default" w:ascii="Times New Roman" w:hAnsi="Times New Roman" w:cs="Times New Roman"/>
        </w:rPr>
        <w:t xml:space="preserve"> </w:t>
      </w:r>
      <w:r>
        <w:rPr>
          <w:rFonts w:hint="default" w:ascii="Times New Roman" w:hAnsi="Times New Roman" w:eastAsia="宋体" w:cs="Times New Roman"/>
          <w:sz w:val="18"/>
          <w:szCs w:val="18"/>
          <w:lang w:val="en-US" w:eastAsia="zh-CN"/>
        </w:rPr>
        <w:t>Arie Truwborst,Evolution and Status ofthe Precautionary Principle in International Law, Kluwer Law International,</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2002,</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p.</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4,</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p.</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17.</w:t>
      </w:r>
    </w:p>
  </w:footnote>
  <w:footnote w:id="7">
    <w:p w14:paraId="16335404">
      <w:pPr>
        <w:pStyle w:val="12"/>
        <w:keepNext w:val="0"/>
        <w:keepLines w:val="0"/>
        <w:pageBreakBefore w:val="0"/>
        <w:widowControl w:val="0"/>
        <w:kinsoku/>
        <w:wordWrap/>
        <w:overflowPunct/>
        <w:topLinePunct w:val="0"/>
        <w:bidi w:val="0"/>
        <w:adjustRightInd/>
        <w:snapToGrid w:val="0"/>
        <w:spacing w:line="360" w:lineRule="auto"/>
        <w:ind w:left="0" w:leftChars="0" w:firstLine="360" w:firstLineChars="200"/>
        <w:textAlignment w:val="auto"/>
        <w:rPr>
          <w:rFonts w:hint="default" w:eastAsia="宋体"/>
          <w:lang w:val="en-US" w:eastAsia="zh-CN"/>
        </w:rPr>
      </w:pPr>
      <w:r>
        <w:rPr>
          <w:rStyle w:val="16"/>
        </w:rPr>
        <w:footnoteRef/>
      </w:r>
      <w:r>
        <w:t xml:space="preserve"> </w:t>
      </w:r>
      <w:r>
        <w:rPr>
          <w:rFonts w:hint="eastAsia"/>
          <w:lang w:val="en-US" w:eastAsia="zh-CN"/>
        </w:rPr>
        <w:t>王曦编著：《国际环境法》，法律出版社1998年版，第116页。</w:t>
      </w:r>
    </w:p>
  </w:footnote>
  <w:footnote w:id="8">
    <w:p w14:paraId="0BD5233D">
      <w:pPr>
        <w:pStyle w:val="12"/>
        <w:keepNext w:val="0"/>
        <w:keepLines w:val="0"/>
        <w:pageBreakBefore w:val="0"/>
        <w:widowControl w:val="0"/>
        <w:kinsoku/>
        <w:wordWrap/>
        <w:overflowPunct/>
        <w:topLinePunct w:val="0"/>
        <w:bidi w:val="0"/>
        <w:adjustRightInd/>
        <w:snapToGrid w:val="0"/>
        <w:spacing w:line="360" w:lineRule="auto"/>
        <w:textAlignment w:val="auto"/>
      </w:pPr>
      <w:r>
        <w:rPr>
          <w:rStyle w:val="16"/>
        </w:rPr>
        <w:footnoteRef/>
      </w:r>
      <w:r>
        <w:t xml:space="preserve">  </w:t>
      </w:r>
      <w:r>
        <w:rPr>
          <w:rFonts w:hint="eastAsia"/>
          <w:lang w:val="en-US" w:eastAsia="zh-CN"/>
        </w:rPr>
        <w:t>王曦：《国际环境法》，第115页至117页。</w:t>
      </w:r>
    </w:p>
  </w:footnote>
  <w:footnote w:id="9">
    <w:p w14:paraId="57EA6AFD">
      <w:pPr>
        <w:pStyle w:val="12"/>
        <w:keepNext w:val="0"/>
        <w:keepLines w:val="0"/>
        <w:pageBreakBefore w:val="0"/>
        <w:widowControl w:val="0"/>
        <w:kinsoku/>
        <w:wordWrap/>
        <w:overflowPunct/>
        <w:topLinePunct w:val="0"/>
        <w:bidi w:val="0"/>
        <w:adjustRightInd/>
        <w:snapToGrid w:val="0"/>
        <w:spacing w:line="360" w:lineRule="auto"/>
        <w:textAlignment w:val="auto"/>
      </w:pPr>
      <w:r>
        <w:rPr>
          <w:rStyle w:val="16"/>
        </w:rPr>
        <w:footnoteRef/>
      </w:r>
      <w:r>
        <w:t xml:space="preserve"> </w:t>
      </w:r>
      <w:r>
        <w:rPr>
          <w:rFonts w:hint="eastAsia"/>
          <w:lang w:val="en-US" w:eastAsia="zh-CN"/>
        </w:rPr>
        <w:t>朱建庚著：《风险预防原则与海洋环境保护》，人民法院出版社2006版，第38页。</w:t>
      </w:r>
    </w:p>
  </w:footnote>
  <w:footnote w:id="10">
    <w:p w14:paraId="358FD76B">
      <w:pPr>
        <w:pStyle w:val="12"/>
        <w:keepNext w:val="0"/>
        <w:keepLines w:val="0"/>
        <w:pageBreakBefore w:val="0"/>
        <w:widowControl w:val="0"/>
        <w:kinsoku/>
        <w:wordWrap/>
        <w:overflowPunct/>
        <w:topLinePunct w:val="0"/>
        <w:bidi w:val="0"/>
        <w:adjustRightInd/>
        <w:snapToGrid w:val="0"/>
        <w:spacing w:line="360" w:lineRule="auto"/>
        <w:textAlignment w:val="auto"/>
        <w:rPr>
          <w:rFonts w:hint="default" w:eastAsia="宋体"/>
          <w:lang w:val="en-US" w:eastAsia="zh-CN"/>
        </w:rPr>
      </w:pPr>
      <w:r>
        <w:rPr>
          <w:rStyle w:val="16"/>
        </w:rPr>
        <w:footnoteRef/>
      </w:r>
      <w:r>
        <w:t xml:space="preserve"> </w:t>
      </w:r>
      <w:r>
        <w:rPr>
          <w:rFonts w:hint="eastAsia"/>
          <w:lang w:val="en-US" w:eastAsia="zh-CN"/>
        </w:rPr>
        <w:t>林灿铃著：《国际环境法》，人民出版社2004年版，第178页。</w:t>
      </w:r>
    </w:p>
  </w:footnote>
  <w:footnote w:id="11">
    <w:p w14:paraId="1568EABA">
      <w:pPr>
        <w:keepNext w:val="0"/>
        <w:keepLines w:val="0"/>
        <w:pageBreakBefore w:val="0"/>
        <w:widowControl/>
        <w:suppressLineNumbers w:val="0"/>
        <w:kinsoku/>
        <w:wordWrap/>
        <w:overflowPunct/>
        <w:topLinePunct w:val="0"/>
        <w:bidi w:val="0"/>
        <w:adjustRightInd/>
        <w:snapToGrid/>
        <w:spacing w:line="240" w:lineRule="auto"/>
        <w:ind w:left="0" w:leftChars="0" w:firstLine="360" w:firstLineChars="200"/>
        <w:jc w:val="left"/>
        <w:textAlignment w:val="auto"/>
        <w:rPr>
          <w:rFonts w:hint="default" w:ascii="Times New Roman" w:hAnsi="Times New Roman" w:eastAsia="宋体" w:cs="Times New Roman"/>
          <w:b w:val="0"/>
          <w:bCs w:val="0"/>
          <w:sz w:val="18"/>
          <w:szCs w:val="18"/>
        </w:rPr>
      </w:pPr>
      <w:r>
        <w:rPr>
          <w:rStyle w:val="16"/>
          <w:sz w:val="18"/>
          <w:szCs w:val="18"/>
        </w:rPr>
        <w:footnoteRef/>
      </w:r>
      <w:r>
        <w:rPr>
          <w:rFonts w:hint="default" w:ascii="Times New Roman" w:hAnsi="Times New Roman" w:cs="Times New Roman"/>
        </w:rPr>
        <w:t xml:space="preserve"> </w:t>
      </w:r>
      <w:r>
        <w:rPr>
          <w:rFonts w:hint="default" w:ascii="Times New Roman" w:hAnsi="Times New Roman" w:eastAsia="宋体" w:cs="Times New Roman"/>
          <w:color w:val="000000"/>
          <w:kern w:val="0"/>
          <w:sz w:val="18"/>
          <w:szCs w:val="18"/>
          <w:lang w:val="en-US" w:eastAsia="zh-CN" w:bidi="ar"/>
        </w:rPr>
        <w:t>S</w:t>
      </w:r>
      <w:r>
        <w:rPr>
          <w:rFonts w:hint="default" w:ascii="Times New Roman" w:hAnsi="Times New Roman" w:eastAsia="宋体" w:cs="Times New Roman"/>
          <w:b w:val="0"/>
          <w:bCs w:val="0"/>
          <w:color w:val="000000"/>
          <w:kern w:val="0"/>
          <w:sz w:val="18"/>
          <w:szCs w:val="18"/>
          <w:lang w:val="en-US" w:eastAsia="zh-CN" w:bidi="ar"/>
        </w:rPr>
        <w:t xml:space="preserve">ee e.g. David Freestone &amp; Ellen Hey, eds, </w:t>
      </w:r>
      <w:r>
        <w:rPr>
          <w:rFonts w:hint="default" w:ascii="Times New Roman" w:hAnsi="Times New Roman" w:eastAsia="宋体" w:cs="Times New Roman"/>
          <w:b w:val="0"/>
          <w:bCs w:val="0"/>
          <w:i/>
          <w:iCs/>
          <w:color w:val="000000"/>
          <w:kern w:val="0"/>
          <w:sz w:val="18"/>
          <w:szCs w:val="18"/>
          <w:lang w:val="en-US" w:eastAsia="zh-CN" w:bidi="ar"/>
        </w:rPr>
        <w:t>Th</w:t>
      </w:r>
      <w:r>
        <w:rPr>
          <w:rFonts w:hint="default" w:ascii="Times New Roman" w:hAnsi="Times New Roman" w:cs="Times New Roman"/>
          <w:b w:val="0"/>
          <w:bCs w:val="0"/>
          <w:i/>
          <w:iCs/>
          <w:color w:val="000000"/>
          <w:kern w:val="0"/>
          <w:sz w:val="18"/>
          <w:szCs w:val="18"/>
          <w:lang w:val="en-US" w:eastAsia="zh-CN" w:bidi="ar"/>
        </w:rPr>
        <w:t>e</w:t>
      </w:r>
      <w:r>
        <w:rPr>
          <w:rFonts w:hint="default" w:ascii="Times New Roman" w:hAnsi="Times New Roman" w:eastAsia="宋体" w:cs="Times New Roman"/>
          <w:b w:val="0"/>
          <w:bCs w:val="0"/>
          <w:i/>
          <w:iCs/>
          <w:color w:val="000000"/>
          <w:kern w:val="0"/>
          <w:sz w:val="18"/>
          <w:szCs w:val="18"/>
          <w:lang w:val="en-US" w:eastAsia="zh-CN" w:bidi="ar"/>
        </w:rPr>
        <w:t xml:space="preserve"> Pre</w:t>
      </w:r>
      <w:r>
        <w:rPr>
          <w:rFonts w:hint="default" w:ascii="Times New Roman" w:hAnsi="Times New Roman" w:cs="Times New Roman"/>
          <w:b w:val="0"/>
          <w:bCs w:val="0"/>
          <w:i/>
          <w:iCs/>
          <w:color w:val="000000"/>
          <w:kern w:val="0"/>
          <w:sz w:val="18"/>
          <w:szCs w:val="18"/>
          <w:lang w:val="en-US" w:eastAsia="zh-CN" w:bidi="ar"/>
        </w:rPr>
        <w:t>c</w:t>
      </w:r>
      <w:r>
        <w:rPr>
          <w:rFonts w:hint="default" w:ascii="Times New Roman" w:hAnsi="Times New Roman" w:eastAsia="宋体" w:cs="Times New Roman"/>
          <w:b w:val="0"/>
          <w:bCs w:val="0"/>
          <w:i/>
          <w:iCs/>
          <w:color w:val="000000"/>
          <w:kern w:val="0"/>
          <w:sz w:val="18"/>
          <w:szCs w:val="18"/>
          <w:lang w:val="en-US" w:eastAsia="zh-CN" w:bidi="ar"/>
        </w:rPr>
        <w:t>au</w:t>
      </w:r>
      <w:r>
        <w:rPr>
          <w:rFonts w:hint="default" w:ascii="Times New Roman" w:hAnsi="Times New Roman" w:cs="Times New Roman"/>
          <w:b w:val="0"/>
          <w:bCs w:val="0"/>
          <w:i/>
          <w:iCs/>
          <w:color w:val="000000"/>
          <w:kern w:val="0"/>
          <w:sz w:val="18"/>
          <w:szCs w:val="18"/>
          <w:lang w:val="en-US" w:eastAsia="zh-CN" w:bidi="ar"/>
        </w:rPr>
        <w:t>t</w:t>
      </w:r>
      <w:r>
        <w:rPr>
          <w:rFonts w:hint="default" w:ascii="Times New Roman" w:hAnsi="Times New Roman" w:eastAsia="宋体" w:cs="Times New Roman"/>
          <w:b w:val="0"/>
          <w:bCs w:val="0"/>
          <w:i/>
          <w:iCs/>
          <w:color w:val="000000"/>
          <w:kern w:val="0"/>
          <w:sz w:val="18"/>
          <w:szCs w:val="18"/>
          <w:lang w:val="en-US" w:eastAsia="zh-CN" w:bidi="ar"/>
        </w:rPr>
        <w:t>iona</w:t>
      </w:r>
      <w:r>
        <w:rPr>
          <w:rFonts w:hint="default" w:ascii="Times New Roman" w:hAnsi="Times New Roman" w:cs="Times New Roman"/>
          <w:b w:val="0"/>
          <w:bCs w:val="0"/>
          <w:i/>
          <w:iCs/>
          <w:color w:val="000000"/>
          <w:kern w:val="0"/>
          <w:sz w:val="18"/>
          <w:szCs w:val="18"/>
          <w:lang w:val="en-US" w:eastAsia="zh-CN" w:bidi="ar"/>
        </w:rPr>
        <w:t>r</w:t>
      </w:r>
      <w:r>
        <w:rPr>
          <w:rFonts w:hint="default" w:ascii="Times New Roman" w:hAnsi="Times New Roman" w:eastAsia="宋体" w:cs="Times New Roman"/>
          <w:b w:val="0"/>
          <w:bCs w:val="0"/>
          <w:i/>
          <w:iCs/>
          <w:color w:val="000000"/>
          <w:kern w:val="0"/>
          <w:sz w:val="18"/>
          <w:szCs w:val="18"/>
          <w:lang w:val="en-US" w:eastAsia="zh-CN" w:bidi="ar"/>
        </w:rPr>
        <w:t>y P</w:t>
      </w:r>
      <w:r>
        <w:rPr>
          <w:rFonts w:hint="default" w:ascii="Times New Roman" w:hAnsi="Times New Roman" w:cs="Times New Roman"/>
          <w:b w:val="0"/>
          <w:bCs w:val="0"/>
          <w:i/>
          <w:iCs/>
          <w:color w:val="000000"/>
          <w:kern w:val="0"/>
          <w:sz w:val="18"/>
          <w:szCs w:val="18"/>
          <w:lang w:val="en-US" w:eastAsia="zh-CN" w:bidi="ar"/>
        </w:rPr>
        <w:t xml:space="preserve">renciple </w:t>
      </w:r>
      <w:r>
        <w:rPr>
          <w:rFonts w:hint="default" w:ascii="Times New Roman" w:hAnsi="Times New Roman" w:eastAsia="宋体" w:cs="Times New Roman"/>
          <w:b w:val="0"/>
          <w:bCs w:val="0"/>
          <w:i/>
          <w:iCs/>
          <w:color w:val="000000"/>
          <w:kern w:val="0"/>
          <w:sz w:val="18"/>
          <w:szCs w:val="18"/>
          <w:lang w:val="en-US" w:eastAsia="zh-CN" w:bidi="ar"/>
        </w:rPr>
        <w:t>a</w:t>
      </w:r>
      <w:r>
        <w:rPr>
          <w:rFonts w:hint="default" w:ascii="Times New Roman" w:hAnsi="Times New Roman" w:cs="Times New Roman"/>
          <w:b w:val="0"/>
          <w:bCs w:val="0"/>
          <w:i/>
          <w:iCs/>
          <w:color w:val="000000"/>
          <w:kern w:val="0"/>
          <w:sz w:val="18"/>
          <w:szCs w:val="18"/>
          <w:lang w:val="en-US" w:eastAsia="zh-CN" w:bidi="ar"/>
        </w:rPr>
        <w:t>n</w:t>
      </w:r>
      <w:r>
        <w:rPr>
          <w:rFonts w:hint="default" w:ascii="Times New Roman" w:hAnsi="Times New Roman" w:eastAsia="宋体" w:cs="Times New Roman"/>
          <w:b w:val="0"/>
          <w:bCs w:val="0"/>
          <w:i/>
          <w:iCs/>
          <w:color w:val="000000"/>
          <w:kern w:val="0"/>
          <w:sz w:val="18"/>
          <w:szCs w:val="18"/>
          <w:lang w:val="en-US" w:eastAsia="zh-CN" w:bidi="ar"/>
        </w:rPr>
        <w:t>d</w:t>
      </w:r>
      <w:r>
        <w:rPr>
          <w:rFonts w:hint="default" w:ascii="Times New Roman" w:hAnsi="Times New Roman" w:cs="Times New Roman"/>
          <w:b w:val="0"/>
          <w:bCs w:val="0"/>
          <w:i/>
          <w:iCs/>
          <w:color w:val="000000"/>
          <w:kern w:val="0"/>
          <w:sz w:val="18"/>
          <w:szCs w:val="18"/>
          <w:lang w:val="en-US" w:eastAsia="zh-CN" w:bidi="ar"/>
        </w:rPr>
        <w:t xml:space="preserve"> International</w:t>
      </w:r>
      <w:r>
        <w:rPr>
          <w:rFonts w:hint="default" w:ascii="Times New Roman" w:hAnsi="Times New Roman" w:eastAsia="宋体" w:cs="Times New Roman"/>
          <w:b w:val="0"/>
          <w:bCs w:val="0"/>
          <w:i/>
          <w:iCs/>
          <w:color w:val="000000"/>
          <w:kern w:val="0"/>
          <w:sz w:val="18"/>
          <w:szCs w:val="18"/>
          <w:lang w:val="en-US" w:eastAsia="zh-CN" w:bidi="ar"/>
        </w:rPr>
        <w:t xml:space="preserve"> La</w:t>
      </w:r>
      <w:r>
        <w:rPr>
          <w:rFonts w:hint="default" w:ascii="Times New Roman" w:hAnsi="Times New Roman" w:cs="Times New Roman"/>
          <w:b w:val="0"/>
          <w:bCs w:val="0"/>
          <w:i/>
          <w:iCs/>
          <w:color w:val="000000"/>
          <w:kern w:val="0"/>
          <w:sz w:val="18"/>
          <w:szCs w:val="18"/>
          <w:lang w:val="en-US" w:eastAsia="zh-CN" w:bidi="ar"/>
        </w:rPr>
        <w:t>w</w:t>
      </w:r>
      <w:r>
        <w:rPr>
          <w:rFonts w:hint="default" w:ascii="Times New Roman" w:hAnsi="Times New Roman" w:eastAsia="宋体" w:cs="Times New Roman"/>
          <w:b w:val="0"/>
          <w:bCs w:val="0"/>
          <w:i/>
          <w:iCs/>
          <w:color w:val="000000"/>
          <w:kern w:val="0"/>
          <w:sz w:val="18"/>
          <w:szCs w:val="18"/>
          <w:lang w:val="en-US" w:eastAsia="zh-CN" w:bidi="ar"/>
        </w:rPr>
        <w:t>: The Cha</w:t>
      </w:r>
      <w:r>
        <w:rPr>
          <w:rFonts w:hint="default" w:ascii="Times New Roman" w:hAnsi="Times New Roman" w:cs="Times New Roman"/>
          <w:b w:val="0"/>
          <w:bCs w:val="0"/>
          <w:i/>
          <w:iCs/>
          <w:color w:val="000000"/>
          <w:kern w:val="0"/>
          <w:sz w:val="18"/>
          <w:szCs w:val="18"/>
          <w:lang w:val="en-US" w:eastAsia="zh-CN" w:bidi="ar"/>
        </w:rPr>
        <w:t>llenge</w:t>
      </w:r>
      <w:r>
        <w:rPr>
          <w:rFonts w:hint="default" w:ascii="Times New Roman" w:hAnsi="Times New Roman" w:eastAsia="宋体" w:cs="Times New Roman"/>
          <w:b w:val="0"/>
          <w:bCs w:val="0"/>
          <w:i/>
          <w:iCs/>
          <w:color w:val="000000"/>
          <w:kern w:val="0"/>
          <w:sz w:val="18"/>
          <w:szCs w:val="18"/>
          <w:lang w:val="en-US" w:eastAsia="zh-CN" w:bidi="ar"/>
        </w:rPr>
        <w:t xml:space="preserve"> of</w:t>
      </w:r>
      <w:r>
        <w:rPr>
          <w:rFonts w:hint="default" w:ascii="Times New Roman" w:hAnsi="Times New Roman" w:cs="Times New Roman"/>
          <w:b w:val="0"/>
          <w:bCs w:val="0"/>
          <w:i/>
          <w:iCs/>
          <w:color w:val="000000"/>
          <w:kern w:val="0"/>
          <w:sz w:val="18"/>
          <w:szCs w:val="18"/>
          <w:lang w:val="en-US" w:eastAsia="zh-CN" w:bidi="ar"/>
        </w:rPr>
        <w:t xml:space="preserve"> </w:t>
      </w:r>
      <w:r>
        <w:rPr>
          <w:rFonts w:hint="default" w:ascii="Times New Roman" w:hAnsi="Times New Roman" w:eastAsia="宋体" w:cs="Times New Roman"/>
          <w:b w:val="0"/>
          <w:bCs w:val="0"/>
          <w:i/>
          <w:iCs/>
          <w:color w:val="000000"/>
          <w:kern w:val="0"/>
          <w:sz w:val="18"/>
          <w:szCs w:val="18"/>
          <w:lang w:val="en-US" w:eastAsia="zh-CN" w:bidi="ar"/>
        </w:rPr>
        <w:t>Impleme</w:t>
      </w:r>
      <w:r>
        <w:rPr>
          <w:rFonts w:hint="default" w:ascii="Times New Roman" w:hAnsi="Times New Roman" w:cs="Times New Roman"/>
          <w:b w:val="0"/>
          <w:bCs w:val="0"/>
          <w:i/>
          <w:iCs/>
          <w:color w:val="000000"/>
          <w:kern w:val="0"/>
          <w:sz w:val="18"/>
          <w:szCs w:val="18"/>
          <w:lang w:val="en-US" w:eastAsia="zh-CN" w:bidi="ar"/>
        </w:rPr>
        <w:t>nt</w:t>
      </w:r>
      <w:r>
        <w:rPr>
          <w:rFonts w:hint="default" w:ascii="Times New Roman" w:hAnsi="Times New Roman" w:eastAsia="宋体" w:cs="Times New Roman"/>
          <w:b w:val="0"/>
          <w:bCs w:val="0"/>
          <w:i/>
          <w:iCs/>
          <w:color w:val="000000"/>
          <w:kern w:val="0"/>
          <w:sz w:val="18"/>
          <w:szCs w:val="18"/>
          <w:lang w:val="en-US" w:eastAsia="zh-CN" w:bidi="ar"/>
        </w:rPr>
        <w:t xml:space="preserve">ation </w:t>
      </w:r>
      <w:r>
        <w:rPr>
          <w:rFonts w:hint="default" w:ascii="Times New Roman" w:hAnsi="Times New Roman" w:eastAsia="宋体" w:cs="Times New Roman"/>
          <w:b w:val="0"/>
          <w:bCs w:val="0"/>
          <w:color w:val="000000"/>
          <w:kern w:val="0"/>
          <w:sz w:val="18"/>
          <w:szCs w:val="18"/>
          <w:lang w:val="en-US" w:eastAsia="zh-CN" w:bidi="ar"/>
        </w:rPr>
        <w:t>(The Hague: Kluwer Law International, 1996)</w:t>
      </w:r>
      <w:r>
        <w:rPr>
          <w:rFonts w:hint="default" w:ascii="Times New Roman" w:hAnsi="Times New Roman" w:cs="Times New Roman"/>
          <w:b w:val="0"/>
          <w:bCs w:val="0"/>
          <w:color w:val="000000"/>
          <w:kern w:val="0"/>
          <w:sz w:val="18"/>
          <w:szCs w:val="18"/>
          <w:lang w:val="en-US" w:eastAsia="zh-CN" w:bidi="ar"/>
        </w:rPr>
        <w:t>, note 1 at 54.</w:t>
      </w:r>
    </w:p>
  </w:footnote>
  <w:footnote w:id="12">
    <w:p w14:paraId="1EC2EB0B">
      <w:pPr>
        <w:pStyle w:val="12"/>
        <w:snapToGrid w:val="0"/>
        <w:rPr>
          <w:rFonts w:hint="eastAsia" w:eastAsia="宋体"/>
          <w:lang w:eastAsia="zh-CN"/>
        </w:rPr>
      </w:pPr>
      <w:r>
        <w:rPr>
          <w:rStyle w:val="16"/>
        </w:rPr>
        <w:footnoteRef/>
      </w:r>
      <w:r>
        <w:t xml:space="preserve"> </w:t>
      </w:r>
      <w:r>
        <w:rPr>
          <w:rFonts w:hint="eastAsia"/>
          <w:lang w:val="en-US" w:eastAsia="zh-CN"/>
        </w:rPr>
        <w:t>该会议通过的风险预防原则定义：“</w:t>
      </w:r>
      <w:r>
        <w:rPr>
          <w:rFonts w:hint="eastAsia"/>
        </w:rPr>
        <w:t>因此，有必要贯彻风险预防原则:当一项活动对人体的健康或者环境产生危害的威胁时，即使有些因果关系没有得到科学上的充分确定，也应当采取风险预防的措施。在这种情况下，应当由活动的支持者而非公众承担证明责任。运用风险预防原则的过程必须公开、知情、民主，必须包括潜在受影响的当事人，同时必须审查包括不行动在内的替代方法的范围。</w:t>
      </w:r>
      <w:r>
        <w:rPr>
          <w:rFonts w:hint="eastAsia"/>
          <w:lang w:eastAsia="zh-CN"/>
        </w:rPr>
        <w:t>”</w:t>
      </w:r>
    </w:p>
  </w:footnote>
  <w:footnote w:id="13">
    <w:p w14:paraId="20698A85">
      <w:pPr>
        <w:widowControl/>
        <w:spacing w:line="240" w:lineRule="auto"/>
        <w:ind w:firstLine="360" w:firstLineChars="200"/>
      </w:pPr>
      <w:r>
        <w:rPr>
          <w:rStyle w:val="16"/>
          <w:sz w:val="18"/>
          <w:szCs w:val="18"/>
        </w:rPr>
        <w:footnoteRef/>
      </w:r>
      <w:r>
        <w:t xml:space="preserve"> </w:t>
      </w:r>
      <w:r>
        <w:rPr>
          <w:rFonts w:hint="eastAsia" w:ascii="宋体" w:hAnsi="宋体" w:eastAsia="宋体" w:cs="宋体"/>
          <w:i w:val="0"/>
          <w:iCs w:val="0"/>
          <w:caps w:val="0"/>
          <w:color w:val="auto"/>
          <w:spacing w:val="11"/>
          <w:kern w:val="0"/>
          <w:sz w:val="18"/>
          <w:szCs w:val="18"/>
          <w:u w:val="none"/>
          <w:shd w:val="clear" w:fill="FFFFFF"/>
          <w:lang w:val="en-US" w:eastAsia="zh-CN" w:bidi="ar"/>
        </w:rPr>
        <w:t>彭峰：《环境法中“风险预防”原则之再探讨》，《北京理工大学学报》（社会科学版），2012年2期。</w:t>
      </w:r>
    </w:p>
  </w:footnote>
  <w:footnote w:id="14">
    <w:p w14:paraId="53CA3007">
      <w:pPr>
        <w:widowControl/>
      </w:pPr>
      <w:r>
        <w:rPr>
          <w:rStyle w:val="16"/>
          <w:sz w:val="18"/>
          <w:szCs w:val="18"/>
        </w:rPr>
        <w:footnoteRef/>
      </w:r>
      <w:r>
        <w:t xml:space="preserve"> </w:t>
      </w:r>
      <w:r>
        <w:rPr>
          <w:rFonts w:hint="eastAsia" w:ascii="宋体" w:hAnsi="宋体" w:eastAsia="宋体" w:cs="宋体"/>
          <w:i w:val="0"/>
          <w:iCs w:val="0"/>
          <w:caps w:val="0"/>
          <w:color w:val="auto"/>
          <w:spacing w:val="11"/>
          <w:kern w:val="0"/>
          <w:sz w:val="18"/>
          <w:szCs w:val="18"/>
          <w:u w:val="none"/>
          <w:shd w:val="clear" w:fill="FFFFFF"/>
          <w:lang w:val="en-US" w:eastAsia="zh-CN" w:bidi="ar"/>
        </w:rPr>
        <w:t>胡斌：《试论国际环境法中的风险预防原则》，《环境保护》2002年6期。</w:t>
      </w:r>
    </w:p>
  </w:footnote>
  <w:footnote w:id="15">
    <w:p w14:paraId="6E25C482">
      <w:pPr>
        <w:keepNext w:val="0"/>
        <w:keepLines w:val="0"/>
        <w:pageBreakBefore w:val="0"/>
        <w:widowControl/>
        <w:suppressLineNumbers w:val="0"/>
        <w:kinsoku/>
        <w:wordWrap/>
        <w:overflowPunct/>
        <w:topLinePunct w:val="0"/>
        <w:bidi w:val="0"/>
        <w:adjustRightInd/>
        <w:snapToGrid/>
        <w:spacing w:line="240" w:lineRule="auto"/>
        <w:jc w:val="left"/>
        <w:textAlignment w:val="auto"/>
        <w:rPr>
          <w:rFonts w:hint="default" w:eastAsia="宋体"/>
          <w:lang w:val="en-US" w:eastAsia="zh-CN"/>
        </w:rPr>
      </w:pPr>
      <w:r>
        <w:rPr>
          <w:rStyle w:val="16"/>
          <w:sz w:val="18"/>
          <w:szCs w:val="18"/>
        </w:rPr>
        <w:footnoteRef/>
      </w:r>
      <w: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联合国海洋法公约</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第145条规定：</w:t>
      </w:r>
      <w:r>
        <w:rPr>
          <w:rFonts w:hint="eastAsia" w:ascii="宋体" w:hAnsi="宋体" w:cs="宋体"/>
          <w:sz w:val="18"/>
          <w:szCs w:val="18"/>
          <w:lang w:val="en-US" w:eastAsia="zh-CN"/>
        </w:rPr>
        <w:t>“</w:t>
      </w:r>
      <w:r>
        <w:rPr>
          <w:rFonts w:hint="eastAsia" w:ascii="宋体" w:hAnsi="宋体" w:eastAsia="宋体" w:cs="宋体"/>
          <w:color w:val="000000"/>
          <w:kern w:val="0"/>
          <w:sz w:val="18"/>
          <w:szCs w:val="18"/>
          <w:lang w:val="en-US" w:eastAsia="zh-CN" w:bidi="ar"/>
        </w:rPr>
        <w:t>应按照本公约对“区域”内活动采取必要措施,以确保切实保护海洋环境</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不受这种活动可能产生的有害影响。为此目的,管理局应制定适当的规则,规章和程序,以便除其他外: (a) 防止、减少和控制对包括海岸在内的海洋环境的污染和其他危害,并防止干扰海洋环境的生态平衡,特别注意使其不受诸如钻探、挖泥、挖凿、废物处置等活动,以及建造和操作或维修与这种活动有关的设施、管道和其他装置所产生的有害影响; (b) 保护和养护“区域”的自然资源,并防止对海洋环境中动植物的损害。</w:t>
      </w:r>
      <w:r>
        <w:rPr>
          <w:rFonts w:hint="eastAsia" w:ascii="宋体" w:hAnsi="宋体" w:cs="宋体"/>
          <w:color w:val="000000"/>
          <w:kern w:val="0"/>
          <w:sz w:val="18"/>
          <w:szCs w:val="18"/>
          <w:lang w:val="en-US" w:eastAsia="zh-CN" w:bidi="ar"/>
        </w:rPr>
        <w:t>”</w:t>
      </w:r>
    </w:p>
  </w:footnote>
  <w:footnote w:id="16">
    <w:p w14:paraId="2A73B653">
      <w:pPr>
        <w:keepNext w:val="0"/>
        <w:keepLines w:val="0"/>
        <w:pageBreakBefore w:val="0"/>
        <w:widowControl/>
        <w:suppressLineNumbers w:val="0"/>
        <w:kinsoku/>
        <w:wordWrap/>
        <w:overflowPunct/>
        <w:topLinePunct w:val="0"/>
        <w:bidi w:val="0"/>
        <w:adjustRightInd/>
        <w:snapToGrid/>
        <w:spacing w:line="240" w:lineRule="auto"/>
        <w:jc w:val="left"/>
        <w:textAlignment w:val="auto"/>
      </w:pPr>
      <w:r>
        <w:rPr>
          <w:rStyle w:val="16"/>
          <w:sz w:val="18"/>
          <w:szCs w:val="18"/>
        </w:rPr>
        <w:footnoteRef/>
      </w:r>
      <w: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联合国海洋法公约</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第</w:t>
      </w:r>
      <w:r>
        <w:rPr>
          <w:rFonts w:hint="eastAsia" w:ascii="宋体" w:hAnsi="宋体" w:cs="宋体"/>
          <w:sz w:val="18"/>
          <w:szCs w:val="18"/>
          <w:lang w:val="en-US" w:eastAsia="zh-CN"/>
        </w:rPr>
        <w:t>194</w:t>
      </w:r>
      <w:r>
        <w:rPr>
          <w:rFonts w:hint="eastAsia" w:ascii="宋体" w:hAnsi="宋体" w:eastAsia="宋体" w:cs="宋体"/>
          <w:sz w:val="18"/>
          <w:szCs w:val="18"/>
          <w:lang w:val="en-US" w:eastAsia="zh-CN"/>
        </w:rPr>
        <w:t>条</w:t>
      </w:r>
      <w:r>
        <w:rPr>
          <w:rFonts w:hint="eastAsia" w:ascii="宋体" w:hAnsi="宋体" w:cs="宋体"/>
          <w:sz w:val="18"/>
          <w:szCs w:val="18"/>
          <w:lang w:val="en-US" w:eastAsia="zh-CN"/>
        </w:rPr>
        <w:t>第1款</w:t>
      </w:r>
      <w:r>
        <w:rPr>
          <w:rFonts w:hint="eastAsia" w:ascii="宋体" w:hAnsi="宋体" w:eastAsia="宋体" w:cs="宋体"/>
          <w:sz w:val="18"/>
          <w:szCs w:val="18"/>
          <w:lang w:val="en-US" w:eastAsia="zh-CN"/>
        </w:rPr>
        <w:t>规定：</w:t>
      </w:r>
      <w:r>
        <w:rPr>
          <w:rFonts w:hint="eastAsia" w:ascii="宋体" w:hAnsi="宋体" w:cs="宋体"/>
          <w:sz w:val="18"/>
          <w:szCs w:val="18"/>
          <w:lang w:val="en-US" w:eastAsia="zh-CN"/>
        </w:rPr>
        <w:t>“</w:t>
      </w:r>
      <w:r>
        <w:rPr>
          <w:rFonts w:hint="eastAsia" w:ascii="宋体" w:hAnsi="宋体" w:eastAsia="宋体" w:cs="宋体"/>
          <w:color w:val="000000"/>
          <w:kern w:val="0"/>
          <w:sz w:val="18"/>
          <w:szCs w:val="18"/>
          <w:lang w:val="en-US" w:eastAsia="zh-CN" w:bidi="ar"/>
        </w:rPr>
        <w:t>各国应适当情形下个别或联合地采取一切符合本公约的必要措施</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防止、减少和控制任何来源的海洋环境污染</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为此目的</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按照其能力使用其所掌握的最切实可行方法</w:t>
      </w:r>
      <w:r>
        <w:rPr>
          <w:rFonts w:hint="eastAsia" w:ascii="宋体" w:hAnsi="宋体" w:cs="宋体"/>
          <w:color w:val="000000"/>
          <w:kern w:val="0"/>
          <w:sz w:val="18"/>
          <w:szCs w:val="18"/>
          <w:lang w:val="en-US" w:eastAsia="zh-CN" w:bidi="ar"/>
        </w:rPr>
        <w:t>，</w:t>
      </w:r>
      <w:r>
        <w:rPr>
          <w:rFonts w:hint="eastAsia" w:ascii="宋体" w:hAnsi="宋体" w:eastAsia="宋体" w:cs="宋体"/>
          <w:color w:val="000000"/>
          <w:kern w:val="0"/>
          <w:sz w:val="18"/>
          <w:szCs w:val="18"/>
          <w:lang w:val="en-US" w:eastAsia="zh-CN" w:bidi="ar"/>
        </w:rPr>
        <w:t>并应在这方面尽力协调它们的政策。</w:t>
      </w:r>
      <w:r>
        <w:rPr>
          <w:rFonts w:hint="eastAsia" w:ascii="宋体" w:hAnsi="宋体" w:cs="宋体"/>
          <w:color w:val="000000"/>
          <w:kern w:val="0"/>
          <w:sz w:val="18"/>
          <w:szCs w:val="18"/>
          <w:lang w:val="en-US" w:eastAsia="zh-CN" w:bidi="ar"/>
        </w:rPr>
        <w:t>”</w:t>
      </w:r>
    </w:p>
  </w:footnote>
  <w:footnote w:id="17">
    <w:p w14:paraId="0F5ADDCA">
      <w:pPr>
        <w:widowControl/>
        <w:spacing w:line="240" w:lineRule="auto"/>
        <w:ind w:firstLine="180" w:firstLineChars="100"/>
        <w:jc w:val="left"/>
      </w:pPr>
      <w:r>
        <w:rPr>
          <w:rStyle w:val="16"/>
          <w:sz w:val="18"/>
          <w:szCs w:val="18"/>
        </w:rPr>
        <w:footnoteRef/>
      </w:r>
      <w:r>
        <w:rPr>
          <w:sz w:val="18"/>
          <w:szCs w:val="18"/>
        </w:rPr>
        <w:t xml:space="preserve"> </w:t>
      </w:r>
      <w:r>
        <w:rPr>
          <w:rFonts w:hint="eastAsia" w:ascii="宋体" w:hAnsi="宋体" w:cs="宋体"/>
          <w:color w:val="000000"/>
          <w:kern w:val="0"/>
          <w:sz w:val="18"/>
          <w:szCs w:val="18"/>
          <w:lang w:bidi="ar"/>
        </w:rPr>
        <w:t>海管局、担保国和承包者各自酌情就“区域”内活动，规划、执行和修改为应依海管局通过的规则、规章及程序有效保护海洋环境免受有害影响而必须采取的措施。为此，它们应：(a)采用《关于环境与发展的里约宣言》原则 15 所反映的预防性办法，评估和管理“区域”内开发活动损害海洋环境的风险；(b)在执行此类措施时适用最佳可得技术和最佳环保做法；(c)将最佳可得科学证据纳入环境决策，包括就环境评估开展的所有风险评估和管理，以及根据或按照最佳环保做法采取的管理和应对措施；(d)在评估、评价和管理开发活动在“区域”内造成的环境影响方面，包括在为此及时提供和获取相关环境数据和信息以及让利益攸关方参与的机会方面，促进问责制并提高透明度。</w:t>
      </w:r>
    </w:p>
  </w:footnote>
  <w:footnote w:id="18">
    <w:p w14:paraId="2BFB3FFD">
      <w:pPr>
        <w:widowControl/>
        <w:spacing w:line="240" w:lineRule="auto"/>
        <w:ind w:firstLine="360"/>
        <w:jc w:val="left"/>
      </w:pPr>
      <w:r>
        <w:rPr>
          <w:rStyle w:val="16"/>
          <w:sz w:val="18"/>
          <w:szCs w:val="18"/>
        </w:rPr>
        <w:footnoteRef/>
      </w:r>
      <w:r>
        <w:rPr>
          <w:rFonts w:hint="eastAsia" w:ascii="宋体" w:hAnsi="宋体" w:cs="宋体"/>
          <w:sz w:val="18"/>
          <w:szCs w:val="18"/>
        </w:rPr>
        <w:t xml:space="preserve"> </w:t>
      </w:r>
      <w:r>
        <w:rPr>
          <w:rFonts w:hint="eastAsia" w:ascii="宋体" w:hAnsi="宋体" w:cs="宋体"/>
          <w:color w:val="000000"/>
          <w:kern w:val="0"/>
          <w:sz w:val="18"/>
          <w:szCs w:val="18"/>
          <w:lang w:bidi="ar"/>
        </w:rPr>
        <w:t>三部勘探规章：国际海底管理局大会于2000年7月13日通过的《“区域”内多金属结核探矿和勘探规章》（以下简称《多金属结核规章》）（ISBA/19/C/17）；于2010年5月举行的第16届会议上核准通过的《“区域”内多金属硫化物探矿和勘探规章》（以下简称《多金属硫化物规章》）(ISBA/16/A/12/Rev.1)；于2012年7月举行的第18届会议上审议通过的《“区域”内富钴铁锰结壳探矿与勘探规章》（以下简称《富钴铁锰结壳规章》）(ISBA/18/A/11)。</w:t>
      </w:r>
    </w:p>
  </w:footnote>
  <w:footnote w:id="19">
    <w:p w14:paraId="5D5FCEB5">
      <w:pPr>
        <w:pStyle w:val="12"/>
        <w:snapToGrid w:val="0"/>
        <w:ind w:firstLine="180" w:firstLineChars="100"/>
        <w:rPr>
          <w:rFonts w:hint="default" w:eastAsia="宋体"/>
          <w:lang w:val="en-US" w:eastAsia="zh-CN"/>
        </w:rPr>
      </w:pPr>
      <w:r>
        <w:rPr>
          <w:rStyle w:val="16"/>
        </w:rPr>
        <w:footnoteRef/>
      </w:r>
      <w:r>
        <w:t xml:space="preserve"> </w:t>
      </w:r>
      <w:r>
        <w:rPr>
          <w:rFonts w:hint="default"/>
          <w:lang w:val="en-US"/>
        </w:rPr>
        <w:t>ISBA/26/LTC/10.</w:t>
      </w:r>
    </w:p>
  </w:footnote>
  <w:footnote w:id="20">
    <w:p w14:paraId="13C3979F">
      <w:pPr>
        <w:pStyle w:val="12"/>
        <w:snapToGrid w:val="0"/>
        <w:ind w:firstLine="180" w:firstLineChars="100"/>
        <w:rPr>
          <w:rFonts w:hint="default"/>
          <w:lang w:val="en-US"/>
        </w:rPr>
      </w:pPr>
      <w:r>
        <w:rPr>
          <w:rStyle w:val="16"/>
        </w:rPr>
        <w:footnoteRef/>
      </w:r>
      <w:r>
        <w:t xml:space="preserve"> </w:t>
      </w:r>
      <w:r>
        <w:rPr>
          <w:rFonts w:hint="default"/>
          <w:lang w:val="en-US"/>
        </w:rPr>
        <w:t>ISBA/26/C/38.</w:t>
      </w:r>
    </w:p>
  </w:footnote>
  <w:footnote w:id="21">
    <w:p w14:paraId="75D86AD7">
      <w:pPr>
        <w:pStyle w:val="12"/>
        <w:keepNext w:val="0"/>
        <w:keepLines w:val="0"/>
        <w:pageBreakBefore w:val="0"/>
        <w:kinsoku/>
        <w:wordWrap/>
        <w:overflowPunct/>
        <w:topLinePunct w:val="0"/>
        <w:bidi w:val="0"/>
        <w:adjustRightInd/>
        <w:snapToGrid w:val="0"/>
        <w:spacing w:line="360" w:lineRule="auto"/>
        <w:textAlignment w:val="auto"/>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ISBA/29/LTC/5</w:t>
      </w:r>
    </w:p>
  </w:footnote>
  <w:footnote w:id="22">
    <w:p w14:paraId="6B0E3B3E">
      <w:pPr>
        <w:pStyle w:val="12"/>
        <w:keepNext w:val="0"/>
        <w:keepLines w:val="0"/>
        <w:pageBreakBefore w:val="0"/>
        <w:kinsoku/>
        <w:wordWrap/>
        <w:overflowPunct/>
        <w:topLinePunct w:val="0"/>
        <w:bidi w:val="0"/>
        <w:adjustRightInd/>
        <w:snapToGrid w:val="0"/>
        <w:spacing w:line="360" w:lineRule="auto"/>
        <w:textAlignment w:val="auto"/>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ISBA/25/LTC/6/Rev.3</w:t>
      </w:r>
    </w:p>
  </w:footnote>
  <w:footnote w:id="23">
    <w:p w14:paraId="30D51701">
      <w:pPr>
        <w:keepNext w:val="0"/>
        <w:keepLines w:val="0"/>
        <w:pageBreakBefore w:val="0"/>
        <w:widowControl/>
        <w:suppressLineNumbers w:val="0"/>
        <w:kinsoku/>
        <w:wordWrap/>
        <w:overflowPunct/>
        <w:topLinePunct w:val="0"/>
        <w:bidi w:val="0"/>
        <w:adjustRightInd/>
        <w:spacing w:line="360" w:lineRule="auto"/>
        <w:ind w:left="0" w:leftChars="0" w:firstLine="360" w:firstLineChars="200"/>
        <w:jc w:val="left"/>
        <w:textAlignment w:val="auto"/>
        <w:rPr>
          <w:rFonts w:hint="eastAsia" w:ascii="宋体" w:hAnsi="宋体" w:eastAsia="宋体" w:cs="宋体"/>
          <w:sz w:val="18"/>
          <w:szCs w:val="18"/>
          <w:lang w:val="en-US" w:eastAsia="zh-CN"/>
        </w:rPr>
      </w:pPr>
      <w:r>
        <w:rPr>
          <w:rStyle w:val="16"/>
          <w:sz w:val="18"/>
          <w:szCs w:val="18"/>
        </w:rPr>
        <w:footnoteRef/>
      </w:r>
      <w:r>
        <w:t xml:space="preserve"> </w:t>
      </w:r>
      <w:r>
        <w:rPr>
          <w:rFonts w:hint="eastAsia" w:ascii="宋体" w:hAnsi="宋体" w:eastAsia="宋体" w:cs="宋体"/>
          <w:sz w:val="18"/>
          <w:szCs w:val="18"/>
          <w:lang w:val="en-US" w:eastAsia="zh-CN"/>
        </w:rPr>
        <w:t>勘探合同标准条款第10.1节</w:t>
      </w:r>
      <w:r>
        <w:rPr>
          <w:rFonts w:hint="eastAsia" w:ascii="宋体" w:hAnsi="宋体" w:cs="宋体"/>
          <w:sz w:val="18"/>
          <w:szCs w:val="18"/>
          <w:lang w:val="en-US" w:eastAsia="zh-CN"/>
        </w:rPr>
        <w:t>（</w:t>
      </w:r>
      <w:r>
        <w:rPr>
          <w:rFonts w:hint="default" w:ascii="Times New Roman" w:hAnsi="Times New Roman" w:eastAsia="宋体" w:cs="Times New Roman"/>
          <w:sz w:val="18"/>
          <w:szCs w:val="18"/>
          <w:lang w:val="en-US" w:eastAsia="zh-CN"/>
        </w:rPr>
        <w:t>ISBA/19/C/17</w:t>
      </w:r>
      <w:r>
        <w:rPr>
          <w:rFonts w:hint="eastAsia" w:ascii="宋体" w:hAnsi="宋体" w:eastAsia="宋体" w:cs="宋体"/>
          <w:sz w:val="18"/>
          <w:szCs w:val="18"/>
          <w:lang w:val="en-US" w:eastAsia="zh-CN"/>
        </w:rPr>
        <w:t>，附件）</w:t>
      </w:r>
      <w:r>
        <w:rPr>
          <w:rFonts w:hint="eastAsia" w:ascii="宋体" w:hAnsi="宋体" w:cs="宋体"/>
          <w:sz w:val="18"/>
          <w:szCs w:val="18"/>
          <w:lang w:val="en-US" w:eastAsia="zh-CN"/>
        </w:rPr>
        <w:t>。</w:t>
      </w:r>
    </w:p>
  </w:footnote>
  <w:footnote w:id="24">
    <w:p w14:paraId="0E8B1A3C">
      <w:pPr>
        <w:keepNext w:val="0"/>
        <w:keepLines w:val="0"/>
        <w:widowControl/>
        <w:suppressLineNumbers w:val="0"/>
        <w:spacing w:line="240" w:lineRule="auto"/>
        <w:jc w:val="left"/>
        <w:rPr>
          <w:rFonts w:hint="default" w:ascii="Times New Roman" w:hAnsi="Times New Roman" w:eastAsia="宋体" w:cs="Times New Roman"/>
          <w:sz w:val="18"/>
          <w:szCs w:val="18"/>
          <w:lang w:val="en-US" w:eastAsia="zh-CN"/>
        </w:rPr>
      </w:pPr>
      <w:r>
        <w:rPr>
          <w:rStyle w:val="16"/>
          <w:sz w:val="18"/>
          <w:szCs w:val="18"/>
        </w:rPr>
        <w:footnoteRef/>
      </w:r>
      <w:r>
        <w:t xml:space="preserve"> </w:t>
      </w:r>
      <w:r>
        <w:rPr>
          <w:rFonts w:hint="default" w:ascii="Times New Roman" w:hAnsi="Times New Roman" w:eastAsia="宋体" w:cs="Times New Roman"/>
          <w:sz w:val="18"/>
          <w:szCs w:val="18"/>
          <w:lang w:val="en-US" w:eastAsia="zh-CN"/>
        </w:rPr>
        <w:t>ISBA/17/C/6</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lang w:val="en-US" w:eastAsia="zh-CN"/>
        </w:rPr>
        <w:t>ISBA/17/LTC/5</w:t>
      </w:r>
    </w:p>
  </w:footnote>
  <w:footnote w:id="25">
    <w:p w14:paraId="77C36D30">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ISBA/29/C/4/Rev.1</w:t>
      </w:r>
    </w:p>
  </w:footnote>
  <w:footnote w:id="26">
    <w:p w14:paraId="512E5797">
      <w:pPr>
        <w:widowControl/>
        <w:spacing w:line="240" w:lineRule="auto"/>
      </w:pPr>
      <w:r>
        <w:rPr>
          <w:rStyle w:val="16"/>
          <w:sz w:val="18"/>
          <w:szCs w:val="18"/>
        </w:rPr>
        <w:footnoteRef/>
      </w:r>
      <w:r>
        <w:t xml:space="preserve"> </w:t>
      </w:r>
      <w:r>
        <w:rPr>
          <w:rFonts w:hint="default" w:ascii="Times New Roman" w:hAnsi="Times New Roman" w:cs="Times New Roman"/>
          <w:sz w:val="18"/>
          <w:szCs w:val="18"/>
          <w:lang w:eastAsia="zh-CN"/>
        </w:rPr>
        <w:t>Responsibilities and Obligations of States with respect to Activities in the</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Area, Advisory Opinion, 1 February</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2011,</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ITLOS Reports 2011,</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p.</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38-49,</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paras. 99</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w:t>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139.</w:t>
      </w:r>
    </w:p>
  </w:footnote>
  <w:footnote w:id="27">
    <w:p w14:paraId="36F101A3">
      <w:pPr>
        <w:pStyle w:val="12"/>
        <w:snapToGrid w:val="0"/>
        <w:rPr>
          <w:rFonts w:hint="default" w:ascii="Times New Roman" w:hAnsi="Times New Roman" w:eastAsia="宋体" w:cs="Times New Roman"/>
          <w:lang w:val="en-US" w:eastAsia="zh-CN"/>
        </w:rPr>
      </w:pPr>
      <w:r>
        <w:rPr>
          <w:rStyle w:val="16"/>
        </w:rPr>
        <w:footnoteRef/>
      </w:r>
      <w:r>
        <w:t xml:space="preserve"> </w:t>
      </w:r>
      <w:r>
        <w:rPr>
          <w:rFonts w:hint="default" w:ascii="Times New Roman" w:hAnsi="Times New Roman" w:cs="Times New Roman"/>
          <w:lang w:val="en-US" w:eastAsia="zh-CN"/>
        </w:rPr>
        <w:t>ISBA/30/C/4</w:t>
      </w:r>
    </w:p>
  </w:footnote>
  <w:footnote w:id="28">
    <w:p w14:paraId="03953E5E">
      <w:pPr>
        <w:pStyle w:val="12"/>
        <w:snapToGrid w:val="0"/>
        <w:rPr>
          <w:rFonts w:hint="eastAsia" w:eastAsia="宋体"/>
          <w:lang w:val="en-US" w:eastAsia="zh-CN"/>
        </w:rPr>
      </w:pPr>
      <w:r>
        <w:rPr>
          <w:rStyle w:val="16"/>
        </w:rPr>
        <w:footnoteRef/>
      </w:r>
      <w:r>
        <w:t xml:space="preserve"> </w:t>
      </w:r>
      <w:r>
        <w:rPr>
          <w:rFonts w:hint="default"/>
          <w:lang w:val="en-US"/>
        </w:rPr>
        <w:t>ISBA/27/C/7</w:t>
      </w:r>
    </w:p>
  </w:footnote>
  <w:footnote w:id="29">
    <w:p w14:paraId="3C087093">
      <w:pPr>
        <w:pStyle w:val="12"/>
        <w:snapToGrid w:val="0"/>
        <w:rPr>
          <w:rFonts w:hint="default" w:ascii="Times New Roman" w:hAnsi="Times New Roman" w:eastAsia="宋体" w:cs="Times New Roman"/>
          <w:lang w:val="en-US" w:eastAsia="zh-CN"/>
        </w:rPr>
      </w:pPr>
      <w:r>
        <w:rPr>
          <w:rStyle w:val="16"/>
        </w:rPr>
        <w:footnoteRef/>
      </w:r>
      <w:r>
        <w:rPr>
          <w:rFonts w:hint="default" w:ascii="Times New Roman" w:hAnsi="Times New Roman" w:cs="Times New Roman"/>
        </w:rPr>
        <w:t xml:space="preserve"> </w:t>
      </w:r>
      <w:r>
        <w:rPr>
          <w:rFonts w:hint="default" w:ascii="Times New Roman" w:hAnsi="Times New Roman" w:cs="Times New Roman"/>
          <w:lang w:val="en-US" w:eastAsia="zh-CN"/>
        </w:rPr>
        <w:t>ISBA/29/LTC/8</w:t>
      </w:r>
    </w:p>
  </w:footnote>
  <w:footnote w:id="30">
    <w:p w14:paraId="39A4275F">
      <w:pPr>
        <w:pStyle w:val="12"/>
        <w:snapToGrid w:val="0"/>
        <w:rPr>
          <w:rFonts w:hint="default" w:ascii="Times New Roman" w:hAnsi="Times New Roman" w:eastAsia="宋体" w:cs="Times New Roman"/>
          <w:lang w:val="en-US" w:eastAsia="zh-CN"/>
        </w:rPr>
      </w:pPr>
      <w:r>
        <w:rPr>
          <w:rStyle w:val="16"/>
        </w:rPr>
        <w:footnoteRef/>
      </w:r>
      <w:r>
        <w:t xml:space="preserve"> </w:t>
      </w:r>
      <w:r>
        <w:rPr>
          <w:rFonts w:hint="default" w:ascii="Times New Roman" w:hAnsi="Times New Roman" w:cs="Times New Roman"/>
          <w:lang w:val="en-US" w:eastAsia="zh-CN"/>
        </w:rPr>
        <w:t>ISBA/21/C/7</w:t>
      </w:r>
    </w:p>
  </w:footnote>
  <w:footnote w:id="31">
    <w:p w14:paraId="1209D2CA">
      <w:pPr>
        <w:pStyle w:val="12"/>
        <w:snapToGrid w:val="0"/>
        <w:rPr>
          <w:rFonts w:hint="default"/>
          <w:lang w:val="en-US" w:eastAsia="zh-CN"/>
        </w:rPr>
      </w:pPr>
      <w:r>
        <w:rPr>
          <w:rStyle w:val="16"/>
        </w:rPr>
        <w:footnoteRef/>
      </w:r>
      <w:r>
        <w:t xml:space="preserve"> </w:t>
      </w:r>
      <w:r>
        <w:rPr>
          <w:rFonts w:hint="eastAsia"/>
          <w:lang w:val="en-US" w:eastAsia="zh-CN"/>
        </w:rPr>
        <w:t>朱建庚著：《风险预防原则与海洋环境保护》，第247页。</w:t>
      </w:r>
    </w:p>
  </w:footnote>
  <w:footnote w:id="32">
    <w:p w14:paraId="3B3753F8">
      <w:pPr>
        <w:keepNext w:val="0"/>
        <w:keepLines w:val="0"/>
        <w:widowControl/>
        <w:suppressLineNumbers w:val="0"/>
        <w:jc w:val="left"/>
        <w:rPr>
          <w:rFonts w:hint="default" w:ascii="Times New Roman" w:hAnsi="Times New Roman" w:eastAsia="宋体" w:cs="Times New Roman"/>
          <w:b w:val="0"/>
          <w:bCs w:val="0"/>
          <w:sz w:val="18"/>
          <w:szCs w:val="18"/>
          <w:lang w:val="en-US" w:eastAsia="zh-CN"/>
        </w:rPr>
      </w:pPr>
      <w:r>
        <w:rPr>
          <w:rStyle w:val="16"/>
          <w:sz w:val="18"/>
          <w:szCs w:val="18"/>
        </w:rPr>
        <w:footnoteRef/>
      </w:r>
      <w:r>
        <w:t xml:space="preserve"> </w:t>
      </w:r>
      <w:r>
        <w:rPr>
          <w:rFonts w:hint="default" w:ascii="Times New Roman" w:hAnsi="Times New Roman" w:cs="Times New Roman"/>
          <w:b w:val="0"/>
          <w:bCs w:val="0"/>
          <w:sz w:val="18"/>
          <w:szCs w:val="18"/>
          <w:lang w:val="en-US" w:eastAsia="zh-CN"/>
        </w:rPr>
        <w:t>ISBA/30/C/CPR.1, Schedule, Use of terms and scope (</w:t>
      </w:r>
      <w:r>
        <w:rPr>
          <w:rFonts w:hint="default" w:ascii="Times New Roman" w:hAnsi="Times New Roman" w:eastAsia="TimesNewRomanPS-BoldMT" w:cs="Times New Roman"/>
          <w:b w:val="0"/>
          <w:bCs w:val="0"/>
          <w:color w:val="000000"/>
          <w:kern w:val="0"/>
          <w:sz w:val="18"/>
          <w:szCs w:val="18"/>
          <w:lang w:val="en-US" w:eastAsia="zh-CN" w:bidi="ar"/>
        </w:rPr>
        <w:t>Alt.</w:t>
      </w:r>
      <w:r>
        <w:rPr>
          <w:rFonts w:hint="eastAsia" w:ascii="Times New Roman" w:hAnsi="Times New Roman" w:eastAsia="TimesNewRomanPS-BoldMT" w:cs="Times New Roman"/>
          <w:b w:val="0"/>
          <w:bCs w:val="0"/>
          <w:color w:val="000000"/>
          <w:kern w:val="0"/>
          <w:sz w:val="18"/>
          <w:szCs w:val="18"/>
          <w:lang w:val="en-US" w:eastAsia="zh-CN" w:bidi="ar"/>
        </w:rPr>
        <w:t xml:space="preserve"> </w:t>
      </w:r>
      <w:r>
        <w:rPr>
          <w:rFonts w:hint="default" w:ascii="Times New Roman" w:hAnsi="Times New Roman" w:eastAsia="TimesNewRomanPS-BoldMT" w:cs="Times New Roman"/>
          <w:b w:val="0"/>
          <w:bCs w:val="0"/>
          <w:color w:val="000000"/>
          <w:kern w:val="0"/>
          <w:sz w:val="18"/>
          <w:szCs w:val="18"/>
          <w:lang w:val="en-US" w:eastAsia="zh-CN" w:bidi="ar"/>
        </w:rPr>
        <w:t>“Best Available Techniques”</w:t>
      </w:r>
      <w:r>
        <w:rPr>
          <w:rFonts w:hint="default" w:ascii="Times New Roman" w:hAnsi="Times New Roman" w:cs="Times New Roman"/>
          <w:b w:val="0"/>
          <w:bCs w:val="0"/>
          <w:sz w:val="18"/>
          <w:szCs w:val="18"/>
          <w:lang w:val="en-US" w:eastAsia="zh-CN"/>
        </w:rPr>
        <w:t>)</w:t>
      </w:r>
      <w:r>
        <w:rPr>
          <w:rFonts w:hint="eastAsia" w:ascii="Times New Roman" w:hAnsi="Times New Roman" w:cs="Times New Roman"/>
          <w:b w:val="0"/>
          <w:bCs w:val="0"/>
          <w:sz w:val="18"/>
          <w:szCs w:val="18"/>
          <w:lang w:val="en-US" w:eastAsia="zh-CN"/>
        </w:rPr>
        <w:t>.</w:t>
      </w:r>
    </w:p>
  </w:footnote>
  <w:footnote w:id="33">
    <w:p w14:paraId="21E257CB">
      <w:pPr>
        <w:widowControl/>
        <w:wordWrap w:val="0"/>
        <w:spacing w:line="240" w:lineRule="auto"/>
        <w:ind w:firstLine="360" w:firstLineChars="200"/>
      </w:pPr>
      <w:r>
        <w:rPr>
          <w:rStyle w:val="16"/>
          <w:sz w:val="18"/>
          <w:szCs w:val="18"/>
        </w:rPr>
        <w:footnoteRef/>
      </w:r>
      <w:r>
        <w:rPr>
          <w:sz w:val="18"/>
          <w:szCs w:val="18"/>
        </w:rPr>
        <w:t xml:space="preserve"> </w:t>
      </w:r>
      <w:r>
        <w:rPr>
          <w:rFonts w:hint="default" w:ascii="Times New Roman" w:hAnsi="Times New Roman" w:eastAsia="宋体" w:cs="Times New Roman"/>
          <w:color w:val="000000"/>
          <w:kern w:val="0"/>
          <w:sz w:val="16"/>
          <w:szCs w:val="16"/>
          <w:lang w:val="en-US" w:eastAsia="zh-CN" w:bidi="ar"/>
        </w:rPr>
        <w:t>BOYLE A. Developments in the international law of environmental  impact  assessments  and  their  relation  to  the Espoo Convention[J]. Review  of  European  Community  &amp;   International Environmental Law, 2011, 20(3): 227-231</w:t>
      </w:r>
    </w:p>
  </w:footnote>
  <w:footnote w:id="34">
    <w:p w14:paraId="258FC654">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ISBA/25/LTC/6/Rev.3</w:t>
      </w:r>
    </w:p>
  </w:footnote>
  <w:footnote w:id="35">
    <w:p w14:paraId="4DFAB9EF">
      <w:pPr>
        <w:keepNext w:val="0"/>
        <w:keepLines w:val="0"/>
        <w:widowControl/>
        <w:suppressLineNumbers w:val="0"/>
        <w:jc w:val="left"/>
      </w:pPr>
      <w:r>
        <w:rPr>
          <w:rStyle w:val="16"/>
          <w:sz w:val="18"/>
          <w:szCs w:val="18"/>
        </w:rPr>
        <w:footnoteRef/>
      </w:r>
      <w:r>
        <w:t xml:space="preserve"> </w:t>
      </w:r>
      <w:r>
        <w:rPr>
          <w:rFonts w:hint="default" w:ascii="Times New Roman" w:hAnsi="Times New Roman" w:eastAsia="宋体" w:cs="Times New Roman"/>
          <w:color w:val="000000"/>
          <w:kern w:val="0"/>
          <w:sz w:val="18"/>
          <w:szCs w:val="18"/>
          <w:lang w:val="en-US" w:eastAsia="zh-CN" w:bidi="ar"/>
        </w:rPr>
        <w:t>ISBA/27/C/4</w:t>
      </w:r>
    </w:p>
  </w:footnote>
  <w:footnote w:id="36">
    <w:p w14:paraId="06FD0DC7">
      <w:pPr>
        <w:pStyle w:val="12"/>
        <w:snapToGrid w:val="0"/>
      </w:pPr>
      <w:r>
        <w:rPr>
          <w:rStyle w:val="16"/>
        </w:rPr>
        <w:footnoteRef/>
      </w:r>
      <w:r>
        <w:t xml:space="preserve"> </w:t>
      </w:r>
      <w:r>
        <w:rPr>
          <w:rFonts w:hint="eastAsia"/>
        </w:rPr>
        <w:t>周知进,卜英勇</w:t>
      </w:r>
      <w:r>
        <w:rPr>
          <w:rFonts w:hint="eastAsia"/>
          <w:lang w:eastAsia="zh-CN"/>
        </w:rPr>
        <w:t>：</w:t>
      </w:r>
      <w:r>
        <w:rPr>
          <w:rFonts w:hint="eastAsia"/>
          <w:lang w:val="en-US" w:eastAsia="zh-CN"/>
        </w:rPr>
        <w:t>《</w:t>
      </w:r>
      <w:r>
        <w:rPr>
          <w:rFonts w:hint="eastAsia"/>
        </w:rPr>
        <w:t>海底富钴结壳物理特性的试验研究</w:t>
      </w:r>
      <w:r>
        <w:rPr>
          <w:rFonts w:hint="eastAsia"/>
          <w:lang w:eastAsia="zh-CN"/>
        </w:rPr>
        <w:t>》，</w:t>
      </w:r>
      <w:r>
        <w:rPr>
          <w:rFonts w:hint="eastAsia"/>
          <w:lang w:val="en-US" w:eastAsia="zh-CN"/>
        </w:rPr>
        <w:t>载《</w:t>
      </w:r>
      <w:r>
        <w:rPr>
          <w:rFonts w:hint="eastAsia"/>
        </w:rPr>
        <w:t>地球物理学进展</w:t>
      </w:r>
      <w:r>
        <w:rPr>
          <w:rFonts w:hint="eastAsia"/>
          <w:lang w:eastAsia="zh-CN"/>
        </w:rPr>
        <w:t>》</w:t>
      </w:r>
      <w:r>
        <w:rPr>
          <w:rFonts w:hint="eastAsia"/>
        </w:rPr>
        <w:t>2008</w:t>
      </w:r>
      <w:r>
        <w:rPr>
          <w:rFonts w:hint="eastAsia"/>
          <w:lang w:val="en-US" w:eastAsia="zh-CN"/>
        </w:rPr>
        <w:t>年第5期。</w:t>
      </w:r>
    </w:p>
  </w:footnote>
  <w:footnote w:id="37">
    <w:p w14:paraId="5B1F2644">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rPr>
        <w:t>ISBA/30/C/CRP.</w:t>
      </w:r>
      <w:r>
        <w:rPr>
          <w:rFonts w:hint="eastAsia" w:ascii="Times New Roman" w:hAnsi="Times New Roman" w:cs="Times New Roman"/>
          <w:lang w:val="en-US" w:eastAsia="zh-CN"/>
        </w:rPr>
        <w:t xml:space="preserve"> </w:t>
      </w:r>
      <w:r>
        <w:rPr>
          <w:rFonts w:hint="default" w:ascii="Times New Roman" w:hAnsi="Times New Roman" w:cs="Times New Roman"/>
        </w:rPr>
        <w:t>1</w:t>
      </w:r>
      <w:r>
        <w:rPr>
          <w:rFonts w:hint="default" w:ascii="Times New Roman" w:hAnsi="Times New Roman" w:cs="Times New Roman"/>
          <w:lang w:val="en-US" w:eastAsia="zh-CN"/>
        </w:rPr>
        <w:t>, Preamble.</w:t>
      </w:r>
    </w:p>
  </w:footnote>
  <w:footnote w:id="38">
    <w:p w14:paraId="38B70AAA">
      <w:pPr>
        <w:pStyle w:val="12"/>
        <w:snapToGrid w:val="0"/>
        <w:rPr>
          <w:rFonts w:hint="default" w:eastAsia="宋体"/>
          <w:lang w:val="en-US" w:eastAsia="zh-CN"/>
        </w:rPr>
      </w:pPr>
      <w:r>
        <w:rPr>
          <w:rStyle w:val="16"/>
        </w:rPr>
        <w:footnoteRef/>
      </w:r>
      <w:r>
        <w:t xml:space="preserve"> </w:t>
      </w:r>
      <w:r>
        <w:rPr>
          <w:rFonts w:hint="default" w:ascii="Times New Roman" w:hAnsi="Times New Roman" w:cs="Times New Roman"/>
          <w:lang w:val="en-US" w:eastAsia="zh-CN"/>
        </w:rPr>
        <w:t>ISBA/30/C/CRP. 1, regulation 45, 2 ( c ).</w:t>
      </w:r>
    </w:p>
  </w:footnote>
  <w:footnote w:id="39">
    <w:p w14:paraId="62EDC0EA">
      <w:pPr>
        <w:pStyle w:val="12"/>
        <w:snapToGrid w:val="0"/>
        <w:rPr>
          <w:rFonts w:hint="default" w:ascii="Times New Roman" w:hAnsi="Times New Roman" w:cs="Times New Roman"/>
          <w:lang w:val="en-US"/>
        </w:rPr>
      </w:pPr>
      <w:r>
        <w:rPr>
          <w:rStyle w:val="16"/>
        </w:rPr>
        <w:footnoteRef/>
      </w:r>
      <w:r>
        <w:t xml:space="preserve"> </w:t>
      </w:r>
      <w:r>
        <w:rPr>
          <w:rFonts w:hint="default" w:ascii="Times New Roman" w:hAnsi="Times New Roman" w:cs="Times New Roman"/>
          <w:lang w:val="en-US" w:eastAsia="zh-CN"/>
        </w:rPr>
        <w:t>ISBA/30/C/CRP. 1, regulation 44, 4.</w:t>
      </w:r>
    </w:p>
  </w:footnote>
  <w:footnote w:id="40">
    <w:p w14:paraId="58030D51">
      <w:pPr>
        <w:pStyle w:val="12"/>
        <w:snapToGrid w:val="0"/>
        <w:rPr>
          <w:rFonts w:hint="default" w:ascii="Times New Roman" w:hAnsi="Times New Roman" w:cs="Times New Roman"/>
        </w:rPr>
      </w:pPr>
      <w:r>
        <w:rPr>
          <w:rStyle w:val="16"/>
        </w:rPr>
        <w:footnoteRef/>
      </w:r>
      <w:r>
        <w:rPr>
          <w:rFonts w:hint="default" w:ascii="Times New Roman" w:hAnsi="Times New Roman" w:cs="Times New Roman"/>
        </w:rPr>
        <w:t xml:space="preserve"> </w:t>
      </w:r>
      <w:r>
        <w:rPr>
          <w:rFonts w:hint="default" w:ascii="Times New Roman" w:hAnsi="Times New Roman" w:cs="Times New Roman"/>
          <w:lang w:val="en-US" w:eastAsia="zh-CN"/>
        </w:rPr>
        <w:t>ISBA/30/C/4</w:t>
      </w:r>
    </w:p>
  </w:footnote>
  <w:footnote w:id="41">
    <w:p w14:paraId="007386EA">
      <w:pPr>
        <w:keepNext w:val="0"/>
        <w:keepLines w:val="0"/>
        <w:widowControl/>
        <w:suppressLineNumbers w:val="0"/>
        <w:jc w:val="left"/>
        <w:rPr>
          <w:rFonts w:hint="default"/>
          <w:lang w:val="en-US"/>
        </w:rPr>
      </w:pPr>
      <w:r>
        <w:rPr>
          <w:rStyle w:val="16"/>
          <w:sz w:val="18"/>
          <w:szCs w:val="18"/>
        </w:rPr>
        <w:footnoteRef/>
      </w:r>
      <w:r>
        <w:rPr>
          <w:rFonts w:hint="eastAsia" w:ascii="Times New Roman" w:hAnsi="Times New Roman" w:cs="Times New Roman"/>
          <w:color w:val="000000"/>
          <w:kern w:val="0"/>
          <w:sz w:val="18"/>
          <w:szCs w:val="18"/>
          <w:lang w:val="en-US" w:eastAsia="zh-CN" w:bidi="ar"/>
        </w:rPr>
        <w:t xml:space="preserve"> </w:t>
      </w:r>
      <w:r>
        <w:rPr>
          <w:rFonts w:hint="default" w:ascii="Times New Roman" w:hAnsi="Times New Roman" w:cs="Times New Roman"/>
          <w:b w:val="0"/>
          <w:bCs w:val="0"/>
          <w:sz w:val="18"/>
          <w:szCs w:val="18"/>
          <w:lang w:val="en-US" w:eastAsia="zh-CN"/>
        </w:rPr>
        <w:t>ISBA/30/C/CPR.1, Schedule, Use of terms and scope (</w:t>
      </w:r>
      <w:r>
        <w:rPr>
          <w:rFonts w:hint="default" w:ascii="Times New Roman" w:hAnsi="Times New Roman" w:eastAsia="TimesNewRomanPS-BoldMT" w:cs="Times New Roman"/>
          <w:b w:val="0"/>
          <w:bCs w:val="0"/>
          <w:color w:val="000000"/>
          <w:kern w:val="0"/>
          <w:sz w:val="18"/>
          <w:szCs w:val="18"/>
          <w:lang w:val="en-US" w:eastAsia="zh-CN" w:bidi="ar"/>
        </w:rPr>
        <w:t>“Material Change”</w:t>
      </w:r>
      <w:r>
        <w:rPr>
          <w:rFonts w:hint="default" w:ascii="Times New Roman" w:hAnsi="Times New Roman" w:cs="Times New Roman"/>
          <w:b w:val="0"/>
          <w:bCs w:val="0"/>
          <w:sz w:val="18"/>
          <w:szCs w:val="18"/>
          <w:lang w:val="en-US" w:eastAsia="zh-CN"/>
        </w:rPr>
        <w:t>)</w:t>
      </w:r>
      <w:r>
        <w:rPr>
          <w:rFonts w:hint="eastAsia" w:ascii="Times New Roman" w:hAnsi="Times New Roman" w:cs="Times New Roman"/>
          <w:b w:val="0"/>
          <w:bCs w:val="0"/>
          <w:sz w:val="18"/>
          <w:szCs w:val="18"/>
          <w:lang w:val="en-US" w:eastAsia="zh-CN"/>
        </w:rPr>
        <w:t>.</w:t>
      </w:r>
    </w:p>
  </w:footnote>
  <w:footnote w:id="42">
    <w:p w14:paraId="701E33AB">
      <w:pPr>
        <w:pStyle w:val="12"/>
        <w:snapToGrid w:val="0"/>
      </w:pPr>
      <w:r>
        <w:rPr>
          <w:rStyle w:val="16"/>
        </w:rPr>
        <w:footnoteRef/>
      </w:r>
      <w:r>
        <w:t xml:space="preserve"> </w:t>
      </w:r>
      <w:r>
        <w:rPr>
          <w:rFonts w:hint="default" w:ascii="Times New Roman" w:hAnsi="Times New Roman" w:cs="Times New Roman"/>
          <w:b w:val="0"/>
          <w:bCs w:val="0"/>
          <w:sz w:val="18"/>
          <w:szCs w:val="18"/>
          <w:lang w:val="en-US" w:eastAsia="zh-CN"/>
        </w:rPr>
        <w:t>ISBA/30/C/CPR.1, Schedule, Use of terms and scope (</w:t>
      </w:r>
      <w:r>
        <w:rPr>
          <w:rFonts w:hint="default" w:ascii="Times New Roman" w:hAnsi="Times New Roman" w:eastAsia="TimesNewRomanPS-BoldMT" w:cs="Times New Roman"/>
          <w:b w:val="0"/>
          <w:bCs w:val="0"/>
          <w:color w:val="000000"/>
          <w:kern w:val="0"/>
          <w:sz w:val="18"/>
          <w:szCs w:val="18"/>
          <w:lang w:val="en-US" w:eastAsia="zh-CN" w:bidi="ar"/>
        </w:rPr>
        <w:t>“</w:t>
      </w:r>
      <w:r>
        <w:rPr>
          <w:rFonts w:hint="eastAsia"/>
          <w:lang w:val="en-US" w:eastAsia="zh-CN"/>
        </w:rPr>
        <w:t>Serious Harm</w:t>
      </w:r>
      <w:r>
        <w:rPr>
          <w:rFonts w:hint="default" w:ascii="Times New Roman" w:hAnsi="Times New Roman" w:eastAsia="TimesNewRomanPS-BoldMT" w:cs="Times New Roman"/>
          <w:b w:val="0"/>
          <w:bCs w:val="0"/>
          <w:color w:val="000000"/>
          <w:kern w:val="0"/>
          <w:sz w:val="18"/>
          <w:szCs w:val="18"/>
          <w:lang w:val="en-US" w:eastAsia="zh-CN" w:bidi="ar"/>
        </w:rPr>
        <w:t>”</w:t>
      </w:r>
      <w:r>
        <w:rPr>
          <w:rFonts w:hint="default" w:ascii="Times New Roman" w:hAnsi="Times New Roman" w:cs="Times New Roman"/>
          <w:b w:val="0"/>
          <w:bCs w:val="0"/>
          <w:sz w:val="18"/>
          <w:szCs w:val="18"/>
          <w:lang w:val="en-US" w:eastAsia="zh-CN"/>
        </w:rPr>
        <w:t>)</w:t>
      </w:r>
      <w:r>
        <w:rPr>
          <w:rFonts w:hint="eastAsia" w:ascii="Times New Roman" w:hAnsi="Times New Roman" w:cs="Times New Roman"/>
          <w:b w:val="0"/>
          <w:bCs w:val="0"/>
          <w:sz w:val="18"/>
          <w:szCs w:val="18"/>
          <w:lang w:val="en-US" w:eastAsia="zh-CN"/>
        </w:rPr>
        <w:t>.</w:t>
      </w:r>
    </w:p>
  </w:footnote>
  <w:footnote w:id="43">
    <w:p w14:paraId="4FA83D3A">
      <w:pPr>
        <w:pStyle w:val="12"/>
        <w:snapToGrid w:val="0"/>
        <w:rPr>
          <w:rFonts w:hint="default" w:ascii="Times New Roman" w:hAnsi="Times New Roman" w:eastAsia="宋体" w:cs="Times New Roman"/>
          <w:lang w:val="en-US" w:eastAsia="zh-CN"/>
        </w:rPr>
      </w:pPr>
      <w:r>
        <w:rPr>
          <w:rStyle w:val="16"/>
        </w:rPr>
        <w:footnoteRef/>
      </w:r>
      <w:r>
        <w:t xml:space="preserve"> </w:t>
      </w:r>
      <w:r>
        <w:rPr>
          <w:rFonts w:hint="default" w:ascii="Times New Roman" w:hAnsi="Times New Roman" w:cs="Times New Roman"/>
          <w:lang w:val="en-US" w:eastAsia="zh-CN"/>
        </w:rPr>
        <w:t>ISBA/27/C/4.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F8B7E"/>
    <w:multiLevelType w:val="multilevel"/>
    <w:tmpl w:val="BFAF8B7E"/>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011FE5C9"/>
    <w:multiLevelType w:val="multilevel"/>
    <w:tmpl w:val="011FE5C9"/>
    <w:lvl w:ilvl="0" w:tentative="0">
      <w:start w:val="1"/>
      <w:numFmt w:val="chineseCounting"/>
      <w:suff w:val="nothing"/>
      <w:lvlText w:val="%1、"/>
      <w:lvlJc w:val="left"/>
      <w:pPr>
        <w:ind w:left="-544" w:firstLine="0"/>
      </w:pPr>
      <w:rPr>
        <w:rFonts w:hint="eastAsia"/>
      </w:rPr>
    </w:lvl>
    <w:lvl w:ilvl="1" w:tentative="0">
      <w:start w:val="1"/>
      <w:numFmt w:val="chineseCounting"/>
      <w:suff w:val="nothing"/>
      <w:lvlText w:val="（%2）"/>
      <w:lvlJc w:val="left"/>
      <w:pPr>
        <w:ind w:left="-180" w:firstLine="0"/>
      </w:pPr>
      <w:rPr>
        <w:rFonts w:hint="eastAsia"/>
      </w:rPr>
    </w:lvl>
    <w:lvl w:ilvl="2" w:tentative="0">
      <w:start w:val="1"/>
      <w:numFmt w:val="decimal"/>
      <w:suff w:val="nothing"/>
      <w:lvlText w:val="%3．"/>
      <w:lvlJc w:val="left"/>
      <w:pPr>
        <w:ind w:left="80" w:firstLine="400"/>
      </w:pPr>
      <w:rPr>
        <w:rFonts w:hint="eastAsia"/>
      </w:rPr>
    </w:lvl>
    <w:lvl w:ilvl="3" w:tentative="0">
      <w:start w:val="1"/>
      <w:numFmt w:val="decimal"/>
      <w:suff w:val="nothing"/>
      <w:lvlText w:val="（%4）"/>
      <w:lvlJc w:val="left"/>
      <w:pPr>
        <w:ind w:left="-542" w:firstLine="402"/>
      </w:pPr>
      <w:rPr>
        <w:rFonts w:hint="eastAsia"/>
      </w:rPr>
    </w:lvl>
    <w:lvl w:ilvl="4" w:tentative="0">
      <w:start w:val="1"/>
      <w:numFmt w:val="decimalEnclosedCircleChinese"/>
      <w:suff w:val="nothing"/>
      <w:lvlText w:val="%5"/>
      <w:lvlJc w:val="left"/>
      <w:pPr>
        <w:ind w:left="-542" w:firstLine="402"/>
      </w:pPr>
      <w:rPr>
        <w:rFonts w:hint="eastAsia"/>
      </w:rPr>
    </w:lvl>
    <w:lvl w:ilvl="5" w:tentative="0">
      <w:start w:val="1"/>
      <w:numFmt w:val="decimal"/>
      <w:suff w:val="nothing"/>
      <w:lvlText w:val="%6）"/>
      <w:lvlJc w:val="left"/>
      <w:pPr>
        <w:ind w:left="-542" w:firstLine="402"/>
      </w:pPr>
      <w:rPr>
        <w:rFonts w:hint="eastAsia"/>
      </w:rPr>
    </w:lvl>
    <w:lvl w:ilvl="6" w:tentative="0">
      <w:start w:val="1"/>
      <w:numFmt w:val="lowerLetter"/>
      <w:suff w:val="nothing"/>
      <w:lvlText w:val="%7．"/>
      <w:lvlJc w:val="left"/>
      <w:pPr>
        <w:ind w:left="-542" w:firstLine="402"/>
      </w:pPr>
      <w:rPr>
        <w:rFonts w:hint="eastAsia"/>
      </w:rPr>
    </w:lvl>
    <w:lvl w:ilvl="7" w:tentative="0">
      <w:start w:val="1"/>
      <w:numFmt w:val="lowerLetter"/>
      <w:suff w:val="nothing"/>
      <w:lvlText w:val="%8）"/>
      <w:lvlJc w:val="left"/>
      <w:pPr>
        <w:ind w:left="-542" w:firstLine="402"/>
      </w:pPr>
      <w:rPr>
        <w:rFonts w:hint="eastAsia"/>
      </w:rPr>
    </w:lvl>
    <w:lvl w:ilvl="8" w:tentative="0">
      <w:start w:val="1"/>
      <w:numFmt w:val="lowerRoman"/>
      <w:suff w:val="nothing"/>
      <w:lvlText w:val="%9 "/>
      <w:lvlJc w:val="left"/>
      <w:pPr>
        <w:ind w:left="-542" w:firstLine="402"/>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88"/>
    <w:footnote w:id="89"/>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E27A3"/>
    <w:rsid w:val="2FFFB6BC"/>
    <w:rsid w:val="716E27A3"/>
    <w:rsid w:val="9EDDC4BA"/>
    <w:rsid w:val="BBD53A9B"/>
    <w:rsid w:val="D9A5215A"/>
    <w:rsid w:val="DFB2E0E5"/>
    <w:rsid w:val="E27DC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2" w:firstLineChars="200"/>
      <w:jc w:val="both"/>
    </w:pPr>
    <w:rPr>
      <w:rFonts w:ascii="Calibri" w:hAnsi="Calibri" w:eastAsia="宋体" w:cs="Times New Roman"/>
      <w:kern w:val="2"/>
      <w:sz w:val="24"/>
      <w:szCs w:val="24"/>
      <w:lang w:val="en-US" w:eastAsia="zh-CN" w:bidi="ar-SA"/>
    </w:rPr>
  </w:style>
  <w:style w:type="paragraph" w:styleId="2">
    <w:name w:val="heading 1"/>
    <w:basedOn w:val="1"/>
    <w:qFormat/>
    <w:uiPriority w:val="0"/>
    <w:pPr>
      <w:keepNext/>
      <w:keepLines/>
      <w:numPr>
        <w:ilvl w:val="0"/>
        <w:numId w:val="1"/>
      </w:numPr>
      <w:spacing w:before="340" w:beforeLines="0" w:beforeAutospacing="0" w:after="330" w:afterLines="0" w:afterAutospacing="0" w:line="576" w:lineRule="auto"/>
      <w:ind w:firstLineChars="0"/>
      <w:outlineLvl w:val="0"/>
    </w:pPr>
    <w:rPr>
      <w:rFonts w:ascii="Calibri" w:hAnsi="Calibri" w:eastAsia="宋体" w:cs="Times New Roman"/>
      <w:kern w:val="44"/>
      <w:sz w:val="28"/>
    </w:rPr>
  </w:style>
  <w:style w:type="paragraph" w:styleId="3">
    <w:name w:val="heading 2"/>
    <w:basedOn w:val="1"/>
    <w:semiHidden/>
    <w:unhideWhenUsed/>
    <w:qFormat/>
    <w:uiPriority w:val="0"/>
    <w:pPr>
      <w:keepNext/>
      <w:keepLines/>
      <w:numPr>
        <w:ilvl w:val="1"/>
        <w:numId w:val="1"/>
      </w:numPr>
      <w:spacing w:before="260" w:beforeLines="0" w:beforeAutospacing="0" w:after="260" w:afterLines="0" w:afterAutospacing="0" w:line="413" w:lineRule="auto"/>
      <w:ind w:firstLineChars="0"/>
      <w:outlineLvl w:val="1"/>
    </w:pPr>
    <w:rPr>
      <w:rFonts w:ascii="Arial" w:hAnsi="Arial" w:eastAsia="Songti SC" w:cs="Times New Roman"/>
      <w:sz w:val="28"/>
    </w:rPr>
  </w:style>
  <w:style w:type="paragraph" w:styleId="4">
    <w:name w:val="heading 3"/>
    <w:basedOn w:val="1"/>
    <w:semiHidden/>
    <w:unhideWhenUsed/>
    <w:qFormat/>
    <w:uiPriority w:val="0"/>
    <w:pPr>
      <w:keepNext/>
      <w:keepLines/>
      <w:numPr>
        <w:ilvl w:val="2"/>
        <w:numId w:val="1"/>
      </w:numPr>
      <w:spacing w:before="260" w:beforeLines="0" w:beforeAutospacing="0" w:after="260" w:afterLines="0" w:afterAutospacing="0" w:line="413" w:lineRule="auto"/>
      <w:ind w:firstLine="400" w:firstLineChars="0"/>
      <w:outlineLvl w:val="2"/>
    </w:pPr>
    <w:rPr>
      <w:rFonts w:ascii="Calibri" w:hAnsi="Calibri" w:eastAsia="宋体" w:cs="Times New Roman"/>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footnote text"/>
    <w:basedOn w:val="1"/>
    <w:qFormat/>
    <w:uiPriority w:val="0"/>
    <w:pPr>
      <w:snapToGrid w:val="0"/>
      <w:jc w:val="left"/>
    </w:pPr>
    <w:rPr>
      <w:sz w:val="18"/>
    </w:rPr>
  </w:style>
  <w:style w:type="character" w:styleId="15">
    <w:name w:val="Strong"/>
    <w:basedOn w:val="14"/>
    <w:qFormat/>
    <w:uiPriority w:val="0"/>
    <w:rPr>
      <w:b/>
    </w:rPr>
  </w:style>
  <w:style w:type="character" w:styleId="16">
    <w:name w:val="footnote reference"/>
    <w:basedOn w:val="14"/>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28</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2025-06-01T11:40:00Z</dcterms:created>
  <dc:creator>今天发疯了吗</dc:creator>
  <cp:lastModifiedBy>keira</cp:lastModifiedBy>
  <dcterms:modified xsi:type="dcterms:W3CDTF">2025-08-25T15:54:39Z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555A23A16A145870C4EA3A6834023E21_41</vt:lpwstr>
  </property>
</Properties>
</file>