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F6FB4">
      <w:pPr>
        <w:spacing w:before="480" w:after="360"/>
        <w:jc w:val="center"/>
        <w:outlineLvl w:val="0"/>
        <w:rPr>
          <w:rFonts w:hint="default" w:ascii="黑体" w:hAnsi="黑体" w:eastAsia="黑体" w:cs="黑体"/>
          <w:color w:val="000000" w:themeColor="text1"/>
          <w:sz w:val="30"/>
          <w:szCs w:val="30"/>
          <w:lang w:val="en-US" w:eastAsia="zh-CN"/>
          <w14:textFill>
            <w14:solidFill>
              <w14:schemeClr w14:val="tx1"/>
            </w14:solidFill>
          </w14:textFill>
        </w:rPr>
      </w:pPr>
      <w:bookmarkStart w:id="0" w:name="_Toc1156151469"/>
      <w:r>
        <w:rPr>
          <w:rFonts w:hint="eastAsia" w:ascii="黑体" w:hAnsi="黑体" w:eastAsia="黑体" w:cs="黑体"/>
          <w:color w:val="000000" w:themeColor="text1"/>
          <w:sz w:val="30"/>
          <w:szCs w:val="30"/>
          <w14:textFill>
            <w14:solidFill>
              <w14:schemeClr w14:val="tx1"/>
            </w14:solidFill>
          </w14:textFill>
        </w:rPr>
        <w:t>跨境</w:t>
      </w:r>
      <w:r>
        <w:rPr>
          <w:rFonts w:ascii="黑体" w:hAnsi="黑体" w:eastAsia="黑体" w:cs="黑体"/>
          <w:color w:val="000000" w:themeColor="text1"/>
          <w:sz w:val="30"/>
          <w:szCs w:val="30"/>
          <w14:textFill>
            <w14:solidFill>
              <w14:schemeClr w14:val="tx1"/>
            </w14:solidFill>
          </w14:textFill>
        </w:rPr>
        <w:t>NFT</w:t>
      </w:r>
      <w:r>
        <w:rPr>
          <w:rFonts w:hint="eastAsia" w:ascii="黑体" w:hAnsi="黑体" w:eastAsia="黑体" w:cs="黑体"/>
          <w:color w:val="000000" w:themeColor="text1"/>
          <w:sz w:val="30"/>
          <w:szCs w:val="30"/>
          <w14:textFill>
            <w14:solidFill>
              <w14:schemeClr w14:val="tx1"/>
            </w14:solidFill>
          </w14:textFill>
        </w:rPr>
        <w:t>数字藏品权属纠纷的</w:t>
      </w:r>
      <w:bookmarkEnd w:id="0"/>
      <w:r>
        <w:rPr>
          <w:rFonts w:hint="eastAsia" w:ascii="黑体" w:hAnsi="黑体" w:eastAsia="黑体" w:cs="黑体"/>
          <w:color w:val="000000" w:themeColor="text1"/>
          <w:sz w:val="30"/>
          <w:szCs w:val="30"/>
          <w:lang w:val="en-US" w:eastAsia="zh-CN"/>
          <w14:textFill>
            <w14:solidFill>
              <w14:schemeClr w14:val="tx1"/>
            </w14:solidFill>
          </w14:textFill>
        </w:rPr>
        <w:t>法律适用</w:t>
      </w:r>
      <w:bookmarkStart w:id="5" w:name="_GoBack"/>
      <w:bookmarkEnd w:id="5"/>
    </w:p>
    <w:p w14:paraId="56CD15F8">
      <w:pPr>
        <w:snapToGrid w:val="0"/>
        <w:spacing w:line="360" w:lineRule="auto"/>
        <w:ind w:firstLine="420" w:firstLineChars="200"/>
        <w:jc w:val="left"/>
        <w:rPr>
          <w:rFonts w:ascii="楷体" w:hAnsi="楷体" w:eastAsia="楷体" w:cs="楷体"/>
          <w:szCs w:val="21"/>
        </w:rPr>
      </w:pPr>
      <w:r>
        <w:rPr>
          <w:rFonts w:hint="eastAsia" w:ascii="黑体" w:hAnsi="黑体" w:eastAsia="黑体" w:cs="黑体"/>
          <w:b/>
          <w:bCs/>
          <w:szCs w:val="21"/>
        </w:rPr>
        <w:t>摘要</w:t>
      </w:r>
      <w:r>
        <w:rPr>
          <w:rFonts w:hint="eastAsia" w:ascii="黑体" w:hAnsi="黑体" w:eastAsia="黑体" w:cs="黑体"/>
          <w:szCs w:val="21"/>
        </w:rPr>
        <w:t>：</w:t>
      </w:r>
      <w:r>
        <w:rPr>
          <w:rFonts w:hint="eastAsia" w:ascii="楷体" w:hAnsi="楷体" w:eastAsia="楷体" w:cs="楷体"/>
          <w:szCs w:val="21"/>
        </w:rPr>
        <w:t>随着区块链及智能合约技术的发展，数字藏品在全球范围内的跨境流转日益频繁，传统冲突法体系在调适数字藏品物权纠纷方面面临理论与实践上的挑战。数字藏品的法律属性尚存在争议，但从其本质特征来看，应将数字藏品纳入广义的“物”的范畴，属于其中的无体动产。为了更好的保护正当所有人的权益，跨境数字藏品权属纠纷</w:t>
      </w:r>
      <w:r>
        <w:rPr>
          <w:rFonts w:hint="eastAsia" w:ascii="楷体" w:hAnsi="楷体" w:eastAsia="楷体" w:cs="楷体"/>
          <w:szCs w:val="21"/>
          <w:lang w:val="en-US" w:eastAsia="zh-CN"/>
        </w:rPr>
        <w:t>首先应</w:t>
      </w:r>
      <w:r>
        <w:rPr>
          <w:rFonts w:hint="eastAsia" w:ascii="楷体" w:hAnsi="楷体" w:eastAsia="楷体" w:cs="楷体"/>
          <w:szCs w:val="21"/>
        </w:rPr>
        <w:t>适用当事人意思自治所选择的法律</w:t>
      </w:r>
      <w:r>
        <w:rPr>
          <w:rFonts w:hint="eastAsia" w:ascii="楷体" w:hAnsi="楷体" w:eastAsia="楷体" w:cs="楷体"/>
          <w:szCs w:val="21"/>
          <w:lang w:eastAsia="zh-CN"/>
        </w:rPr>
        <w:t>。</w:t>
      </w:r>
      <w:r>
        <w:rPr>
          <w:rFonts w:hint="eastAsia" w:ascii="楷体" w:hAnsi="楷体" w:eastAsia="楷体" w:cs="楷体"/>
          <w:szCs w:val="21"/>
        </w:rPr>
        <w:t>为了防止意思自治的无限扩张，应当以“改良合意选择地”的方式加以限制。而在当事人意志缺失之时，应当以“平台所在地”或“发行地”作为数字藏品的“物之所在地”，以行为控制与链上支配的实际联系为基础，确定</w:t>
      </w:r>
      <w:r>
        <w:rPr>
          <w:rFonts w:hint="eastAsia" w:ascii="楷体" w:hAnsi="楷体" w:eastAsia="楷体" w:cs="楷体"/>
          <w:szCs w:val="21"/>
          <w:lang w:val="en-US" w:eastAsia="zh-CN"/>
        </w:rPr>
        <w:t>其法律适用规则</w:t>
      </w:r>
      <w:r>
        <w:rPr>
          <w:rFonts w:hint="eastAsia" w:ascii="楷体" w:hAnsi="楷体" w:eastAsia="楷体" w:cs="楷体"/>
          <w:szCs w:val="21"/>
        </w:rPr>
        <w:t>，从而为数字藏品跨境流转提供更加明确、稳定的法律规则支撑。</w:t>
      </w:r>
    </w:p>
    <w:p w14:paraId="14D0B32C">
      <w:pPr>
        <w:snapToGrid w:val="0"/>
        <w:spacing w:line="360" w:lineRule="auto"/>
        <w:ind w:firstLine="420" w:firstLineChars="200"/>
        <w:jc w:val="left"/>
        <w:outlineLvl w:val="0"/>
        <w:rPr>
          <w:rFonts w:ascii="楷体" w:hAnsi="楷体" w:eastAsia="楷体" w:cs="楷体"/>
          <w:szCs w:val="21"/>
        </w:rPr>
      </w:pPr>
      <w:bookmarkStart w:id="1" w:name="_Toc1005701427"/>
      <w:r>
        <w:rPr>
          <w:rFonts w:hint="eastAsia" w:ascii="黑体" w:hAnsi="黑体" w:eastAsia="黑体" w:cs="黑体"/>
          <w:b/>
          <w:bCs/>
          <w:szCs w:val="21"/>
        </w:rPr>
        <w:t>关键词</w:t>
      </w:r>
      <w:r>
        <w:rPr>
          <w:rFonts w:hint="eastAsia" w:ascii="楷体" w:hAnsi="楷体" w:eastAsia="楷体" w:cs="楷体"/>
          <w:szCs w:val="21"/>
        </w:rPr>
        <w:t>：数字藏品 权属纠纷 平台所在地法 发行地法</w:t>
      </w:r>
      <w:bookmarkEnd w:id="1"/>
    </w:p>
    <w:p w14:paraId="25765DED">
      <w:pPr>
        <w:snapToGrid w:val="0"/>
        <w:spacing w:line="360" w:lineRule="auto"/>
        <w:ind w:firstLine="420" w:firstLineChars="200"/>
        <w:jc w:val="left"/>
        <w:outlineLvl w:val="0"/>
        <w:rPr>
          <w:rFonts w:ascii="楷体" w:hAnsi="楷体" w:eastAsia="楷体" w:cs="楷体"/>
          <w:szCs w:val="21"/>
        </w:rPr>
      </w:pPr>
    </w:p>
    <w:p w14:paraId="4723D70A">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sz w:val="24"/>
        </w:rPr>
      </w:pPr>
      <w:r>
        <w:rPr>
          <w:rFonts w:hint="eastAsia"/>
          <w:sz w:val="24"/>
        </w:rPr>
        <w:t>数字藏品是以非同质化代币（Non-Fungible Token，以下简称NFT）形式唯一标识化并链上存储的具有独特价值的特定数字物品。智能合约</w:t>
      </w:r>
      <w:r>
        <w:rPr>
          <w:rFonts w:hint="eastAsia"/>
          <w:sz w:val="24"/>
          <w:lang w:val="en-US" w:eastAsia="zh-CN"/>
        </w:rPr>
        <w:t>是</w:t>
      </w:r>
      <w:r>
        <w:rPr>
          <w:rFonts w:hint="eastAsia"/>
          <w:sz w:val="24"/>
        </w:rPr>
        <w:t>数字藏品转让的重要技术工具，使其过程</w:t>
      </w:r>
      <w:r>
        <w:rPr>
          <w:rFonts w:hint="eastAsia"/>
          <w:sz w:val="24"/>
          <w:lang w:val="en-US" w:eastAsia="zh-CN"/>
        </w:rPr>
        <w:t>既</w:t>
      </w:r>
      <w:r>
        <w:rPr>
          <w:rFonts w:hint="eastAsia"/>
          <w:sz w:val="24"/>
        </w:rPr>
        <w:t>高效</w:t>
      </w:r>
      <w:r>
        <w:rPr>
          <w:rFonts w:hint="eastAsia"/>
          <w:sz w:val="24"/>
          <w:lang w:val="en-US" w:eastAsia="zh-CN"/>
        </w:rPr>
        <w:t>透明，也</w:t>
      </w:r>
      <w:r>
        <w:rPr>
          <w:rFonts w:hint="eastAsia"/>
          <w:sz w:val="24"/>
        </w:rPr>
        <w:t>无需中央机构的监管。</w:t>
      </w:r>
      <w:r>
        <w:rPr>
          <w:rStyle w:val="11"/>
          <w:rFonts w:hint="eastAsia"/>
          <w:sz w:val="24"/>
        </w:rPr>
        <w:footnoteReference w:id="0"/>
      </w:r>
      <w:r>
        <w:rPr>
          <w:rFonts w:hint="eastAsia"/>
          <w:sz w:val="24"/>
        </w:rPr>
        <w:t>由于区块链智能合约本身具备“去国家化”的特性，数字藏品的交易行为通常突破国界，跨境</w:t>
      </w:r>
      <w:r>
        <w:rPr>
          <w:rFonts w:hint="eastAsia"/>
          <w:sz w:val="24"/>
          <w:lang w:val="en-US" w:eastAsia="zh-CN"/>
        </w:rPr>
        <w:t>流通</w:t>
      </w:r>
      <w:r>
        <w:rPr>
          <w:rFonts w:hint="eastAsia"/>
          <w:sz w:val="24"/>
        </w:rPr>
        <w:t>日益频繁。然而，各国在数字资产</w:t>
      </w:r>
      <w:r>
        <w:rPr>
          <w:rFonts w:hint="eastAsia"/>
          <w:sz w:val="24"/>
          <w:lang w:val="en-US" w:eastAsia="zh-CN"/>
        </w:rPr>
        <w:t>及其交易</w:t>
      </w:r>
      <w:r>
        <w:rPr>
          <w:rFonts w:hint="eastAsia"/>
          <w:sz w:val="24"/>
        </w:rPr>
        <w:t>的法律地位</w:t>
      </w:r>
      <w:r>
        <w:rPr>
          <w:rFonts w:hint="eastAsia"/>
          <w:sz w:val="24"/>
          <w:lang w:val="en-US" w:eastAsia="zh-CN"/>
        </w:rPr>
        <w:t>的认定</w:t>
      </w:r>
      <w:r>
        <w:rPr>
          <w:rFonts w:hint="eastAsia"/>
          <w:sz w:val="24"/>
        </w:rPr>
        <w:t>等方面存在较大差异，导致跨境交易中数字藏品</w:t>
      </w:r>
      <w:r>
        <w:rPr>
          <w:rFonts w:hint="eastAsia"/>
          <w:sz w:val="24"/>
          <w:lang w:val="en-US" w:eastAsia="zh-CN"/>
        </w:rPr>
        <w:t>权利归属所引起的</w:t>
      </w:r>
      <w:r>
        <w:rPr>
          <w:rFonts w:hint="eastAsia"/>
          <w:sz w:val="24"/>
        </w:rPr>
        <w:t>法律问题日益复杂。</w:t>
      </w:r>
    </w:p>
    <w:p w14:paraId="57E07F0A">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sz w:val="24"/>
        </w:rPr>
      </w:pPr>
      <w:r>
        <w:rPr>
          <w:rFonts w:hint="eastAsia"/>
          <w:sz w:val="24"/>
          <w:szCs w:val="24"/>
          <w:lang w:val="en-US" w:eastAsia="zh-CN"/>
        </w:rPr>
        <w:t>目前国内外的研究集中于对数字藏品的性质的讨论，</w:t>
      </w:r>
      <w:r>
        <w:rPr>
          <w:rStyle w:val="11"/>
          <w:rFonts w:hint="eastAsia"/>
          <w:sz w:val="24"/>
          <w:szCs w:val="24"/>
          <w:lang w:val="en-US" w:eastAsia="zh-CN"/>
        </w:rPr>
        <w:footnoteReference w:id="1"/>
      </w:r>
      <w:r>
        <w:rPr>
          <w:rFonts w:hint="eastAsia"/>
          <w:sz w:val="24"/>
          <w:szCs w:val="24"/>
          <w:lang w:val="en-US" w:eastAsia="zh-CN"/>
        </w:rPr>
        <w:t>以及特定国家的实体法如何调整涉及到区块链的法律关系上，</w:t>
      </w:r>
      <w:r>
        <w:rPr>
          <w:rStyle w:val="11"/>
          <w:rFonts w:hint="eastAsia"/>
          <w:sz w:val="24"/>
          <w:szCs w:val="24"/>
          <w:lang w:val="en-US" w:eastAsia="zh-CN"/>
        </w:rPr>
        <w:footnoteReference w:id="2"/>
      </w:r>
      <w:r>
        <w:rPr>
          <w:rFonts w:hint="eastAsia"/>
          <w:sz w:val="24"/>
          <w:szCs w:val="24"/>
          <w:lang w:val="en-US" w:eastAsia="zh-CN"/>
        </w:rPr>
        <w:t>对于跨境情形下数字藏品的流通应当如何适用法律缺乏深入的探讨。因此，本文拟从法律适用的前提即数字藏品的定性出发，在确定数字藏品的法律性质的基础上，讨论跨境数字藏品的纠纷中适用既有《涉外民事关系法律适用法》的规范如何确定应当适用的准据法，以及传统法律规则适用于新型交易的特殊限制。通过构建完整的法律适用路径，</w:t>
      </w:r>
      <w:r>
        <w:rPr>
          <w:rFonts w:hint="eastAsia"/>
          <w:sz w:val="24"/>
        </w:rPr>
        <w:t>为</w:t>
      </w:r>
      <w:r>
        <w:rPr>
          <w:rFonts w:hint="eastAsia"/>
          <w:sz w:val="24"/>
          <w:lang w:val="en-US" w:eastAsia="zh-CN"/>
        </w:rPr>
        <w:t>跨境交易中</w:t>
      </w:r>
      <w:r>
        <w:rPr>
          <w:rFonts w:hint="eastAsia"/>
          <w:sz w:val="24"/>
        </w:rPr>
        <w:t>数字藏品的正当权利人提供充分保障。</w:t>
      </w:r>
    </w:p>
    <w:p w14:paraId="60FBD27D">
      <w:pPr>
        <w:pStyle w:val="2"/>
        <w:numPr>
          <w:ilvl w:val="0"/>
          <w:numId w:val="1"/>
        </w:numPr>
        <w:ind w:firstLine="480"/>
      </w:pPr>
      <w:bookmarkStart w:id="2" w:name="_Toc2127581699"/>
      <w:r>
        <w:rPr>
          <w:rFonts w:hint="eastAsia"/>
          <w:lang w:val="en-US" w:eastAsia="zh-CN"/>
        </w:rPr>
        <w:t>适用前提：</w:t>
      </w:r>
      <w:r>
        <w:rPr>
          <w:rFonts w:hint="eastAsia"/>
        </w:rPr>
        <w:t>数字藏品</w:t>
      </w:r>
      <w:bookmarkEnd w:id="2"/>
      <w:r>
        <w:rPr>
          <w:rFonts w:hint="eastAsia"/>
        </w:rPr>
        <w:t>的</w:t>
      </w:r>
      <w:r>
        <w:rPr>
          <w:rFonts w:hint="eastAsia"/>
          <w:lang w:val="en-US" w:eastAsia="zh-CN"/>
        </w:rPr>
        <w:t>法律性质认定</w:t>
      </w:r>
    </w:p>
    <w:p w14:paraId="3E9ADE7C">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lang w:val="en-US"/>
        </w:rPr>
      </w:pPr>
      <w:r>
        <w:rPr>
          <w:rFonts w:hint="eastAsia"/>
          <w:lang w:val="en-US" w:eastAsia="zh-CN"/>
        </w:rPr>
        <w:t xml:space="preserve">  </w:t>
      </w:r>
      <w:r>
        <w:rPr>
          <w:rFonts w:hint="eastAsia"/>
          <w:sz w:val="24"/>
          <w:szCs w:val="24"/>
          <w:lang w:val="en-US" w:eastAsia="zh-CN"/>
        </w:rPr>
        <w:t xml:space="preserve">  识别是法院正确适用有关管辖权规则和冲突规则的前提条件，是每一个国际私法案件应当首先解决的问题。</w:t>
      </w:r>
      <w:r>
        <w:rPr>
          <w:rStyle w:val="11"/>
          <w:rFonts w:hint="eastAsia"/>
          <w:sz w:val="24"/>
          <w:szCs w:val="24"/>
          <w:lang w:val="en-US" w:eastAsia="zh-CN"/>
        </w:rPr>
        <w:footnoteReference w:id="3"/>
      </w:r>
      <w:r>
        <w:rPr>
          <w:rFonts w:hint="eastAsia"/>
          <w:sz w:val="24"/>
          <w:szCs w:val="24"/>
          <w:lang w:val="en-US" w:eastAsia="zh-CN"/>
        </w:rPr>
        <w:t>依照当代各国国际私法立法与实践，识别一般适用法院地法。</w:t>
      </w:r>
      <w:r>
        <w:rPr>
          <w:rStyle w:val="11"/>
          <w:rFonts w:hint="eastAsia"/>
          <w:sz w:val="24"/>
          <w:szCs w:val="24"/>
          <w:lang w:val="en-US" w:eastAsia="zh-CN"/>
        </w:rPr>
        <w:footnoteReference w:id="4"/>
      </w:r>
      <w:r>
        <w:rPr>
          <w:rFonts w:hint="eastAsia"/>
          <w:sz w:val="24"/>
          <w:szCs w:val="24"/>
          <w:lang w:val="en-US" w:eastAsia="zh-CN"/>
        </w:rPr>
        <w:t>在处理跨境数字藏品权属纠纷的法律适用时，识别首先应当对确定争议所属的法律关系的性质，即该争议应当归类为物权纠纷、债权纠纷，抑或是知识产权纠纷？</w:t>
      </w:r>
    </w:p>
    <w:p w14:paraId="37C6F0EF">
      <w:pPr>
        <w:pStyle w:val="3"/>
        <w:ind w:firstLine="480"/>
      </w:pPr>
      <w:r>
        <w:rPr>
          <w:rFonts w:hint="eastAsia"/>
        </w:rPr>
        <w:t>（一）数字藏品的法律性质争议</w:t>
      </w:r>
    </w:p>
    <w:p w14:paraId="7044F06E">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sz w:val="24"/>
          <w:lang w:val="en-US" w:eastAsia="zh-CN"/>
        </w:rPr>
      </w:pPr>
      <w:r>
        <w:rPr>
          <w:rFonts w:hint="eastAsia"/>
          <w:sz w:val="24"/>
        </w:rPr>
        <w:t>目前</w:t>
      </w:r>
      <w:r>
        <w:rPr>
          <w:rFonts w:hint="eastAsia"/>
          <w:sz w:val="24"/>
          <w:lang w:val="en-US" w:eastAsia="zh-CN"/>
        </w:rPr>
        <w:t>各国</w:t>
      </w:r>
      <w:r>
        <w:rPr>
          <w:rFonts w:hint="eastAsia"/>
          <w:sz w:val="24"/>
        </w:rPr>
        <w:t>学者对于数字藏品的法律性质的认识不一，代表性的分为三类观点，分别是“债权说”、“物权说”和“新型财产权说”。这</w:t>
      </w:r>
      <w:r>
        <w:rPr>
          <w:rFonts w:hint="eastAsia"/>
          <w:sz w:val="24"/>
          <w:lang w:val="en-US" w:eastAsia="zh-CN"/>
        </w:rPr>
        <w:t>三种观点的法律依据完全不同，产生的权利效果也具有相当大的差异。</w:t>
      </w:r>
    </w:p>
    <w:p w14:paraId="6D75B451">
      <w:pPr>
        <w:snapToGrid w:val="0"/>
        <w:spacing w:line="360" w:lineRule="auto"/>
        <w:ind w:firstLine="480" w:firstLineChars="200"/>
        <w:rPr>
          <w:sz w:val="24"/>
        </w:rPr>
      </w:pPr>
      <w:r>
        <w:rPr>
          <w:rFonts w:hint="eastAsia"/>
          <w:sz w:val="24"/>
        </w:rPr>
        <w:t>“债权说”认为数字藏品是一种用户对网络运营商的债权，数字藏品的“铸造”和“转让”实际上是平台计算机程序初始登记和变更“谁拥有某一哈希值对应的数字作品”的信息并赋予其通证ID的过程，</w:t>
      </w:r>
      <w:r>
        <w:rPr>
          <w:rStyle w:val="11"/>
          <w:rFonts w:hint="eastAsia"/>
          <w:sz w:val="24"/>
        </w:rPr>
        <w:footnoteReference w:id="5"/>
      </w:r>
      <w:r>
        <w:rPr>
          <w:rFonts w:hint="eastAsia"/>
          <w:sz w:val="24"/>
        </w:rPr>
        <w:t>二者本质上是一种网络技术服务合同关系，由平台提供不断供电的持续性给付行为，一旦区块链平台消失，数字藏品也会随之消失。</w:t>
      </w:r>
    </w:p>
    <w:p w14:paraId="579387B4">
      <w:pPr>
        <w:snapToGrid w:val="0"/>
        <w:spacing w:line="360" w:lineRule="auto"/>
        <w:ind w:firstLine="480" w:firstLineChars="200"/>
        <w:rPr>
          <w:sz w:val="24"/>
        </w:rPr>
      </w:pPr>
      <w:r>
        <w:rPr>
          <w:rFonts w:hint="eastAsia"/>
          <w:sz w:val="24"/>
        </w:rPr>
        <w:t>“物权说”认为数字藏品是网络虚拟财产中的一种，具有可转移性、管理可能性和一定的经济价值。</w:t>
      </w:r>
      <w:r>
        <w:rPr>
          <w:rStyle w:val="11"/>
          <w:rFonts w:hint="eastAsia"/>
          <w:sz w:val="24"/>
        </w:rPr>
        <w:footnoteReference w:id="6"/>
      </w:r>
      <w:r>
        <w:rPr>
          <w:rFonts w:hint="eastAsia"/>
          <w:sz w:val="24"/>
        </w:rPr>
        <w:t>数字藏品能够与其他物相分离而独立存在，满足物权客体“特定性”的要求，并且可以与物理载体相分离独立进行流转。</w:t>
      </w:r>
      <w:r>
        <w:rPr>
          <w:rStyle w:val="11"/>
          <w:rFonts w:hint="eastAsia"/>
          <w:sz w:val="24"/>
        </w:rPr>
        <w:footnoteReference w:id="7"/>
      </w:r>
      <w:r>
        <w:rPr>
          <w:rFonts w:hint="eastAsia"/>
          <w:sz w:val="24"/>
        </w:rPr>
        <w:t>与此同时，数字藏品依赖私钥进行交易的性质不仅能够满足物权的公示要求，而且使得所有人能够实现对特定藏品的支配。</w:t>
      </w:r>
    </w:p>
    <w:p w14:paraId="51C9DD08">
      <w:pPr>
        <w:snapToGrid w:val="0"/>
        <w:spacing w:line="360" w:lineRule="auto"/>
        <w:ind w:firstLine="480" w:firstLineChars="200"/>
        <w:rPr>
          <w:sz w:val="24"/>
        </w:rPr>
      </w:pPr>
      <w:r>
        <w:rPr>
          <w:rFonts w:hint="eastAsia"/>
          <w:sz w:val="24"/>
        </w:rPr>
        <w:t>“新型财产权说”认为数字藏品属于物和知识产权之间的新客体</w:t>
      </w:r>
      <w:r>
        <w:rPr>
          <w:rFonts w:hint="eastAsia"/>
          <w:sz w:val="24"/>
          <w:lang w:eastAsia="zh-CN"/>
        </w:rPr>
        <w:t>。</w:t>
      </w:r>
      <w:r>
        <w:rPr>
          <w:rFonts w:hint="eastAsia"/>
          <w:sz w:val="24"/>
        </w:rPr>
        <w:t>数字藏品是由0-1数字方式表达和构建的，能够满足人的文化和精神需要的可支配数字物品，具有“数字无体性”、“文化价值性”和“可支配性”的特点。这使得数字藏品不同于现在民法中规定的任何一种物品，应当被识别为一种以数字形态存在的信息商品。</w:t>
      </w:r>
      <w:r>
        <w:rPr>
          <w:rStyle w:val="11"/>
          <w:rFonts w:hint="eastAsia"/>
          <w:sz w:val="24"/>
        </w:rPr>
        <w:footnoteReference w:id="8"/>
      </w:r>
      <w:r>
        <w:rPr>
          <w:rFonts w:hint="eastAsia"/>
          <w:sz w:val="24"/>
        </w:rPr>
        <w:t>而在该类商品的交易会有独特的交付规则，当事人所负担的义务也不同于一般的有形商品买卖。</w:t>
      </w:r>
    </w:p>
    <w:p w14:paraId="4831512D">
      <w:pPr>
        <w:pStyle w:val="3"/>
        <w:ind w:firstLine="480"/>
      </w:pPr>
      <w:r>
        <w:rPr>
          <w:rFonts w:hint="eastAsia"/>
        </w:rPr>
        <w:t>（二）数字藏品应当适用“物权说”</w:t>
      </w:r>
    </w:p>
    <w:p w14:paraId="2703F9F3">
      <w:pPr>
        <w:snapToGrid w:val="0"/>
        <w:spacing w:line="360" w:lineRule="auto"/>
        <w:ind w:firstLine="480" w:firstLineChars="200"/>
        <w:rPr>
          <w:sz w:val="24"/>
        </w:rPr>
      </w:pPr>
      <w:r>
        <w:rPr>
          <w:rFonts w:hint="eastAsia"/>
          <w:sz w:val="24"/>
        </w:rPr>
        <w:t>1. “债权说”和“新型权利说”的逻辑缺陷</w:t>
      </w:r>
    </w:p>
    <w:p w14:paraId="187080B8">
      <w:pPr>
        <w:snapToGrid w:val="0"/>
        <w:spacing w:line="360" w:lineRule="auto"/>
        <w:ind w:firstLine="480" w:firstLineChars="200"/>
        <w:rPr>
          <w:rFonts w:hint="eastAsia"/>
          <w:sz w:val="24"/>
        </w:rPr>
      </w:pPr>
      <w:r>
        <w:rPr>
          <w:rFonts w:hint="eastAsia"/>
          <w:sz w:val="24"/>
        </w:rPr>
        <w:t>“物权说”与“债权说”之争源于数字虚拟财产权的有限支配性。</w:t>
      </w:r>
      <w:r>
        <w:rPr>
          <w:rStyle w:val="11"/>
          <w:rFonts w:hint="eastAsia"/>
          <w:sz w:val="24"/>
        </w:rPr>
        <w:footnoteReference w:id="9"/>
      </w:r>
      <w:r>
        <w:rPr>
          <w:rFonts w:hint="eastAsia"/>
          <w:sz w:val="24"/>
        </w:rPr>
        <w:t>赞成“债权说”的学者主要基于两种考虑，第一，数字藏品的铸造和流通的全流程依托区块链平台进行，这种在特定时间段提供</w:t>
      </w:r>
      <w:r>
        <w:rPr>
          <w:rFonts w:hint="eastAsia"/>
          <w:sz w:val="24"/>
          <w:lang w:val="en-US" w:eastAsia="zh-CN"/>
        </w:rPr>
        <w:t>的</w:t>
      </w:r>
      <w:r>
        <w:rPr>
          <w:rFonts w:hint="eastAsia"/>
          <w:sz w:val="24"/>
        </w:rPr>
        <w:t>服务是不稳定且不持续的，不符合民法上“物”的规定。</w:t>
      </w:r>
      <w:r>
        <w:rPr>
          <w:rStyle w:val="11"/>
          <w:rFonts w:hint="eastAsia"/>
          <w:sz w:val="24"/>
        </w:rPr>
        <w:footnoteReference w:id="10"/>
      </w:r>
      <w:r>
        <w:rPr>
          <w:rFonts w:hint="eastAsia"/>
          <w:sz w:val="24"/>
        </w:rPr>
        <w:t>第二，平台条款会对数字藏品的权利人进行严格限制，权利人的行为方式必须符合平台内部的规定，因此数字藏品“不是一种财产形式，而是合同的产物”</w:t>
      </w:r>
      <w:r>
        <w:rPr>
          <w:rStyle w:val="11"/>
          <w:rFonts w:hint="eastAsia"/>
          <w:sz w:val="24"/>
        </w:rPr>
        <w:footnoteReference w:id="11"/>
      </w:r>
      <w:r>
        <w:rPr>
          <w:rFonts w:hint="eastAsia"/>
          <w:sz w:val="24"/>
        </w:rPr>
        <w:t>。</w:t>
      </w:r>
    </w:p>
    <w:p w14:paraId="06C1FFA8">
      <w:pPr>
        <w:snapToGrid w:val="0"/>
        <w:spacing w:line="360" w:lineRule="auto"/>
        <w:ind w:firstLine="480" w:firstLineChars="200"/>
        <w:rPr>
          <w:rFonts w:hint="eastAsia"/>
          <w:sz w:val="24"/>
          <w:highlight w:val="none"/>
          <w:lang w:val="en-US" w:eastAsia="zh-CN"/>
        </w:rPr>
      </w:pPr>
      <w:r>
        <w:rPr>
          <w:rFonts w:hint="eastAsia"/>
          <w:sz w:val="24"/>
          <w:lang w:val="en-US" w:eastAsia="zh-CN"/>
        </w:rPr>
        <w:t>从权利本身来看，</w:t>
      </w:r>
      <w:r>
        <w:rPr>
          <w:rFonts w:hint="eastAsia"/>
          <w:sz w:val="24"/>
        </w:rPr>
        <w:t>数字藏品依托于区块链平台的特征并不影响其物权性质。</w:t>
      </w:r>
      <w:r>
        <w:rPr>
          <w:rFonts w:hint="eastAsia"/>
          <w:sz w:val="24"/>
          <w:lang w:val="en-US" w:eastAsia="zh-CN"/>
        </w:rPr>
        <w:t>首先，标的物的物理属性和法律属性是两个不同概念，例如，</w:t>
      </w:r>
      <w:r>
        <w:rPr>
          <w:rFonts w:hint="eastAsia"/>
          <w:sz w:val="24"/>
        </w:rPr>
        <w:t>企业商业秘密</w:t>
      </w:r>
      <w:r>
        <w:rPr>
          <w:rFonts w:hint="eastAsia"/>
          <w:sz w:val="24"/>
          <w:lang w:val="en-US" w:eastAsia="zh-CN"/>
        </w:rPr>
        <w:t>的</w:t>
      </w:r>
      <w:r>
        <w:rPr>
          <w:rFonts w:hint="eastAsia"/>
          <w:sz w:val="24"/>
        </w:rPr>
        <w:t>物理属性是数据，但法律属性是知识产权，非法获取这组数据可能构成侵犯知识产权罪中的侵犯商业秘密罪。</w:t>
      </w:r>
      <w:r>
        <w:rPr>
          <w:rStyle w:val="11"/>
          <w:rFonts w:hint="eastAsia"/>
          <w:sz w:val="24"/>
        </w:rPr>
        <w:footnoteReference w:id="12"/>
      </w:r>
      <w:r>
        <w:rPr>
          <w:rFonts w:hint="eastAsia"/>
          <w:sz w:val="24"/>
        </w:rPr>
        <w:t>数字藏品对区块链的依赖只能从技术上说明其生产和流通的特性，</w:t>
      </w:r>
      <w:r>
        <w:rPr>
          <w:rFonts w:hint="eastAsia"/>
          <w:sz w:val="24"/>
          <w:lang w:val="en-US" w:eastAsia="zh-CN"/>
        </w:rPr>
        <w:t>这是数字藏品的物理属性，</w:t>
      </w:r>
      <w:r>
        <w:rPr>
          <w:rFonts w:hint="eastAsia"/>
          <w:sz w:val="24"/>
        </w:rPr>
        <w:t>并</w:t>
      </w:r>
      <w:r>
        <w:rPr>
          <w:rFonts w:hint="eastAsia"/>
          <w:sz w:val="24"/>
          <w:lang w:val="en-US" w:eastAsia="zh-CN"/>
        </w:rPr>
        <w:t>不是法律属性，</w:t>
      </w:r>
      <w:r>
        <w:rPr>
          <w:rFonts w:hint="eastAsia"/>
          <w:sz w:val="24"/>
        </w:rPr>
        <w:t>不能证明数字财产本身</w:t>
      </w:r>
      <w:r>
        <w:rPr>
          <w:rFonts w:hint="eastAsia"/>
          <w:sz w:val="24"/>
          <w:lang w:val="en-US" w:eastAsia="zh-CN"/>
        </w:rPr>
        <w:t>属于债权标的，反而</w:t>
      </w:r>
      <w:r>
        <w:rPr>
          <w:rFonts w:hint="eastAsia"/>
          <w:sz w:val="24"/>
        </w:rPr>
        <w:t>单纯强调“bit”衍生的各种电子符号忽视了实践层面上作为财产必须具有的流通性和产权市场化特性</w:t>
      </w:r>
      <w:r>
        <w:rPr>
          <w:rFonts w:hint="eastAsia"/>
          <w:sz w:val="24"/>
          <w:lang w:eastAsia="zh-CN"/>
        </w:rPr>
        <w:t>。</w:t>
      </w:r>
      <w:r>
        <w:rPr>
          <w:rStyle w:val="11"/>
          <w:rFonts w:hint="eastAsia"/>
          <w:sz w:val="24"/>
        </w:rPr>
        <w:footnoteReference w:id="13"/>
      </w:r>
      <w:r>
        <w:rPr>
          <w:rFonts w:hint="eastAsia"/>
          <w:sz w:val="24"/>
          <w:lang w:val="en-US" w:eastAsia="zh-CN"/>
        </w:rPr>
        <w:t>其次，债权本质上是特定人对于特定人得请求为特定给付的权利，</w:t>
      </w:r>
      <w:r>
        <w:rPr>
          <w:rStyle w:val="11"/>
          <w:rFonts w:hint="eastAsia"/>
          <w:sz w:val="24"/>
          <w:lang w:val="en-US" w:eastAsia="zh-CN"/>
        </w:rPr>
        <w:footnoteReference w:id="14"/>
      </w:r>
      <w:r>
        <w:rPr>
          <w:rFonts w:hint="eastAsia"/>
          <w:sz w:val="24"/>
          <w:lang w:val="en-US" w:eastAsia="zh-CN"/>
        </w:rPr>
        <w:t>数字藏品的交易</w:t>
      </w:r>
      <w:r>
        <w:rPr>
          <w:rFonts w:hint="eastAsia"/>
          <w:sz w:val="24"/>
          <w:highlight w:val="none"/>
        </w:rPr>
        <w:t>平台在特定的时间内提供的只是指引权利人查看和交易数字藏品的便携化“展示”</w:t>
      </w:r>
      <w:r>
        <w:rPr>
          <w:rFonts w:hint="eastAsia"/>
          <w:sz w:val="24"/>
          <w:highlight w:val="none"/>
          <w:lang w:val="en-US" w:eastAsia="zh-CN"/>
        </w:rPr>
        <w:t>服务</w:t>
      </w:r>
      <w:r>
        <w:rPr>
          <w:rFonts w:hint="eastAsia"/>
          <w:sz w:val="24"/>
          <w:highlight w:val="none"/>
        </w:rPr>
        <w:t>，</w:t>
      </w:r>
      <w:r>
        <w:rPr>
          <w:rFonts w:hint="eastAsia"/>
          <w:sz w:val="24"/>
          <w:highlight w:val="none"/>
          <w:lang w:val="en-US" w:eastAsia="zh-CN"/>
        </w:rPr>
        <w:t>这种服务虽受平台高度限制，但并不构成数字藏品本身。数字藏品的的存续无需平台履行特定的行为，其价值也不会因平台的经营状况而受到实质影响。</w:t>
      </w:r>
    </w:p>
    <w:p w14:paraId="7474A988">
      <w:pPr>
        <w:snapToGrid w:val="0"/>
        <w:spacing w:line="360" w:lineRule="auto"/>
        <w:ind w:firstLine="480" w:firstLineChars="200"/>
        <w:rPr>
          <w:rFonts w:hint="default" w:eastAsiaTheme="minorEastAsia"/>
          <w:sz w:val="24"/>
          <w:lang w:val="en-US" w:eastAsia="zh-CN"/>
        </w:rPr>
      </w:pPr>
      <w:r>
        <w:rPr>
          <w:rFonts w:hint="eastAsia"/>
          <w:sz w:val="24"/>
          <w:lang w:val="en-US" w:eastAsia="zh-CN"/>
        </w:rPr>
        <w:t>从权利变动来看，</w:t>
      </w:r>
      <w:r>
        <w:rPr>
          <w:rFonts w:hint="eastAsia"/>
          <w:sz w:val="24"/>
        </w:rPr>
        <w:t>数字藏品的流通</w:t>
      </w:r>
      <w:r>
        <w:rPr>
          <w:rFonts w:hint="eastAsia"/>
          <w:sz w:val="24"/>
          <w:lang w:val="en-US" w:eastAsia="zh-CN"/>
        </w:rPr>
        <w:t>过程难以满足</w:t>
      </w:r>
      <w:r>
        <w:rPr>
          <w:rFonts w:hint="eastAsia"/>
          <w:sz w:val="24"/>
        </w:rPr>
        <w:t>债权让与的条件。</w:t>
      </w:r>
      <w:r>
        <w:rPr>
          <w:rFonts w:hint="eastAsia"/>
          <w:sz w:val="24"/>
          <w:lang w:val="en-US" w:eastAsia="zh-CN"/>
        </w:rPr>
        <w:t>债权转让需要通知相应债务人，因此</w:t>
      </w:r>
      <w:r>
        <w:rPr>
          <w:rFonts w:hint="eastAsia"/>
          <w:sz w:val="24"/>
        </w:rPr>
        <w:t>让与通知是整个债权让与制度的核心，决定了债权何时发生移转的问题。</w:t>
      </w:r>
      <w:r>
        <w:rPr>
          <w:rStyle w:val="11"/>
          <w:rFonts w:hint="eastAsia"/>
          <w:sz w:val="24"/>
        </w:rPr>
        <w:footnoteReference w:id="15"/>
      </w:r>
      <w:r>
        <w:rPr>
          <w:rFonts w:hint="eastAsia"/>
          <w:sz w:val="24"/>
          <w:lang w:val="en-US" w:eastAsia="zh-CN"/>
        </w:rPr>
        <w:t>但数字藏品存在于链上，通常跨平台流转，因此以何种标准认定应当通知的债务人以及如何通知才构成适格通知依然存在模糊性。</w:t>
      </w:r>
    </w:p>
    <w:p w14:paraId="3A98CE7A">
      <w:pPr>
        <w:snapToGrid w:val="0"/>
        <w:spacing w:line="360" w:lineRule="auto"/>
        <w:ind w:firstLine="480"/>
        <w:rPr>
          <w:sz w:val="24"/>
        </w:rPr>
      </w:pPr>
      <w:r>
        <w:rPr>
          <w:rFonts w:hint="eastAsia"/>
          <w:sz w:val="24"/>
        </w:rPr>
        <w:t>主张新型权利说的学者</w:t>
      </w:r>
      <w:r>
        <w:rPr>
          <w:rFonts w:hint="eastAsia"/>
          <w:sz w:val="24"/>
          <w:lang w:val="en-US" w:eastAsia="zh-CN"/>
        </w:rPr>
        <w:t>认为数字藏品属于</w:t>
      </w:r>
      <w:r>
        <w:rPr>
          <w:rFonts w:hint="eastAsia"/>
          <w:sz w:val="24"/>
        </w:rPr>
        <w:t>物权与债权之间的一种类似“信息产品”的新型权利。尽管</w:t>
      </w:r>
      <w:r>
        <w:rPr>
          <w:rFonts w:hint="eastAsia"/>
          <w:sz w:val="24"/>
          <w:lang w:val="en-US" w:eastAsia="zh-CN"/>
        </w:rPr>
        <w:t>该</w:t>
      </w:r>
      <w:r>
        <w:rPr>
          <w:rFonts w:hint="eastAsia"/>
          <w:sz w:val="24"/>
        </w:rPr>
        <w:t>分类有一定合理性，但是在目前的法律框架下</w:t>
      </w:r>
      <w:r>
        <w:rPr>
          <w:rFonts w:hint="eastAsia"/>
          <w:sz w:val="24"/>
          <w:lang w:val="en-US" w:eastAsia="zh-CN"/>
        </w:rPr>
        <w:t>运行</w:t>
      </w:r>
      <w:r>
        <w:rPr>
          <w:rFonts w:hint="eastAsia"/>
          <w:sz w:val="24"/>
        </w:rPr>
        <w:t>依然具有相当大的难度。</w:t>
      </w:r>
    </w:p>
    <w:p w14:paraId="1335F2C4">
      <w:pPr>
        <w:snapToGrid w:val="0"/>
        <w:spacing w:line="360" w:lineRule="auto"/>
        <w:ind w:firstLine="480"/>
        <w:rPr>
          <w:rFonts w:hint="eastAsia" w:eastAsiaTheme="minorEastAsia"/>
          <w:sz w:val="24"/>
          <w:lang w:eastAsia="zh-CN"/>
        </w:rPr>
      </w:pPr>
      <w:r>
        <w:rPr>
          <w:rFonts w:hint="eastAsia"/>
          <w:sz w:val="24"/>
        </w:rPr>
        <w:t>首先，数字藏品</w:t>
      </w:r>
      <w:r>
        <w:rPr>
          <w:rFonts w:hint="eastAsia"/>
          <w:sz w:val="24"/>
          <w:lang w:val="en-US" w:eastAsia="zh-CN"/>
        </w:rPr>
        <w:t>这种新型财产权利范围模糊</w:t>
      </w:r>
      <w:r>
        <w:rPr>
          <w:rFonts w:hint="eastAsia"/>
          <w:sz w:val="24"/>
        </w:rPr>
        <w:t>。一些学者尝试以“利益”概括虚拟财产权的客体，</w:t>
      </w:r>
      <w:r>
        <w:rPr>
          <w:rStyle w:val="11"/>
          <w:rFonts w:hint="eastAsia"/>
          <w:sz w:val="24"/>
        </w:rPr>
        <w:footnoteReference w:id="16"/>
      </w:r>
      <w:r>
        <w:rPr>
          <w:rFonts w:hint="eastAsia"/>
          <w:sz w:val="24"/>
        </w:rPr>
        <w:t>然而</w:t>
      </w:r>
      <w:r>
        <w:rPr>
          <w:rFonts w:hint="eastAsia"/>
          <w:sz w:val="24"/>
          <w:lang w:val="en-US" w:eastAsia="zh-CN"/>
        </w:rPr>
        <w:t>这种</w:t>
      </w:r>
      <w:r>
        <w:rPr>
          <w:rFonts w:hint="eastAsia"/>
          <w:sz w:val="24"/>
        </w:rPr>
        <w:t>“利益”的法律性质并不明确。究竟是债权性利益、物权性利益，抑或仅为一种经济上可期待的机会，相关研究大多语焉不详。</w:t>
      </w:r>
      <w:r>
        <w:rPr>
          <w:rFonts w:hint="eastAsia"/>
          <w:sz w:val="24"/>
          <w:lang w:val="en-US" w:eastAsia="zh-CN"/>
        </w:rPr>
        <w:t>且这种利益往往</w:t>
      </w:r>
      <w:r>
        <w:rPr>
          <w:rFonts w:hint="eastAsia"/>
          <w:sz w:val="24"/>
        </w:rPr>
        <w:t>在主体、客体与权利内容上，与传统意义上的知识产权、所有权等仍存在重合，在权利的行使方式上也具有一定的相似性。这种权利间的模糊交叉不仅削弱了权利边界的清晰性，也极易在司法实践中引发适用法律的困难</w:t>
      </w:r>
      <w:r>
        <w:rPr>
          <w:rFonts w:hint="eastAsia"/>
          <w:sz w:val="24"/>
          <w:lang w:eastAsia="zh-CN"/>
        </w:rPr>
        <w:t>。</w:t>
      </w:r>
    </w:p>
    <w:p w14:paraId="17AF17E1">
      <w:pPr>
        <w:snapToGrid w:val="0"/>
        <w:spacing w:line="360" w:lineRule="auto"/>
        <w:ind w:firstLine="480"/>
        <w:rPr>
          <w:sz w:val="24"/>
        </w:rPr>
      </w:pPr>
      <w:r>
        <w:rPr>
          <w:rFonts w:hint="eastAsia"/>
          <w:sz w:val="24"/>
        </w:rPr>
        <w:t>其次，从规范体系的构建角度看，若将数字藏品确立为一种全新的财产权形式，势必要求立法层面进行相应的制度建构，包括权利内容、</w:t>
      </w:r>
      <w:r>
        <w:rPr>
          <w:rFonts w:hint="eastAsia"/>
          <w:sz w:val="24"/>
          <w:lang w:val="en-US" w:eastAsia="zh-CN"/>
        </w:rPr>
        <w:t>设立</w:t>
      </w:r>
      <w:r>
        <w:rPr>
          <w:rFonts w:hint="eastAsia"/>
          <w:sz w:val="24"/>
        </w:rPr>
        <w:t>方式、保护机制以及流转规则等。这不仅大幅增加了制度成本，而且意味着现行法律框架对相关争议的调整能力将被否定，导致现有纠纷的调整规范真空。这种立法路径不仅脱离了渐进式立法的稳健原则，也难以实现法律的稳定性与可预期性。</w:t>
      </w:r>
    </w:p>
    <w:p w14:paraId="686F8DCD">
      <w:pPr>
        <w:numPr>
          <w:ilvl w:val="0"/>
          <w:numId w:val="2"/>
        </w:numPr>
        <w:snapToGrid w:val="0"/>
        <w:spacing w:line="360" w:lineRule="auto"/>
        <w:ind w:firstLine="480" w:firstLineChars="200"/>
        <w:rPr>
          <w:sz w:val="24"/>
        </w:rPr>
      </w:pPr>
      <w:r>
        <w:rPr>
          <w:rFonts w:hint="eastAsia"/>
          <w:sz w:val="24"/>
        </w:rPr>
        <w:t>数字藏品的性质特点契合“物权说”</w:t>
      </w:r>
    </w:p>
    <w:p w14:paraId="3FBDAF2D">
      <w:pPr>
        <w:snapToGrid w:val="0"/>
        <w:spacing w:line="360" w:lineRule="auto"/>
        <w:ind w:firstLine="480"/>
        <w:rPr>
          <w:rFonts w:hint="eastAsia"/>
          <w:sz w:val="24"/>
          <w:lang w:val="en-US" w:eastAsia="zh-CN"/>
        </w:rPr>
      </w:pPr>
      <w:r>
        <w:rPr>
          <w:rFonts w:hint="eastAsia"/>
          <w:sz w:val="24"/>
          <w:lang w:val="en-US" w:eastAsia="zh-CN"/>
        </w:rPr>
        <w:t>数字藏品从其本质属性看可以归类为《民法典》第114条意义上的“物”。</w:t>
      </w:r>
      <w:r>
        <w:rPr>
          <w:rStyle w:val="11"/>
          <w:rFonts w:hint="eastAsia"/>
          <w:sz w:val="24"/>
          <w:lang w:val="en-US" w:eastAsia="zh-CN"/>
        </w:rPr>
        <w:footnoteReference w:id="17"/>
      </w:r>
      <w:r>
        <w:rPr>
          <w:rFonts w:hint="eastAsia"/>
          <w:sz w:val="24"/>
          <w:lang w:val="en-US" w:eastAsia="zh-CN"/>
        </w:rPr>
        <w:t>根据该条规定，物权的成立需要满足两个条件：一是所指向的必须是“特定物品”，二是权利人对该特定物品享有直接的支配权。</w:t>
      </w:r>
    </w:p>
    <w:p w14:paraId="28469929">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default"/>
          <w:sz w:val="24"/>
          <w:lang w:val="en-US" w:eastAsia="zh-CN"/>
        </w:rPr>
      </w:pPr>
      <w:r>
        <w:rPr>
          <w:rFonts w:hint="eastAsia"/>
          <w:sz w:val="24"/>
          <w:lang w:val="en-US" w:eastAsia="zh-CN"/>
        </w:rPr>
        <w:t>“特定物品”意味着物权的标的物必须是特定的独立物。</w:t>
      </w:r>
      <w:r>
        <w:rPr>
          <w:rStyle w:val="11"/>
          <w:rFonts w:hint="eastAsia"/>
          <w:sz w:val="24"/>
          <w:lang w:val="en-US" w:eastAsia="zh-CN"/>
        </w:rPr>
        <w:footnoteReference w:id="18"/>
      </w:r>
      <w:r>
        <w:rPr>
          <w:rFonts w:hint="eastAsia"/>
          <w:sz w:val="24"/>
          <w:lang w:val="en-US" w:eastAsia="zh-CN"/>
        </w:rPr>
        <w:t>所谓特定，是指的物具有单独的特征，不为其他物所代替，所谓独立，是指的物在物理上、观念上或法律上能够与其他物相区别而独立存在。</w:t>
      </w:r>
      <w:r>
        <w:rPr>
          <w:rStyle w:val="11"/>
          <w:rFonts w:hint="eastAsia"/>
          <w:sz w:val="24"/>
          <w:lang w:val="en-US" w:eastAsia="zh-CN"/>
        </w:rPr>
        <w:footnoteReference w:id="19"/>
      </w:r>
      <w:r>
        <w:rPr>
          <w:rFonts w:hint="eastAsia"/>
          <w:sz w:val="24"/>
          <w:lang w:val="en-US" w:eastAsia="zh-CN"/>
        </w:rPr>
        <w:t>而数字藏品可以满足物权客体的要求。</w:t>
      </w:r>
    </w:p>
    <w:p w14:paraId="2844E2A8">
      <w:pPr>
        <w:snapToGrid w:val="0"/>
        <w:spacing w:line="360" w:lineRule="auto"/>
        <w:ind w:firstLine="480"/>
        <w:rPr>
          <w:rFonts w:hint="eastAsia"/>
          <w:sz w:val="24"/>
          <w:highlight w:val="none"/>
          <w:lang w:eastAsia="zh-CN"/>
        </w:rPr>
      </w:pPr>
      <w:r>
        <w:rPr>
          <w:rFonts w:hint="eastAsia"/>
          <w:sz w:val="24"/>
          <w:highlight w:val="none"/>
          <w:lang w:val="en-US" w:eastAsia="zh-CN"/>
        </w:rPr>
        <w:t>首先，数字藏品满足“特定性”要求，</w:t>
      </w:r>
      <w:r>
        <w:rPr>
          <w:rFonts w:hint="eastAsia"/>
          <w:sz w:val="24"/>
          <w:highlight w:val="none"/>
        </w:rPr>
        <w:t>随着资本主义经济模式的发展，社会财富的表现形式及其交易方式发生了深刻变化，传统以物理属性为核心的特定性判断标准，逐步被经济和社会的标准所取代。</w:t>
      </w:r>
      <w:r>
        <w:rPr>
          <w:rStyle w:val="11"/>
          <w:rFonts w:hint="eastAsia"/>
          <w:sz w:val="24"/>
          <w:highlight w:val="none"/>
        </w:rPr>
        <w:footnoteReference w:id="20"/>
      </w:r>
      <w:r>
        <w:rPr>
          <w:rFonts w:hint="eastAsia"/>
          <w:sz w:val="24"/>
          <w:highlight w:val="none"/>
        </w:rPr>
        <w:t>例如在财团抵押制度中，抵押物本身处于不断变动的状态，但基于企业资产总体的相对稳定性，以及账簿所体现的资产内容可被量化</w:t>
      </w:r>
      <w:r>
        <w:rPr>
          <w:rFonts w:hint="eastAsia"/>
          <w:sz w:val="24"/>
          <w:highlight w:val="none"/>
          <w:lang w:val="en-US" w:eastAsia="zh-CN"/>
        </w:rPr>
        <w:t>所具有的</w:t>
      </w:r>
      <w:r>
        <w:rPr>
          <w:rFonts w:hint="eastAsia"/>
          <w:sz w:val="24"/>
          <w:highlight w:val="none"/>
        </w:rPr>
        <w:t>可识别性，从经济意义上看仍符合“物的</w:t>
      </w:r>
      <w:r>
        <w:rPr>
          <w:rFonts w:hint="eastAsia"/>
          <w:sz w:val="24"/>
          <w:highlight w:val="none"/>
          <w:lang w:val="en-US" w:eastAsia="zh-CN"/>
        </w:rPr>
        <w:t>特定性</w:t>
      </w:r>
      <w:r>
        <w:rPr>
          <w:rFonts w:hint="eastAsia"/>
          <w:sz w:val="24"/>
          <w:highlight w:val="none"/>
        </w:rPr>
        <w:t>”要求。</w:t>
      </w:r>
      <w:r>
        <w:rPr>
          <w:rFonts w:hint="eastAsia"/>
          <w:sz w:val="24"/>
          <w:highlight w:val="none"/>
          <w:lang w:val="en-US" w:eastAsia="zh-CN"/>
        </w:rPr>
        <w:t>数字藏品的特定性应当从社会经济和交易习惯的角度来理解。</w:t>
      </w:r>
      <w:r>
        <w:rPr>
          <w:rFonts w:hint="eastAsia"/>
          <w:sz w:val="24"/>
          <w:highlight w:val="none"/>
        </w:rPr>
        <w:t>将作品铸造为数字藏品可以理解为将作品转化为元数据，再将其写入区块链的过程，创作者可以将同一作品铸造多个不同的版本，且每个版本都有自己独立的代码组成。</w:t>
      </w:r>
      <w:r>
        <w:rPr>
          <w:rStyle w:val="11"/>
          <w:rFonts w:hint="eastAsia"/>
          <w:sz w:val="24"/>
          <w:highlight w:val="none"/>
        </w:rPr>
        <w:footnoteReference w:id="21"/>
      </w:r>
      <w:r>
        <w:rPr>
          <w:rFonts w:hint="eastAsia"/>
          <w:sz w:val="24"/>
          <w:highlight w:val="none"/>
        </w:rPr>
        <w:t>这种特定的代码串可以</w:t>
      </w:r>
      <w:r>
        <w:rPr>
          <w:rFonts w:hint="eastAsia"/>
          <w:sz w:val="24"/>
          <w:highlight w:val="none"/>
          <w:lang w:val="en-US" w:eastAsia="zh-CN"/>
        </w:rPr>
        <w:t>使每一个数字藏品都可以作为“可识别的特定客体”，其</w:t>
      </w:r>
      <w:r>
        <w:rPr>
          <w:rFonts w:hint="eastAsia"/>
          <w:sz w:val="24"/>
          <w:highlight w:val="none"/>
        </w:rPr>
        <w:t>不同于比特币这种在现有区块链网络上开发的数字价值单位，</w:t>
      </w:r>
      <w:r>
        <w:rPr>
          <w:rStyle w:val="11"/>
          <w:rFonts w:hint="eastAsia"/>
          <w:sz w:val="24"/>
          <w:highlight w:val="none"/>
        </w:rPr>
        <w:footnoteReference w:id="22"/>
      </w:r>
      <w:r>
        <w:rPr>
          <w:rFonts w:hint="eastAsia"/>
          <w:sz w:val="24"/>
          <w:highlight w:val="none"/>
        </w:rPr>
        <w:t>而是代表特定的</w:t>
      </w:r>
      <w:r>
        <w:rPr>
          <w:rFonts w:hint="eastAsia"/>
          <w:sz w:val="24"/>
          <w:highlight w:val="none"/>
          <w:lang w:val="en-US" w:eastAsia="zh-CN"/>
        </w:rPr>
        <w:t>与现实世界相分离的</w:t>
      </w:r>
      <w:r>
        <w:rPr>
          <w:rFonts w:hint="eastAsia"/>
          <w:sz w:val="24"/>
          <w:highlight w:val="none"/>
        </w:rPr>
        <w:t>资产，具有独特的“数字稀缺性”</w:t>
      </w:r>
      <w:r>
        <w:rPr>
          <w:rFonts w:hint="eastAsia"/>
          <w:sz w:val="24"/>
          <w:highlight w:val="none"/>
          <w:lang w:eastAsia="zh-CN"/>
        </w:rPr>
        <w:t>。</w:t>
      </w:r>
      <w:r>
        <w:rPr>
          <w:rStyle w:val="11"/>
          <w:rFonts w:hint="eastAsia"/>
          <w:sz w:val="24"/>
          <w:highlight w:val="none"/>
        </w:rPr>
        <w:footnoteReference w:id="23"/>
      </w:r>
    </w:p>
    <w:p w14:paraId="6F7ED83A">
      <w:pPr>
        <w:snapToGrid w:val="0"/>
        <w:spacing w:line="360" w:lineRule="auto"/>
        <w:ind w:firstLine="480"/>
        <w:rPr>
          <w:sz w:val="24"/>
          <w:highlight w:val="none"/>
        </w:rPr>
      </w:pPr>
      <w:r>
        <w:rPr>
          <w:rFonts w:hint="eastAsia"/>
          <w:sz w:val="24"/>
          <w:highlight w:val="none"/>
          <w:lang w:val="en-US" w:eastAsia="zh-CN"/>
        </w:rPr>
        <w:t>其次，数字藏品具有独立性。第一，数字藏品能够独立存在，这种独立性不仅体现在技术上，也体现在法律观念中。正如一幅土地的某一部分可以通过划分四至的方法划分为不同的部分而特定化，</w:t>
      </w:r>
      <w:r>
        <w:rPr>
          <w:rStyle w:val="11"/>
          <w:rFonts w:hint="eastAsia"/>
          <w:sz w:val="24"/>
          <w:highlight w:val="none"/>
          <w:lang w:val="en-US" w:eastAsia="zh-CN"/>
        </w:rPr>
        <w:footnoteReference w:id="24"/>
      </w:r>
      <w:r>
        <w:rPr>
          <w:rFonts w:hint="eastAsia"/>
          <w:sz w:val="24"/>
          <w:highlight w:val="none"/>
          <w:lang w:val="en-US" w:eastAsia="zh-CN"/>
        </w:rPr>
        <w:t>数字藏品亦可通过其唯一的Token ID在区块链上实现特定化，从而成为一个具备明确边界、可独立识别与处分的数字财产。这种标识机制使得数字藏品的经济价值独立于物理实体，且可以作为单独的交易对象，</w:t>
      </w:r>
      <w:r>
        <w:rPr>
          <w:rStyle w:val="11"/>
          <w:rFonts w:hint="eastAsia"/>
          <w:sz w:val="24"/>
          <w:highlight w:val="none"/>
          <w:lang w:val="en-US" w:eastAsia="zh-CN"/>
        </w:rPr>
        <w:footnoteReference w:id="25"/>
      </w:r>
      <w:r>
        <w:rPr>
          <w:rFonts w:hint="eastAsia"/>
          <w:sz w:val="24"/>
          <w:highlight w:val="none"/>
          <w:lang w:val="en-US" w:eastAsia="zh-CN"/>
        </w:rPr>
        <w:t>。第二，</w:t>
      </w:r>
      <w:r>
        <w:rPr>
          <w:rFonts w:hint="eastAsia"/>
          <w:sz w:val="24"/>
          <w:highlight w:val="none"/>
        </w:rPr>
        <w:t>数字藏品</w:t>
      </w:r>
      <w:r>
        <w:rPr>
          <w:rFonts w:hint="eastAsia"/>
          <w:sz w:val="24"/>
          <w:highlight w:val="none"/>
          <w:lang w:val="en-US" w:eastAsia="zh-CN"/>
        </w:rPr>
        <w:t>能够独立流转。数字藏品的流通</w:t>
      </w:r>
      <w:r>
        <w:rPr>
          <w:rFonts w:hint="eastAsia"/>
          <w:sz w:val="24"/>
          <w:highlight w:val="none"/>
        </w:rPr>
        <w:t>依托区块链上的智能合约实现，智能合约</w:t>
      </w:r>
      <w:r>
        <w:rPr>
          <w:rFonts w:hint="eastAsia"/>
          <w:sz w:val="24"/>
          <w:highlight w:val="none"/>
          <w:lang w:val="en-US" w:eastAsia="zh-CN"/>
        </w:rPr>
        <w:t>是一个</w:t>
      </w:r>
      <w:r>
        <w:rPr>
          <w:rFonts w:hint="eastAsia"/>
          <w:sz w:val="24"/>
          <w:highlight w:val="none"/>
        </w:rPr>
        <w:t>创建和转移数字藏品的额外技术层，由类似于“If</w:t>
      </w:r>
      <w:r>
        <w:rPr>
          <w:sz w:val="24"/>
          <w:highlight w:val="none"/>
        </w:rPr>
        <w:t>-then”</w:t>
      </w:r>
      <w:r>
        <w:rPr>
          <w:rFonts w:hint="eastAsia"/>
          <w:sz w:val="24"/>
          <w:highlight w:val="none"/>
        </w:rPr>
        <w:t>的指令组成。</w:t>
      </w:r>
      <w:r>
        <w:rPr>
          <w:rStyle w:val="11"/>
          <w:rFonts w:hint="eastAsia"/>
          <w:sz w:val="24"/>
          <w:highlight w:val="none"/>
        </w:rPr>
        <w:footnoteReference w:id="26"/>
      </w:r>
      <w:r>
        <w:rPr>
          <w:rFonts w:hint="eastAsia"/>
          <w:sz w:val="24"/>
          <w:highlight w:val="none"/>
        </w:rPr>
        <w:t>合约中预设了自动执行的程序逻辑，当事人一旦发起操作，系统即可依据既定规则完成转让</w:t>
      </w:r>
      <w:r>
        <w:rPr>
          <w:rFonts w:hint="eastAsia"/>
          <w:sz w:val="24"/>
          <w:highlight w:val="none"/>
          <w:lang w:eastAsia="zh-CN"/>
        </w:rPr>
        <w:t>，</w:t>
      </w:r>
      <w:r>
        <w:rPr>
          <w:rFonts w:hint="eastAsia"/>
          <w:sz w:val="24"/>
          <w:highlight w:val="none"/>
          <w:lang w:val="en-US" w:eastAsia="zh-CN"/>
        </w:rPr>
        <w:t>将资产的ID分配给新的所有者</w:t>
      </w:r>
      <w:r>
        <w:rPr>
          <w:rFonts w:hint="eastAsia"/>
          <w:sz w:val="24"/>
          <w:highlight w:val="none"/>
        </w:rPr>
        <w:t>。</w:t>
      </w:r>
      <w:r>
        <w:rPr>
          <w:rStyle w:val="11"/>
          <w:rFonts w:hint="eastAsia"/>
          <w:sz w:val="24"/>
          <w:highlight w:val="none"/>
        </w:rPr>
        <w:footnoteReference w:id="27"/>
      </w:r>
      <w:r>
        <w:rPr>
          <w:rFonts w:hint="eastAsia"/>
          <w:sz w:val="24"/>
          <w:highlight w:val="none"/>
          <w:lang w:val="en-US" w:eastAsia="zh-CN"/>
        </w:rPr>
        <w:t>这个过程无需第三方参与，非权利人也无法直接接触到藏品本身。</w:t>
      </w:r>
      <w:r>
        <w:rPr>
          <w:rFonts w:hint="eastAsia"/>
          <w:sz w:val="24"/>
          <w:highlight w:val="none"/>
        </w:rPr>
        <w:t>同时，数字藏品</w:t>
      </w:r>
      <w:r>
        <w:rPr>
          <w:rFonts w:hint="eastAsia"/>
          <w:sz w:val="24"/>
          <w:highlight w:val="none"/>
          <w:lang w:val="en-US" w:eastAsia="zh-CN"/>
        </w:rPr>
        <w:t>往往</w:t>
      </w:r>
      <w:r>
        <w:rPr>
          <w:rFonts w:hint="eastAsia"/>
          <w:sz w:val="24"/>
          <w:highlight w:val="none"/>
        </w:rPr>
        <w:t>存储于开放的公链上。只要交易双方使用支持NFT协议的钱包，即可在多个支持NFT</w:t>
      </w:r>
      <w:r>
        <w:rPr>
          <w:rFonts w:hint="eastAsia"/>
          <w:sz w:val="24"/>
          <w:highlight w:val="none"/>
          <w:lang w:val="en-US" w:eastAsia="zh-CN"/>
        </w:rPr>
        <w:t>的</w:t>
      </w:r>
      <w:r>
        <w:rPr>
          <w:rFonts w:hint="eastAsia"/>
          <w:sz w:val="24"/>
          <w:highlight w:val="none"/>
        </w:rPr>
        <w:t>交易市场之间自由流通，亦可实现点对点的自主转让。充分体现</w:t>
      </w:r>
      <w:r>
        <w:rPr>
          <w:rFonts w:hint="eastAsia"/>
          <w:sz w:val="24"/>
          <w:highlight w:val="none"/>
          <w:lang w:val="en-US" w:eastAsia="zh-CN"/>
        </w:rPr>
        <w:t>了</w:t>
      </w:r>
      <w:r>
        <w:rPr>
          <w:rFonts w:hint="eastAsia"/>
          <w:sz w:val="24"/>
          <w:highlight w:val="none"/>
        </w:rPr>
        <w:t>其作为独立权利客体的可处分性与流通性。目前全球最具影响力的的数字藏品项目——无聊游艇俱乐部（</w:t>
      </w:r>
      <w:r>
        <w:rPr>
          <w:rFonts w:ascii="Times New Roman Regular" w:hAnsi="Times New Roman Regular" w:cs="Times New Roman Regular"/>
          <w:sz w:val="24"/>
          <w:highlight w:val="none"/>
        </w:rPr>
        <w:t>Bored Ape Yacht Club，简称BAYC）</w:t>
      </w:r>
      <w:r>
        <w:rPr>
          <w:rFonts w:hint="eastAsia"/>
          <w:sz w:val="24"/>
          <w:highlight w:val="none"/>
        </w:rPr>
        <w:t>，其首次发行后</w:t>
      </w:r>
      <w:r>
        <w:rPr>
          <w:rFonts w:hint="eastAsia"/>
          <w:sz w:val="24"/>
          <w:highlight w:val="none"/>
          <w:lang w:val="en-US" w:eastAsia="zh-CN"/>
        </w:rPr>
        <w:t>也</w:t>
      </w:r>
      <w:r>
        <w:rPr>
          <w:rFonts w:hint="eastAsia"/>
          <w:sz w:val="24"/>
          <w:highlight w:val="none"/>
        </w:rPr>
        <w:t>可以在</w:t>
      </w:r>
      <w:r>
        <w:rPr>
          <w:rFonts w:ascii="Times New Roman Regular" w:hAnsi="Times New Roman Regular" w:cs="Times New Roman Regular"/>
          <w:sz w:val="24"/>
          <w:highlight w:val="none"/>
        </w:rPr>
        <w:t>OpenSea、Rarible</w:t>
      </w:r>
      <w:r>
        <w:rPr>
          <w:rFonts w:hint="eastAsia"/>
          <w:sz w:val="24"/>
          <w:highlight w:val="none"/>
        </w:rPr>
        <w:t>或其他二级市场购得。</w:t>
      </w:r>
      <w:r>
        <w:rPr>
          <w:rStyle w:val="11"/>
          <w:rFonts w:hint="eastAsia"/>
          <w:sz w:val="24"/>
          <w:highlight w:val="none"/>
        </w:rPr>
        <w:footnoteReference w:id="28"/>
      </w:r>
    </w:p>
    <w:p w14:paraId="431E881B">
      <w:pPr>
        <w:snapToGrid w:val="0"/>
        <w:spacing w:line="360" w:lineRule="auto"/>
        <w:ind w:firstLine="480" w:firstLineChars="200"/>
        <w:rPr>
          <w:rFonts w:hint="eastAsia"/>
          <w:sz w:val="24"/>
          <w:highlight w:val="none"/>
          <w:lang w:val="en-US" w:eastAsia="zh-CN"/>
        </w:rPr>
      </w:pPr>
      <w:r>
        <w:rPr>
          <w:rFonts w:hint="eastAsia"/>
          <w:sz w:val="24"/>
          <w:highlight w:val="none"/>
          <w:lang w:val="en-US" w:eastAsia="zh-CN"/>
        </w:rPr>
        <w:t>而数字藏品上的支配权是通过私钥实现的</w:t>
      </w:r>
      <w:r>
        <w:rPr>
          <w:rFonts w:hint="eastAsia"/>
          <w:sz w:val="24"/>
          <w:highlight w:val="none"/>
        </w:rPr>
        <w:t>。</w:t>
      </w:r>
      <w:r>
        <w:rPr>
          <w:rFonts w:hint="eastAsia"/>
          <w:sz w:val="24"/>
          <w:highlight w:val="none"/>
          <w:lang w:val="en-US" w:eastAsia="zh-CN"/>
        </w:rPr>
        <w:t>德国学者拉伦茨对“支配”的表述最具代表性：“支配权之标志在于，授予权利人某个自由领域，在此自由领域内权利人得以排斥一切其他人，并且无需他人之协作而单独做出决定。</w:t>
      </w:r>
      <w:r>
        <w:rPr>
          <w:rStyle w:val="11"/>
          <w:rFonts w:hint="eastAsia"/>
          <w:sz w:val="24"/>
          <w:highlight w:val="none"/>
          <w:lang w:val="en-US" w:eastAsia="zh-CN"/>
        </w:rPr>
        <w:footnoteReference w:id="29"/>
      </w:r>
      <w:r>
        <w:rPr>
          <w:rFonts w:hint="eastAsia"/>
          <w:sz w:val="24"/>
          <w:highlight w:val="none"/>
          <w:lang w:val="en-US" w:eastAsia="zh-CN"/>
        </w:rPr>
        <w:t>我国学者也指出支配权是权利人按照自身的意愿和行为支配物，而无需借助他人的行为。</w:t>
      </w:r>
      <w:r>
        <w:rPr>
          <w:rStyle w:val="11"/>
          <w:rFonts w:hint="eastAsia"/>
          <w:sz w:val="24"/>
          <w:highlight w:val="none"/>
          <w:lang w:val="en-US" w:eastAsia="zh-CN"/>
        </w:rPr>
        <w:footnoteReference w:id="30"/>
      </w:r>
      <w:r>
        <w:rPr>
          <w:rFonts w:hint="eastAsia"/>
          <w:sz w:val="24"/>
          <w:highlight w:val="none"/>
        </w:rPr>
        <w:t>随着经济社会的发展，支配并非局限在物理上的现实控制，而是逐渐发展为一种法律意义上的支配，甚至通过与物的权利联系，实现对物的最终控制权而实现支配。</w:t>
      </w:r>
      <w:r>
        <w:rPr>
          <w:rStyle w:val="11"/>
          <w:rFonts w:hint="eastAsia"/>
          <w:sz w:val="24"/>
          <w:highlight w:val="none"/>
        </w:rPr>
        <w:footnoteReference w:id="31"/>
      </w:r>
      <w:r>
        <w:rPr>
          <w:rFonts w:hint="eastAsia"/>
          <w:sz w:val="24"/>
          <w:highlight w:val="none"/>
          <w:lang w:val="en-US" w:eastAsia="zh-CN"/>
        </w:rPr>
        <w:t>所谓权利联系，是指一个人虽然没有实际握有某一财产，但在法律上拥有一定的权利，而且在必要的时候，享有实施某种作用于物的行为的独立选择权和决定权，这种情况下权利人的行为仍可以认定为是一种直接支配。</w:t>
      </w:r>
      <w:r>
        <w:rPr>
          <w:rStyle w:val="11"/>
          <w:rFonts w:hint="eastAsia"/>
          <w:sz w:val="24"/>
          <w:highlight w:val="none"/>
          <w:lang w:val="en-US" w:eastAsia="zh-CN"/>
        </w:rPr>
        <w:footnoteReference w:id="32"/>
      </w:r>
      <w:r>
        <w:rPr>
          <w:rFonts w:hint="eastAsia"/>
          <w:sz w:val="24"/>
          <w:highlight w:val="none"/>
        </w:rPr>
        <w:t>所有人对数字藏品的控制正是通过</w:t>
      </w:r>
      <w:r>
        <w:rPr>
          <w:rFonts w:hint="eastAsia"/>
          <w:sz w:val="24"/>
          <w:highlight w:val="none"/>
          <w:lang w:val="en-US" w:eastAsia="zh-CN"/>
        </w:rPr>
        <w:t>私钥</w:t>
      </w:r>
      <w:r>
        <w:rPr>
          <w:rFonts w:hint="eastAsia"/>
          <w:sz w:val="24"/>
          <w:highlight w:val="none"/>
        </w:rPr>
        <w:t>这种权利联系而实现的</w:t>
      </w:r>
      <w:r>
        <w:rPr>
          <w:rFonts w:hint="eastAsia"/>
          <w:sz w:val="24"/>
          <w:highlight w:val="none"/>
          <w:lang w:eastAsia="zh-CN"/>
        </w:rPr>
        <w:t>，</w:t>
      </w:r>
      <w:r>
        <w:rPr>
          <w:rFonts w:hint="eastAsia"/>
          <w:sz w:val="24"/>
          <w:highlight w:val="none"/>
          <w:lang w:val="en-US" w:eastAsia="zh-CN"/>
        </w:rPr>
        <w:t>购买一个私钥意味着拥有对该唯一数字图像关联的智能合约的独家访问和控制权。</w:t>
      </w:r>
      <w:r>
        <w:rPr>
          <w:rStyle w:val="11"/>
          <w:rFonts w:hint="eastAsia"/>
          <w:sz w:val="24"/>
          <w:highlight w:val="none"/>
          <w:lang w:val="en-US" w:eastAsia="zh-CN"/>
        </w:rPr>
        <w:footnoteReference w:id="33"/>
      </w:r>
      <w:r>
        <w:rPr>
          <w:rFonts w:hint="eastAsia"/>
          <w:sz w:val="24"/>
          <w:highlight w:val="none"/>
        </w:rPr>
        <w:t>虽然铸造和转让数字藏品离不开区块链去中心化平台的协助，但是这种协助并不会导致“支配</w:t>
      </w:r>
      <w:r>
        <w:rPr>
          <w:rFonts w:hint="eastAsia"/>
          <w:sz w:val="24"/>
          <w:highlight w:val="none"/>
          <w:lang w:val="en-US" w:eastAsia="zh-CN"/>
        </w:rPr>
        <w:t>力</w:t>
      </w:r>
      <w:r>
        <w:rPr>
          <w:rFonts w:hint="eastAsia"/>
          <w:sz w:val="24"/>
          <w:highlight w:val="none"/>
        </w:rPr>
        <w:t>”的丧失</w:t>
      </w:r>
      <w:r>
        <w:rPr>
          <w:rFonts w:hint="eastAsia"/>
          <w:sz w:val="24"/>
          <w:highlight w:val="none"/>
          <w:lang w:eastAsia="zh-CN"/>
        </w:rPr>
        <w:t>，</w:t>
      </w:r>
      <w:r>
        <w:rPr>
          <w:rFonts w:hint="eastAsia"/>
          <w:sz w:val="24"/>
          <w:highlight w:val="none"/>
          <w:lang w:val="en-US" w:eastAsia="zh-CN"/>
        </w:rPr>
        <w:t>而只是所有权人控制财产的方式发生了转变，从本质上看所有人依然具有支配意图，完全按照自己的意志来决定数字藏品的命运，而这实际上与支配权的核心相一致。</w:t>
      </w:r>
    </w:p>
    <w:p w14:paraId="25001C67">
      <w:pPr>
        <w:numPr>
          <w:ilvl w:val="0"/>
          <w:numId w:val="2"/>
        </w:numPr>
        <w:snapToGrid w:val="0"/>
        <w:spacing w:line="360" w:lineRule="auto"/>
        <w:ind w:left="0" w:leftChars="0" w:firstLine="480" w:firstLineChars="200"/>
        <w:rPr>
          <w:sz w:val="24"/>
          <w:highlight w:val="none"/>
        </w:rPr>
      </w:pPr>
      <w:r>
        <w:rPr>
          <w:rFonts w:hint="eastAsia"/>
          <w:sz w:val="24"/>
          <w:highlight w:val="none"/>
        </w:rPr>
        <w:t>数字藏品属于物中的“无形动产”</w:t>
      </w:r>
    </w:p>
    <w:p w14:paraId="6DB3FC14">
      <w:pPr>
        <w:snapToGrid w:val="0"/>
        <w:spacing w:line="360" w:lineRule="auto"/>
        <w:ind w:firstLine="480" w:firstLineChars="200"/>
        <w:rPr>
          <w:rFonts w:hint="eastAsia" w:eastAsiaTheme="minorEastAsia"/>
          <w:sz w:val="24"/>
          <w:highlight w:val="none"/>
          <w:lang w:eastAsia="zh-CN"/>
        </w:rPr>
      </w:pPr>
      <w:r>
        <w:rPr>
          <w:rFonts w:hint="eastAsia"/>
          <w:sz w:val="24"/>
          <w:highlight w:val="none"/>
        </w:rPr>
        <w:t>“物”作为法律上的一个基础概念，是对权利客体</w:t>
      </w:r>
      <w:r>
        <w:rPr>
          <w:rFonts w:hint="eastAsia"/>
          <w:sz w:val="24"/>
          <w:highlight w:val="none"/>
          <w:lang w:val="en-US" w:eastAsia="zh-CN"/>
        </w:rPr>
        <w:t>的</w:t>
      </w:r>
      <w:r>
        <w:rPr>
          <w:rFonts w:hint="eastAsia"/>
          <w:sz w:val="24"/>
          <w:highlight w:val="none"/>
        </w:rPr>
        <w:t>广义描述。“物”种类划分</w:t>
      </w:r>
      <w:r>
        <w:rPr>
          <w:rFonts w:hint="eastAsia"/>
          <w:sz w:val="24"/>
          <w:highlight w:val="none"/>
          <w:lang w:val="en-US" w:eastAsia="zh-CN"/>
        </w:rPr>
        <w:t>不同，公示方式和</w:t>
      </w:r>
      <w:r>
        <w:rPr>
          <w:rFonts w:hint="eastAsia"/>
          <w:sz w:val="24"/>
          <w:highlight w:val="none"/>
        </w:rPr>
        <w:t>适用的法律规则也有所</w:t>
      </w:r>
      <w:r>
        <w:rPr>
          <w:rFonts w:hint="eastAsia"/>
          <w:sz w:val="24"/>
          <w:highlight w:val="none"/>
          <w:lang w:val="en-US" w:eastAsia="zh-CN"/>
        </w:rPr>
        <w:t>差异</w:t>
      </w:r>
      <w:r>
        <w:rPr>
          <w:rFonts w:hint="eastAsia"/>
          <w:sz w:val="24"/>
          <w:highlight w:val="none"/>
        </w:rPr>
        <w:t>。物权法的体系以动产和不动产的划分</w:t>
      </w:r>
      <w:r>
        <w:rPr>
          <w:rFonts w:hint="eastAsia"/>
          <w:sz w:val="24"/>
          <w:highlight w:val="none"/>
          <w:lang w:val="en-US" w:eastAsia="zh-CN"/>
        </w:rPr>
        <w:t>展开</w:t>
      </w:r>
      <w:r>
        <w:rPr>
          <w:rFonts w:hint="eastAsia"/>
          <w:sz w:val="24"/>
          <w:highlight w:val="none"/>
        </w:rPr>
        <w:t>，而两者的划分标志就是财产在空间上是否可以位移以及是否会影响该财产的价值。</w:t>
      </w:r>
      <w:r>
        <w:rPr>
          <w:rStyle w:val="11"/>
          <w:rFonts w:hint="eastAsia"/>
          <w:sz w:val="24"/>
          <w:highlight w:val="none"/>
        </w:rPr>
        <w:footnoteReference w:id="34"/>
      </w:r>
      <w:r>
        <w:rPr>
          <w:rFonts w:hint="eastAsia"/>
          <w:sz w:val="24"/>
          <w:highlight w:val="none"/>
        </w:rPr>
        <w:t>动产是指在移动过程中不导致其价值本质性减损的物，如普通商品、设备等；而不动产则是指一经移动便可能严重损害其价值、功能或法律状态的物，例如土地、房屋等。数字藏品虽缺乏物理形态，但其本质上作为可流通、可交易的权利载体</w:t>
      </w:r>
      <w:r>
        <w:rPr>
          <w:rFonts w:hint="eastAsia"/>
          <w:sz w:val="24"/>
          <w:highlight w:val="none"/>
          <w:lang w:eastAsia="zh-CN"/>
        </w:rPr>
        <w:t>，</w:t>
      </w:r>
      <w:r>
        <w:rPr>
          <w:rFonts w:hint="eastAsia"/>
          <w:sz w:val="24"/>
          <w:highlight w:val="none"/>
        </w:rPr>
        <w:t>不因转移其存储介质或持有者变更而发生价值上的</w:t>
      </w:r>
      <w:r>
        <w:rPr>
          <w:rFonts w:hint="eastAsia"/>
          <w:sz w:val="24"/>
          <w:highlight w:val="none"/>
          <w:lang w:val="en-US" w:eastAsia="zh-CN"/>
        </w:rPr>
        <w:t>变化，</w:t>
      </w:r>
      <w:r>
        <w:rPr>
          <w:rFonts w:hint="eastAsia"/>
          <w:sz w:val="24"/>
          <w:highlight w:val="none"/>
        </w:rPr>
        <w:t>因而应将其归入无形动产的范畴</w:t>
      </w:r>
      <w:r>
        <w:rPr>
          <w:rFonts w:hint="eastAsia"/>
          <w:sz w:val="24"/>
          <w:highlight w:val="none"/>
          <w:lang w:eastAsia="zh-CN"/>
        </w:rPr>
        <w:t>。</w:t>
      </w:r>
    </w:p>
    <w:p w14:paraId="7596F6C3">
      <w:pPr>
        <w:snapToGrid w:val="0"/>
        <w:spacing w:line="360" w:lineRule="auto"/>
        <w:ind w:firstLine="482"/>
        <w:rPr>
          <w:sz w:val="24"/>
          <w:highlight w:val="none"/>
        </w:rPr>
      </w:pPr>
      <w:r>
        <w:rPr>
          <w:rFonts w:hint="eastAsia"/>
          <w:sz w:val="24"/>
          <w:highlight w:val="none"/>
        </w:rPr>
        <w:t>首先，我国民法并未将无形物排除在</w:t>
      </w:r>
      <w:r>
        <w:rPr>
          <w:rFonts w:hint="eastAsia"/>
          <w:sz w:val="24"/>
          <w:highlight w:val="none"/>
          <w:lang w:val="en-US" w:eastAsia="zh-CN"/>
        </w:rPr>
        <w:t>物</w:t>
      </w:r>
      <w:r>
        <w:rPr>
          <w:rFonts w:hint="eastAsia"/>
          <w:sz w:val="24"/>
          <w:highlight w:val="none"/>
        </w:rPr>
        <w:t>范围之外</w:t>
      </w:r>
      <w:r>
        <w:rPr>
          <w:rFonts w:hint="eastAsia"/>
          <w:sz w:val="24"/>
          <w:highlight w:val="none"/>
          <w:lang w:eastAsia="zh-CN"/>
        </w:rPr>
        <w:t>。</w:t>
      </w:r>
      <w:r>
        <w:rPr>
          <w:rFonts w:hint="eastAsia"/>
          <w:sz w:val="24"/>
          <w:highlight w:val="none"/>
        </w:rPr>
        <w:t>民法典第225条规定“无线电频谱资源归国家所有”。</w:t>
      </w:r>
      <w:r>
        <w:rPr>
          <w:rStyle w:val="11"/>
          <w:rFonts w:hint="eastAsia"/>
          <w:sz w:val="24"/>
          <w:highlight w:val="none"/>
        </w:rPr>
        <w:footnoteReference w:id="35"/>
      </w:r>
      <w:r>
        <w:rPr>
          <w:rFonts w:hint="eastAsia"/>
          <w:sz w:val="24"/>
          <w:highlight w:val="none"/>
        </w:rPr>
        <w:t>该条规定已经默认将无线电频谱资源作为了所有权的客体。所有权是典型的物权，是整个物权法的基础性概念。</w:t>
      </w:r>
      <w:r>
        <w:rPr>
          <w:rStyle w:val="11"/>
          <w:rFonts w:hint="eastAsia"/>
          <w:sz w:val="24"/>
          <w:highlight w:val="none"/>
        </w:rPr>
        <w:footnoteReference w:id="36"/>
      </w:r>
      <w:r>
        <w:rPr>
          <w:rFonts w:hint="eastAsia"/>
          <w:sz w:val="24"/>
          <w:highlight w:val="none"/>
        </w:rPr>
        <w:t>这种肯定无体财产的物权的做法也给数字藏品可以作为无形财产的一部分留下了空间。亨利·史密斯认为，物权产生之初之所以是针对有形物而存在，是因为物权所面对的对象是不特定的人群，而“有形物本身设定了陌生人的权利边界”</w:t>
      </w:r>
      <w:r>
        <w:rPr>
          <w:rStyle w:val="11"/>
          <w:rFonts w:hint="eastAsia"/>
          <w:sz w:val="24"/>
          <w:highlight w:val="none"/>
        </w:rPr>
        <w:footnoteReference w:id="37"/>
      </w:r>
      <w:r>
        <w:rPr>
          <w:rFonts w:hint="eastAsia"/>
          <w:sz w:val="24"/>
          <w:highlight w:val="none"/>
        </w:rPr>
        <w:t>，实体的存在实际上是一种以保证</w:t>
      </w:r>
      <w:r>
        <w:rPr>
          <w:rFonts w:hint="eastAsia"/>
          <w:sz w:val="24"/>
          <w:highlight w:val="none"/>
          <w:lang w:val="en-US" w:eastAsia="zh-CN"/>
        </w:rPr>
        <w:t>权利人能够对标的物进行支配的权利边界工具</w:t>
      </w:r>
      <w:r>
        <w:rPr>
          <w:rFonts w:hint="eastAsia"/>
          <w:sz w:val="24"/>
          <w:highlight w:val="none"/>
        </w:rPr>
        <w:t>，而这种工具并非只有形体一个。</w:t>
      </w:r>
      <w:r>
        <w:rPr>
          <w:rStyle w:val="11"/>
          <w:rFonts w:hint="eastAsia"/>
          <w:sz w:val="24"/>
          <w:highlight w:val="none"/>
        </w:rPr>
        <w:footnoteReference w:id="38"/>
      </w:r>
      <w:r>
        <w:rPr>
          <w:rFonts w:hint="eastAsia"/>
          <w:sz w:val="24"/>
          <w:highlight w:val="none"/>
        </w:rPr>
        <w:t>UNCITRAL目前出台了若干个适用于跨境电子交易的法律文本，这些法律文本建立在三个基本原则上，分别是不歧视原则、功能等同原则和技术中立原则。其中，功能等同原则是指在法律上赋予相同功能的行为或制度相同的法律效力。</w:t>
      </w:r>
      <w:r>
        <w:rPr>
          <w:rStyle w:val="11"/>
          <w:rFonts w:hint="eastAsia"/>
          <w:sz w:val="24"/>
          <w:highlight w:val="none"/>
        </w:rPr>
        <w:footnoteReference w:id="39"/>
      </w:r>
      <w:r>
        <w:rPr>
          <w:rFonts w:hint="eastAsia"/>
          <w:sz w:val="24"/>
          <w:highlight w:val="none"/>
        </w:rPr>
        <w:t>采用这种的</w:t>
      </w:r>
      <w:r>
        <w:rPr>
          <w:rFonts w:hint="eastAsia"/>
          <w:sz w:val="24"/>
          <w:highlight w:val="none"/>
          <w:lang w:val="en-US" w:eastAsia="zh-CN"/>
        </w:rPr>
        <w:t>视角</w:t>
      </w:r>
      <w:r>
        <w:rPr>
          <w:rFonts w:hint="eastAsia"/>
          <w:sz w:val="24"/>
          <w:highlight w:val="none"/>
        </w:rPr>
        <w:t>来看待数字藏品交易就会发现，不论是对藏品的铸造还是转让中，都能够通过代码组成进行一个精确的“锚定”，不论是出让人还是受让人，只要具备有相应的技术知识，都可以知晓该藏品的代码组成和交易过程，也能够自觉并且依赖区块链共识机制保证自身不侵犯他人对其拥有的藏品的合法权利。</w:t>
      </w:r>
      <w:r>
        <w:rPr>
          <w:rFonts w:hint="eastAsia"/>
          <w:sz w:val="24"/>
          <w:highlight w:val="none"/>
          <w:lang w:val="en-US" w:eastAsia="zh-CN"/>
        </w:rPr>
        <w:t>而</w:t>
      </w:r>
      <w:r>
        <w:rPr>
          <w:rFonts w:hint="eastAsia"/>
          <w:sz w:val="24"/>
          <w:highlight w:val="none"/>
        </w:rPr>
        <w:t>这种通过技术强制执行产生的、以“共享和社会习俗”的方式体现的边界能够起到替代“有形性”边界的效果，保证当事人对数字藏品的支配权利能够充分完全行使。</w:t>
      </w:r>
    </w:p>
    <w:p w14:paraId="2DC4C4E8">
      <w:pPr>
        <w:snapToGrid w:val="0"/>
        <w:spacing w:line="360" w:lineRule="auto"/>
        <w:ind w:firstLine="480" w:firstLineChars="200"/>
        <w:jc w:val="left"/>
        <w:rPr>
          <w:rFonts w:hint="eastAsia"/>
          <w:sz w:val="24"/>
          <w:highlight w:val="none"/>
          <w:lang w:val="en-US" w:eastAsia="zh-CN"/>
        </w:rPr>
      </w:pPr>
      <w:r>
        <w:rPr>
          <w:rFonts w:hint="eastAsia"/>
          <w:sz w:val="24"/>
          <w:highlight w:val="none"/>
          <w:lang w:val="en-US" w:eastAsia="zh-CN"/>
        </w:rPr>
        <w:t>其次，数字藏品能够在互联网上自由流通且不减损其价值。有形动产之所以需要以变更占有的方式实现所有权转移，是因其价值的实现依赖于权利人物理上的控制。但数字藏品的价值的实现、使用都不依赖元数据存储位置的物理变化，NFT从技术手段上实现了只需占有通证即可对元数据排他使用和占有的效果。</w:t>
      </w:r>
      <w:r>
        <w:rPr>
          <w:rStyle w:val="11"/>
          <w:rFonts w:hint="eastAsia"/>
          <w:sz w:val="24"/>
          <w:highlight w:val="none"/>
          <w:lang w:val="en-US" w:eastAsia="zh-CN"/>
        </w:rPr>
        <w:footnoteReference w:id="40"/>
      </w:r>
      <w:r>
        <w:rPr>
          <w:rFonts w:hint="eastAsia"/>
          <w:sz w:val="24"/>
          <w:highlight w:val="none"/>
          <w:lang w:val="en-US" w:eastAsia="zh-CN"/>
        </w:rPr>
        <w:t>区块链在其公共账本中保留了从 NFT 的创作者到当前所有者的所有所有者的记录，兼具所有权凭证与真实性证明的功能，</w:t>
      </w:r>
      <w:r>
        <w:rPr>
          <w:rStyle w:val="11"/>
          <w:rFonts w:hint="eastAsia"/>
          <w:sz w:val="24"/>
          <w:highlight w:val="none"/>
          <w:lang w:val="en-US" w:eastAsia="zh-CN"/>
        </w:rPr>
        <w:footnoteReference w:id="41"/>
      </w:r>
      <w:r>
        <w:rPr>
          <w:rFonts w:hint="eastAsia"/>
          <w:sz w:val="24"/>
          <w:highlight w:val="none"/>
          <w:lang w:val="en-US" w:eastAsia="zh-CN"/>
        </w:rPr>
        <w:t>原所有人一旦将数字藏品出售，智能合约就会更新所有者的化名。这一点使得链上记录具有与现实移转占有相似的表征和可追溯性，保证了数字藏品的权属变更并不会对藏品本身的价值造成损害。</w:t>
      </w:r>
      <w:r>
        <w:rPr>
          <w:rFonts w:hint="eastAsia"/>
          <w:sz w:val="24"/>
          <w:highlight w:val="none"/>
        </w:rPr>
        <w:t>不论</w:t>
      </w:r>
      <w:r>
        <w:rPr>
          <w:rFonts w:hint="eastAsia"/>
          <w:sz w:val="24"/>
          <w:highlight w:val="none"/>
          <w:lang w:val="en-US" w:eastAsia="zh-CN"/>
        </w:rPr>
        <w:t>藏品的转让是否具有合法性</w:t>
      </w:r>
      <w:r>
        <w:rPr>
          <w:rFonts w:hint="eastAsia"/>
          <w:sz w:val="24"/>
          <w:highlight w:val="none"/>
        </w:rPr>
        <w:t>，在没有相反证据的情况下，智能合约上对于所有人的记录应当被</w:t>
      </w:r>
      <w:r>
        <w:rPr>
          <w:rFonts w:hint="eastAsia"/>
          <w:sz w:val="24"/>
          <w:highlight w:val="none"/>
          <w:lang w:val="en-US" w:eastAsia="zh-CN"/>
        </w:rPr>
        <w:t>视</w:t>
      </w:r>
      <w:r>
        <w:rPr>
          <w:rFonts w:hint="eastAsia"/>
          <w:sz w:val="24"/>
          <w:highlight w:val="none"/>
        </w:rPr>
        <w:t>为当前持有人占有数字藏品的事实，</w:t>
      </w:r>
      <w:r>
        <w:rPr>
          <w:rFonts w:hint="eastAsia"/>
          <w:sz w:val="24"/>
          <w:highlight w:val="none"/>
          <w:lang w:val="en-US" w:eastAsia="zh-CN"/>
        </w:rPr>
        <w:t>并据以此推定其为</w:t>
      </w:r>
      <w:r>
        <w:rPr>
          <w:rFonts w:hint="eastAsia"/>
          <w:sz w:val="24"/>
          <w:highlight w:val="none"/>
        </w:rPr>
        <w:t>合法持有人。</w:t>
      </w:r>
      <w:r>
        <w:rPr>
          <w:rStyle w:val="11"/>
          <w:rFonts w:hint="eastAsia"/>
          <w:sz w:val="24"/>
          <w:highlight w:val="none"/>
        </w:rPr>
        <w:footnoteReference w:id="42"/>
      </w:r>
      <w:r>
        <w:rPr>
          <w:rFonts w:hint="eastAsia"/>
          <w:sz w:val="24"/>
          <w:highlight w:val="none"/>
          <w:lang w:val="en-US" w:eastAsia="zh-CN"/>
        </w:rPr>
        <w:t>这并非将技术排除在了法律审查的范围之外，而是强调对数字藏品这一类区块链上的财产转移的技术结构和运行逻辑的尊重。否则</w:t>
      </w:r>
      <w:r>
        <w:rPr>
          <w:rFonts w:hint="eastAsia"/>
          <w:sz w:val="24"/>
          <w:highlight w:val="none"/>
        </w:rPr>
        <w:t>，每一笔交易</w:t>
      </w:r>
      <w:r>
        <w:rPr>
          <w:rFonts w:hint="eastAsia"/>
          <w:sz w:val="24"/>
          <w:highlight w:val="none"/>
          <w:lang w:val="en-US" w:eastAsia="zh-CN"/>
        </w:rPr>
        <w:t>在发生争议之时都需要从源头进行</w:t>
      </w:r>
      <w:r>
        <w:rPr>
          <w:rFonts w:hint="eastAsia"/>
          <w:sz w:val="24"/>
          <w:highlight w:val="none"/>
        </w:rPr>
        <w:t>“所有权调查”，</w:t>
      </w:r>
      <w:r>
        <w:rPr>
          <w:rFonts w:hint="eastAsia"/>
          <w:sz w:val="24"/>
          <w:highlight w:val="none"/>
          <w:lang w:val="en-US" w:eastAsia="zh-CN"/>
        </w:rPr>
        <w:t>不仅违背了分布式账本技术促进交易效率和安全性的初衷，也使得区块链系统沦为了单纯的记录工具。</w:t>
      </w:r>
    </w:p>
    <w:p w14:paraId="722111B6">
      <w:pPr>
        <w:pStyle w:val="2"/>
        <w:bidi w:val="0"/>
        <w:rPr>
          <w:rFonts w:hint="default"/>
          <w:highlight w:val="none"/>
          <w:lang w:val="en-US"/>
        </w:rPr>
      </w:pPr>
      <w:r>
        <w:rPr>
          <w:rFonts w:hint="eastAsia"/>
          <w:highlight w:val="none"/>
          <w:lang w:val="en-US" w:eastAsia="zh-CN"/>
        </w:rPr>
        <w:t>二、首要连结点：意思自治的适用</w:t>
      </w:r>
    </w:p>
    <w:p w14:paraId="79B1744A">
      <w:pPr>
        <w:snapToGrid w:val="0"/>
        <w:spacing w:line="360" w:lineRule="auto"/>
        <w:ind w:firstLine="480"/>
        <w:jc w:val="left"/>
        <w:rPr>
          <w:sz w:val="24"/>
          <w:highlight w:val="none"/>
        </w:rPr>
      </w:pPr>
      <w:r>
        <w:rPr>
          <w:rFonts w:hint="eastAsia"/>
          <w:sz w:val="24"/>
          <w:highlight w:val="none"/>
        </w:rPr>
        <w:t>针对数字藏品这一类依托区块链平台而存在的数字资产，既缺乏统一的国际立法，软法规范也相对不足。</w:t>
      </w:r>
      <w:r>
        <w:rPr>
          <w:rStyle w:val="11"/>
          <w:rFonts w:hint="eastAsia"/>
          <w:sz w:val="24"/>
          <w:highlight w:val="none"/>
        </w:rPr>
        <w:footnoteReference w:id="43"/>
      </w:r>
      <w:r>
        <w:rPr>
          <w:rFonts w:hint="eastAsia"/>
          <w:sz w:val="24"/>
          <w:highlight w:val="none"/>
        </w:rPr>
        <w:t>因此在涉及纠纷之时，首先应当考虑依照各国的冲突法规范来确定准据法。我国《涉外民事关系法律适用法》第37条规定：“当事人可以协议选择动产物权适用的法律，当事人没有选择的，适用法律事实发生时动产所在地法律。”这一规定代替了涉外物权领域领域长久依赖坚持的物之所在地作为单一连结点的普遍做法，是我国国际私法领域的一次创新。</w:t>
      </w:r>
      <w:r>
        <w:rPr>
          <w:rStyle w:val="11"/>
          <w:rFonts w:hint="eastAsia"/>
          <w:sz w:val="24"/>
          <w:highlight w:val="none"/>
        </w:rPr>
        <w:footnoteReference w:id="44"/>
      </w:r>
    </w:p>
    <w:p w14:paraId="27C740C8">
      <w:pPr>
        <w:snapToGrid w:val="0"/>
        <w:spacing w:line="360" w:lineRule="auto"/>
        <w:ind w:firstLine="480"/>
        <w:jc w:val="left"/>
        <w:rPr>
          <w:sz w:val="24"/>
          <w:highlight w:val="none"/>
        </w:rPr>
      </w:pPr>
      <w:r>
        <w:rPr>
          <w:rFonts w:hint="eastAsia"/>
          <w:sz w:val="24"/>
          <w:highlight w:val="none"/>
        </w:rPr>
        <w:t>数字藏品权属争议这种新型物权争议</w:t>
      </w:r>
      <w:r>
        <w:rPr>
          <w:rFonts w:hint="eastAsia"/>
          <w:sz w:val="24"/>
          <w:highlight w:val="none"/>
          <w:lang w:val="en-US" w:eastAsia="zh-CN"/>
        </w:rPr>
        <w:t>中，</w:t>
      </w:r>
      <w:r>
        <w:rPr>
          <w:rFonts w:hint="eastAsia"/>
          <w:sz w:val="24"/>
          <w:highlight w:val="none"/>
        </w:rPr>
        <w:t>当事人意思自治的作用会比传统物权变动更突出。将当事人的法律选择条款纳入计算机语言当中可以从相当大的程度上减少自然语言解释的裁量性带来的风险，而智能合约的自我执行性保证了这种法律选择条款能够得到实施，</w:t>
      </w:r>
      <w:r>
        <w:rPr>
          <w:rStyle w:val="11"/>
          <w:rFonts w:hint="eastAsia"/>
          <w:sz w:val="24"/>
          <w:highlight w:val="none"/>
        </w:rPr>
        <w:footnoteReference w:id="45"/>
      </w:r>
      <w:r>
        <w:rPr>
          <w:rFonts w:hint="eastAsia"/>
          <w:sz w:val="24"/>
          <w:highlight w:val="none"/>
          <w:lang w:val="en-US" w:eastAsia="zh-CN"/>
        </w:rPr>
        <w:t>这</w:t>
      </w:r>
      <w:r>
        <w:rPr>
          <w:rFonts w:hint="eastAsia"/>
          <w:sz w:val="24"/>
          <w:highlight w:val="none"/>
        </w:rPr>
        <w:t>放大了当事人意思自治的确定性和可预见性的优点。不仅如此，目前各国针对区块链交易的法律发展情况不一，数字藏品交易可能只受到少数国家的监管，</w:t>
      </w:r>
      <w:r>
        <w:rPr>
          <w:rStyle w:val="11"/>
          <w:rFonts w:hint="eastAsia"/>
          <w:sz w:val="24"/>
          <w:highlight w:val="none"/>
        </w:rPr>
        <w:footnoteReference w:id="46"/>
      </w:r>
      <w:r>
        <w:rPr>
          <w:rFonts w:hint="eastAsia"/>
          <w:sz w:val="24"/>
          <w:highlight w:val="none"/>
        </w:rPr>
        <w:t>当事人自行选择法律不仅更有利于将数字藏品相关纠纷纳入国家法律监管之下，而且能够降低由不具有专业知识的法官随意选择法律的风险。</w:t>
      </w:r>
    </w:p>
    <w:p w14:paraId="220D02EA">
      <w:pPr>
        <w:pStyle w:val="3"/>
        <w:ind w:firstLine="480"/>
        <w:rPr>
          <w:highlight w:val="none"/>
        </w:rPr>
      </w:pPr>
      <w:r>
        <w:rPr>
          <w:rFonts w:hint="eastAsia"/>
          <w:highlight w:val="none"/>
        </w:rPr>
        <w:t>（一）意思自治的对象</w:t>
      </w:r>
    </w:p>
    <w:p w14:paraId="68357EB5">
      <w:pPr>
        <w:snapToGrid w:val="0"/>
        <w:spacing w:line="360" w:lineRule="auto"/>
        <w:ind w:firstLine="480" w:firstLineChars="200"/>
        <w:rPr>
          <w:sz w:val="24"/>
        </w:rPr>
      </w:pPr>
      <w:r>
        <w:rPr>
          <w:rFonts w:hint="eastAsia"/>
          <w:sz w:val="24"/>
          <w:highlight w:val="none"/>
        </w:rPr>
        <w:t>虽然在数字藏品的权属纠纷中，当事人意思自治应当作为法律适用的基本出发点，而当事人的选择可以包括三类：1.纯链上规则即“密码法”2.国际</w:t>
      </w:r>
      <w:r>
        <w:rPr>
          <w:rFonts w:hint="eastAsia"/>
          <w:sz w:val="24"/>
          <w:highlight w:val="none"/>
          <w:lang w:val="en-US" w:eastAsia="zh-CN"/>
        </w:rPr>
        <w:t>法规则</w:t>
      </w:r>
      <w:r>
        <w:rPr>
          <w:rFonts w:hint="eastAsia"/>
          <w:sz w:val="24"/>
        </w:rPr>
        <w:t>3.某国的实体法规范。</w:t>
      </w:r>
      <w:r>
        <w:rPr>
          <w:sz w:val="24"/>
        </w:rPr>
        <w:t>然而，</w:t>
      </w:r>
      <w:r>
        <w:rPr>
          <w:rFonts w:hint="eastAsia"/>
          <w:sz w:val="24"/>
        </w:rPr>
        <w:t>这些规则</w:t>
      </w:r>
      <w:r>
        <w:rPr>
          <w:sz w:val="24"/>
        </w:rPr>
        <w:t>在权利归属、物权变动、优先效力等关键问题上的适用能力各不相同</w:t>
      </w:r>
      <w:r>
        <w:rPr>
          <w:rFonts w:hint="eastAsia"/>
          <w:sz w:val="24"/>
        </w:rPr>
        <w:t>，当事人选择的法律未必都能调整由此产生的争议。</w:t>
      </w:r>
    </w:p>
    <w:p w14:paraId="674ACC54">
      <w:pPr>
        <w:numPr>
          <w:ilvl w:val="0"/>
          <w:numId w:val="3"/>
        </w:numPr>
        <w:snapToGrid w:val="0"/>
        <w:spacing w:line="360" w:lineRule="auto"/>
        <w:ind w:firstLine="480"/>
        <w:rPr>
          <w:sz w:val="24"/>
        </w:rPr>
      </w:pPr>
      <w:r>
        <w:rPr>
          <w:rFonts w:hint="eastAsia"/>
          <w:sz w:val="24"/>
        </w:rPr>
        <w:t>密码法</w:t>
      </w:r>
    </w:p>
    <w:p w14:paraId="3B8DA5E8">
      <w:pPr>
        <w:snapToGrid w:val="0"/>
        <w:spacing w:line="360" w:lineRule="auto"/>
        <w:ind w:firstLine="480" w:firstLineChars="200"/>
        <w:rPr>
          <w:rFonts w:ascii="Times New Roman" w:eastAsia="宋体"/>
          <w:sz w:val="24"/>
        </w:rPr>
      </w:pPr>
      <w:r>
        <w:rPr>
          <w:rFonts w:hint="eastAsia"/>
          <w:sz w:val="24"/>
        </w:rPr>
        <w:t>数字藏品的流通完全通过区块链智能合约平台进行，区块链被创造出来的目的就是为了降低传统交易系统相关的风险、成本、限制和欺诈，</w:t>
      </w:r>
      <w:r>
        <w:rPr>
          <w:rStyle w:val="11"/>
          <w:rFonts w:hint="eastAsia"/>
          <w:sz w:val="24"/>
        </w:rPr>
        <w:footnoteReference w:id="47"/>
      </w:r>
      <w:r>
        <w:rPr>
          <w:rFonts w:hint="eastAsia"/>
          <w:sz w:val="24"/>
        </w:rPr>
        <w:t>去中心化平台并不依赖中心化机构的监管，减少了国家行为者和私人中介对私法行为的干涉。正是基于这种“代码自治”的特点，一些</w:t>
      </w:r>
      <w:r>
        <w:rPr>
          <w:rFonts w:hint="eastAsia" w:ascii="Times New Roman" w:eastAsia="宋体"/>
          <w:sz w:val="24"/>
        </w:rPr>
        <w:t>区块链的支持者提出区块链交易应当由非国家法律</w:t>
      </w:r>
      <w:r>
        <w:rPr>
          <w:rFonts w:hint="eastAsia" w:ascii="Times New Roman" w:eastAsia="宋体"/>
          <w:sz w:val="24"/>
          <w:lang w:val="en-US" w:eastAsia="zh-CN"/>
        </w:rPr>
        <w:t>的自治体系</w:t>
      </w:r>
      <w:r>
        <w:rPr>
          <w:rFonts w:hint="eastAsia" w:ascii="Times New Roman" w:eastAsia="宋体"/>
          <w:sz w:val="24"/>
        </w:rPr>
        <w:t>来治理，</w:t>
      </w:r>
      <w:r>
        <w:rPr>
          <w:rFonts w:hint="eastAsia" w:ascii="Times New Roman" w:eastAsia="宋体"/>
          <w:sz w:val="24"/>
          <w:lang w:val="en-US" w:eastAsia="zh-CN"/>
        </w:rPr>
        <w:t>这</w:t>
      </w:r>
      <w:r>
        <w:rPr>
          <w:rFonts w:hint="eastAsia" w:ascii="Times New Roman" w:eastAsia="宋体"/>
          <w:sz w:val="24"/>
        </w:rPr>
        <w:t>是保护公民自由不受“老大哥国家”的干预的重要工具，</w:t>
      </w:r>
      <w:r>
        <w:rPr>
          <w:rStyle w:val="11"/>
          <w:rFonts w:hint="eastAsia" w:ascii="Times New Roman" w:eastAsia="宋体"/>
          <w:sz w:val="24"/>
        </w:rPr>
        <w:footnoteReference w:id="48"/>
      </w:r>
      <w:r>
        <w:rPr>
          <w:rFonts w:hint="eastAsia" w:ascii="Times New Roman" w:eastAsia="宋体"/>
          <w:sz w:val="24"/>
        </w:rPr>
        <w:t>一些学者将其称之为：“通过自我执行智能合约和去中心化（以及可能匿名）的组织管理的一套规则”</w:t>
      </w:r>
      <w:r>
        <w:rPr>
          <w:rStyle w:val="11"/>
          <w:rFonts w:hint="eastAsia" w:ascii="Times New Roman" w:eastAsia="宋体"/>
          <w:sz w:val="24"/>
        </w:rPr>
        <w:footnoteReference w:id="49"/>
      </w:r>
      <w:r>
        <w:rPr>
          <w:rFonts w:hint="eastAsia" w:ascii="Times New Roman" w:eastAsia="宋体"/>
          <w:sz w:val="24"/>
          <w:lang w:eastAsia="zh-CN"/>
        </w:rPr>
        <w:t>，</w:t>
      </w:r>
      <w:r>
        <w:rPr>
          <w:rFonts w:hint="eastAsia" w:ascii="Times New Roman" w:eastAsia="宋体"/>
          <w:sz w:val="24"/>
        </w:rPr>
        <w:t>即密码法（lex cryptographica）。这是一个与传统法律相平行的制度体系，具有传统法律制度不具有的优点。</w:t>
      </w:r>
      <w:r>
        <w:rPr>
          <w:rFonts w:hint="eastAsia"/>
          <w:sz w:val="24"/>
        </w:rPr>
        <w:t>传统的法律规则只规定人们应该做什么，而技术规则规定了人们</w:t>
      </w:r>
      <w:r>
        <w:rPr>
          <w:rFonts w:hint="eastAsia"/>
          <w:sz w:val="24"/>
          <w:lang w:val="en-US" w:eastAsia="zh-CN"/>
        </w:rPr>
        <w:t>的行为边界</w:t>
      </w:r>
      <w:r>
        <w:rPr>
          <w:rFonts w:hint="eastAsia"/>
          <w:sz w:val="24"/>
        </w:rPr>
        <w:t>，消除了第三方执法机构在事后进行干预以惩罚违法者的需要。软件比法律的适用会更加频繁，也更加有效。</w:t>
      </w:r>
      <w:r>
        <w:rPr>
          <w:rStyle w:val="11"/>
          <w:rFonts w:hint="eastAsia"/>
          <w:sz w:val="24"/>
        </w:rPr>
        <w:footnoteReference w:id="50"/>
      </w:r>
    </w:p>
    <w:p w14:paraId="7B46FC09">
      <w:pPr>
        <w:snapToGrid w:val="0"/>
        <w:spacing w:line="360" w:lineRule="auto"/>
        <w:ind w:firstLine="480" w:firstLineChars="200"/>
        <w:rPr>
          <w:rFonts w:ascii="Times New Roman" w:eastAsia="宋体"/>
          <w:sz w:val="24"/>
        </w:rPr>
      </w:pPr>
      <w:r>
        <w:rPr>
          <w:rFonts w:hint="eastAsia" w:ascii="Times New Roman" w:eastAsia="宋体"/>
          <w:sz w:val="24"/>
        </w:rPr>
        <w:t>但是技术的预测功能是有限的，当专业人员甚至是平台恶意利用代码漏洞牟利时，仅依靠密码法没有办法有效保护个体交易者。例如2016年发生的DAO事件，一名黑客利用了代码中的已知漏洞，将大约5300万美元从THE DAO中转入自己控制的账户，一些人包括黑客自己认为“代码即法律”，由于代码执行符合预期，因此发生的事情是符合代码自治的规则的，因此平台只能通过将区块链“硬分叉”的形式将资金返还给其他参与者，而无法追究黑客的责任，</w:t>
      </w:r>
      <w:r>
        <w:rPr>
          <w:rStyle w:val="11"/>
          <w:rFonts w:hint="eastAsia"/>
        </w:rPr>
        <w:footnoteReference w:id="51"/>
      </w:r>
      <w:r>
        <w:rPr>
          <w:rFonts w:hint="eastAsia" w:ascii="Times New Roman" w:eastAsia="宋体"/>
          <w:sz w:val="24"/>
        </w:rPr>
        <w:t>且这种分叉的代价是巨大的，这意味着之前的交易全部作废。与此同时，区块链智能合约平台的信息处理功能是有限的，智能合约只能处理“dry</w:t>
      </w:r>
      <w:r>
        <w:rPr>
          <w:rFonts w:ascii="Times New Roman" w:eastAsia="宋体"/>
          <w:sz w:val="24"/>
        </w:rPr>
        <w:t xml:space="preserve"> code”</w:t>
      </w:r>
      <w:r>
        <w:rPr>
          <w:rFonts w:hint="eastAsia" w:ascii="Times New Roman" w:eastAsia="宋体"/>
          <w:sz w:val="24"/>
        </w:rPr>
        <w:t>（由机器解释的信息）</w:t>
      </w:r>
      <w:r>
        <w:rPr>
          <w:rFonts w:ascii="Times New Roman" w:eastAsia="宋体"/>
          <w:sz w:val="24"/>
        </w:rPr>
        <w:t>,</w:t>
      </w:r>
      <w:r>
        <w:rPr>
          <w:rFonts w:hint="eastAsia" w:ascii="Times New Roman" w:eastAsia="宋体"/>
          <w:sz w:val="24"/>
        </w:rPr>
        <w:t>无法处理“</w:t>
      </w:r>
      <w:r>
        <w:rPr>
          <w:rFonts w:ascii="Times New Roman" w:eastAsia="宋体"/>
          <w:sz w:val="24"/>
        </w:rPr>
        <w:t>wet code”</w:t>
      </w:r>
      <w:r>
        <w:rPr>
          <w:rFonts w:hint="eastAsia" w:ascii="Times New Roman" w:eastAsia="宋体"/>
          <w:sz w:val="24"/>
        </w:rPr>
        <w:t>（由人脑处理的信息）。</w:t>
      </w:r>
      <w:r>
        <w:rPr>
          <w:rStyle w:val="11"/>
          <w:rFonts w:hint="eastAsia" w:ascii="Times New Roman" w:eastAsia="宋体"/>
          <w:sz w:val="24"/>
        </w:rPr>
        <w:footnoteReference w:id="52"/>
      </w:r>
      <w:r>
        <w:rPr>
          <w:rFonts w:hint="eastAsia" w:ascii="Times New Roman" w:eastAsia="宋体"/>
          <w:sz w:val="24"/>
        </w:rPr>
        <w:t>现实世界交易中的大量中间行为，例如协商，撤销和迟延交易</w:t>
      </w:r>
      <w:r>
        <w:rPr>
          <w:rFonts w:hint="eastAsia" w:ascii="Times New Roman" w:eastAsia="宋体"/>
          <w:sz w:val="24"/>
          <w:lang w:val="en-US" w:eastAsia="zh-CN"/>
        </w:rPr>
        <w:t>都</w:t>
      </w:r>
      <w:r>
        <w:rPr>
          <w:rFonts w:hint="eastAsia" w:ascii="Times New Roman" w:eastAsia="宋体"/>
          <w:sz w:val="24"/>
        </w:rPr>
        <w:t>无法得到密码法的有效调整。</w:t>
      </w:r>
    </w:p>
    <w:p w14:paraId="2147924B">
      <w:pPr>
        <w:snapToGrid w:val="0"/>
        <w:spacing w:line="360" w:lineRule="auto"/>
        <w:ind w:firstLine="480" w:firstLineChars="200"/>
        <w:rPr>
          <w:rFonts w:hint="eastAsia" w:ascii="Times New Roman" w:eastAsia="宋体"/>
          <w:sz w:val="24"/>
          <w:highlight w:val="none"/>
        </w:rPr>
      </w:pPr>
      <w:r>
        <w:rPr>
          <w:rFonts w:hint="eastAsia" w:ascii="Times New Roman" w:eastAsia="宋体"/>
          <w:sz w:val="24"/>
        </w:rPr>
        <w:t>因此，尽管数字藏品的转让受到智能合约区块链平台产生的密码法约束，但</w:t>
      </w:r>
      <w:r>
        <w:rPr>
          <w:rFonts w:hint="eastAsia" w:ascii="Times New Roman" w:eastAsia="宋体"/>
          <w:sz w:val="24"/>
          <w:highlight w:val="none"/>
        </w:rPr>
        <w:t>是这种密码法只能与传统法律并行适用，无法代替法律制度的作用。当事人对“密码法”的选择也只能起到补充传统法律的作用。</w:t>
      </w:r>
    </w:p>
    <w:p w14:paraId="477B62E5">
      <w:pPr>
        <w:numPr>
          <w:ilvl w:val="0"/>
          <w:numId w:val="3"/>
        </w:numPr>
        <w:snapToGrid w:val="0"/>
        <w:spacing w:line="360" w:lineRule="auto"/>
        <w:ind w:firstLine="480"/>
        <w:rPr>
          <w:sz w:val="24"/>
          <w:highlight w:val="none"/>
        </w:rPr>
      </w:pPr>
      <w:r>
        <w:rPr>
          <w:rFonts w:hint="eastAsia"/>
          <w:sz w:val="24"/>
          <w:highlight w:val="none"/>
        </w:rPr>
        <w:t>国际</w:t>
      </w:r>
      <w:r>
        <w:rPr>
          <w:rFonts w:hint="eastAsia"/>
          <w:sz w:val="24"/>
          <w:highlight w:val="none"/>
          <w:lang w:val="en-US" w:eastAsia="zh-CN"/>
        </w:rPr>
        <w:t>法规则</w:t>
      </w:r>
    </w:p>
    <w:p w14:paraId="58240696">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480" w:firstLineChars="200"/>
        <w:textAlignment w:val="auto"/>
        <w:rPr>
          <w:rFonts w:hint="default"/>
          <w:sz w:val="24"/>
          <w:highlight w:val="none"/>
          <w:lang w:val="en-US" w:eastAsia="zh-CN"/>
        </w:rPr>
      </w:pPr>
      <w:r>
        <w:rPr>
          <w:rFonts w:hint="eastAsia"/>
          <w:sz w:val="24"/>
          <w:highlight w:val="none"/>
        </w:rPr>
        <w:t>数字藏品属于具有一定价值的</w:t>
      </w:r>
      <w:r>
        <w:rPr>
          <w:rFonts w:hint="eastAsia"/>
          <w:sz w:val="24"/>
          <w:highlight w:val="none"/>
          <w:lang w:val="en-US" w:eastAsia="zh-CN"/>
        </w:rPr>
        <w:t>无体动产</w:t>
      </w:r>
      <w:r>
        <w:rPr>
          <w:rFonts w:hint="eastAsia"/>
          <w:sz w:val="24"/>
          <w:highlight w:val="none"/>
        </w:rPr>
        <w:t>，在其跨境流通之时，当事人可以选择国际</w:t>
      </w:r>
      <w:r>
        <w:rPr>
          <w:rFonts w:hint="eastAsia"/>
          <w:sz w:val="24"/>
          <w:highlight w:val="none"/>
          <w:lang w:val="en-US" w:eastAsia="zh-CN"/>
        </w:rPr>
        <w:t>法规则</w:t>
      </w:r>
      <w:r>
        <w:rPr>
          <w:rFonts w:hint="eastAsia"/>
          <w:sz w:val="24"/>
          <w:highlight w:val="none"/>
        </w:rPr>
        <w:t>来调整基于买卖合同而产生的法律关系</w:t>
      </w:r>
      <w:r>
        <w:rPr>
          <w:rFonts w:hint="eastAsia"/>
          <w:sz w:val="24"/>
          <w:highlight w:val="none"/>
          <w:lang w:eastAsia="zh-CN"/>
        </w:rPr>
        <w:t>。</w:t>
      </w:r>
      <w:r>
        <w:rPr>
          <w:rFonts w:hint="eastAsia"/>
          <w:sz w:val="24"/>
          <w:highlight w:val="none"/>
          <w:lang w:val="en-US" w:eastAsia="zh-CN"/>
        </w:rPr>
        <w:t>国际电子交易中能够发挥作用的国际法规则有三个来源，即联合国国际货物销售合同公约（the United Nations Convention on Contracts for the International Sale of Goods，以下简称CISG）、联合国国际贸易法委员会的示范法以及国际统一私法协会的原则。</w:t>
      </w:r>
      <w:r>
        <w:rPr>
          <w:rStyle w:val="11"/>
          <w:rFonts w:hint="eastAsia"/>
          <w:sz w:val="24"/>
          <w:highlight w:val="none"/>
          <w:lang w:val="en-US" w:eastAsia="zh-CN"/>
        </w:rPr>
        <w:footnoteReference w:id="53"/>
      </w:r>
      <w:r>
        <w:rPr>
          <w:rFonts w:hint="eastAsia"/>
          <w:sz w:val="24"/>
          <w:highlight w:val="none"/>
          <w:lang w:val="en-US" w:eastAsia="zh-CN"/>
        </w:rPr>
        <w:t>其中联合国贸易法委员会的示范法主要是解决电子形式合同的效力问题，因此在本文不进行讨论。</w:t>
      </w:r>
    </w:p>
    <w:p w14:paraId="464E6C28">
      <w:pPr>
        <w:snapToGrid w:val="0"/>
        <w:spacing w:line="360" w:lineRule="auto"/>
        <w:ind w:firstLine="480" w:firstLineChars="200"/>
        <w:rPr>
          <w:rFonts w:hint="eastAsia"/>
          <w:sz w:val="24"/>
          <w:highlight w:val="none"/>
          <w:lang w:val="en-US" w:eastAsia="zh-CN"/>
        </w:rPr>
      </w:pPr>
      <w:r>
        <w:rPr>
          <w:rFonts w:hint="eastAsia"/>
          <w:sz w:val="24"/>
          <w:highlight w:val="none"/>
          <w:lang w:val="en-US" w:eastAsia="zh-CN"/>
        </w:rPr>
        <w:t>CISG是否能够适用于数字藏品的交易，学者们有不同意见，一些学者认为，公约第2条的规定所做的排除性列举隐含了排除有形商品以外的商品销售的意涵。</w:t>
      </w:r>
      <w:r>
        <w:rPr>
          <w:rStyle w:val="11"/>
          <w:rFonts w:hint="eastAsia"/>
          <w:sz w:val="24"/>
          <w:highlight w:val="none"/>
          <w:lang w:val="en-US" w:eastAsia="zh-CN"/>
        </w:rPr>
        <w:footnoteReference w:id="54"/>
      </w:r>
      <w:r>
        <w:rPr>
          <w:rFonts w:hint="eastAsia"/>
          <w:sz w:val="24"/>
          <w:highlight w:val="none"/>
          <w:lang w:val="en-US" w:eastAsia="zh-CN"/>
        </w:rPr>
        <w:t>事实上，公约文本刻意回避“商品”的明确定义而采用排除方式立法意旨就在于避免技术创新及新型商品形态对公约适用构成障碍，并防止国内法对公约解释的过度约束。公约第7条要求解释公约时须虑及其国际性质、促进国际贸易统一适用及遵守诚信之需，</w:t>
      </w:r>
      <w:r>
        <w:rPr>
          <w:rStyle w:val="11"/>
          <w:rFonts w:hint="eastAsia"/>
          <w:sz w:val="24"/>
          <w:highlight w:val="none"/>
          <w:lang w:val="en-US" w:eastAsia="zh-CN"/>
        </w:rPr>
        <w:footnoteReference w:id="55"/>
      </w:r>
      <w:r>
        <w:rPr>
          <w:rFonts w:hint="eastAsia"/>
          <w:sz w:val="24"/>
          <w:highlight w:val="none"/>
          <w:lang w:val="en-US" w:eastAsia="zh-CN"/>
        </w:rPr>
        <w:t>这项解释规则为填补法律空白提供了依据，也给数字藏品交易适用公约开辟了空间。数字藏品的流通在性质上可类比软件销售，其核心在于交易交付方式及当事人权利义务实现形式的改变，并不构成对合同关系本质的颠覆，故不实质影响公约对该类合同关系的可适用性。</w:t>
      </w:r>
    </w:p>
    <w:p w14:paraId="4EE3EB90">
      <w:pPr>
        <w:snapToGrid w:val="0"/>
        <w:spacing w:line="360" w:lineRule="auto"/>
        <w:ind w:firstLine="480" w:firstLineChars="200"/>
        <w:rPr>
          <w:rFonts w:hint="eastAsia"/>
          <w:sz w:val="24"/>
          <w:highlight w:val="none"/>
        </w:rPr>
      </w:pPr>
      <w:r>
        <w:rPr>
          <w:rFonts w:hint="eastAsia"/>
          <w:sz w:val="24"/>
          <w:highlight w:val="none"/>
        </w:rPr>
        <w:t>然而，CISG并非全面规范货物交易中涉及的所有法律问题。公约第4条明确指出公约仅调整买卖双方在合同履行过程中的权利义务关系与风险承担，不涉及货物所有权的转移问题</w:t>
      </w:r>
      <w:r>
        <w:rPr>
          <w:rFonts w:hint="eastAsia"/>
          <w:sz w:val="24"/>
          <w:highlight w:val="none"/>
          <w:lang w:eastAsia="zh-CN"/>
        </w:rPr>
        <w:t>。</w:t>
      </w:r>
      <w:r>
        <w:rPr>
          <w:rStyle w:val="11"/>
          <w:rFonts w:hint="eastAsia"/>
          <w:sz w:val="24"/>
          <w:highlight w:val="none"/>
          <w:lang w:eastAsia="zh-CN"/>
        </w:rPr>
        <w:footnoteReference w:id="56"/>
      </w:r>
      <w:r>
        <w:rPr>
          <w:rFonts w:hint="eastAsia"/>
          <w:sz w:val="24"/>
          <w:highlight w:val="none"/>
        </w:rPr>
        <w:t>在数字藏品交易中，CISG可能适用于合同义务的履行争议，但在涉及所有权归属的情形下，例如一物多卖、未经授权的重复转让，或因私钥被盗导致的所有权转移问题，</w:t>
      </w:r>
      <w:r>
        <w:rPr>
          <w:rFonts w:hint="eastAsia"/>
          <w:sz w:val="24"/>
          <w:highlight w:val="none"/>
          <w:lang w:val="en-US" w:eastAsia="zh-CN"/>
        </w:rPr>
        <w:t>均</w:t>
      </w:r>
      <w:r>
        <w:rPr>
          <w:rFonts w:hint="eastAsia"/>
          <w:sz w:val="24"/>
          <w:highlight w:val="none"/>
        </w:rPr>
        <w:t>超出</w:t>
      </w:r>
      <w:r>
        <w:rPr>
          <w:rFonts w:hint="eastAsia"/>
          <w:sz w:val="24"/>
          <w:highlight w:val="none"/>
          <w:lang w:val="en-US" w:eastAsia="zh-CN"/>
        </w:rPr>
        <w:t>了</w:t>
      </w:r>
      <w:r>
        <w:rPr>
          <w:rFonts w:hint="eastAsia"/>
          <w:sz w:val="24"/>
          <w:highlight w:val="none"/>
        </w:rPr>
        <w:t>CISG的调整范围。</w:t>
      </w:r>
    </w:p>
    <w:p w14:paraId="69C33E64">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480" w:firstLineChars="200"/>
        <w:textAlignment w:val="auto"/>
        <w:rPr>
          <w:rFonts w:hint="default" w:eastAsiaTheme="minorEastAsia"/>
          <w:sz w:val="24"/>
          <w:highlight w:val="none"/>
          <w:lang w:val="en-US" w:eastAsia="zh-CN"/>
        </w:rPr>
      </w:pPr>
      <w:r>
        <w:rPr>
          <w:rFonts w:hint="eastAsia"/>
          <w:sz w:val="24"/>
          <w:szCs w:val="24"/>
          <w:highlight w:val="none"/>
          <w:lang w:val="en-US" w:eastAsia="zh-CN"/>
        </w:rPr>
        <w:t>国际统一私法协会在2023年发布的《数字资产与私法原则》涵盖了实体法、程序法和冲突法规则，</w:t>
      </w:r>
      <w:r>
        <w:rPr>
          <w:rStyle w:val="11"/>
          <w:rFonts w:hint="eastAsia"/>
          <w:sz w:val="24"/>
          <w:szCs w:val="24"/>
          <w:highlight w:val="none"/>
          <w:lang w:val="en-US" w:eastAsia="zh-CN"/>
        </w:rPr>
        <w:footnoteReference w:id="57"/>
      </w:r>
      <w:r>
        <w:rPr>
          <w:rFonts w:hint="eastAsia"/>
          <w:sz w:val="24"/>
          <w:szCs w:val="24"/>
          <w:highlight w:val="none"/>
          <w:lang w:val="en-US" w:eastAsia="zh-CN"/>
        </w:rPr>
        <w:t>虽然原则实际上也为数字资产物权变动的做出了相应的规定，例如原则第6条规定对数字资产的”控制“概念，以及原则第8条规定对善意取得数字资产的当事人的保护机制。</w:t>
      </w:r>
      <w:r>
        <w:rPr>
          <w:rStyle w:val="11"/>
          <w:rFonts w:hint="eastAsia"/>
          <w:sz w:val="24"/>
          <w:szCs w:val="24"/>
          <w:highlight w:val="none"/>
          <w:lang w:val="en-US" w:eastAsia="zh-CN"/>
        </w:rPr>
        <w:footnoteReference w:id="58"/>
      </w:r>
      <w:r>
        <w:rPr>
          <w:rFonts w:hint="eastAsia"/>
          <w:sz w:val="24"/>
          <w:szCs w:val="24"/>
          <w:highlight w:val="none"/>
          <w:lang w:val="en-US" w:eastAsia="zh-CN"/>
        </w:rPr>
        <w:t>但第3条关于数字资产所有权相关的争议应当适用“其他法律”的规定意味着原则依然无法解决数字藏品所有权归属带来的一系列问题。</w:t>
      </w:r>
    </w:p>
    <w:p w14:paraId="3253D430">
      <w:pPr>
        <w:snapToGrid w:val="0"/>
        <w:spacing w:line="360" w:lineRule="auto"/>
        <w:ind w:firstLine="480" w:firstLineChars="200"/>
        <w:rPr>
          <w:rFonts w:hint="eastAsia"/>
          <w:sz w:val="24"/>
          <w:highlight w:val="none"/>
        </w:rPr>
      </w:pPr>
      <w:r>
        <w:rPr>
          <w:rFonts w:hint="eastAsia"/>
          <w:sz w:val="24"/>
          <w:highlight w:val="none"/>
          <w:lang w:val="en-US" w:eastAsia="zh-CN"/>
        </w:rPr>
        <w:t>而这样的做法有其内在原因。</w:t>
      </w:r>
      <w:r>
        <w:rPr>
          <w:sz w:val="24"/>
          <w:highlight w:val="none"/>
        </w:rPr>
        <w:t>一方面，</w:t>
      </w:r>
      <w:r>
        <w:rPr>
          <w:rFonts w:hint="eastAsia"/>
          <w:sz w:val="24"/>
          <w:highlight w:val="none"/>
        </w:rPr>
        <w:t>从历史上来看，由于各国法律渊源、法律思维及方法等诸多因素的差异，英美法系和大陆法系对物权的设立方式和</w:t>
      </w:r>
      <w:r>
        <w:rPr>
          <w:rFonts w:hint="eastAsia"/>
          <w:sz w:val="24"/>
          <w:highlight w:val="none"/>
          <w:lang w:val="en-US" w:eastAsia="zh-CN"/>
        </w:rPr>
        <w:t>保护</w:t>
      </w:r>
      <w:r>
        <w:rPr>
          <w:rFonts w:hint="eastAsia"/>
          <w:sz w:val="24"/>
          <w:highlight w:val="none"/>
        </w:rPr>
        <w:t>规则存在相当大的差别，物权的种类，内容以及效力范围也难以达成一致，</w:t>
      </w:r>
      <w:r>
        <w:rPr>
          <w:rStyle w:val="11"/>
          <w:rFonts w:hint="eastAsia"/>
          <w:sz w:val="24"/>
          <w:highlight w:val="none"/>
        </w:rPr>
        <w:footnoteReference w:id="59"/>
      </w:r>
      <w:r>
        <w:rPr>
          <w:sz w:val="24"/>
          <w:highlight w:val="none"/>
        </w:rPr>
        <w:t>物权的变动多由各国强行法规范，并非当事人合意所能完全决定；另一方面，合同</w:t>
      </w:r>
      <w:r>
        <w:rPr>
          <w:rFonts w:hint="eastAsia"/>
          <w:sz w:val="24"/>
          <w:highlight w:val="none"/>
        </w:rPr>
        <w:t>的相对性原理决定了基于合同产生的</w:t>
      </w:r>
      <w:r>
        <w:rPr>
          <w:sz w:val="24"/>
          <w:highlight w:val="none"/>
        </w:rPr>
        <w:t>权利义务</w:t>
      </w:r>
      <w:r>
        <w:rPr>
          <w:rFonts w:hint="eastAsia"/>
          <w:sz w:val="24"/>
          <w:highlight w:val="none"/>
        </w:rPr>
        <w:t>分配</w:t>
      </w:r>
      <w:r>
        <w:rPr>
          <w:sz w:val="24"/>
          <w:highlight w:val="none"/>
        </w:rPr>
        <w:t>仅在当事人之间产生效力，对于第三人是否善意</w:t>
      </w:r>
      <w:r>
        <w:rPr>
          <w:rFonts w:hint="eastAsia"/>
          <w:sz w:val="24"/>
          <w:highlight w:val="none"/>
        </w:rPr>
        <w:t>取得</w:t>
      </w:r>
      <w:r>
        <w:rPr>
          <w:sz w:val="24"/>
          <w:highlight w:val="none"/>
        </w:rPr>
        <w:t>所有权、是否构成有效物权变动，仍需依据</w:t>
      </w:r>
      <w:r>
        <w:rPr>
          <w:rFonts w:hint="eastAsia"/>
          <w:sz w:val="24"/>
          <w:highlight w:val="none"/>
          <w:lang w:val="en-US" w:eastAsia="zh-CN"/>
        </w:rPr>
        <w:t>物所</w:t>
      </w:r>
      <w:r>
        <w:rPr>
          <w:sz w:val="24"/>
          <w:highlight w:val="none"/>
        </w:rPr>
        <w:t>属地</w:t>
      </w:r>
      <w:r>
        <w:rPr>
          <w:rFonts w:hint="eastAsia"/>
          <w:sz w:val="24"/>
          <w:highlight w:val="none"/>
          <w:lang w:val="en-US" w:eastAsia="zh-CN"/>
        </w:rPr>
        <w:t>点</w:t>
      </w:r>
      <w:r>
        <w:rPr>
          <w:sz w:val="24"/>
          <w:highlight w:val="none"/>
        </w:rPr>
        <w:t>法律进行判断。因此，即使</w:t>
      </w:r>
      <w:r>
        <w:rPr>
          <w:rFonts w:hint="eastAsia"/>
          <w:sz w:val="24"/>
          <w:highlight w:val="none"/>
          <w:lang w:val="en-US" w:eastAsia="zh-CN"/>
        </w:rPr>
        <w:t>国际法规则</w:t>
      </w:r>
      <w:r>
        <w:rPr>
          <w:rFonts w:hint="eastAsia"/>
          <w:sz w:val="24"/>
          <w:highlight w:val="none"/>
        </w:rPr>
        <w:t>基于当事人的意思自治</w:t>
      </w:r>
      <w:r>
        <w:rPr>
          <w:rFonts w:hint="eastAsia"/>
          <w:sz w:val="24"/>
          <w:highlight w:val="none"/>
          <w:lang w:val="en-US" w:eastAsia="zh-CN"/>
        </w:rPr>
        <w:t>而</w:t>
      </w:r>
      <w:r>
        <w:rPr>
          <w:sz w:val="24"/>
          <w:highlight w:val="none"/>
        </w:rPr>
        <w:t>适用</w:t>
      </w:r>
      <w:r>
        <w:rPr>
          <w:rFonts w:hint="eastAsia"/>
          <w:sz w:val="24"/>
          <w:highlight w:val="none"/>
        </w:rPr>
        <w:t>，</w:t>
      </w:r>
      <w:r>
        <w:rPr>
          <w:sz w:val="24"/>
          <w:highlight w:val="none"/>
        </w:rPr>
        <w:t>亦无法为数字藏品的所有权</w:t>
      </w:r>
      <w:r>
        <w:rPr>
          <w:rFonts w:hint="eastAsia"/>
          <w:sz w:val="24"/>
          <w:highlight w:val="none"/>
          <w:lang w:val="en-US" w:eastAsia="zh-CN"/>
        </w:rPr>
        <w:t>提供有效保护</w:t>
      </w:r>
      <w:r>
        <w:rPr>
          <w:rFonts w:hint="eastAsia"/>
          <w:sz w:val="24"/>
          <w:highlight w:val="none"/>
        </w:rPr>
        <w:t>。</w:t>
      </w:r>
    </w:p>
    <w:p w14:paraId="1ECB124A">
      <w:pPr>
        <w:pStyle w:val="2"/>
        <w:numPr>
          <w:ilvl w:val="0"/>
          <w:numId w:val="3"/>
        </w:numPr>
        <w:bidi w:val="0"/>
        <w:ind w:left="0" w:leftChars="0" w:firstLine="480" w:firstLineChars="0"/>
        <w:rPr>
          <w:rFonts w:hint="eastAsia" w:asciiTheme="minorHAnsi" w:hAnsiTheme="minorHAnsi" w:eastAsiaTheme="minorEastAsia" w:cstheme="minorBidi"/>
          <w:b w:val="0"/>
          <w:kern w:val="2"/>
          <w:sz w:val="24"/>
          <w:szCs w:val="24"/>
          <w:highlight w:val="none"/>
          <w:lang w:val="en-US" w:eastAsia="zh-CN" w:bidi="ar-SA"/>
        </w:rPr>
      </w:pPr>
      <w:r>
        <w:rPr>
          <w:rFonts w:hint="eastAsia" w:asciiTheme="minorHAnsi" w:hAnsiTheme="minorHAnsi" w:eastAsiaTheme="minorEastAsia" w:cstheme="minorBidi"/>
          <w:b w:val="0"/>
          <w:kern w:val="2"/>
          <w:sz w:val="24"/>
          <w:szCs w:val="24"/>
          <w:highlight w:val="none"/>
          <w:lang w:val="en-US" w:eastAsia="zh-CN" w:bidi="ar-SA"/>
        </w:rPr>
        <w:t>各国国内实体法规则</w:t>
      </w:r>
    </w:p>
    <w:p w14:paraId="6F895D7F">
      <w:pPr>
        <w:snapToGrid w:val="0"/>
        <w:spacing w:line="360" w:lineRule="auto"/>
        <w:ind w:firstLine="480" w:firstLineChars="200"/>
        <w:rPr>
          <w:rFonts w:hint="default" w:eastAsiaTheme="minorEastAsia"/>
          <w:sz w:val="24"/>
          <w:highlight w:val="none"/>
          <w:lang w:val="en-US" w:eastAsia="zh-CN"/>
        </w:rPr>
      </w:pPr>
      <w:r>
        <w:rPr>
          <w:rFonts w:hint="eastAsia"/>
          <w:sz w:val="24"/>
          <w:highlight w:val="none"/>
        </w:rPr>
        <w:t>当数字藏品权属纠纷发生之时，当事人也可以约定适用某一国家的实体法规则。然而，各国对区块链的认识程度不一，实体法规则会存在显著差异。例如，美国《统一商法典》（UCC）将数字资产区分为支付型、证券型和消费型三类</w:t>
      </w:r>
      <w:r>
        <w:rPr>
          <w:rStyle w:val="11"/>
          <w:rFonts w:hint="eastAsia"/>
          <w:sz w:val="24"/>
          <w:highlight w:val="none"/>
        </w:rPr>
        <w:footnoteReference w:id="60"/>
      </w:r>
      <w:r>
        <w:rPr>
          <w:rFonts w:hint="eastAsia"/>
          <w:sz w:val="24"/>
          <w:highlight w:val="none"/>
        </w:rPr>
        <w:t>，并明确数字资产的不同类别的法律适用。</w:t>
      </w:r>
      <w:r>
        <w:rPr>
          <w:rStyle w:val="11"/>
          <w:rFonts w:hint="eastAsia"/>
          <w:sz w:val="24"/>
          <w:highlight w:val="none"/>
        </w:rPr>
        <w:footnoteReference w:id="61"/>
      </w:r>
      <w:r>
        <w:rPr>
          <w:rFonts w:hint="eastAsia"/>
          <w:sz w:val="24"/>
          <w:highlight w:val="none"/>
          <w:lang w:val="en-US" w:eastAsia="zh-CN"/>
        </w:rPr>
        <w:t>而中国目前立法与实践都缺乏对数字藏品性质的一致意见。</w:t>
      </w:r>
    </w:p>
    <w:p w14:paraId="37F5FA23">
      <w:pPr>
        <w:snapToGrid w:val="0"/>
        <w:spacing w:line="360" w:lineRule="auto"/>
        <w:ind w:firstLine="480" w:firstLineChars="200"/>
        <w:jc w:val="left"/>
        <w:rPr>
          <w:sz w:val="24"/>
          <w:highlight w:val="none"/>
        </w:rPr>
      </w:pPr>
      <w:r>
        <w:rPr>
          <w:rFonts w:hint="eastAsia"/>
          <w:sz w:val="24"/>
          <w:highlight w:val="none"/>
        </w:rPr>
        <w:t>为了保障法律选择的公平性，一些组织采取了“改良合意选择地”（</w:t>
      </w:r>
      <w:r>
        <w:rPr>
          <w:sz w:val="24"/>
          <w:highlight w:val="none"/>
        </w:rPr>
        <w:t>modified elevtive situs)</w:t>
      </w:r>
      <w:r>
        <w:rPr>
          <w:rFonts w:hint="eastAsia"/>
          <w:sz w:val="24"/>
          <w:highlight w:val="none"/>
        </w:rPr>
        <w:t>的做法来限制当事人的意思自治所选择的连结点，例如国际掉期与衍生工具协会（International Swaps and Derivatives Association, ISDA）在2020年1月公布的《利用分布式账本技术的智能合约的国际私法层面》规定，在衍生品转让争议的法律选择上，当事人必须适用美国纽约州法律或英国法。</w:t>
      </w:r>
      <w:r>
        <w:rPr>
          <w:rStyle w:val="11"/>
          <w:rFonts w:hint="eastAsia"/>
          <w:sz w:val="24"/>
          <w:highlight w:val="none"/>
        </w:rPr>
        <w:footnoteReference w:id="62"/>
      </w:r>
    </w:p>
    <w:p w14:paraId="3BEF9385">
      <w:pPr>
        <w:snapToGrid w:val="0"/>
        <w:spacing w:line="360" w:lineRule="auto"/>
        <w:ind w:firstLine="480" w:firstLineChars="200"/>
        <w:jc w:val="left"/>
        <w:rPr>
          <w:rFonts w:hint="eastAsia"/>
          <w:sz w:val="24"/>
          <w:highlight w:val="none"/>
        </w:rPr>
      </w:pPr>
      <w:r>
        <w:rPr>
          <w:rFonts w:hint="eastAsia"/>
          <w:sz w:val="24"/>
          <w:highlight w:val="none"/>
        </w:rPr>
        <w:t>这种限制法律选择的做法目前还只是金融领域方面的尝试，不具有强制性效力，并且可能会引起对意思自治原则减损的担忧。但是正如FMLC在文章中指出的那样，《罗马条例I》出于保护消费者和维护特定国家和区域范围内的需要在欧盟范围内为限制当事人在法律选择方面的自主权提供了先例。这种做法并不是一种对于当事人明确选择法律的权利的否认，而是尊重当事人选择法律的基础上保留某些特殊的保护性规则。</w:t>
      </w:r>
      <w:r>
        <w:rPr>
          <w:rStyle w:val="11"/>
          <w:rFonts w:hint="eastAsia"/>
          <w:sz w:val="24"/>
          <w:highlight w:val="none"/>
        </w:rPr>
        <w:footnoteReference w:id="63"/>
      </w:r>
      <w:r>
        <w:rPr>
          <w:rFonts w:hint="eastAsia"/>
          <w:sz w:val="24"/>
          <w:highlight w:val="none"/>
        </w:rPr>
        <w:t>数字领域中对当事人意思自治的修正是国家对分布式技术环境监管的必然需求。而具体对交易的限制范围可以结合标的物的属性和特定的交易类型由相关交易领域的监管机构做出决定。这样既避免在这种区块链环境中无序扩张的选择自由，也保障了法律的可执行性与交易的合规性。</w:t>
      </w:r>
    </w:p>
    <w:p w14:paraId="2CB680C4">
      <w:pPr>
        <w:pStyle w:val="3"/>
        <w:ind w:firstLine="480"/>
        <w:rPr>
          <w:highlight w:val="none"/>
        </w:rPr>
      </w:pPr>
      <w:r>
        <w:rPr>
          <w:rFonts w:hint="eastAsia"/>
          <w:highlight w:val="none"/>
          <w:lang w:eastAsia="zh-CN"/>
        </w:rPr>
        <w:t>（</w:t>
      </w:r>
      <w:r>
        <w:rPr>
          <w:rFonts w:hint="eastAsia"/>
          <w:highlight w:val="none"/>
          <w:lang w:val="en-US" w:eastAsia="zh-CN"/>
        </w:rPr>
        <w:t>二）</w:t>
      </w:r>
      <w:r>
        <w:rPr>
          <w:rFonts w:hint="eastAsia"/>
          <w:highlight w:val="none"/>
        </w:rPr>
        <w:t>意思自治的形式</w:t>
      </w:r>
    </w:p>
    <w:p w14:paraId="70769812">
      <w:pPr>
        <w:snapToGrid w:val="0"/>
        <w:spacing w:line="360" w:lineRule="auto"/>
        <w:ind w:firstLine="480"/>
        <w:jc w:val="left"/>
        <w:rPr>
          <w:sz w:val="24"/>
          <w:highlight w:val="none"/>
        </w:rPr>
      </w:pPr>
      <w:r>
        <w:rPr>
          <w:rFonts w:hint="eastAsia"/>
          <w:sz w:val="24"/>
          <w:highlight w:val="none"/>
          <w:lang w:val="en-US" w:eastAsia="zh-CN"/>
        </w:rPr>
        <w:t>数字藏品权属纠纷发生时</w:t>
      </w:r>
      <w:r>
        <w:rPr>
          <w:rFonts w:hint="eastAsia"/>
          <w:sz w:val="24"/>
          <w:highlight w:val="none"/>
        </w:rPr>
        <w:t>，当事人的法律选择条款</w:t>
      </w:r>
      <w:r>
        <w:rPr>
          <w:rFonts w:hint="eastAsia"/>
          <w:sz w:val="24"/>
          <w:highlight w:val="none"/>
          <w:lang w:val="en-US" w:eastAsia="zh-CN"/>
        </w:rPr>
        <w:t>可以以三种形式表现：</w:t>
      </w:r>
      <w:r>
        <w:rPr>
          <w:rFonts w:hint="eastAsia"/>
          <w:sz w:val="24"/>
          <w:highlight w:val="none"/>
        </w:rPr>
        <w:t>自然语言的法律选择条款，李嘉图合约（即自然语言与代码结合的法律选择条款形式）以及纯代码形式。当双方的法律选择条款以自然语言的形式呈现时，与传统涉外纠纷中的法律选择</w:t>
      </w:r>
      <w:r>
        <w:rPr>
          <w:rFonts w:hint="eastAsia"/>
          <w:sz w:val="24"/>
          <w:highlight w:val="none"/>
          <w:lang w:val="en-US" w:eastAsia="zh-CN"/>
        </w:rPr>
        <w:t>相同</w:t>
      </w:r>
      <w:r>
        <w:rPr>
          <w:rFonts w:hint="eastAsia"/>
          <w:sz w:val="24"/>
          <w:highlight w:val="none"/>
        </w:rPr>
        <w:t>，应当认可这一类型的法律选择条款效力，但是当双方的法律选择以智能合约代码形式呈现时，是否应当赋予这种代码格式以法律选择条款效力则存在疑问。一些学者认为法律选择的意思必须要以自然语言的形式表达，代码“if</w:t>
      </w:r>
      <w:r>
        <w:rPr>
          <w:sz w:val="24"/>
          <w:highlight w:val="none"/>
        </w:rPr>
        <w:t>-then</w:t>
      </w:r>
      <w:r>
        <w:rPr>
          <w:rFonts w:hint="eastAsia"/>
          <w:sz w:val="24"/>
          <w:highlight w:val="none"/>
        </w:rPr>
        <w:t>”的结构形式太过简单，无法充分表达法律选择的意图，</w:t>
      </w:r>
      <w:r>
        <w:rPr>
          <w:rStyle w:val="11"/>
          <w:rFonts w:hint="eastAsia"/>
          <w:sz w:val="24"/>
          <w:highlight w:val="none"/>
        </w:rPr>
        <w:footnoteReference w:id="64"/>
      </w:r>
      <w:r>
        <w:rPr>
          <w:rFonts w:hint="eastAsia"/>
          <w:sz w:val="24"/>
          <w:highlight w:val="none"/>
          <w:lang w:val="en-US" w:eastAsia="zh-CN"/>
        </w:rPr>
        <w:t>这</w:t>
      </w:r>
      <w:r>
        <w:rPr>
          <w:rFonts w:hint="eastAsia"/>
          <w:sz w:val="24"/>
          <w:highlight w:val="none"/>
        </w:rPr>
        <w:t>仅仅是一个自动履行义务的计算机程序</w:t>
      </w:r>
      <w:r>
        <w:rPr>
          <w:rStyle w:val="11"/>
          <w:rFonts w:hint="eastAsia"/>
          <w:sz w:val="24"/>
          <w:highlight w:val="none"/>
        </w:rPr>
        <w:footnoteReference w:id="65"/>
      </w:r>
      <w:r>
        <w:rPr>
          <w:rFonts w:hint="eastAsia"/>
          <w:sz w:val="24"/>
          <w:highlight w:val="none"/>
        </w:rPr>
        <w:t>。然而，该观点对智能合约表达方式的理解仍停留在传统文本合同的范式之下，忽视了代码本身已具备表达当事人真实意思与约定内容的功能。事实上，以纯代码形式表达法律选择条款不仅可行，而且在特定场景下更具效率与可执行性。</w:t>
      </w:r>
    </w:p>
    <w:p w14:paraId="10B4E593">
      <w:pPr>
        <w:snapToGrid w:val="0"/>
        <w:spacing w:line="360" w:lineRule="auto"/>
        <w:ind w:firstLine="480"/>
        <w:jc w:val="left"/>
        <w:rPr>
          <w:sz w:val="24"/>
          <w:highlight w:val="none"/>
        </w:rPr>
      </w:pPr>
      <w:r>
        <w:rPr>
          <w:rFonts w:hint="eastAsia"/>
          <w:sz w:val="24"/>
          <w:highlight w:val="none"/>
        </w:rPr>
        <w:t>首先，从交易实践出发，目前数字藏品的市场逐渐走向成熟，一些专门的发行公司在数字藏品交易上体现出高度批量化与自动化的特征，若每一笔交易均以自然语言单独设定法律适用条款，既缺乏操作可行性，也不利于经济效率的提升。相较之下，将类似于格式条款的法律选择代码植入合约，既能够保证稳定性和透明性，又便于系统化部署与自动化执行，符合商业合理性。</w:t>
      </w:r>
    </w:p>
    <w:p w14:paraId="33142BCF">
      <w:pPr>
        <w:snapToGrid w:val="0"/>
        <w:spacing w:line="360" w:lineRule="auto"/>
        <w:ind w:firstLine="480" w:firstLineChars="200"/>
        <w:jc w:val="left"/>
        <w:rPr>
          <w:rFonts w:hint="eastAsia"/>
          <w:sz w:val="24"/>
          <w:highlight w:val="none"/>
        </w:rPr>
      </w:pPr>
      <w:r>
        <w:rPr>
          <w:rFonts w:hint="eastAsia"/>
          <w:sz w:val="24"/>
          <w:highlight w:val="none"/>
        </w:rPr>
        <w:t>其次，代码的形式并不必然影响条款的“可读性”。随着智能合约语言的标准化发展，合约代码日益清晰、可读，并可承载明确具体的法律选择内容。更重要的是，当事人选择以智能合约方式进行数字资产交易，就已经产生了基于代码化表达所带来的形式差异与技术门槛的合理预期。正如涉外合同中不会因部分当事人不理解外语而影响用外语表达的合同效力，</w:t>
      </w:r>
      <w:r>
        <w:rPr>
          <w:rStyle w:val="11"/>
          <w:rFonts w:hint="eastAsia"/>
          <w:sz w:val="24"/>
          <w:highlight w:val="none"/>
        </w:rPr>
        <w:footnoteReference w:id="66"/>
      </w:r>
      <w:r>
        <w:rPr>
          <w:rFonts w:hint="eastAsia"/>
          <w:sz w:val="24"/>
          <w:highlight w:val="none"/>
        </w:rPr>
        <w:t>在智能合约环境下，不能因一方主张“不懂代码”而否定代码表达法律选择的效力。同时，代码形式还具备天然的自动执行与惩戒机制嵌入能力，可在条款违背时自动触发技术性制裁，增强法律选择条款的实效性。</w:t>
      </w:r>
    </w:p>
    <w:p w14:paraId="25FC5757">
      <w:pPr>
        <w:pStyle w:val="2"/>
        <w:bidi w:val="0"/>
        <w:rPr>
          <w:highlight w:val="none"/>
        </w:rPr>
      </w:pPr>
      <w:r>
        <w:rPr>
          <w:rFonts w:hint="eastAsia"/>
          <w:highlight w:val="none"/>
          <w:lang w:val="en-US" w:eastAsia="zh-CN"/>
        </w:rPr>
        <w:t>三、缺乏意思自治时“</w:t>
      </w:r>
      <w:r>
        <w:rPr>
          <w:rFonts w:hint="eastAsia"/>
          <w:highlight w:val="none"/>
        </w:rPr>
        <w:t>物之所在地法”的认定</w:t>
      </w:r>
    </w:p>
    <w:p w14:paraId="5278F9C2">
      <w:pPr>
        <w:snapToGrid w:val="0"/>
        <w:spacing w:line="360" w:lineRule="auto"/>
        <w:ind w:firstLine="480"/>
        <w:jc w:val="left"/>
        <w:rPr>
          <w:sz w:val="24"/>
          <w:highlight w:val="none"/>
        </w:rPr>
      </w:pPr>
      <w:bookmarkStart w:id="3" w:name="_Toc1515805613"/>
      <w:r>
        <w:rPr>
          <w:rFonts w:hint="eastAsia"/>
          <w:sz w:val="24"/>
          <w:highlight w:val="none"/>
        </w:rPr>
        <w:t>数字藏品属于无形动产，当事人未作法律选择时，</w:t>
      </w:r>
      <w:r>
        <w:rPr>
          <w:rFonts w:hint="eastAsia"/>
          <w:sz w:val="24"/>
          <w:highlight w:val="none"/>
          <w:lang w:val="en-US" w:eastAsia="zh-CN"/>
        </w:rPr>
        <w:t>涉外动产纠纷</w:t>
      </w:r>
      <w:r>
        <w:rPr>
          <w:rFonts w:hint="eastAsia"/>
          <w:sz w:val="24"/>
          <w:highlight w:val="none"/>
        </w:rPr>
        <w:t>普遍适用“物之所在地法”。</w:t>
      </w:r>
      <w:r>
        <w:rPr>
          <w:rFonts w:hint="eastAsia"/>
          <w:sz w:val="24"/>
          <w:highlight w:val="none"/>
          <w:lang w:val="en-US" w:eastAsia="zh-CN"/>
        </w:rPr>
        <w:t>这是因为</w:t>
      </w:r>
      <w:r>
        <w:rPr>
          <w:rFonts w:hint="eastAsia"/>
          <w:sz w:val="24"/>
          <w:highlight w:val="none"/>
        </w:rPr>
        <w:t>物权</w:t>
      </w:r>
      <w:r>
        <w:rPr>
          <w:rFonts w:hint="eastAsia"/>
          <w:sz w:val="24"/>
          <w:highlight w:val="none"/>
          <w:lang w:val="en-US" w:eastAsia="zh-CN"/>
        </w:rPr>
        <w:t>是</w:t>
      </w:r>
      <w:r>
        <w:rPr>
          <w:rFonts w:hint="eastAsia"/>
          <w:sz w:val="24"/>
          <w:highlight w:val="none"/>
        </w:rPr>
        <w:t>人对物的直接利用和支配关系，</w:t>
      </w:r>
      <w:r>
        <w:rPr>
          <w:rFonts w:hint="eastAsia"/>
          <w:sz w:val="24"/>
          <w:highlight w:val="none"/>
          <w:lang w:val="en-US" w:eastAsia="zh-CN"/>
        </w:rPr>
        <w:t>而</w:t>
      </w:r>
      <w:r>
        <w:rPr>
          <w:rFonts w:hint="eastAsia"/>
          <w:sz w:val="24"/>
          <w:highlight w:val="none"/>
        </w:rPr>
        <w:t>物置于其所在地法律控制之下，才能得到有效保护，适用其他地方法律会有很多技术上的困难。</w:t>
      </w:r>
      <w:r>
        <w:rPr>
          <w:rStyle w:val="11"/>
          <w:rFonts w:hint="eastAsia"/>
          <w:sz w:val="24"/>
          <w:highlight w:val="none"/>
        </w:rPr>
        <w:footnoteReference w:id="67"/>
      </w:r>
      <w:r>
        <w:rPr>
          <w:rFonts w:hint="eastAsia"/>
          <w:sz w:val="24"/>
          <w:highlight w:val="none"/>
        </w:rPr>
        <w:t>物权制度的保护原则是“静态秩序，动态安全”。</w:t>
      </w:r>
      <w:r>
        <w:rPr>
          <w:rStyle w:val="11"/>
          <w:rFonts w:hint="eastAsia"/>
          <w:sz w:val="24"/>
          <w:highlight w:val="none"/>
        </w:rPr>
        <w:footnoteReference w:id="68"/>
      </w:r>
      <w:r>
        <w:rPr>
          <w:rFonts w:hint="eastAsia"/>
          <w:sz w:val="24"/>
          <w:highlight w:val="none"/>
        </w:rPr>
        <w:t>而连结</w:t>
      </w:r>
      <w:r>
        <w:rPr>
          <w:rFonts w:hint="eastAsia"/>
          <w:sz w:val="24"/>
          <w:highlight w:val="none"/>
          <w:lang w:val="en-US" w:eastAsia="zh-CN"/>
        </w:rPr>
        <w:t>点</w:t>
      </w:r>
      <w:r>
        <w:rPr>
          <w:rFonts w:hint="eastAsia"/>
          <w:sz w:val="24"/>
          <w:highlight w:val="none"/>
        </w:rPr>
        <w:t>也需要与案件关联且具有实际意义。</w:t>
      </w:r>
      <w:r>
        <w:rPr>
          <w:rStyle w:val="11"/>
          <w:rFonts w:hint="eastAsia"/>
          <w:sz w:val="24"/>
          <w:highlight w:val="none"/>
        </w:rPr>
        <w:footnoteReference w:id="69"/>
      </w:r>
      <w:r>
        <w:rPr>
          <w:rFonts w:hint="eastAsia"/>
          <w:sz w:val="24"/>
          <w:highlight w:val="none"/>
        </w:rPr>
        <w:t>数字藏品的流通是纯链上交易，这也就意味着缔结、价款的支付都在去中心化的区块链上进行，传统属地连结点规则的适用十分困难。</w:t>
      </w:r>
      <w:r>
        <w:rPr>
          <w:rStyle w:val="11"/>
          <w:rFonts w:hint="eastAsia"/>
          <w:sz w:val="24"/>
          <w:highlight w:val="none"/>
        </w:rPr>
        <w:footnoteReference w:id="70"/>
      </w:r>
      <w:r>
        <w:rPr>
          <w:rFonts w:hint="eastAsia"/>
          <w:sz w:val="24"/>
          <w:highlight w:val="none"/>
        </w:rPr>
        <w:t>因此，区块链环境下定位“物之所在地”应当摆脱物理空间的限制，从有效实现对数字藏品的“控制”出发，确定数字藏品的功能性“物之所在地”。</w:t>
      </w:r>
    </w:p>
    <w:p w14:paraId="0612751A">
      <w:pPr>
        <w:pStyle w:val="3"/>
        <w:ind w:firstLine="480"/>
        <w:rPr>
          <w:highlight w:val="none"/>
        </w:rPr>
      </w:pPr>
      <w:r>
        <w:rPr>
          <w:highlight w:val="none"/>
        </w:rPr>
        <w:t>(</w:t>
      </w:r>
      <w:r>
        <w:rPr>
          <w:rFonts w:hint="eastAsia"/>
          <w:highlight w:val="none"/>
        </w:rPr>
        <w:t>一）平台所在地</w:t>
      </w:r>
      <w:bookmarkEnd w:id="3"/>
    </w:p>
    <w:p w14:paraId="0D230FF6">
      <w:pPr>
        <w:snapToGrid w:val="0"/>
        <w:spacing w:line="360" w:lineRule="auto"/>
        <w:ind w:firstLine="480" w:firstLineChars="200"/>
        <w:jc w:val="left"/>
        <w:rPr>
          <w:sz w:val="24"/>
          <w:highlight w:val="none"/>
        </w:rPr>
      </w:pPr>
      <w:r>
        <w:rPr>
          <w:rFonts w:hint="eastAsia"/>
          <w:sz w:val="24"/>
          <w:highlight w:val="none"/>
          <w:lang w:val="en-US" w:eastAsia="zh-CN"/>
        </w:rPr>
        <w:t>在数字藏品交易中，</w:t>
      </w:r>
      <w:r>
        <w:rPr>
          <w:rFonts w:hint="eastAsia"/>
          <w:sz w:val="24"/>
          <w:highlight w:val="none"/>
        </w:rPr>
        <w:t>平台只是当事人进入区块链的前置</w:t>
      </w:r>
      <w:r>
        <w:rPr>
          <w:rFonts w:hint="eastAsia"/>
          <w:sz w:val="24"/>
          <w:highlight w:val="none"/>
          <w:lang w:eastAsia="zh-CN"/>
        </w:rPr>
        <w:t>“</w:t>
      </w:r>
      <w:r>
        <w:rPr>
          <w:rFonts w:hint="eastAsia"/>
          <w:sz w:val="24"/>
          <w:highlight w:val="none"/>
          <w:lang w:val="en-US" w:eastAsia="zh-CN"/>
        </w:rPr>
        <w:t>端口”</w:t>
      </w:r>
      <w:r>
        <w:rPr>
          <w:rFonts w:hint="eastAsia"/>
          <w:sz w:val="24"/>
          <w:highlight w:val="none"/>
          <w:lang w:eastAsia="zh-CN"/>
        </w:rPr>
        <w:t>，</w:t>
      </w:r>
      <w:r>
        <w:rPr>
          <w:rFonts w:hint="eastAsia"/>
          <w:sz w:val="24"/>
          <w:highlight w:val="none"/>
        </w:rPr>
        <w:t>技术支持的情况下，当事人所拥有的数字藏品可以在任意平台互通。而这种交易模式类似于依靠中介机构间接持有模式购买的证券。所谓证券间接持有，是指投资者不直接购买证券，而是在某证券经纪人处开立证券账户，并指令该经纪人按照自己的要求购买证券，而该经纪人所属国的证券中央存管机构同样开立账户，并以自己的名义为其客户进行证券交易。</w:t>
      </w:r>
      <w:r>
        <w:rPr>
          <w:rStyle w:val="11"/>
          <w:rFonts w:hint="eastAsia"/>
          <w:sz w:val="24"/>
          <w:highlight w:val="none"/>
        </w:rPr>
        <w:footnoteReference w:id="71"/>
      </w:r>
      <w:r>
        <w:rPr>
          <w:rFonts w:hint="eastAsia"/>
          <w:sz w:val="24"/>
          <w:highlight w:val="none"/>
          <w:lang w:val="en-US" w:eastAsia="zh-CN"/>
        </w:rPr>
        <w:t>交易中</w:t>
      </w:r>
      <w:r>
        <w:rPr>
          <w:rFonts w:hint="eastAsia"/>
          <w:sz w:val="24"/>
          <w:highlight w:val="none"/>
        </w:rPr>
        <w:t>多层级的中介机构交叉存在，作为标的的证券同样难以确定“物之所在地”，因此，海牙证券公约谈判期间开发了一种法律适用方式，即所谓的PRIMA原则——通过参考“相关中间人所在地”作为相关权利纠纷的准据法。</w:t>
      </w:r>
      <w:r>
        <w:rPr>
          <w:rStyle w:val="11"/>
          <w:rFonts w:hint="eastAsia"/>
          <w:sz w:val="24"/>
          <w:highlight w:val="none"/>
        </w:rPr>
        <w:footnoteReference w:id="72"/>
      </w:r>
      <w:r>
        <w:rPr>
          <w:rFonts w:hint="eastAsia"/>
          <w:sz w:val="24"/>
          <w:highlight w:val="none"/>
        </w:rPr>
        <w:t>该公约第5条第2款规定，这种中介所在地是中介机构营业所所在地，当有多个营业地点时，则适用主要营业地法。</w:t>
      </w:r>
      <w:r>
        <w:rPr>
          <w:rStyle w:val="11"/>
          <w:rFonts w:hint="eastAsia"/>
          <w:sz w:val="24"/>
          <w:highlight w:val="none"/>
        </w:rPr>
        <w:footnoteReference w:id="73"/>
      </w:r>
      <w:r>
        <w:rPr>
          <w:rFonts w:hint="eastAsia"/>
          <w:sz w:val="24"/>
          <w:highlight w:val="none"/>
        </w:rPr>
        <w:t>英国著名冲突法学者莫里斯等人也认可了这种做法，在英国的法律体系中，证券属于权利动产，权利动产所在地即权利实现地，即中介机构所在地。</w:t>
      </w:r>
      <w:r>
        <w:rPr>
          <w:rStyle w:val="11"/>
          <w:rFonts w:hint="eastAsia"/>
          <w:sz w:val="24"/>
          <w:highlight w:val="none"/>
        </w:rPr>
        <w:footnoteReference w:id="74"/>
      </w:r>
    </w:p>
    <w:p w14:paraId="1527F59C">
      <w:pPr>
        <w:snapToGrid w:val="0"/>
        <w:spacing w:line="360" w:lineRule="auto"/>
        <w:ind w:firstLine="480"/>
        <w:jc w:val="left"/>
        <w:rPr>
          <w:sz w:val="24"/>
          <w:highlight w:val="none"/>
        </w:rPr>
      </w:pPr>
      <w:r>
        <w:rPr>
          <w:rFonts w:hint="eastAsia"/>
          <w:sz w:val="24"/>
          <w:highlight w:val="none"/>
        </w:rPr>
        <w:t>在间接持有证券的场合下，名义持有人的中间持有人持有证券实际投资者的权益，混同了可替代性财产使得证券投资者无法直接主张其特定证券的特定权利，投资者的权益保障完全取决于中间人。</w:t>
      </w:r>
      <w:r>
        <w:rPr>
          <w:rStyle w:val="11"/>
          <w:rFonts w:hint="eastAsia"/>
          <w:sz w:val="24"/>
          <w:highlight w:val="none"/>
        </w:rPr>
        <w:footnoteReference w:id="75"/>
      </w:r>
      <w:r>
        <w:rPr>
          <w:rFonts w:hint="eastAsia"/>
          <w:sz w:val="24"/>
          <w:highlight w:val="none"/>
        </w:rPr>
        <w:t>数字藏品虽然是物权标的，但是所有人权利的产生和行使往往也会受制于平台的技术服务，而这也是一些学者认为数字藏品是债权标的的原因。</w:t>
      </w:r>
    </w:p>
    <w:p w14:paraId="39061FB7">
      <w:pPr>
        <w:snapToGrid w:val="0"/>
        <w:spacing w:line="360" w:lineRule="auto"/>
        <w:ind w:firstLine="480" w:firstLineChars="200"/>
        <w:jc w:val="left"/>
        <w:rPr>
          <w:sz w:val="24"/>
          <w:highlight w:val="none"/>
        </w:rPr>
      </w:pPr>
      <w:r>
        <w:rPr>
          <w:rFonts w:hint="eastAsia"/>
          <w:sz w:val="24"/>
          <w:highlight w:val="none"/>
        </w:rPr>
        <w:t>一些学者反对在数字资产的物权变动中参照适用中间平台所在地法作为准据法，认为在区块链中心化的特性会导致不存在一个类似中介机构的实体，因此不具有可类比性。</w:t>
      </w:r>
      <w:r>
        <w:rPr>
          <w:rStyle w:val="11"/>
          <w:rFonts w:hint="eastAsia"/>
          <w:sz w:val="24"/>
          <w:highlight w:val="none"/>
        </w:rPr>
        <w:footnoteReference w:id="76"/>
      </w:r>
      <w:r>
        <w:rPr>
          <w:rFonts w:hint="eastAsia"/>
          <w:sz w:val="24"/>
          <w:highlight w:val="none"/>
        </w:rPr>
        <w:t>但区块链的去中心化并不绝对。根据节点是否需要经过授权而言，区块链可以分为公有链和私有链，私有链本质上类似于一般的中心化应用，而公有链无需经过授权就可以成为节点的区块链</w:t>
      </w:r>
      <w:r>
        <w:rPr>
          <w:rFonts w:hint="eastAsia"/>
          <w:sz w:val="24"/>
          <w:highlight w:val="none"/>
          <w:lang w:eastAsia="zh-CN"/>
        </w:rPr>
        <w:t>。</w:t>
      </w:r>
      <w:r>
        <w:rPr>
          <w:rFonts w:hint="eastAsia"/>
          <w:sz w:val="24"/>
          <w:highlight w:val="none"/>
        </w:rPr>
        <w:t>理论上公链的节点具有无限性,人们常说的区块链的颠覆性其实也只是针对公链而言。</w:t>
      </w:r>
      <w:r>
        <w:rPr>
          <w:rStyle w:val="11"/>
          <w:rFonts w:hint="eastAsia"/>
          <w:sz w:val="24"/>
          <w:highlight w:val="none"/>
        </w:rPr>
        <w:footnoteReference w:id="77"/>
      </w:r>
      <w:r>
        <w:rPr>
          <w:rFonts w:hint="eastAsia"/>
          <w:sz w:val="24"/>
          <w:highlight w:val="none"/>
        </w:rPr>
        <w:t>并且就区块链技术平台急需法律监管的现状来看，即使技术支持，公链短时间内也无法实现完全的“去中介化”。例如全球目前最大的数字藏品交易平台OpenSea 网站披露的政策信息显示：“当 OpenSea 收到可靠的报告或得知某件物品被盗时，会锁定该 NFT 物品，使其无法使用 OpenSea 进行买卖或转让。”</w:t>
      </w:r>
      <w:r>
        <w:rPr>
          <w:rStyle w:val="11"/>
          <w:rFonts w:hint="eastAsia"/>
          <w:sz w:val="24"/>
          <w:highlight w:val="none"/>
        </w:rPr>
        <w:footnoteReference w:id="78"/>
      </w:r>
      <w:r>
        <w:rPr>
          <w:rFonts w:hint="eastAsia"/>
          <w:sz w:val="24"/>
          <w:highlight w:val="none"/>
        </w:rPr>
        <w:t>并且，数字藏品的交易平台往往不会像当事人身份一样匿名化，在交易初始阶段就能够为当事人知晓，具有可预期性和稳定性，即使是跨平台的交易，具体的平台名称和所属地点也可以以代码的形式记录在区块链当中。</w:t>
      </w:r>
    </w:p>
    <w:p w14:paraId="3AFB723E">
      <w:pPr>
        <w:snapToGrid w:val="0"/>
        <w:spacing w:line="360" w:lineRule="auto"/>
        <w:ind w:firstLine="480" w:firstLineChars="200"/>
        <w:jc w:val="left"/>
        <w:rPr>
          <w:sz w:val="24"/>
          <w:highlight w:val="none"/>
        </w:rPr>
      </w:pPr>
      <w:r>
        <w:rPr>
          <w:rFonts w:hint="eastAsia"/>
          <w:sz w:val="24"/>
          <w:highlight w:val="none"/>
        </w:rPr>
        <w:t>然而，“平台所在地”依然是一个宽泛概念，可能包括平台的注册地、营业地、技术部署地等多个具有法律联系的地点，这些地点并不是都可以作为连结点。连结点的确认应当从</w:t>
      </w:r>
      <w:r>
        <w:rPr>
          <w:rFonts w:hint="eastAsia"/>
          <w:sz w:val="24"/>
          <w:highlight w:val="none"/>
          <w:lang w:val="en-US" w:eastAsia="zh-CN"/>
        </w:rPr>
        <w:t>相关主体</w:t>
      </w:r>
      <w:r>
        <w:rPr>
          <w:rFonts w:hint="eastAsia"/>
          <w:sz w:val="24"/>
          <w:highlight w:val="none"/>
        </w:rPr>
        <w:t>对数字藏品的实际控制能力出发，优先采纳平台的主要营业所所在地，而当平台的主要营业所与技术的部署地或者管理者所在地不一致时，采用操作机构或管理者所在地，也就是一些学者所称的“PROPA”原则。</w:t>
      </w:r>
      <w:r>
        <w:rPr>
          <w:rStyle w:val="11"/>
          <w:rFonts w:hint="eastAsia"/>
          <w:sz w:val="24"/>
          <w:highlight w:val="none"/>
        </w:rPr>
        <w:footnoteReference w:id="79"/>
      </w:r>
    </w:p>
    <w:p w14:paraId="5B5A884B">
      <w:pPr>
        <w:pStyle w:val="3"/>
        <w:ind w:firstLine="480"/>
        <w:rPr>
          <w:highlight w:val="none"/>
        </w:rPr>
      </w:pPr>
      <w:bookmarkStart w:id="4" w:name="_Toc546433330"/>
      <w:r>
        <w:rPr>
          <w:rFonts w:hint="eastAsia"/>
          <w:highlight w:val="none"/>
        </w:rPr>
        <w:t>（二）数字藏品的发行地</w:t>
      </w:r>
      <w:bookmarkEnd w:id="4"/>
    </w:p>
    <w:p w14:paraId="3B2B81EF">
      <w:pPr>
        <w:snapToGrid w:val="0"/>
        <w:spacing w:line="360" w:lineRule="auto"/>
        <w:ind w:firstLine="480"/>
        <w:jc w:val="left"/>
        <w:rPr>
          <w:color w:val="000000" w:themeColor="text1"/>
          <w:sz w:val="24"/>
          <w:highlight w:val="none"/>
          <w14:textFill>
            <w14:solidFill>
              <w14:schemeClr w14:val="tx1"/>
            </w14:solidFill>
          </w14:textFill>
        </w:rPr>
      </w:pPr>
      <w:r>
        <w:rPr>
          <w:rFonts w:hint="eastAsia"/>
          <w:sz w:val="24"/>
          <w:highlight w:val="none"/>
        </w:rPr>
        <w:t>极少数情况下，当事人数字藏品的流通不需要依托交易平台，只需要双方公私钥的配对，即可完成双方钱包“点对点”的转让。这种形式下数字藏品物权变动完全依靠各节点传输</w:t>
      </w:r>
      <w:r>
        <w:rPr>
          <w:rFonts w:hint="eastAsia"/>
          <w:color w:val="000000" w:themeColor="text1"/>
          <w:sz w:val="24"/>
          <w:highlight w:val="none"/>
          <w14:textFill>
            <w14:solidFill>
              <w14:schemeClr w14:val="tx1"/>
            </w14:solidFill>
          </w14:textFill>
        </w:rPr>
        <w:t>，依靠现实世界的连结点确定准据法具有更大的难度。一些学者认为可以以错误转让产生的不当得利为请求权基础，将获得加密资产的区块链账户所在地为不当得利的事实发生地，将物权变动适用债权的准据法。</w:t>
      </w:r>
      <w:r>
        <w:rPr>
          <w:rStyle w:val="11"/>
          <w:rFonts w:hint="eastAsia"/>
          <w:color w:val="000000" w:themeColor="text1"/>
          <w:sz w:val="24"/>
          <w:highlight w:val="none"/>
          <w14:textFill>
            <w14:solidFill>
              <w14:schemeClr w14:val="tx1"/>
            </w14:solidFill>
          </w14:textFill>
        </w:rPr>
        <w:footnoteReference w:id="80"/>
      </w:r>
      <w:r>
        <w:rPr>
          <w:rFonts w:hint="eastAsia"/>
          <w:color w:val="000000" w:themeColor="text1"/>
          <w:sz w:val="24"/>
          <w:highlight w:val="none"/>
          <w:lang w:val="en-US" w:eastAsia="zh-CN"/>
          <w14:textFill>
            <w14:solidFill>
              <w14:schemeClr w14:val="tx1"/>
            </w14:solidFill>
          </w14:textFill>
        </w:rPr>
        <w:t>但实际交易中，</w:t>
      </w:r>
      <w:r>
        <w:rPr>
          <w:rFonts w:hint="eastAsia"/>
          <w:color w:val="000000" w:themeColor="text1"/>
          <w:sz w:val="24"/>
          <w:highlight w:val="none"/>
          <w14:textFill>
            <w14:solidFill>
              <w14:schemeClr w14:val="tx1"/>
            </w14:solidFill>
          </w14:textFill>
        </w:rPr>
        <w:t>当事人出于保密或个人安全的考虑，交易时往往是以匿名身份进行，尤其是在诈骗、偷盗数字藏品的过程中，受益人并不会主动公开自己的账户地址，因此确认不当得利发生地具有相当大的难度。并且物权纠纷与不当得利纠纷并非完全重合，当受让人基于合理对价且完成物权变动的公示要件之时，所有人无法提起不当得利之诉。</w:t>
      </w:r>
    </w:p>
    <w:p w14:paraId="0F247BC1">
      <w:pPr>
        <w:snapToGrid w:val="0"/>
        <w:spacing w:line="360" w:lineRule="auto"/>
        <w:ind w:firstLine="480" w:firstLineChars="200"/>
        <w:jc w:val="left"/>
        <w:rPr>
          <w:rFonts w:hint="default" w:eastAsiaTheme="minorEastAsia"/>
          <w:color w:val="000000" w:themeColor="text1"/>
          <w:sz w:val="24"/>
          <w:highlight w:val="none"/>
          <w:lang w:val="en-US" w:eastAsia="zh-CN"/>
          <w14:textFill>
            <w14:solidFill>
              <w14:schemeClr w14:val="tx1"/>
            </w14:solidFill>
          </w14:textFill>
        </w:rPr>
      </w:pPr>
      <w:r>
        <w:rPr>
          <w:rFonts w:hint="eastAsia"/>
          <w:color w:val="000000" w:themeColor="text1"/>
          <w:sz w:val="24"/>
          <w:highlight w:val="none"/>
          <w14:textFill>
            <w14:solidFill>
              <w14:schemeClr w14:val="tx1"/>
            </w14:solidFill>
          </w14:textFill>
        </w:rPr>
        <w:t>因此，应当采用的连结点是数字藏品的发行地，主要理由有二：其一，发行地是数字藏品完成铸造的地点，通常亦是其物权首次生成的法律落脚点。由于数字藏品的产生与流转需满足发行地法律的基本要求，尤其不能违反当地的强制性规范，因此发行地对数字藏品权属的规范具有基础性意义。这体现了“场所支配行为”的基本理念，有助于实现各方当事人的平等保护，避免因藏品流转频繁导致适用法律多变从而损害物权内容的稳定性和可预测性。其二，发行地作为连结点具有较强的可识别性。尽管区块链交易中当事人通常出于隐私考虑采取匿名或化名方式，但发行方的链上行为及技术参数往往可以实现有效定位。</w:t>
      </w:r>
      <w:r>
        <w:rPr>
          <w:rFonts w:hint="eastAsia"/>
          <w:color w:val="000000" w:themeColor="text1"/>
          <w:sz w:val="24"/>
          <w:highlight w:val="none"/>
          <w:lang w:val="en-US" w:eastAsia="zh-CN"/>
          <w14:textFill>
            <w14:solidFill>
              <w14:schemeClr w14:val="tx1"/>
            </w14:solidFill>
          </w14:textFill>
        </w:rPr>
        <w:t>受让人</w:t>
      </w:r>
      <w:r>
        <w:rPr>
          <w:rFonts w:hint="eastAsia"/>
          <w:color w:val="000000" w:themeColor="text1"/>
          <w:sz w:val="24"/>
          <w:highlight w:val="none"/>
          <w14:textFill>
            <w14:solidFill>
              <w14:schemeClr w14:val="tx1"/>
            </w14:solidFill>
          </w14:textFill>
        </w:rPr>
        <w:t>在交易前了解数字藏品的发行方信息与技术构成已成为常规步骤，因此各方对于以发行地作为准据法适用基础具有合理的预期</w:t>
      </w:r>
      <w:r>
        <w:rPr>
          <w:rFonts w:hint="eastAsia"/>
          <w:color w:val="000000" w:themeColor="text1"/>
          <w:sz w:val="24"/>
          <w:highlight w:val="none"/>
          <w:lang w:eastAsia="zh-CN"/>
          <w14:textFill>
            <w14:solidFill>
              <w14:schemeClr w14:val="tx1"/>
            </w14:solidFill>
          </w14:textFill>
        </w:rPr>
        <w:t>，</w:t>
      </w:r>
      <w:r>
        <w:rPr>
          <w:rFonts w:hint="eastAsia"/>
          <w:color w:val="000000" w:themeColor="text1"/>
          <w:sz w:val="24"/>
          <w:highlight w:val="none"/>
          <w:lang w:val="en-US" w:eastAsia="zh-CN"/>
          <w14:textFill>
            <w14:solidFill>
              <w14:schemeClr w14:val="tx1"/>
            </w14:solidFill>
          </w14:textFill>
        </w:rPr>
        <w:t>以此确定准据法也具有现实可能性。</w:t>
      </w:r>
    </w:p>
    <w:p w14:paraId="3DC5CEBC">
      <w:pPr>
        <w:pStyle w:val="2"/>
        <w:ind w:firstLine="480"/>
        <w:jc w:val="center"/>
        <w:rPr>
          <w:highlight w:val="none"/>
        </w:rPr>
      </w:pPr>
      <w:r>
        <w:rPr>
          <w:rFonts w:hint="eastAsia"/>
          <w:highlight w:val="none"/>
          <w:lang w:val="en-US" w:eastAsia="zh-CN"/>
        </w:rPr>
        <w:t>结论</w:t>
      </w:r>
    </w:p>
    <w:p w14:paraId="4C16B2D1">
      <w:pPr>
        <w:snapToGrid w:val="0"/>
        <w:spacing w:line="360" w:lineRule="auto"/>
        <w:rPr>
          <w:rFonts w:hint="eastAsia"/>
          <w:color w:val="000000" w:themeColor="text1"/>
          <w:sz w:val="24"/>
          <w:highlight w:val="none"/>
          <w:lang w:val="en-US" w:eastAsia="zh-CN"/>
          <w14:textFill>
            <w14:solidFill>
              <w14:schemeClr w14:val="tx1"/>
            </w14:solidFill>
          </w14:textFill>
        </w:rPr>
      </w:pPr>
      <w:r>
        <w:rPr>
          <w:rFonts w:hint="eastAsia"/>
          <w:sz w:val="24"/>
          <w:highlight w:val="none"/>
          <w:lang w:val="en-US" w:eastAsia="zh-CN"/>
        </w:rPr>
        <w:t xml:space="preserve">    区块链上的跨境交易发生纠纷时，法律适用中连结点的选择</w:t>
      </w:r>
      <w:r>
        <w:rPr>
          <w:rFonts w:hint="eastAsia"/>
          <w:color w:val="000000" w:themeColor="text1"/>
          <w:sz w:val="24"/>
          <w:highlight w:val="none"/>
          <w14:textFill>
            <w14:solidFill>
              <w14:schemeClr w14:val="tx1"/>
            </w14:solidFill>
          </w14:textFill>
        </w:rPr>
        <w:t>取决于区块链争议的类型或在去中心化账本上流转的加密财产的性质，</w:t>
      </w:r>
      <w:r>
        <w:rPr>
          <w:rStyle w:val="11"/>
          <w:rFonts w:hint="eastAsia"/>
          <w:color w:val="000000" w:themeColor="text1"/>
          <w:sz w:val="24"/>
          <w:highlight w:val="none"/>
          <w14:textFill>
            <w14:solidFill>
              <w14:schemeClr w14:val="tx1"/>
            </w14:solidFill>
          </w14:textFill>
        </w:rPr>
        <w:footnoteReference w:id="81"/>
      </w:r>
      <w:r>
        <w:rPr>
          <w:rFonts w:hint="eastAsia"/>
          <w:color w:val="000000" w:themeColor="text1"/>
          <w:sz w:val="24"/>
          <w:highlight w:val="none"/>
          <w:lang w:val="en-US" w:eastAsia="zh-CN"/>
          <w14:textFill>
            <w14:solidFill>
              <w14:schemeClr w14:val="tx1"/>
            </w14:solidFill>
          </w14:textFill>
        </w:rPr>
        <w:t>数字藏品因其特定性、独立性和可支配性，应当归类为无形动产的范畴。数字藏品跨国流通引起的权属纠纷应当适用《涉外民事关系法律适用法》第37条的规定确定准据法，但考虑到区块链以及数字藏品的特殊性质，该条冲突法规范适用时需要适当调整。</w:t>
      </w:r>
    </w:p>
    <w:p w14:paraId="0B3C16C1">
      <w:pPr>
        <w:snapToGrid w:val="0"/>
        <w:spacing w:line="360" w:lineRule="auto"/>
        <w:rPr>
          <w:rFonts w:hint="eastAsia"/>
          <w:color w:val="000000" w:themeColor="text1"/>
          <w:sz w:val="24"/>
          <w:highlight w:val="none"/>
          <w:lang w:val="en-US" w:eastAsia="zh-CN"/>
          <w14:textFill>
            <w14:solidFill>
              <w14:schemeClr w14:val="tx1"/>
            </w14:solidFill>
          </w14:textFill>
        </w:rPr>
      </w:pPr>
      <w:r>
        <w:rPr>
          <w:rFonts w:hint="eastAsia"/>
          <w:color w:val="000000" w:themeColor="text1"/>
          <w:sz w:val="24"/>
          <w:highlight w:val="none"/>
          <w:lang w:val="en-US" w:eastAsia="zh-CN"/>
          <w14:textFill>
            <w14:solidFill>
              <w14:schemeClr w14:val="tx1"/>
            </w14:solidFill>
          </w14:textFill>
        </w:rPr>
        <w:t xml:space="preserve">   首先，应当完善对当事人意思自治的规定，就意思自治的对象来看，密码法和国际法规则都各有不足，而当事人对各国实体法的选择也必须受到“改良合意选择地”的限制。就其形式来看，不仅应当肯定以现实语言的形式表现的法律选择条款，以代码形式呈现的法律选择也应当视为当事人的合意。</w:t>
      </w:r>
    </w:p>
    <w:p w14:paraId="7EDB89D6">
      <w:pPr>
        <w:snapToGrid w:val="0"/>
        <w:spacing w:line="360" w:lineRule="auto"/>
        <w:rPr>
          <w:rFonts w:hint="default"/>
          <w:color w:val="000000" w:themeColor="text1"/>
          <w:sz w:val="24"/>
          <w:highlight w:val="none"/>
          <w:lang w:val="en-US" w:eastAsia="zh-CN"/>
          <w14:textFill>
            <w14:solidFill>
              <w14:schemeClr w14:val="tx1"/>
            </w14:solidFill>
          </w14:textFill>
        </w:rPr>
      </w:pPr>
      <w:r>
        <w:rPr>
          <w:rFonts w:hint="eastAsia"/>
          <w:color w:val="000000" w:themeColor="text1"/>
          <w:sz w:val="24"/>
          <w:highlight w:val="none"/>
          <w:lang w:val="en-US" w:eastAsia="zh-CN"/>
          <w14:textFill>
            <w14:solidFill>
              <w14:schemeClr w14:val="tx1"/>
            </w14:solidFill>
          </w14:textFill>
        </w:rPr>
        <w:t xml:space="preserve">   其次，在当事人为未做法律选择时，数字藏品的“物之所在地”应当遵循以对藏品的控制为核心的原则，当存在去中心化平台作为交易媒介时，以平台主要营业所或操作机构所在地为物之所在地，而当不存在平台的情况下，应当以数字藏品的发行地作为物之所在地，并以此为连结点确定准据法。</w:t>
      </w:r>
    </w:p>
    <w:p w14:paraId="19120E9F">
      <w:pPr>
        <w:snapToGrid w:val="0"/>
        <w:spacing w:line="360" w:lineRule="auto"/>
        <w:ind w:firstLine="480" w:firstLineChars="200"/>
        <w:rPr>
          <w:rFonts w:hint="default"/>
          <w:sz w:val="24"/>
          <w:highlight w:val="none"/>
          <w:lang w:val="en-US" w:eastAsia="zh-CN"/>
        </w:rPr>
      </w:pPr>
    </w:p>
    <w:p w14:paraId="560E4D94">
      <w:pPr>
        <w:rPr>
          <w:highlight w:val="none"/>
        </w:rPr>
      </w:pPr>
    </w:p>
    <w:sectPr>
      <w:footerReference r:id="rId4" w:type="default"/>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Helvetica">
    <w:panose1 w:val="00000000000000000000"/>
    <w:charset w:val="00"/>
    <w:family w:val="auto"/>
    <w:pitch w:val="default"/>
    <w:sig w:usb0="E00002FF" w:usb1="5000785B" w:usb2="00000000" w:usb3="00000000" w:csb0="2000019F" w:csb1="4F010000"/>
  </w:font>
  <w:font w:name="楷体">
    <w:altName w:val="汉仪楷体KW"/>
    <w:panose1 w:val="02010609060101010101"/>
    <w:charset w:val="86"/>
    <w:family w:val="modern"/>
    <w:pitch w:val="default"/>
    <w:sig w:usb0="00000000" w:usb1="00000000" w:usb2="00000016" w:usb3="00000000" w:csb0="00040001" w:csb1="0000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63134">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27176FB">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327176FB">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64">
    <w:p>
      <w:r>
        <w:separator/>
      </w:r>
    </w:p>
  </w:footnote>
  <w:footnote w:type="continuationSeparator" w:id="165">
    <w:p>
      <w:r>
        <w:continuationSeparator/>
      </w:r>
    </w:p>
  </w:footnote>
  <w:footnote w:id="0">
    <w:p w14:paraId="1619782A">
      <w:pPr>
        <w:pStyle w:val="7"/>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参见谭佐财：《智能合约的法律属性与民事法律关系论》，《科技与法律》2020年第6期，第65-75页。</w:t>
      </w:r>
    </w:p>
  </w:footnote>
  <w:footnote w:id="1">
    <w:p w14:paraId="64D33954">
      <w:pPr>
        <w:pStyle w:val="7"/>
        <w:snapToGrid w:val="0"/>
        <w:rPr>
          <w:rFonts w:hint="default" w:eastAsiaTheme="minorEastAsia"/>
          <w:lang w:val="en-US" w:eastAsia="zh-CN"/>
        </w:rPr>
      </w:pPr>
      <w:r>
        <w:rPr>
          <w:rFonts w:ascii="Times New Roman Regular" w:hAnsi="Times New Roman Regular" w:cs="Times New Roman Regular"/>
        </w:rPr>
        <w:footnoteRef/>
      </w:r>
      <w:r>
        <w:rPr>
          <w:rFonts w:ascii="Times New Roman Regular" w:hAnsi="Times New Roman Regular" w:cs="Times New Roman Regular"/>
        </w:rPr>
        <w:t xml:space="preserve"> </w:t>
      </w:r>
      <w:r>
        <w:rPr>
          <w:rFonts w:hint="eastAsia" w:asciiTheme="minorEastAsia" w:hAnsiTheme="minorEastAsia" w:eastAsiaTheme="minorEastAsia" w:cstheme="minorEastAsia"/>
          <w:sz w:val="18"/>
          <w:szCs w:val="18"/>
        </w:rPr>
        <w:t>参见李扬、刑贺通</w:t>
      </w: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《论数字藏品交易行为的发行权规制路径》，《重庆大学学报（社会科学版）》</w:t>
      </w:r>
      <w:r>
        <w:rPr>
          <w:rFonts w:hint="default" w:ascii="Times New Roman Regular" w:hAnsi="Times New Roman Regular" w:cs="Times New Roman Regular" w:eastAsiaTheme="minorEastAsia"/>
          <w:sz w:val="18"/>
          <w:szCs w:val="18"/>
        </w:rPr>
        <w:t>2025年1月3日网络首发；王迁：《论NFT数字作品交易的法律定性》，《东方法学》2023年第1期，第18-35</w:t>
      </w:r>
      <w:r>
        <w:rPr>
          <w:rFonts w:hint="eastAsia" w:asciiTheme="minorEastAsia" w:hAnsiTheme="minorEastAsia" w:eastAsiaTheme="minorEastAsia" w:cstheme="minorEastAsia"/>
          <w:sz w:val="18"/>
          <w:szCs w:val="18"/>
        </w:rPr>
        <w:t>页</w:t>
      </w:r>
      <w:r>
        <w:rPr>
          <w:rFonts w:ascii="Times New Roman Regular" w:hAnsi="Times New Roman Regular" w:cs="Times New Roman Regular"/>
        </w:rPr>
        <w:t>；</w:t>
      </w:r>
      <w:r>
        <w:rPr>
          <w:rFonts w:ascii="Times New Roman Regular" w:hAnsi="Times New Roman Regular" w:cs="Times New Roman Regular"/>
          <w:sz w:val="18"/>
          <w:szCs w:val="18"/>
        </w:rPr>
        <w:t>See João Marinotti,</w:t>
      </w:r>
      <w:r>
        <w:rPr>
          <w:rFonts w:ascii="Times New Roman Regular" w:hAnsi="Times New Roman Regular" w:cs="Times New Roman Regular"/>
          <w:i/>
          <w:iCs/>
          <w:sz w:val="18"/>
          <w:szCs w:val="18"/>
        </w:rPr>
        <w:t>Tangibility as Technology</w:t>
      </w:r>
      <w:r>
        <w:rPr>
          <w:rFonts w:ascii="Times New Roman Regular" w:hAnsi="Times New Roman Regular" w:cs="Times New Roman Regular"/>
          <w:sz w:val="18"/>
          <w:szCs w:val="18"/>
        </w:rPr>
        <w:t>, 37 Georgia State University Law Review</w:t>
      </w:r>
      <w:r>
        <w:rPr>
          <w:rFonts w:hint="default" w:ascii="Times New Roman Regular" w:hAnsi="Times New Roman Regular" w:cs="Times New Roman Regular"/>
          <w:sz w:val="18"/>
          <w:szCs w:val="18"/>
          <w:lang w:val="en-US"/>
        </w:rPr>
        <w:t xml:space="preserve"> </w:t>
      </w:r>
      <w:r>
        <w:rPr>
          <w:rFonts w:ascii="Times New Roman Regular" w:hAnsi="Times New Roman Regular" w:cs="Times New Roman Regular"/>
          <w:sz w:val="18"/>
          <w:szCs w:val="18"/>
        </w:rPr>
        <w:t>671(2021)</w:t>
      </w:r>
      <w:r>
        <w:rPr>
          <w:rFonts w:hint="default" w:ascii="Times New Roman Regular" w:hAnsi="Times New Roman Regular" w:cs="Times New Roman Regular"/>
          <w:sz w:val="18"/>
          <w:szCs w:val="18"/>
          <w:lang w:val="en-US"/>
        </w:rPr>
        <w:t>.</w:t>
      </w:r>
    </w:p>
  </w:footnote>
  <w:footnote w:id="2">
    <w:p w14:paraId="1B9AE4CC">
      <w:pPr>
        <w:pStyle w:val="12"/>
        <w:widowControl/>
        <w:snapToGrid w:val="0"/>
        <w:rPr>
          <w:rFonts w:ascii="Times New Roman Regular" w:hAnsi="Times New Roman Regular" w:cs="Times New Roman Regular" w:eastAsiaTheme="minorEastAsia"/>
          <w:color w:val="auto"/>
          <w:kern w:val="2"/>
          <w:sz w:val="18"/>
          <w:szCs w:val="24"/>
        </w:rPr>
      </w:pPr>
      <w:r>
        <w:rPr>
          <w:rFonts w:ascii="Times New Roman Regular" w:hAnsi="Times New Roman Regular" w:cs="Times New Roman Regular" w:eastAsiaTheme="minorEastAsia"/>
          <w:color w:val="auto"/>
          <w:kern w:val="2"/>
          <w:sz w:val="18"/>
          <w:szCs w:val="24"/>
          <w:lang w:val="en-US" w:eastAsia="zh-CN" w:bidi="ar-SA"/>
        </w:rPr>
        <w:footnoteRef/>
      </w:r>
      <w:r>
        <w:rPr>
          <w:rFonts w:ascii="Times New Roman Regular" w:hAnsi="Times New Roman Regular" w:cs="Times New Roman Regular" w:eastAsiaTheme="minorEastAsia"/>
          <w:color w:val="auto"/>
          <w:kern w:val="2"/>
          <w:sz w:val="18"/>
          <w:szCs w:val="24"/>
          <w:lang w:val="en-US" w:eastAsia="zh-CN" w:bidi="ar-SA"/>
        </w:rPr>
        <w:t xml:space="preserve"> </w:t>
      </w:r>
      <w:r>
        <w:rPr>
          <w:rFonts w:ascii="Times New Roman Regular" w:hAnsi="Times New Roman Regular" w:cs="Times New Roman Regular" w:eastAsiaTheme="minorEastAsia"/>
          <w:color w:val="auto"/>
          <w:kern w:val="2"/>
          <w:sz w:val="18"/>
          <w:szCs w:val="18"/>
        </w:rPr>
        <w:t>S</w:t>
      </w:r>
      <w:r>
        <w:rPr>
          <w:rFonts w:ascii="Times New Roman Regular" w:hAnsi="Times New Roman Regular" w:cs="Times New Roman Regular" w:eastAsiaTheme="minorEastAsia"/>
          <w:color w:val="auto"/>
          <w:kern w:val="2"/>
          <w:sz w:val="18"/>
          <w:szCs w:val="24"/>
        </w:rPr>
        <w:t>ee Hassan &amp;Primavera De Filippi,</w:t>
      </w:r>
      <w:r>
        <w:rPr>
          <w:rFonts w:ascii="Times New Roman Regular" w:hAnsi="Times New Roman Regular" w:cs="Times New Roman Regular" w:eastAsiaTheme="minorEastAsia"/>
          <w:i/>
          <w:iCs/>
          <w:color w:val="auto"/>
          <w:kern w:val="2"/>
          <w:sz w:val="18"/>
          <w:szCs w:val="24"/>
        </w:rPr>
        <w:t>The Expansion of Algorithmic Governance: From Code is Law to Law is Code</w:t>
      </w:r>
      <w:r>
        <w:rPr>
          <w:rFonts w:ascii="Times New Roman Regular" w:hAnsi="Times New Roman Regular" w:cs="Times New Roman Regular" w:eastAsiaTheme="minorEastAsia"/>
          <w:color w:val="auto"/>
          <w:kern w:val="2"/>
          <w:sz w:val="18"/>
          <w:szCs w:val="24"/>
        </w:rPr>
        <w:t>,17 Journal of Field Action Science Reports</w:t>
      </w:r>
      <w:r>
        <w:rPr>
          <w:rFonts w:hint="default" w:ascii="Times New Roman Regular" w:hAnsi="Times New Roman Regular" w:cs="Times New Roman Regular" w:eastAsiaTheme="minorEastAsia"/>
          <w:color w:val="auto"/>
          <w:kern w:val="2"/>
          <w:sz w:val="18"/>
          <w:szCs w:val="24"/>
          <w:lang w:val="en-US"/>
        </w:rPr>
        <w:t xml:space="preserve"> </w:t>
      </w:r>
      <w:r>
        <w:rPr>
          <w:rFonts w:ascii="Times New Roman Regular" w:hAnsi="Times New Roman Regular" w:cs="Times New Roman Regular" w:eastAsiaTheme="minorEastAsia"/>
          <w:color w:val="auto"/>
          <w:kern w:val="2"/>
          <w:sz w:val="18"/>
          <w:szCs w:val="24"/>
        </w:rPr>
        <w:t>88(2017).</w:t>
      </w:r>
    </w:p>
    <w:p w14:paraId="5B1B2298">
      <w:pPr>
        <w:pStyle w:val="7"/>
        <w:rPr>
          <w:rFonts w:hint="default" w:ascii="Times New Roman Regular" w:hAnsi="Times New Roman Regular" w:cs="Times New Roman Regular" w:eastAsiaTheme="minorEastAsia"/>
          <w:lang w:val="en-US" w:eastAsia="zh-CN"/>
        </w:rPr>
      </w:pPr>
    </w:p>
    <w:p w14:paraId="12786699">
      <w:pPr>
        <w:pStyle w:val="7"/>
        <w:snapToGrid w:val="0"/>
      </w:pPr>
    </w:p>
  </w:footnote>
  <w:footnote w:id="3">
    <w:p w14:paraId="610C1F33">
      <w:pPr>
        <w:pStyle w:val="7"/>
        <w:keepLines/>
        <w:adjustRightInd w:val="0"/>
        <w:rPr>
          <w:rFonts w:hint="eastAsia" w:ascii="Times New Roman Regular" w:hAnsi="Times New Roman Regular" w:cs="Times New Roman Regular"/>
          <w:highlight w:val="none"/>
          <w:lang w:val="en-US" w:eastAsia="zh-CN"/>
        </w:rPr>
      </w:pPr>
      <w:r>
        <w:rPr>
          <w:rFonts w:ascii="Times New Roman Regular" w:hAnsi="Times New Roman Regular" w:cs="Times New Roman Regular"/>
        </w:rPr>
        <w:footnoteRef/>
      </w:r>
      <w:r>
        <w:rPr>
          <w:rFonts w:ascii="Times New Roman Regular" w:hAnsi="Times New Roman Regular" w:cs="Times New Roman Regular"/>
        </w:rPr>
        <w:t xml:space="preserve"> </w:t>
      </w:r>
      <w:r>
        <w:rPr>
          <w:rFonts w:hint="eastAsia" w:ascii="Times New Roman Regular" w:hAnsi="Times New Roman Regular" w:cs="Times New Roman Regular"/>
          <w:highlight w:val="none"/>
          <w:lang w:val="en-US" w:eastAsia="zh-CN"/>
        </w:rPr>
        <w:t>参见</w:t>
      </w:r>
      <w:r>
        <w:rPr>
          <w:rFonts w:ascii="Times New Roman Regular" w:hAnsi="Times New Roman Regular" w:cs="Times New Roman Regular"/>
          <w:highlight w:val="none"/>
        </w:rPr>
        <w:t>肖永平：《国际私法原理》</w:t>
      </w:r>
      <w:r>
        <w:rPr>
          <w:rFonts w:hint="eastAsia" w:ascii="Times New Roman Regular" w:hAnsi="Times New Roman Regular" w:cs="Times New Roman Regular"/>
          <w:highlight w:val="none"/>
        </w:rPr>
        <w:t>（</w:t>
      </w:r>
      <w:r>
        <w:rPr>
          <w:rFonts w:ascii="Times New Roman Regular" w:hAnsi="Times New Roman Regular" w:cs="Times New Roman Regular"/>
          <w:highlight w:val="none"/>
        </w:rPr>
        <w:t>第</w:t>
      </w:r>
      <w:r>
        <w:rPr>
          <w:rFonts w:hint="eastAsia" w:ascii="Times New Roman Regular" w:hAnsi="Times New Roman Regular" w:cs="Times New Roman Regular"/>
          <w:highlight w:val="none"/>
        </w:rPr>
        <w:t>2</w:t>
      </w:r>
      <w:r>
        <w:rPr>
          <w:rFonts w:ascii="Times New Roman Regular" w:hAnsi="Times New Roman Regular" w:cs="Times New Roman Regular"/>
          <w:highlight w:val="none"/>
        </w:rPr>
        <w:t>版</w:t>
      </w:r>
      <w:r>
        <w:rPr>
          <w:rFonts w:hint="eastAsia" w:ascii="Times New Roman Regular" w:hAnsi="Times New Roman Regular" w:cs="Times New Roman Regular"/>
          <w:highlight w:val="none"/>
        </w:rPr>
        <w:t>）</w:t>
      </w:r>
      <w:r>
        <w:rPr>
          <w:rFonts w:ascii="Times New Roman Regular" w:hAnsi="Times New Roman Regular" w:cs="Times New Roman Regular"/>
          <w:highlight w:val="none"/>
        </w:rPr>
        <w:t>，法律出版社</w:t>
      </w:r>
      <w:r>
        <w:rPr>
          <w:rFonts w:hint="eastAsia" w:ascii="Times New Roman Regular" w:hAnsi="Times New Roman Regular" w:cs="Times New Roman Regular"/>
          <w:highlight w:val="none"/>
        </w:rPr>
        <w:t>2007年版</w:t>
      </w:r>
      <w:r>
        <w:rPr>
          <w:rFonts w:ascii="Times New Roman Regular" w:hAnsi="Times New Roman Regular" w:cs="Times New Roman Regular"/>
          <w:highlight w:val="none"/>
        </w:rPr>
        <w:t>，第14页。</w:t>
      </w:r>
    </w:p>
  </w:footnote>
  <w:footnote w:id="4">
    <w:p w14:paraId="7BEBF695">
      <w:pPr>
        <w:pStyle w:val="7"/>
        <w:keepLines/>
        <w:adjustRightInd w:val="0"/>
        <w:rPr>
          <w:rFonts w:hint="default" w:ascii="Times New Roman Regular" w:hAnsi="Times New Roman Regular" w:cs="Times New Roman Regular"/>
          <w:highlight w:val="none"/>
          <w:lang w:val="en-US" w:eastAsia="zh-CN"/>
        </w:rPr>
      </w:pPr>
      <w:r>
        <w:rPr>
          <w:rFonts w:ascii="Times New Roman Regular" w:hAnsi="Times New Roman Regular" w:cs="Times New Roman Regular"/>
          <w:highlight w:val="none"/>
        </w:rPr>
        <w:footnoteRef/>
      </w:r>
      <w:r>
        <w:rPr>
          <w:rFonts w:ascii="Times New Roman Regular" w:hAnsi="Times New Roman Regular" w:cs="Times New Roman Regular"/>
          <w:highlight w:val="none"/>
        </w:rPr>
        <w:t xml:space="preserve"> </w:t>
      </w:r>
      <w:r>
        <w:rPr>
          <w:rFonts w:hint="eastAsia" w:ascii="Times New Roman Regular" w:hAnsi="Times New Roman Regular" w:cs="Times New Roman Regular"/>
          <w:highlight w:val="none"/>
          <w:lang w:val="en-US" w:eastAsia="zh-CN"/>
        </w:rPr>
        <w:t>同上注。</w:t>
      </w:r>
    </w:p>
  </w:footnote>
  <w:footnote w:id="5">
    <w:p w14:paraId="0DBECAFB">
      <w:pPr>
        <w:pStyle w:val="7"/>
        <w:keepLines/>
        <w:adjustRightInd w:val="0"/>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参见李逸竹：《NFT数字作品的法律属性与交易关系研究》，《清华法学》2023年第3期，第192-208页。</w:t>
      </w:r>
    </w:p>
  </w:footnote>
  <w:footnote w:id="6">
    <w:p w14:paraId="6B7DB1D5">
      <w:pPr>
        <w:pStyle w:val="7"/>
        <w:keepLines/>
        <w:adjustRightInd w:val="0"/>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参见蔡兴鑫：《虚拟财产的法律属性及刑法保护路径研究》，《东南大学学报（社会科学版）》2019年第S1期，第15-20页。</w:t>
      </w:r>
    </w:p>
  </w:footnote>
  <w:footnote w:id="7">
    <w:p w14:paraId="501C307D">
      <w:pPr>
        <w:pStyle w:val="7"/>
        <w:keepLines/>
        <w:adjustRightInd w:val="0"/>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参见李扬、刑贺通</w:t>
      </w:r>
      <w:r>
        <w:rPr>
          <w:rFonts w:hint="eastAsia" w:ascii="Times New Roman Regular" w:hAnsi="Times New Roman Regular" w:cs="Times New Roman Regular"/>
          <w:lang w:eastAsia="zh-CN"/>
        </w:rPr>
        <w:t>：</w:t>
      </w:r>
      <w:r>
        <w:rPr>
          <w:rFonts w:ascii="Times New Roman Regular" w:hAnsi="Times New Roman Regular" w:cs="Times New Roman Regular"/>
        </w:rPr>
        <w:t>《论数字藏品交易行为的发行权规制路径》，《重庆大学学报（社会科学版）》2025年1月3日网络首发。</w:t>
      </w:r>
    </w:p>
  </w:footnote>
  <w:footnote w:id="8">
    <w:p w14:paraId="647D0BD7">
      <w:pPr>
        <w:pStyle w:val="7"/>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参见齐爱民：《数字文化商品确权与交易规则的构建》，《中国法学》2012年第5期，第73-26页。</w:t>
      </w:r>
    </w:p>
  </w:footnote>
  <w:footnote w:id="9">
    <w:p w14:paraId="2C3C2E8B">
      <w:pPr>
        <w:pStyle w:val="7"/>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参见王常阳：《数字虚拟财产权强制执行研究》，《交大法学》2025年第3期，第124-136页。</w:t>
      </w:r>
    </w:p>
  </w:footnote>
  <w:footnote w:id="10">
    <w:p w14:paraId="1BD25281">
      <w:pPr>
        <w:pStyle w:val="7"/>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参见李逸竹：《NFT数字作品的法律属性与交易关系研究》，《清华法学》2023年第3期，第192-208页。</w:t>
      </w:r>
    </w:p>
  </w:footnote>
  <w:footnote w:id="11">
    <w:p w14:paraId="6EB3E7B1">
      <w:pPr>
        <w:pStyle w:val="7"/>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Anastaslla Chuvaieva, </w:t>
      </w:r>
      <w:r>
        <w:rPr>
          <w:rFonts w:ascii="Times New Roman Regular" w:hAnsi="Times New Roman Regular" w:cs="Times New Roman Regular"/>
          <w:i/>
          <w:iCs/>
        </w:rPr>
        <w:t>Non-Fungible Tokens and Failed Promises of Simple Virtual Ownership,</w:t>
      </w:r>
      <w:r>
        <w:rPr>
          <w:rFonts w:ascii="Times New Roman Regular" w:hAnsi="Times New Roman Regular" w:cs="Times New Roman Regular"/>
        </w:rPr>
        <w:t>12 New York University Journal of Intellectual Property and Entertainment Law</w:t>
      </w:r>
      <w:r>
        <w:rPr>
          <w:rFonts w:hint="eastAsia" w:ascii="Times New Roman Regular" w:hAnsi="Times New Roman Regular" w:cs="Times New Roman Regular"/>
          <w:lang w:val="en-US" w:eastAsia="zh-CN"/>
        </w:rPr>
        <w:t xml:space="preserve"> </w:t>
      </w:r>
      <w:r>
        <w:rPr>
          <w:rFonts w:ascii="Times New Roman Regular" w:hAnsi="Times New Roman Regular" w:cs="Times New Roman Regular"/>
        </w:rPr>
        <w:t>325(2023).</w:t>
      </w:r>
    </w:p>
  </w:footnote>
  <w:footnote w:id="12">
    <w:p w14:paraId="06CC606C">
      <w:pPr>
        <w:pStyle w:val="7"/>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参见蔡兴鑫：《虚拟财产的法律属性及刑法保护路径研究》，《东南大学学报（社会科学版）》2019年第S1期，第15-20页。</w:t>
      </w:r>
    </w:p>
  </w:footnote>
  <w:footnote w:id="13">
    <w:p w14:paraId="2CBA29CA">
      <w:pPr>
        <w:pStyle w:val="7"/>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参见艾克拜尔·阿不拉：《数字财产的认定与继承问题研究》，《社会科学家》2023年第11期，第95-99页。</w:t>
      </w:r>
    </w:p>
  </w:footnote>
  <w:footnote w:id="14">
    <w:p w14:paraId="614E9A93">
      <w:pPr>
        <w:pStyle w:val="7"/>
        <w:rPr>
          <w:rFonts w:hint="default" w:ascii="Times New Roman Regular" w:hAnsi="Times New Roman Regular" w:cs="Times New Roman Regular"/>
          <w:lang w:val="en-US" w:eastAsia="zh-CN"/>
        </w:rPr>
      </w:pPr>
      <w:r>
        <w:rPr>
          <w:rFonts w:ascii="Times New Roman Regular" w:hAnsi="Times New Roman Regular" w:cs="Times New Roman Regular"/>
        </w:rPr>
        <w:footnoteRef/>
      </w:r>
      <w:r>
        <w:rPr>
          <w:rFonts w:ascii="Times New Roman Regular" w:hAnsi="Times New Roman Regular" w:cs="Times New Roman Regular"/>
        </w:rPr>
        <w:t xml:space="preserve"> </w:t>
      </w:r>
      <w:r>
        <w:rPr>
          <w:rFonts w:hint="eastAsia" w:ascii="Times New Roman Regular" w:hAnsi="Times New Roman Regular" w:cs="Times New Roman Regular"/>
          <w:lang w:val="en-US" w:eastAsia="zh-CN"/>
        </w:rPr>
        <w:t>参见黄茂荣：《债法通则之一——债之概念与债务契约》，厦门大学出版社2014年版，第1页。</w:t>
      </w:r>
    </w:p>
  </w:footnote>
  <w:footnote w:id="15">
    <w:p w14:paraId="19B178F6">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参见申建平</w:t>
      </w:r>
      <w:r>
        <w:rPr>
          <w:rFonts w:hint="eastAsia" w:ascii="Times New Roman Regular" w:hAnsi="Times New Roman Regular" w:cs="Times New Roman Regular"/>
          <w:lang w:eastAsia="zh-CN"/>
        </w:rPr>
        <w:t>：</w:t>
      </w:r>
      <w:r>
        <w:rPr>
          <w:rFonts w:ascii="Times New Roman Regular" w:hAnsi="Times New Roman Regular" w:cs="Times New Roman Regular"/>
        </w:rPr>
        <w:t>《债权让与制度研究——以让与通知为中心》，法律出版社2008年版，第136页</w:t>
      </w:r>
      <w:r>
        <w:rPr>
          <w:rFonts w:hint="eastAsia" w:ascii="Times New Roman Regular" w:hAnsi="Times New Roman Regular" w:cs="Times New Roman Regular"/>
        </w:rPr>
        <w:t>。</w:t>
      </w:r>
    </w:p>
  </w:footnote>
  <w:footnote w:id="16">
    <w:p w14:paraId="487A36C8">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参见李岩：《“虚拟财产权”的证立与体系安排——兼评《民法总则》第127条》，《法学》2017年第9期，第145-157页。</w:t>
      </w:r>
    </w:p>
  </w:footnote>
  <w:footnote w:id="17">
    <w:p w14:paraId="4E29909D">
      <w:pPr>
        <w:pStyle w:val="7"/>
        <w:snapToGrid w:val="0"/>
        <w:rPr>
          <w:rFonts w:hint="default" w:eastAsiaTheme="minorEastAsia"/>
          <w:lang w:val="en-US" w:eastAsia="zh-CN"/>
        </w:rPr>
      </w:pPr>
      <w:r>
        <w:rPr>
          <w:rFonts w:ascii="Times New Roman Regular" w:hAnsi="Times New Roman Regular" w:cs="Times New Roman Regular"/>
        </w:rPr>
        <w:footnoteRef/>
      </w:r>
      <w:r>
        <w:rPr>
          <w:rFonts w:ascii="Times New Roman Regular" w:hAnsi="Times New Roman Regular" w:cs="Times New Roman Regular"/>
        </w:rPr>
        <w:t xml:space="preserve"> </w:t>
      </w:r>
      <w:r>
        <w:rPr>
          <w:rFonts w:hint="eastAsia"/>
          <w:lang w:eastAsia="zh-CN"/>
        </w:rPr>
        <w:t>《</w:t>
      </w:r>
      <w:r>
        <w:rPr>
          <w:rFonts w:hint="eastAsia"/>
          <w:lang w:val="en-US" w:eastAsia="zh-CN"/>
        </w:rPr>
        <w:t>中华人民共和国民法典》第114条规定，民事主体依法享有物权，物权是权利人依法对特定的物享有直接支配和排他的权利。</w:t>
      </w:r>
    </w:p>
  </w:footnote>
  <w:footnote w:id="18">
    <w:p w14:paraId="7D4F3CEF">
      <w:pPr>
        <w:pStyle w:val="7"/>
        <w:snapToGrid w:val="0"/>
        <w:rPr>
          <w:rFonts w:hint="default" w:eastAsiaTheme="minorEastAsia"/>
          <w:lang w:val="en-US" w:eastAsia="zh-CN"/>
        </w:rPr>
      </w:pPr>
      <w:r>
        <w:rPr>
          <w:rFonts w:ascii="Times New Roman Regular" w:hAnsi="Times New Roman Regular" w:cs="Times New Roman Regular"/>
        </w:rPr>
        <w:footnoteRef/>
      </w:r>
      <w:r>
        <w:rPr>
          <w:rFonts w:ascii="Times New Roman Regular" w:hAnsi="Times New Roman Regular" w:cs="Times New Roman Regular"/>
        </w:rPr>
        <w:t xml:space="preserve"> </w:t>
      </w:r>
      <w:r>
        <w:rPr>
          <w:rFonts w:hint="eastAsia"/>
          <w:lang w:val="en-US" w:eastAsia="zh-CN"/>
        </w:rPr>
        <w:t>参见</w:t>
      </w:r>
      <w:r>
        <w:rPr>
          <w:rFonts w:hint="default"/>
          <w:lang w:val="en-US" w:eastAsia="zh-CN"/>
        </w:rPr>
        <w:t>[</w:t>
      </w:r>
      <w:r>
        <w:rPr>
          <w:rFonts w:hint="eastAsia"/>
          <w:lang w:val="en-US" w:eastAsia="zh-CN"/>
        </w:rPr>
        <w:t>日</w:t>
      </w:r>
      <w:r>
        <w:rPr>
          <w:rFonts w:hint="default"/>
          <w:lang w:val="en-US" w:eastAsia="zh-CN"/>
        </w:rPr>
        <w:t>]</w:t>
      </w:r>
      <w:r>
        <w:rPr>
          <w:rFonts w:hint="eastAsia"/>
          <w:lang w:val="en-US" w:eastAsia="zh-CN"/>
        </w:rPr>
        <w:t>我妻荣：《我妻荣民法讲义二：新订物权法》，罗莉译，中国法制出版社2008年版，第12页。</w:t>
      </w:r>
    </w:p>
  </w:footnote>
  <w:footnote w:id="19">
    <w:p w14:paraId="03B678E1">
      <w:pPr>
        <w:pStyle w:val="7"/>
        <w:snapToGrid w:val="0"/>
        <w:rPr>
          <w:rFonts w:hint="default"/>
          <w:lang w:val="en-US"/>
        </w:rPr>
      </w:pPr>
      <w:r>
        <w:rPr>
          <w:rFonts w:ascii="Times New Roman Regular" w:hAnsi="Times New Roman Regular" w:cs="Times New Roman Regular"/>
        </w:rPr>
        <w:footnoteRef/>
      </w:r>
      <w:r>
        <w:rPr>
          <w:rFonts w:ascii="Times New Roman Regular" w:hAnsi="Times New Roman Regular" w:cs="Times New Roman Regular"/>
        </w:rPr>
        <w:t xml:space="preserve"> </w:t>
      </w:r>
      <w:r>
        <w:rPr>
          <w:rFonts w:hint="eastAsia"/>
          <w:lang w:val="en-US" w:eastAsia="zh-CN"/>
        </w:rPr>
        <w:t>参见杨立新、梁清：《物权法规则适用》，吉林人民出版社2007年版，第14页。</w:t>
      </w:r>
    </w:p>
  </w:footnote>
  <w:footnote w:id="20">
    <w:p w14:paraId="073B85B8">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w:t>
      </w:r>
      <w:r>
        <w:rPr>
          <w:rFonts w:hint="eastAsia" w:ascii="Times New Roman Regular" w:hAnsi="Times New Roman Regular" w:cs="Times New Roman Regular"/>
        </w:rPr>
        <w:t>朱岩、高圣平、陈鑫</w:t>
      </w:r>
      <w:r>
        <w:rPr>
          <w:rFonts w:ascii="Times New Roman Regular" w:hAnsi="Times New Roman Regular" w:cs="Times New Roman Regular"/>
        </w:rPr>
        <w:t>：《中国物权法评注》，北京大学出版社2007年版，第15页。</w:t>
      </w:r>
    </w:p>
  </w:footnote>
  <w:footnote w:id="21">
    <w:p w14:paraId="6F2375B5">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参见黄玉烨、潘滨：《论NFT数字藏品的法律属性——兼评NFT数字藏品版权纠纷第一案》，《编辑之友》2022年第9期，第104-111页。</w:t>
      </w:r>
    </w:p>
  </w:footnote>
  <w:footnote w:id="22">
    <w:p w14:paraId="4499E5D7">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See Rakesh Sharma,</w:t>
      </w:r>
      <w:r>
        <w:rPr>
          <w:rFonts w:ascii="Times New Roman Regular" w:hAnsi="Times New Roman Regular" w:cs="Times New Roman Regular"/>
          <w:i/>
          <w:iCs/>
        </w:rPr>
        <w:t xml:space="preserve"> Non-Fungible Token (NFT): What It Means and How It Works</w:t>
      </w:r>
      <w:r>
        <w:rPr>
          <w:rFonts w:ascii="Times New Roman Regular" w:hAnsi="Times New Roman Regular" w:cs="Times New Roman Regular"/>
        </w:rPr>
        <w:t>, Investopedia,(April 18, 2025),https://www.investopedia.com/non-fungible-tokens-nft-5115211.</w:t>
      </w:r>
    </w:p>
  </w:footnote>
  <w:footnote w:id="23">
    <w:p w14:paraId="1071DF30">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See Anastaslla Chuvaieva, </w:t>
      </w:r>
      <w:r>
        <w:rPr>
          <w:rFonts w:ascii="Times New Roman Regular" w:hAnsi="Times New Roman Regular" w:cs="Times New Roman Regular"/>
          <w:i/>
          <w:iCs/>
        </w:rPr>
        <w:t>Non-Fungible Tokens and Failed Promises of Simple Virtual Ownership</w:t>
      </w:r>
      <w:r>
        <w:rPr>
          <w:rFonts w:ascii="Times New Roman Regular" w:hAnsi="Times New Roman Regular" w:cs="Times New Roman Regular"/>
        </w:rPr>
        <w:t>,12 New York University Journal of Intellectual Property and Entertainment Law 304(2023).</w:t>
      </w:r>
    </w:p>
  </w:footnote>
  <w:footnote w:id="24">
    <w:p w14:paraId="2D374356">
      <w:pPr>
        <w:pStyle w:val="7"/>
        <w:keepLines/>
        <w:rPr>
          <w:rFonts w:hint="eastAsia" w:ascii="Times New Roman Regular" w:hAnsi="Times New Roman Regular" w:cs="Times New Roman Regular"/>
          <w:lang w:val="en-US" w:eastAsia="zh-CN"/>
        </w:rPr>
      </w:pPr>
      <w:r>
        <w:rPr>
          <w:rFonts w:ascii="Times New Roman Regular" w:hAnsi="Times New Roman Regular" w:cs="Times New Roman Regular"/>
        </w:rPr>
        <w:footnoteRef/>
      </w:r>
      <w:r>
        <w:rPr>
          <w:rFonts w:ascii="Times New Roman Regular" w:hAnsi="Times New Roman Regular" w:cs="Times New Roman Regular"/>
        </w:rPr>
        <w:t xml:space="preserve"> </w:t>
      </w:r>
      <w:r>
        <w:rPr>
          <w:rFonts w:hint="eastAsia" w:ascii="Times New Roman Regular" w:hAnsi="Times New Roman Regular" w:cs="Times New Roman Regular"/>
          <w:lang w:val="en-US" w:eastAsia="zh-CN"/>
        </w:rPr>
        <w:t>参见杨立新、梁清：《物权法规则适用》，吉林人民出版社2007年版，第19页。</w:t>
      </w:r>
    </w:p>
  </w:footnote>
  <w:footnote w:id="25">
    <w:p w14:paraId="7BD71C43">
      <w:pPr>
        <w:pStyle w:val="7"/>
        <w:keepLines/>
        <w:rPr>
          <w:rFonts w:hint="default" w:ascii="Times New Roman Regular" w:hAnsi="Times New Roman Regular" w:cs="Times New Roman Regular"/>
          <w:lang w:val="en-US" w:eastAsia="zh-CN"/>
        </w:rPr>
      </w:pPr>
      <w:r>
        <w:rPr>
          <w:rFonts w:ascii="Times New Roman Regular" w:hAnsi="Times New Roman Regular" w:cs="Times New Roman Regular"/>
        </w:rPr>
        <w:footnoteRef/>
      </w:r>
      <w:r>
        <w:rPr>
          <w:rFonts w:ascii="Times New Roman Regular" w:hAnsi="Times New Roman Regular" w:cs="Times New Roman Regular"/>
        </w:rPr>
        <w:t xml:space="preserve"> </w:t>
      </w:r>
      <w:r>
        <w:rPr>
          <w:rFonts w:hint="eastAsia" w:ascii="Times New Roman Regular" w:hAnsi="Times New Roman Regular" w:cs="Times New Roman Regular"/>
          <w:lang w:val="en-US" w:eastAsia="zh-CN"/>
        </w:rPr>
        <w:t>参见高骊梅：《网络虚拟财产保护的解释路径》，《清华法学》2021年第3期，第179-193页。</w:t>
      </w:r>
    </w:p>
  </w:footnote>
  <w:footnote w:id="26">
    <w:p w14:paraId="7CBB1511">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See Hadar Y. Jabotinsky &amp; Michal Lavi, NFT for Eternity, 56 University of Michigan Journal of Law Reform</w:t>
      </w:r>
      <w:r>
        <w:rPr>
          <w:rFonts w:hint="eastAsia" w:ascii="Times New Roman Regular" w:hAnsi="Times New Roman Regular" w:cs="Times New Roman Regular"/>
          <w:lang w:val="en-US" w:eastAsia="zh-CN"/>
        </w:rPr>
        <w:t xml:space="preserve"> </w:t>
      </w:r>
      <w:r>
        <w:rPr>
          <w:rFonts w:ascii="Times New Roman Regular" w:hAnsi="Times New Roman Regular" w:cs="Times New Roman Regular"/>
        </w:rPr>
        <w:t>827(2023).</w:t>
      </w:r>
    </w:p>
  </w:footnote>
  <w:footnote w:id="27">
    <w:p w14:paraId="08ABCF11">
      <w:pPr>
        <w:pStyle w:val="7"/>
        <w:keepLines/>
        <w:rPr>
          <w:rFonts w:hint="default" w:ascii="Times New Roman Regular" w:hAnsi="Times New Roman Regular" w:cs="Times New Roman Regular"/>
          <w:highlight w:val="none"/>
          <w:lang w:val="en-US" w:eastAsia="zh-CN"/>
        </w:rPr>
      </w:pPr>
      <w:r>
        <w:rPr>
          <w:rFonts w:ascii="Times New Roman Regular" w:hAnsi="Times New Roman Regular" w:cs="Times New Roman Regular"/>
          <w:highlight w:val="none"/>
        </w:rPr>
        <w:footnoteRef/>
      </w:r>
      <w:r>
        <w:rPr>
          <w:rFonts w:ascii="Times New Roman Regular" w:hAnsi="Times New Roman Regular" w:cs="Times New Roman Regular"/>
          <w:highlight w:val="none"/>
        </w:rPr>
        <w:t xml:space="preserve"> </w:t>
      </w:r>
      <w:r>
        <w:rPr>
          <w:rFonts w:hint="eastAsia" w:ascii="Times New Roman Regular" w:hAnsi="Times New Roman Regular" w:cs="Times New Roman Regular"/>
          <w:highlight w:val="none"/>
          <w:lang w:val="en-US" w:eastAsia="zh-CN"/>
        </w:rPr>
        <w:t>See Jakub Wyczik</w:t>
      </w:r>
      <w:r>
        <w:rPr>
          <w:rFonts w:hint="default" w:ascii="Times New Roman Regular" w:hAnsi="Times New Roman Regular" w:cs="Times New Roman Regular"/>
          <w:highlight w:val="none"/>
          <w:lang w:val="en-US" w:eastAsia="zh-CN"/>
        </w:rPr>
        <w:t xml:space="preserve">, </w:t>
      </w:r>
      <w:r>
        <w:rPr>
          <w:rFonts w:hint="default" w:ascii="Times New Roman Italic" w:hAnsi="Times New Roman Italic" w:cs="Times New Roman Italic"/>
          <w:i/>
          <w:iCs/>
          <w:highlight w:val="none"/>
          <w:lang w:val="en-US" w:eastAsia="zh-CN"/>
        </w:rPr>
        <w:t>Ownership in the 21st century: property law of digital assets</w:t>
      </w:r>
      <w:r>
        <w:rPr>
          <w:rFonts w:hint="default" w:ascii="Times New Roman Regular" w:hAnsi="Times New Roman Regular" w:cs="Times New Roman Regular"/>
          <w:highlight w:val="none"/>
          <w:lang w:val="en-US" w:eastAsia="zh-CN"/>
        </w:rPr>
        <w:t>, 34 Information &amp; Communications Technology Law 187(2025).</w:t>
      </w:r>
    </w:p>
  </w:footnote>
  <w:footnote w:id="28">
    <w:p w14:paraId="22FF1693">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参见《无聊猿游艇俱乐部是如何运作的？》，微信公众号“Supra中文”，2022年4月28日，https://mp.weixin.qq.com/s/6AA4raEHePzU-IbXaVJoow.</w:t>
      </w:r>
    </w:p>
  </w:footnote>
  <w:footnote w:id="29">
    <w:p w14:paraId="0790F0FA">
      <w:pPr>
        <w:pStyle w:val="7"/>
        <w:keepLines/>
        <w:rPr>
          <w:rFonts w:hint="default" w:ascii="Times New Roman Regular" w:hAnsi="Times New Roman Regular" w:cs="Times New Roman Regular"/>
          <w:lang w:val="en-US" w:eastAsia="zh-CN"/>
        </w:rPr>
      </w:pPr>
      <w:r>
        <w:rPr>
          <w:rFonts w:ascii="Times New Roman Regular" w:hAnsi="Times New Roman Regular" w:cs="Times New Roman Regular"/>
        </w:rPr>
        <w:footnoteRef/>
      </w:r>
      <w:r>
        <w:rPr>
          <w:rFonts w:ascii="Times New Roman Regular" w:hAnsi="Times New Roman Regular" w:cs="Times New Roman Regular"/>
        </w:rPr>
        <w:t xml:space="preserve"> </w:t>
      </w:r>
      <w:r>
        <w:rPr>
          <w:rFonts w:hint="eastAsia" w:ascii="Times New Roman Regular" w:hAnsi="Times New Roman Regular" w:cs="Times New Roman Regular"/>
          <w:lang w:val="en-US" w:eastAsia="zh-CN"/>
        </w:rPr>
        <w:t>参见金可可：《论支配权概念——以德国民法学为背景》，《中国法学》2006年第2期，第68-84页。</w:t>
      </w:r>
    </w:p>
  </w:footnote>
  <w:footnote w:id="30">
    <w:p w14:paraId="78BFAC82">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w:t>
      </w:r>
      <w:r>
        <w:rPr>
          <w:rFonts w:hint="eastAsia" w:ascii="Times New Roman Regular" w:hAnsi="Times New Roman Regular" w:cs="Times New Roman Regular"/>
          <w:lang w:val="en-US" w:eastAsia="zh-CN"/>
        </w:rPr>
        <w:t>见杨立新、梁清：《物权法规则适用》，吉林人民出版社2007年版，第13-14页。</w:t>
      </w:r>
    </w:p>
  </w:footnote>
  <w:footnote w:id="31">
    <w:p w14:paraId="2F11BE93">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参见李齐广：《刑民对话视野下窃取虚拟财产刑事责任的认定》，《武汉大学学报（社会科学版）》2017年第2期，第85-96页。</w:t>
      </w:r>
    </w:p>
  </w:footnote>
  <w:footnote w:id="32">
    <w:p w14:paraId="1D882A96">
      <w:pPr>
        <w:pStyle w:val="7"/>
        <w:keepLines/>
        <w:rPr>
          <w:rFonts w:hint="default" w:ascii="Times New Roman Regular" w:hAnsi="Times New Roman Regular" w:cs="Times New Roman Regular"/>
          <w:lang w:val="en-US" w:eastAsia="zh-CN"/>
        </w:rPr>
      </w:pPr>
      <w:r>
        <w:rPr>
          <w:rFonts w:ascii="Times New Roman Regular" w:hAnsi="Times New Roman Regular" w:cs="Times New Roman Regular"/>
        </w:rPr>
        <w:footnoteRef/>
      </w:r>
      <w:r>
        <w:rPr>
          <w:rFonts w:ascii="Times New Roman Regular" w:hAnsi="Times New Roman Regular" w:cs="Times New Roman Regular"/>
        </w:rPr>
        <w:t xml:space="preserve"> </w:t>
      </w:r>
      <w:r>
        <w:rPr>
          <w:rFonts w:hint="eastAsia" w:ascii="Times New Roman Regular" w:hAnsi="Times New Roman Regular" w:cs="Times New Roman Regular"/>
          <w:lang w:val="en-US" w:eastAsia="zh-CN"/>
        </w:rPr>
        <w:t>参见林旭霞：《虚拟财产权性质论》，《中国法学》2009年第1期，第</w:t>
      </w:r>
      <w:r>
        <w:rPr>
          <w:rFonts w:hint="default" w:ascii="Times New Roman Regular" w:hAnsi="Times New Roman Regular" w:cs="Times New Roman Regular"/>
          <w:lang w:val="en-US" w:eastAsia="zh-CN"/>
        </w:rPr>
        <w:t>88-90</w:t>
      </w:r>
      <w:r>
        <w:rPr>
          <w:rFonts w:hint="eastAsia" w:ascii="Times New Roman Regular" w:hAnsi="Times New Roman Regular" w:cs="Times New Roman Regular"/>
          <w:lang w:val="en-US" w:eastAsia="zh-CN"/>
        </w:rPr>
        <w:t>页。</w:t>
      </w:r>
    </w:p>
  </w:footnote>
  <w:footnote w:id="33">
    <w:p w14:paraId="344EE636">
      <w:pPr>
        <w:pStyle w:val="7"/>
        <w:keepLines/>
        <w:rPr>
          <w:rFonts w:hint="default" w:ascii="Times New Roman Regular" w:hAnsi="Times New Roman Regular" w:cs="Times New Roman Regular" w:eastAsiaTheme="minorEastAsia"/>
          <w:lang w:val="en-US" w:eastAsia="zh-CN"/>
        </w:rPr>
      </w:pPr>
      <w:r>
        <w:rPr>
          <w:rFonts w:ascii="Times New Roman Regular" w:hAnsi="Times New Roman Regular" w:cs="Times New Roman Regular"/>
        </w:rPr>
        <w:footnoteRef/>
      </w:r>
      <w:r>
        <w:rPr>
          <w:rFonts w:ascii="Times New Roman Regular" w:hAnsi="Times New Roman Regular" w:cs="Times New Roman Regular"/>
        </w:rPr>
        <w:t xml:space="preserve"> </w:t>
      </w:r>
      <w:r>
        <w:rPr>
          <w:rFonts w:hint="default" w:ascii="Times New Roman Regular" w:hAnsi="Times New Roman Regular" w:cs="Times New Roman Regular"/>
          <w:lang w:val="en-US" w:eastAsia="zh-CN"/>
        </w:rPr>
        <w:t xml:space="preserve">See Murray, Michael D, </w:t>
      </w:r>
      <w:r>
        <w:rPr>
          <w:rFonts w:hint="default" w:ascii="Times New Roman Italic" w:hAnsi="Times New Roman Italic" w:cs="Times New Roman Italic"/>
          <w:i/>
          <w:iCs/>
          <w:lang w:val="en-US" w:eastAsia="zh-CN"/>
        </w:rPr>
        <w:t>NFT Ownership and Copyrights</w:t>
      </w:r>
      <w:r>
        <w:rPr>
          <w:rFonts w:hint="default" w:ascii="Times New Roman Regular" w:hAnsi="Times New Roman Regular" w:cs="Times New Roman Regular"/>
          <w:lang w:val="en-US" w:eastAsia="zh-CN"/>
        </w:rPr>
        <w:t>, 56</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lang w:val="en-US" w:eastAsia="zh-CN"/>
        </w:rPr>
        <w:t>Indiana Law Review 374</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lang w:val="en-US" w:eastAsia="zh-CN"/>
        </w:rPr>
        <w:t>(2023).</w:t>
      </w:r>
    </w:p>
  </w:footnote>
  <w:footnote w:id="34">
    <w:p w14:paraId="02106F69">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朱岩、高圣平、陈鑫：《中国物权法评注》，北京大学出版社2007年版，第16页。</w:t>
      </w:r>
    </w:p>
  </w:footnote>
  <w:footnote w:id="35">
    <w:p w14:paraId="4B8EB56F">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hint="eastAsia" w:ascii="Times New Roman Regular" w:hAnsi="Times New Roman Regular" w:cs="Times New Roman Regular"/>
        </w:rPr>
        <w:t xml:space="preserve"> 参见陈雪萍、钟翊鸣：《数字资产出资面临的挑战及法律回应》，《重庆大学学报》2024年11月5日网络首发。</w:t>
      </w:r>
    </w:p>
  </w:footnote>
  <w:footnote w:id="36">
    <w:p w14:paraId="3CD33633">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w:t>
      </w:r>
      <w:r>
        <w:rPr>
          <w:rFonts w:hint="eastAsia" w:ascii="Times New Roman Regular" w:hAnsi="Times New Roman Regular" w:cs="Times New Roman Regular"/>
        </w:rPr>
        <w:t>参见马国权：《所有权类型的立法模式》，《山东行政学院学报》2004年第1期，第71-73页。</w:t>
      </w:r>
    </w:p>
  </w:footnote>
  <w:footnote w:id="37">
    <w:p w14:paraId="0DD308F7">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See Henry E. Smith, </w:t>
      </w:r>
      <w:r>
        <w:rPr>
          <w:rFonts w:ascii="Times New Roman Regular" w:hAnsi="Times New Roman Regular" w:cs="Times New Roman Regular"/>
          <w:i/>
          <w:iCs/>
        </w:rPr>
        <w:t>Property as the Law of Things</w:t>
      </w:r>
      <w:r>
        <w:rPr>
          <w:rFonts w:ascii="Times New Roman Regular" w:hAnsi="Times New Roman Regular" w:cs="Times New Roman Regular"/>
        </w:rPr>
        <w:t>,125 Harvard Law Review</w:t>
      </w:r>
      <w:r>
        <w:rPr>
          <w:rFonts w:hint="eastAsia" w:ascii="Times New Roman Regular" w:hAnsi="Times New Roman Regular" w:cs="Times New Roman Regular"/>
          <w:lang w:val="en-US" w:eastAsia="zh-CN"/>
        </w:rPr>
        <w:t xml:space="preserve"> </w:t>
      </w:r>
      <w:r>
        <w:rPr>
          <w:rFonts w:ascii="Times New Roman Regular" w:hAnsi="Times New Roman Regular" w:cs="Times New Roman Regular"/>
        </w:rPr>
        <w:t>1691 (2012).</w:t>
      </w:r>
    </w:p>
  </w:footnote>
  <w:footnote w:id="38">
    <w:p w14:paraId="740B9550">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See João Marinotti, </w:t>
      </w:r>
      <w:r>
        <w:rPr>
          <w:rFonts w:ascii="Times New Roman Regular" w:hAnsi="Times New Roman Regular" w:cs="Times New Roman Regular"/>
          <w:i/>
          <w:iCs/>
        </w:rPr>
        <w:t>Tangibility as Technology</w:t>
      </w:r>
      <w:r>
        <w:rPr>
          <w:rFonts w:ascii="Times New Roman Regular" w:hAnsi="Times New Roman Regular" w:cs="Times New Roman Regular"/>
        </w:rPr>
        <w:t>,</w:t>
      </w:r>
      <w:r>
        <w:rPr>
          <w:rFonts w:hint="default" w:ascii="Times New Roman Regular" w:hAnsi="Times New Roman Regular" w:cs="Times New Roman Regular"/>
          <w:lang w:val="en-US"/>
        </w:rPr>
        <w:t xml:space="preserve"> </w:t>
      </w:r>
      <w:r>
        <w:rPr>
          <w:rFonts w:ascii="Times New Roman Regular" w:hAnsi="Times New Roman Regular" w:cs="Times New Roman Regular"/>
        </w:rPr>
        <w:t>37 Georgia State University Law Revie</w:t>
      </w:r>
      <w:r>
        <w:rPr>
          <w:rFonts w:hint="default" w:ascii="Times New Roman Regular" w:hAnsi="Times New Roman Regular" w:cs="Times New Roman Regular"/>
          <w:lang w:val="en-US"/>
        </w:rPr>
        <w:t xml:space="preserve">w </w:t>
      </w:r>
      <w:r>
        <w:rPr>
          <w:rFonts w:ascii="Times New Roman Regular" w:hAnsi="Times New Roman Regular" w:cs="Times New Roman Regular"/>
        </w:rPr>
        <w:t>671(2021).</w:t>
      </w:r>
    </w:p>
  </w:footnote>
  <w:footnote w:id="39">
    <w:p w14:paraId="7B6C16FE">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参见孙思琪：《提单物权效力论》，《中国海商法研究》2025年第1期，第16-32页。</w:t>
      </w:r>
    </w:p>
  </w:footnote>
  <w:footnote w:id="40">
    <w:p w14:paraId="29DFC192">
      <w:pPr>
        <w:pStyle w:val="7"/>
        <w:keepLines/>
        <w:rPr>
          <w:rFonts w:hint="default" w:ascii="Times New Roman Regular" w:hAnsi="Times New Roman Regular" w:cs="Times New Roman Regular"/>
          <w:lang w:val="en-US" w:eastAsia="zh-CN"/>
        </w:rPr>
      </w:pPr>
      <w:r>
        <w:rPr>
          <w:rFonts w:ascii="Times New Roman Regular" w:hAnsi="Times New Roman Regular" w:cs="Times New Roman Regular"/>
        </w:rPr>
        <w:footnoteRef/>
      </w:r>
      <w:r>
        <w:rPr>
          <w:rFonts w:ascii="Times New Roman Regular" w:hAnsi="Times New Roman Regular" w:cs="Times New Roman Regular"/>
        </w:rPr>
        <w:t xml:space="preserve"> </w:t>
      </w:r>
      <w:r>
        <w:rPr>
          <w:rFonts w:hint="eastAsia" w:ascii="Times New Roman Regular" w:hAnsi="Times New Roman Regular" w:cs="Times New Roman Regular"/>
          <w:lang w:val="en-US" w:eastAsia="zh-CN"/>
        </w:rPr>
        <w:t>参见陈泽宇：《动产概念扩张下的数字藏品法律属性分析》</w:t>
      </w:r>
      <w:r>
        <w:rPr>
          <w:rFonts w:hint="default" w:ascii="Times New Roman Regular" w:hAnsi="Times New Roman Regular" w:cs="Times New Roman Regular"/>
          <w:lang w:val="en-US" w:eastAsia="zh-CN"/>
        </w:rPr>
        <w:t>,</w:t>
      </w:r>
      <w:r>
        <w:rPr>
          <w:rFonts w:hint="eastAsia" w:ascii="Times New Roman Regular" w:hAnsi="Times New Roman Regular" w:cs="Times New Roman Regular"/>
          <w:lang w:val="en-US" w:eastAsia="zh-CN"/>
        </w:rPr>
        <w:t>《内蒙古财经大学学报》2024年第2期，第141-145页。</w:t>
      </w:r>
    </w:p>
  </w:footnote>
  <w:footnote w:id="41">
    <w:p w14:paraId="3C42832E">
      <w:pPr>
        <w:pStyle w:val="7"/>
        <w:snapToGrid w:val="0"/>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w:t>
      </w:r>
      <w:r>
        <w:rPr>
          <w:rFonts w:hint="default" w:ascii="Times New Roman Regular" w:hAnsi="Times New Roman Regular" w:cs="Times New Roman Regular"/>
          <w:lang w:val="en-US" w:eastAsia="zh-CN"/>
        </w:rPr>
        <w:t xml:space="preserve">See Murray, Michael D, </w:t>
      </w:r>
      <w:r>
        <w:rPr>
          <w:rFonts w:hint="default" w:ascii="Times New Roman Italic" w:hAnsi="Times New Roman Italic" w:cs="Times New Roman Italic"/>
          <w:i/>
          <w:iCs/>
          <w:lang w:val="en-US" w:eastAsia="zh-CN"/>
        </w:rPr>
        <w:t>NFT Ownership and Copyrights</w:t>
      </w:r>
      <w:r>
        <w:rPr>
          <w:rFonts w:hint="default" w:ascii="Times New Roman Regular" w:hAnsi="Times New Roman Regular" w:cs="Times New Roman Regular"/>
          <w:lang w:val="en-US" w:eastAsia="zh-CN"/>
        </w:rPr>
        <w:t>, 56</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lang w:val="en-US" w:eastAsia="zh-CN"/>
        </w:rPr>
        <w:t>Indiana Law Review 374</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lang w:val="en-US" w:eastAsia="zh-CN"/>
        </w:rPr>
        <w:t>(2023).</w:t>
      </w:r>
    </w:p>
  </w:footnote>
  <w:footnote w:id="42">
    <w:p w14:paraId="27DB9497">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w:t>
      </w:r>
      <w:r>
        <w:rPr>
          <w:rFonts w:ascii="Times New Roman Regular" w:hAnsi="Times New Roman Regular" w:cs="Times New Roman Regular"/>
          <w:szCs w:val="18"/>
        </w:rPr>
        <w:t>Matthias Lehmann,</w:t>
      </w:r>
      <w:r>
        <w:rPr>
          <w:rFonts w:ascii="Times New Roman Regular" w:hAnsi="Times New Roman Regular" w:cs="Times New Roman Regular"/>
          <w:i/>
          <w:iCs/>
          <w:szCs w:val="18"/>
        </w:rPr>
        <w:t>Who Owns Bitcoin? Private Law Facing the Blockchain</w:t>
      </w:r>
      <w:r>
        <w:rPr>
          <w:rFonts w:ascii="Times New Roman Regular" w:hAnsi="Times New Roman Regular" w:cs="Times New Roman Regular"/>
          <w:szCs w:val="18"/>
        </w:rPr>
        <w:t>, 21 Minnesota Journal of Law, Science and Technology</w:t>
      </w:r>
      <w:r>
        <w:rPr>
          <w:rFonts w:hint="default" w:ascii="Times New Roman Regular" w:hAnsi="Times New Roman Regular" w:cs="Times New Roman Regular"/>
          <w:szCs w:val="18"/>
          <w:lang w:val="en-US"/>
        </w:rPr>
        <w:t xml:space="preserve"> 93(</w:t>
      </w:r>
      <w:r>
        <w:rPr>
          <w:rFonts w:ascii="Times New Roman Regular" w:hAnsi="Times New Roman Regular" w:cs="Times New Roman Regular"/>
          <w:szCs w:val="18"/>
        </w:rPr>
        <w:t>2019).</w:t>
      </w:r>
    </w:p>
  </w:footnote>
  <w:footnote w:id="43">
    <w:p w14:paraId="2036AF97">
      <w:pPr>
        <w:pStyle w:val="7"/>
        <w:keepLines/>
        <w:rPr>
          <w:rFonts w:ascii="Times New Roman Regular" w:hAnsi="Times New Roman Regular" w:cs="Times New Roman Regular"/>
          <w:szCs w:val="18"/>
        </w:rPr>
      </w:pPr>
      <w:r>
        <w:rPr>
          <w:rFonts w:ascii="Times New Roman Regular" w:hAnsi="Times New Roman Regular" w:cs="Times New Roman Regular"/>
          <w:szCs w:val="18"/>
        </w:rPr>
        <w:footnoteRef/>
      </w:r>
      <w:r>
        <w:rPr>
          <w:rFonts w:ascii="Times New Roman Regular" w:hAnsi="Times New Roman Regular" w:cs="Times New Roman Regular"/>
          <w:szCs w:val="18"/>
        </w:rPr>
        <w:t xml:space="preserve"> </w:t>
      </w:r>
      <w:r>
        <w:rPr>
          <w:rFonts w:hint="eastAsia" w:ascii="Times New Roman Regular" w:hAnsi="Times New Roman Regular" w:cs="Times New Roman Regular"/>
          <w:szCs w:val="18"/>
        </w:rPr>
        <w:t>See e.g., UNCITRAL , UNCITRAL Model Law on International Commercial Arbitration (1985), with amendments as adopted in 2006.</w:t>
      </w:r>
    </w:p>
  </w:footnote>
  <w:footnote w:id="44">
    <w:p w14:paraId="6CFAF903">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参见朱京安、范书江：《论物权法定与意思自治之缓和——评我国涉外物权法律适用中引入意思自治的合理性》，《西北大学学报（哲学社会科学版）》2020年第2期，第62-68页。</w:t>
      </w:r>
    </w:p>
  </w:footnote>
  <w:footnote w:id="45">
    <w:p w14:paraId="2D3CD7EE">
      <w:pPr>
        <w:pStyle w:val="7"/>
        <w:keepLines/>
        <w:rPr>
          <w:rFonts w:ascii="Times New Roman Regular" w:hAnsi="Times New Roman Regular" w:cs="Times New Roman Regular"/>
          <w:highlight w:val="cyan"/>
        </w:rPr>
      </w:pPr>
      <w:r>
        <w:rPr>
          <w:rFonts w:ascii="Times New Roman Regular" w:hAnsi="Times New Roman Regular" w:cs="Times New Roman Regular"/>
        </w:rPr>
        <w:footnoteRef/>
      </w:r>
      <w:r>
        <w:rPr>
          <w:rFonts w:ascii="Times New Roman Regular" w:hAnsi="Times New Roman Regular" w:cs="Times New Roman Regular"/>
        </w:rPr>
        <w:t xml:space="preserve"> See Simeona Kostova, </w:t>
      </w:r>
      <w:r>
        <w:rPr>
          <w:rFonts w:ascii="Times New Roman Regular" w:hAnsi="Times New Roman Regular" w:cs="Times New Roman Regular"/>
          <w:i/>
          <w:iCs/>
        </w:rPr>
        <w:t>Party Autonomy in a Modern Context: A Critical Analysis of its Scope under the Rome I Choice of Law Rules and Some Contemporary Considerations</w:t>
      </w:r>
      <w:r>
        <w:rPr>
          <w:rFonts w:ascii="Times New Roman Regular" w:hAnsi="Times New Roman Regular" w:cs="Times New Roman Regular"/>
        </w:rPr>
        <w:t>, Centre for Private International Law at the School of Law, University of Aberdeen(Feb, 2023) https://www.abdn.ac.uk/media/site/law/documents/Aberdeen_Centre_for_Private_International_Law_WP_12023.pdf.</w:t>
      </w:r>
    </w:p>
  </w:footnote>
  <w:footnote w:id="46">
    <w:p w14:paraId="12349CD5">
      <w:pPr>
        <w:pStyle w:val="7"/>
        <w:keepLines/>
        <w:rPr>
          <w:rFonts w:ascii="Times New Roman Regular" w:hAnsi="Times New Roman Regular" w:cs="Times New Roman Regular"/>
          <w:highlight w:val="cyan"/>
        </w:rPr>
      </w:pPr>
      <w:r>
        <w:rPr>
          <w:rFonts w:ascii="Times New Roman Regular" w:hAnsi="Times New Roman Regular" w:cs="Times New Roman Regular"/>
        </w:rPr>
        <w:footnoteRef/>
      </w:r>
      <w:r>
        <w:rPr>
          <w:rFonts w:ascii="Times New Roman Regular" w:hAnsi="Times New Roman Regular" w:cs="Times New Roman Regular"/>
        </w:rPr>
        <w:t xml:space="preserve"> See Luís de Lima Pinheiro, </w:t>
      </w:r>
      <w:r>
        <w:rPr>
          <w:rFonts w:ascii="Times New Roman Regular" w:hAnsi="Times New Roman Regular" w:cs="Times New Roman Regular"/>
          <w:i/>
          <w:iCs/>
        </w:rPr>
        <w:t>Laws Applicable to International Smart Contracts and Decentralized Autonomous Organizations (DAOS)</w:t>
      </w:r>
      <w:r>
        <w:rPr>
          <w:rFonts w:ascii="Times New Roman Regular" w:hAnsi="Times New Roman Regular" w:cs="Times New Roman Regular"/>
        </w:rPr>
        <w:t xml:space="preserve">, </w:t>
      </w:r>
      <w:r>
        <w:rPr>
          <w:rFonts w:ascii="Times New Roman Regular" w:hAnsi="Times New Roman Regular" w:cs="Times New Roman Regular"/>
          <w:szCs w:val="18"/>
        </w:rPr>
        <w:t>SSRN(Jun 5, 2023), https://papers.ssrn.com/sol3/papers.cfm?abstract_id=4467408.</w:t>
      </w:r>
    </w:p>
  </w:footnote>
  <w:footnote w:id="47">
    <w:p w14:paraId="077142EB">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See Hadar Y. Jabotinsky &amp; Michal Lavi, </w:t>
      </w:r>
      <w:r>
        <w:rPr>
          <w:rFonts w:ascii="Times New Roman Regular" w:hAnsi="Times New Roman Regular" w:cs="Times New Roman Regular"/>
          <w:i/>
          <w:iCs/>
        </w:rPr>
        <w:t>NFT for Eternity</w:t>
      </w:r>
      <w:r>
        <w:rPr>
          <w:rFonts w:ascii="Times New Roman Regular" w:hAnsi="Times New Roman Regular" w:cs="Times New Roman Regular"/>
        </w:rPr>
        <w:t>, 56 University of Michigan Journal of Law Reform</w:t>
      </w:r>
      <w:r>
        <w:rPr>
          <w:rFonts w:hint="default" w:ascii="Times New Roman Regular" w:hAnsi="Times New Roman Regular" w:cs="Times New Roman Regular"/>
          <w:lang w:val="en-US"/>
        </w:rPr>
        <w:t xml:space="preserve"> </w:t>
      </w:r>
      <w:r>
        <w:rPr>
          <w:rFonts w:ascii="Times New Roman Regular" w:hAnsi="Times New Roman Regular" w:cs="Times New Roman Regular"/>
        </w:rPr>
        <w:t>827(2023).</w:t>
      </w:r>
    </w:p>
  </w:footnote>
  <w:footnote w:id="48">
    <w:p w14:paraId="1F20D2F1">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“老大哥国家”的概念源自英国作家乔治·奥威尔的反乌托邦小说《1984》（1949年出版），用来形容实施全方位监控、思想控制与高压统治的极权主义政权。</w:t>
      </w:r>
    </w:p>
  </w:footnote>
  <w:footnote w:id="49">
    <w:p w14:paraId="4949296A">
      <w:pPr>
        <w:pStyle w:val="7"/>
        <w:keepLines/>
        <w:rPr>
          <w:rFonts w:ascii="Times New Roman Regular" w:hAnsi="Times New Roman Regular" w:cs="Times New Roman Regular"/>
          <w:szCs w:val="18"/>
        </w:rPr>
      </w:pPr>
      <w:r>
        <w:rPr>
          <w:rFonts w:ascii="Times New Roman Regular" w:hAnsi="Times New Roman Regular" w:cs="Times New Roman Regular"/>
        </w:rPr>
        <w:footnoteRef/>
      </w:r>
      <w:r>
        <w:rPr>
          <w:rFonts w:ascii="Times New Roman Regular" w:hAnsi="Times New Roman Regular" w:cs="Times New Roman Regular"/>
        </w:rPr>
        <w:t xml:space="preserve"> </w:t>
      </w:r>
      <w:r>
        <w:rPr>
          <w:rFonts w:ascii="Times New Roman Regular" w:hAnsi="Times New Roman Regular" w:cs="Times New Roman Regular"/>
          <w:szCs w:val="18"/>
        </w:rPr>
        <w:t xml:space="preserve">See Wright&amp;De Filippi, </w:t>
      </w:r>
      <w:r>
        <w:rPr>
          <w:rFonts w:ascii="Times New Roman Regular" w:hAnsi="Times New Roman Regular" w:cs="Times New Roman Regular"/>
          <w:i/>
          <w:iCs/>
          <w:szCs w:val="18"/>
        </w:rPr>
        <w:t>Decentralized Blockchain Technology and the Rise of Lex Cptographia</w:t>
      </w:r>
      <w:r>
        <w:rPr>
          <w:rFonts w:ascii="Times New Roman Regular" w:hAnsi="Times New Roman Regular" w:cs="Times New Roman Regular"/>
          <w:szCs w:val="18"/>
        </w:rPr>
        <w:t>, SSRN(May 20, 2015), https://papers.ssrn.com/sol3/papers.cfm?abstract_id=2580664.类似的研究还有Matthias Lehmann,</w:t>
      </w:r>
      <w:r>
        <w:rPr>
          <w:rFonts w:ascii="Times New Roman Regular" w:hAnsi="Times New Roman Regular" w:cs="Times New Roman Regular"/>
          <w:i/>
          <w:iCs/>
          <w:szCs w:val="18"/>
        </w:rPr>
        <w:t>Who Owns Bitcoin? Private Law Facing the Blockchain</w:t>
      </w:r>
      <w:r>
        <w:rPr>
          <w:rFonts w:ascii="Times New Roman Regular" w:hAnsi="Times New Roman Regular" w:cs="Times New Roman Regular"/>
          <w:szCs w:val="18"/>
        </w:rPr>
        <w:t>, 21 Minnesota Journal of Law, Science and Technology</w:t>
      </w:r>
      <w:r>
        <w:rPr>
          <w:rFonts w:hint="default" w:ascii="Times New Roman Regular" w:hAnsi="Times New Roman Regular" w:cs="Times New Roman Regular"/>
          <w:szCs w:val="18"/>
          <w:lang w:val="en-US"/>
        </w:rPr>
        <w:t xml:space="preserve"> </w:t>
      </w:r>
      <w:r>
        <w:rPr>
          <w:rFonts w:ascii="Times New Roman Regular" w:hAnsi="Times New Roman Regular" w:cs="Times New Roman Regular"/>
          <w:szCs w:val="18"/>
        </w:rPr>
        <w:t>93(2019).</w:t>
      </w:r>
    </w:p>
  </w:footnote>
  <w:footnote w:id="50">
    <w:p w14:paraId="16C69463">
      <w:pPr>
        <w:pStyle w:val="12"/>
        <w:keepLines/>
        <w:snapToGrid w:val="0"/>
        <w:rPr>
          <w:rFonts w:ascii="Times New Roman Regular" w:hAnsi="Times New Roman Regular" w:cs="Times New Roman Regular" w:eastAsiaTheme="minorEastAsia"/>
          <w:color w:val="auto"/>
          <w:kern w:val="2"/>
          <w:sz w:val="18"/>
          <w:szCs w:val="18"/>
        </w:rPr>
      </w:pPr>
      <w:r>
        <w:rPr>
          <w:rFonts w:ascii="Times New Roman Regular" w:hAnsi="Times New Roman Regular" w:cs="Times New Roman Regular" w:eastAsiaTheme="minorEastAsia"/>
          <w:color w:val="auto"/>
          <w:kern w:val="2"/>
          <w:sz w:val="18"/>
          <w:szCs w:val="18"/>
        </w:rPr>
        <w:footnoteRef/>
      </w:r>
      <w:r>
        <w:rPr>
          <w:rFonts w:ascii="Times New Roman Regular" w:hAnsi="Times New Roman Regular" w:cs="Times New Roman Regular" w:eastAsiaTheme="minorEastAsia"/>
          <w:color w:val="auto"/>
          <w:kern w:val="2"/>
          <w:sz w:val="18"/>
          <w:szCs w:val="18"/>
        </w:rPr>
        <w:t xml:space="preserve"> See Hassan &amp; Primavera De Filippi,</w:t>
      </w:r>
      <w:r>
        <w:rPr>
          <w:rFonts w:ascii="Times New Roman Regular" w:hAnsi="Times New Roman Regular" w:cs="Times New Roman Regular" w:eastAsiaTheme="minorEastAsia"/>
          <w:i/>
          <w:iCs/>
          <w:color w:val="auto"/>
          <w:kern w:val="2"/>
          <w:sz w:val="18"/>
          <w:szCs w:val="18"/>
        </w:rPr>
        <w:t>The Expansion of Algorithmic Governance: From Code is Law to Law is Code</w:t>
      </w:r>
      <w:r>
        <w:rPr>
          <w:rFonts w:ascii="Times New Roman Regular" w:hAnsi="Times New Roman Regular" w:cs="Times New Roman Regular" w:eastAsiaTheme="minorEastAsia"/>
          <w:color w:val="auto"/>
          <w:kern w:val="2"/>
          <w:sz w:val="18"/>
          <w:szCs w:val="18"/>
        </w:rPr>
        <w:t>, 17 Journal of Field Action Science Reports</w:t>
      </w:r>
      <w:r>
        <w:rPr>
          <w:rFonts w:hint="default" w:ascii="Times New Roman Regular" w:hAnsi="Times New Roman Regular" w:cs="Times New Roman Regular" w:eastAsiaTheme="minorEastAsia"/>
          <w:color w:val="auto"/>
          <w:kern w:val="2"/>
          <w:sz w:val="18"/>
          <w:szCs w:val="18"/>
          <w:lang w:val="en-US"/>
        </w:rPr>
        <w:t xml:space="preserve"> </w:t>
      </w:r>
      <w:r>
        <w:rPr>
          <w:rFonts w:ascii="Times New Roman Regular" w:hAnsi="Times New Roman Regular" w:cs="Times New Roman Regular" w:eastAsiaTheme="minorEastAsia"/>
          <w:color w:val="auto"/>
          <w:kern w:val="2"/>
          <w:sz w:val="18"/>
          <w:szCs w:val="18"/>
        </w:rPr>
        <w:t>88(2017).</w:t>
      </w:r>
    </w:p>
  </w:footnote>
  <w:footnote w:id="51">
    <w:p w14:paraId="63E4B742">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See Peter Michaelson, </w:t>
      </w:r>
      <w:r>
        <w:rPr>
          <w:rFonts w:ascii="Times New Roman Regular" w:hAnsi="Times New Roman Regular" w:cs="Times New Roman Regular"/>
          <w:i/>
        </w:rPr>
        <w:t xml:space="preserve">Arbitrating Disputes Involving Blockchains, Smart Contracts and Smart Legal Contracts, </w:t>
      </w:r>
      <w:r>
        <w:rPr>
          <w:rFonts w:ascii="Times New Roman Regular" w:hAnsi="Times New Roman Regular" w:cs="Times New Roman Regular"/>
        </w:rPr>
        <w:t>74 Dispute Resolution Journal 89(2020).</w:t>
      </w:r>
    </w:p>
  </w:footnote>
  <w:footnote w:id="52">
    <w:p w14:paraId="58574C98">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See Jasper Verstappen, </w:t>
      </w:r>
      <w:r>
        <w:rPr>
          <w:rFonts w:ascii="Times New Roman Regular" w:hAnsi="Times New Roman Regular" w:cs="Times New Roman Regular"/>
          <w:i/>
          <w:iCs/>
        </w:rPr>
        <w:t>Regulating Unfair Commercial Practices in a Smart Contract Context,</w:t>
      </w:r>
      <w:r>
        <w:rPr>
          <w:rFonts w:ascii="Times New Roman Regular" w:hAnsi="Times New Roman Regular" w:cs="Times New Roman Regular"/>
        </w:rPr>
        <w:t xml:space="preserve"> European Journal of Law and Technology(</w:t>
      </w:r>
      <w:r>
        <w:rPr>
          <w:rFonts w:ascii="Times New Roman Regular" w:hAnsi="Times New Roman Regular" w:cs="Times New Roman Regular"/>
          <w:szCs w:val="18"/>
        </w:rPr>
        <w:t>Sept. 14, 2024),</w:t>
      </w:r>
      <w:r>
        <w:rPr>
          <w:rFonts w:ascii="Times New Roman Regular" w:hAnsi="Times New Roman Regular" w:cs="Times New Roman Regular"/>
        </w:rPr>
        <w:t>https://ejlt.org/index.php/ejlt/article/view/961.</w:t>
      </w:r>
    </w:p>
  </w:footnote>
  <w:footnote w:id="53">
    <w:p w14:paraId="2428920A">
      <w:pPr>
        <w:pStyle w:val="7"/>
        <w:keepLines/>
        <w:rPr>
          <w:rFonts w:hint="default" w:ascii="Times New Roman Regular" w:hAnsi="Times New Roman Regular" w:cs="Times New Roman Regular"/>
          <w:lang w:val="en-US" w:eastAsia="zh-CN"/>
        </w:rPr>
      </w:pPr>
      <w:r>
        <w:rPr>
          <w:rFonts w:ascii="Times New Roman Regular" w:hAnsi="Times New Roman Regular" w:cs="Times New Roman Regular"/>
        </w:rPr>
        <w:footnoteRef/>
      </w:r>
      <w:r>
        <w:rPr>
          <w:rFonts w:ascii="Times New Roman Regular" w:hAnsi="Times New Roman Regular" w:cs="Times New Roman Regular"/>
        </w:rPr>
        <w:t xml:space="preserve"> </w:t>
      </w:r>
      <w:r>
        <w:rPr>
          <w:rFonts w:hint="default" w:ascii="Times New Roman Regular" w:hAnsi="Times New Roman Regular" w:cs="Times New Roman Regular"/>
          <w:lang w:val="en-US" w:eastAsia="zh-CN"/>
        </w:rPr>
        <w:t xml:space="preserve">See Jochen Zaremba, </w:t>
      </w:r>
      <w:r>
        <w:rPr>
          <w:rFonts w:hint="default" w:ascii="Times New Roman Italic" w:hAnsi="Times New Roman Italic" w:cs="Times New Roman Italic"/>
          <w:i/>
          <w:iCs/>
          <w:lang w:val="en-US" w:eastAsia="zh-CN"/>
        </w:rPr>
        <w:t>International Electronic Transaction Contracts between U.S. and EU Companies and Customers</w:t>
      </w:r>
      <w:r>
        <w:rPr>
          <w:rFonts w:hint="default" w:ascii="Times New Roman Regular" w:hAnsi="Times New Roman Regular" w:cs="Times New Roman Regular"/>
          <w:lang w:val="en-US" w:eastAsia="zh-CN"/>
        </w:rPr>
        <w:t>, 18 Connecticut Journal of International Law 479 (Spring 2003).</w:t>
      </w:r>
    </w:p>
  </w:footnote>
  <w:footnote w:id="54">
    <w:p w14:paraId="26FC491F">
      <w:pPr>
        <w:pStyle w:val="7"/>
        <w:keepLines/>
        <w:rPr>
          <w:rFonts w:hint="default" w:eastAsiaTheme="minorEastAsia"/>
          <w:lang w:val="en-US" w:eastAsia="zh-CN"/>
        </w:rPr>
      </w:pPr>
      <w:r>
        <w:rPr>
          <w:rFonts w:ascii="Times New Roman Regular" w:hAnsi="Times New Roman Regular" w:cs="Times New Roman Regular"/>
        </w:rPr>
        <w:footnoteRef/>
      </w:r>
      <w:r>
        <w:rPr>
          <w:rFonts w:ascii="Times New Roman Regular" w:hAnsi="Times New Roman Regular" w:cs="Times New Roman Regular"/>
        </w:rPr>
        <w:t xml:space="preserve"> </w:t>
      </w:r>
      <w:r>
        <w:rPr>
          <w:rFonts w:hint="eastAsia" w:ascii="Times New Roman Regular" w:hAnsi="Times New Roman Regular" w:cs="Times New Roman Regular"/>
          <w:lang w:val="en-US" w:eastAsia="zh-CN"/>
        </w:rPr>
        <w:t xml:space="preserve">See Honnold and Flechtner, </w:t>
      </w:r>
      <w:r>
        <w:rPr>
          <w:rFonts w:hint="default" w:ascii="Times New Roman Italic" w:hAnsi="Times New Roman Italic" w:cs="Times New Roman Italic"/>
          <w:i/>
          <w:iCs/>
          <w:lang w:val="en-US" w:eastAsia="zh-CN"/>
        </w:rPr>
        <w:t>Uniform Law for International Sales</w:t>
      </w:r>
      <w:r>
        <w:rPr>
          <w:rFonts w:hint="default" w:ascii="Times New Roman Regular" w:hAnsi="Times New Roman Regular" w:cs="Times New Roman Regular"/>
          <w:lang w:val="en-US" w:eastAsia="zh-CN"/>
        </w:rPr>
        <w:t xml:space="preserve">,107 </w:t>
      </w:r>
      <w:r>
        <w:rPr>
          <w:rFonts w:ascii="Times New Roman Regular" w:hAnsi="Times New Roman Regular" w:cs="Times New Roman Regular"/>
          <w:lang w:val="en-US" w:eastAsia="zh-CN"/>
        </w:rPr>
        <w:t xml:space="preserve">University of Pennsylvania </w:t>
      </w:r>
      <w:r>
        <w:rPr>
          <w:rFonts w:hint="default" w:ascii="Times New Roman Regular" w:hAnsi="Times New Roman Regular" w:cs="Times New Roman Regular"/>
          <w:lang w:val="en-US" w:eastAsia="zh-CN"/>
        </w:rPr>
        <w:t>Law Review 299</w:t>
      </w:r>
      <w:r>
        <w:rPr>
          <w:rFonts w:hint="default" w:ascii="Times New Roman Regular" w:hAnsi="Times New Roman Regular" w:cs="Times New Roman Regular" w:eastAsiaTheme="minorEastAsia"/>
          <w:kern w:val="2"/>
          <w:sz w:val="18"/>
          <w:szCs w:val="24"/>
          <w:lang w:val="en-US" w:eastAsia="zh-CN" w:bidi="ar-SA"/>
        </w:rPr>
        <w:t>(1959).</w:t>
      </w:r>
    </w:p>
  </w:footnote>
  <w:footnote w:id="55">
    <w:p w14:paraId="3DD28AE4">
      <w:pPr>
        <w:pStyle w:val="7"/>
        <w:snapToGrid w:val="0"/>
        <w:rPr>
          <w:rFonts w:hint="default" w:ascii="Times New Roman Regular" w:hAnsi="Times New Roman Regular" w:cs="Times New Roman Regular" w:eastAsiaTheme="minorEastAsia"/>
          <w:kern w:val="2"/>
          <w:sz w:val="18"/>
          <w:szCs w:val="24"/>
          <w:lang w:val="en-US" w:eastAsia="zh-CN" w:bidi="ar-SA"/>
        </w:rPr>
      </w:pPr>
      <w:r>
        <w:rPr>
          <w:rFonts w:ascii="Times New Roman Regular" w:hAnsi="Times New Roman Regular" w:cs="Times New Roman Regular"/>
        </w:rPr>
        <w:footnoteRef/>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lang w:val="en-US" w:eastAsia="zh-CN"/>
        </w:rPr>
        <w:t>See Edgardo Mu</w:t>
      </w:r>
      <w:r>
        <w:rPr>
          <w:rFonts w:hint="default" w:ascii="Times New Roman Regular" w:hAnsi="Times New Roman Regular" w:cs="Times New Roman Regular" w:eastAsiaTheme="minorEastAsia"/>
          <w:kern w:val="2"/>
          <w:sz w:val="18"/>
          <w:szCs w:val="24"/>
          <w:lang w:val="en-US" w:eastAsia="zh-CN" w:bidi="ar-SA"/>
        </w:rPr>
        <w:t xml:space="preserve">ñoz, </w:t>
      </w:r>
      <w:r>
        <w:rPr>
          <w:rFonts w:hint="default" w:ascii="Times New Roman Italic" w:hAnsi="Times New Roman Italic" w:cs="Times New Roman Italic" w:eastAsiaTheme="minorEastAsia"/>
          <w:i/>
          <w:iCs/>
          <w:kern w:val="2"/>
          <w:sz w:val="18"/>
          <w:szCs w:val="24"/>
          <w:lang w:val="en-US" w:eastAsia="zh-CN" w:bidi="ar-SA"/>
        </w:rPr>
        <w:t>Software technology in CISG contracts,</w:t>
      </w:r>
      <w:r>
        <w:rPr>
          <w:rFonts w:hint="default" w:ascii="Times New Roman Regular" w:hAnsi="Times New Roman Regular" w:cs="Times New Roman Regular" w:eastAsiaTheme="minorEastAsia"/>
          <w:kern w:val="2"/>
          <w:sz w:val="18"/>
          <w:szCs w:val="24"/>
          <w:lang w:val="en-US" w:eastAsia="zh-CN" w:bidi="ar-SA"/>
        </w:rPr>
        <w:t xml:space="preserve"> 24 Uniform Law Review 281(2019).</w:t>
      </w:r>
    </w:p>
  </w:footnote>
  <w:footnote w:id="56">
    <w:p w14:paraId="0070C733">
      <w:pPr>
        <w:keepNext w:val="0"/>
        <w:keepLines w:val="0"/>
        <w:widowControl/>
        <w:suppressLineNumbers w:val="0"/>
        <w:jc w:val="left"/>
        <w:rPr>
          <w:rFonts w:hint="default"/>
          <w:lang w:val="en-US"/>
        </w:rPr>
      </w:pPr>
      <w:r>
        <w:rPr>
          <w:rFonts w:ascii="Times New Roman Regular" w:hAnsi="Times New Roman Regular" w:cs="Times New Roman Regular" w:eastAsiaTheme="minorEastAsia"/>
          <w:kern w:val="2"/>
          <w:sz w:val="18"/>
          <w:szCs w:val="24"/>
          <w:lang w:val="en-US" w:eastAsia="zh-CN" w:bidi="ar-SA"/>
        </w:rPr>
        <w:footnoteRef/>
      </w:r>
      <w:r>
        <w:rPr>
          <w:rFonts w:ascii="Times New Roman Regular" w:hAnsi="Times New Roman Regular" w:cs="Times New Roman Regular" w:eastAsiaTheme="minorEastAsia"/>
          <w:kern w:val="2"/>
          <w:sz w:val="18"/>
          <w:szCs w:val="24"/>
          <w:lang w:val="en-US" w:eastAsia="zh-CN" w:bidi="ar-SA"/>
        </w:rPr>
        <w:t xml:space="preserve"> </w:t>
      </w:r>
      <w:r>
        <w:rPr>
          <w:rFonts w:hint="default" w:ascii="Times New Roman" w:hAnsi="Times New Roman" w:eastAsia="宋体" w:cs="Times New Roman"/>
          <w:color w:val="000000"/>
          <w:kern w:val="0"/>
          <w:sz w:val="18"/>
          <w:szCs w:val="18"/>
          <w:lang w:val="en-US" w:eastAsia="zh-CN" w:bidi="ar"/>
        </w:rPr>
        <w:t>CISG art.</w:t>
      </w:r>
      <w:r>
        <w:rPr>
          <w:rFonts w:hint="eastAsia" w:ascii="Times New Roman" w:hAnsi="Times New Roman" w:eastAsia="宋体" w:cs="Times New Roman"/>
          <w:color w:val="000000"/>
          <w:kern w:val="0"/>
          <w:sz w:val="18"/>
          <w:szCs w:val="18"/>
          <w:lang w:val="en-US" w:eastAsia="zh-CN" w:bidi="ar"/>
        </w:rPr>
        <w:t>4</w:t>
      </w:r>
    </w:p>
  </w:footnote>
  <w:footnote w:id="57">
    <w:p w14:paraId="7C758AE2">
      <w:pPr>
        <w:pStyle w:val="7"/>
        <w:keepNext w:val="0"/>
        <w:keepLines w:val="0"/>
        <w:pageBreakBefore w:val="0"/>
        <w:kinsoku/>
        <w:wordWrap/>
        <w:overflowPunct/>
        <w:topLinePunct w:val="0"/>
        <w:bidi w:val="0"/>
        <w:adjustRightInd/>
        <w:snapToGrid w:val="0"/>
        <w:textAlignment w:val="auto"/>
        <w:rPr>
          <w:rFonts w:hint="default" w:ascii="Times New Roman Regular" w:hAnsi="Times New Roman Regular" w:cs="Times New Roman Regular"/>
          <w:lang w:val="en-US" w:eastAsia="zh-CN"/>
        </w:rPr>
      </w:pPr>
      <w:r>
        <w:rPr>
          <w:rFonts w:hint="eastAsia"/>
          <w:lang w:val="en-US" w:eastAsia="zh-CN"/>
        </w:rPr>
        <w:footnoteRef/>
      </w:r>
      <w:r>
        <w:rPr>
          <w:rFonts w:hint="eastAsia"/>
          <w:lang w:val="en-US" w:eastAsia="zh-CN"/>
        </w:rPr>
        <w:t xml:space="preserve"> </w:t>
      </w:r>
      <w:r>
        <w:rPr>
          <w:rFonts w:hint="default" w:ascii="Times New Roman Regular" w:hAnsi="Times New Roman Regular" w:cs="Times New Roman Regular"/>
          <w:lang w:val="en-US" w:eastAsia="zh-CN"/>
        </w:rPr>
        <w:t>参见杜涛、朱德沛、叶子雯：《国际私法国际前沿年度报告(2021—2022)》，《国际法研究》2023年第5期，第138-160页。</w:t>
      </w:r>
    </w:p>
  </w:footnote>
  <w:footnote w:id="58">
    <w:p w14:paraId="4D8410FF">
      <w:pPr>
        <w:pStyle w:val="7"/>
        <w:keepNext w:val="0"/>
        <w:keepLines/>
        <w:pageBreakBefore w:val="0"/>
        <w:widowControl w:val="0"/>
        <w:kinsoku/>
        <w:wordWrap/>
        <w:overflowPunct/>
        <w:topLinePunct w:val="0"/>
        <w:bidi w:val="0"/>
        <w:adjustRightInd/>
        <w:snapToGrid w:val="0"/>
        <w:textAlignment w:val="auto"/>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footnoteRef/>
      </w:r>
      <w:r>
        <w:rPr>
          <w:rFonts w:hint="default" w:ascii="Times New Roman Regular" w:hAnsi="Times New Roman Regular" w:cs="Times New Roman Regular"/>
          <w:lang w:val="en-US" w:eastAsia="zh-CN"/>
        </w:rPr>
        <w:t xml:space="preserve"> See UNIDORIT, </w:t>
      </w:r>
      <w:r>
        <w:rPr>
          <w:rFonts w:hint="default" w:ascii="Times New Roman Regular" w:hAnsi="Times New Roman Regular" w:cs="Times New Roman Regular"/>
          <w:i/>
          <w:iCs/>
          <w:lang w:val="en-US" w:eastAsia="zh-CN"/>
        </w:rPr>
        <w:t>P</w:t>
      </w:r>
      <w:r>
        <w:rPr>
          <w:rFonts w:hint="default" w:ascii="Times New Roman Regular" w:hAnsi="Times New Roman Regular" w:cs="Times New Roman Regular"/>
          <w:i/>
          <w:iCs/>
          <w:highlight w:val="none"/>
          <w:lang w:val="en-US" w:eastAsia="zh-CN"/>
        </w:rPr>
        <w:t>rinciples on Digital Assets and Private Law</w:t>
      </w:r>
      <w:r>
        <w:rPr>
          <w:rFonts w:hint="default" w:ascii="Times New Roman Regular" w:hAnsi="Times New Roman Regular" w:cs="Times New Roman Regular"/>
          <w:highlight w:val="none"/>
          <w:lang w:val="en-US" w:eastAsia="zh-CN"/>
        </w:rPr>
        <w:t>，UNIDORIT offical website,</w:t>
      </w:r>
      <w:r>
        <w:rPr>
          <w:rFonts w:hint="eastAsia" w:ascii="Times New Roman Regular" w:hAnsi="Times New Roman Regular" w:cs="Times New Roman Regular"/>
          <w:highlight w:val="none"/>
          <w:lang w:val="en-US" w:eastAsia="zh-CN"/>
        </w:rPr>
        <w:t xml:space="preserve"> </w:t>
      </w:r>
      <w:r>
        <w:rPr>
          <w:rFonts w:hint="default" w:ascii="Times New Roman Regular" w:hAnsi="Times New Roman Regular" w:cs="Times New Roman Regular"/>
          <w:lang w:val="en-US" w:eastAsia="zh-CN"/>
        </w:rPr>
        <w:t>https://www.unidroit.org/wp-content/uploads/2024/01/Principles-on-Digital-Assets-and-Private-Law-linked-1.pdf(last visited June.4, 2025).</w:t>
      </w:r>
    </w:p>
  </w:footnote>
  <w:footnote w:id="59">
    <w:p w14:paraId="48CEA91B">
      <w:pPr>
        <w:pStyle w:val="7"/>
        <w:keepLines/>
        <w:rPr>
          <w:rFonts w:hint="default" w:ascii="Times New Roman Regular" w:hAnsi="Times New Roman Regular" w:cs="Times New Roman Regular" w:eastAsiaTheme="minorEastAsia"/>
          <w:lang w:val="en-US" w:eastAsia="zh-CN"/>
        </w:rPr>
      </w:pPr>
      <w:r>
        <w:rPr>
          <w:rFonts w:ascii="Times New Roman Regular" w:hAnsi="Times New Roman Regular" w:cs="Times New Roman Regular"/>
        </w:rPr>
        <w:footnoteRef/>
      </w:r>
      <w:r>
        <w:rPr>
          <w:rFonts w:ascii="Times New Roman Regular" w:hAnsi="Times New Roman Regular" w:cs="Times New Roman Regular"/>
        </w:rPr>
        <w:t xml:space="preserve"> 参见佘延宏：《论国际私法中动产物权的客体范围问题》，《武汉大学学报（哲学社会科学版）》</w:t>
      </w:r>
      <w:r>
        <w:rPr>
          <w:rFonts w:hint="eastAsia" w:ascii="Times New Roman Regular" w:hAnsi="Times New Roman Regular" w:cs="Times New Roman Regular"/>
          <w:lang w:val="en-US" w:eastAsia="zh-CN"/>
        </w:rPr>
        <w:t>2004年第1期，第88-94页。</w:t>
      </w:r>
    </w:p>
  </w:footnote>
  <w:footnote w:id="60">
    <w:p w14:paraId="50943DFA">
      <w:pPr>
        <w:pStyle w:val="7"/>
        <w:keepLines/>
        <w:rPr>
          <w:rFonts w:ascii="Times New Roman Regular" w:hAnsi="Times New Roman Regular" w:cs="Times New Roman Regular"/>
          <w:szCs w:val="18"/>
        </w:rPr>
      </w:pPr>
      <w:r>
        <w:rPr>
          <w:rFonts w:ascii="Times New Roman Regular" w:hAnsi="Times New Roman Regular" w:cs="Times New Roman Regular"/>
        </w:rPr>
        <w:footnoteRef/>
      </w:r>
      <w:r>
        <w:rPr>
          <w:rFonts w:ascii="Times New Roman Regular" w:hAnsi="Times New Roman Regular" w:cs="Times New Roman Regular"/>
        </w:rPr>
        <w:t xml:space="preserve"> </w:t>
      </w:r>
      <w:r>
        <w:rPr>
          <w:rFonts w:ascii="Times New Roman Regular" w:hAnsi="Times New Roman Regular" w:cs="Times New Roman Regular"/>
          <w:szCs w:val="18"/>
        </w:rPr>
        <w:t>See Uniform Law Commission &amp; American Law Institute, Uniform Commercial Code Amendments (2022), Art.8,Official Comment 9.</w:t>
      </w:r>
    </w:p>
  </w:footnote>
  <w:footnote w:id="61">
    <w:p w14:paraId="6DC879E4">
      <w:pPr>
        <w:keepLines/>
        <w:snapToGrid w:val="0"/>
        <w:jc w:val="left"/>
        <w:rPr>
          <w:rFonts w:ascii="Times New Roman Regular" w:hAnsi="Times New Roman Regular" w:cs="Times New Roman Regular"/>
          <w:sz w:val="18"/>
          <w:szCs w:val="18"/>
        </w:rPr>
      </w:pPr>
      <w:r>
        <w:rPr>
          <w:rFonts w:ascii="Times New Roman Regular" w:hAnsi="Times New Roman Regular" w:cs="Times New Roman Regular"/>
          <w:sz w:val="18"/>
          <w:szCs w:val="18"/>
        </w:rPr>
        <w:footnoteRef/>
      </w:r>
      <w:r>
        <w:rPr>
          <w:rFonts w:ascii="Times New Roman Regular" w:hAnsi="Times New Roman Regular" w:cs="Times New Roman Regular"/>
          <w:sz w:val="18"/>
          <w:szCs w:val="18"/>
        </w:rPr>
        <w:t xml:space="preserve"> </w:t>
      </w:r>
      <w:r>
        <w:rPr>
          <w:rFonts w:ascii="Times New Roman Regular" w:hAnsi="Times New Roman Regular" w:eastAsia="宋体" w:cs="Times New Roman Regular"/>
          <w:color w:val="000000"/>
          <w:kern w:val="0"/>
          <w:sz w:val="18"/>
          <w:szCs w:val="18"/>
          <w:lang w:bidi="ar"/>
        </w:rPr>
        <w:t>Ibid.</w:t>
      </w:r>
    </w:p>
  </w:footnote>
  <w:footnote w:id="62">
    <w:p w14:paraId="287C8D6F">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参见李伟：《区块链争议的冲突法解决范式探讨——以加密财产跨境转移为例》，《武大国际法评论》</w:t>
      </w:r>
      <w:r>
        <w:rPr>
          <w:rFonts w:hint="eastAsia" w:ascii="Times New Roman Regular" w:hAnsi="Times New Roman Regular" w:cs="Times New Roman Regular"/>
          <w:lang w:val="en-US" w:eastAsia="zh-CN"/>
        </w:rPr>
        <w:t>2021年第2期，</w:t>
      </w:r>
      <w:r>
        <w:rPr>
          <w:rFonts w:ascii="Times New Roman Regular" w:hAnsi="Times New Roman Regular" w:cs="Times New Roman Regular"/>
        </w:rPr>
        <w:t>第66-91页。</w:t>
      </w:r>
    </w:p>
  </w:footnote>
  <w:footnote w:id="63">
    <w:p w14:paraId="4D4AA940">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See London Financial Markets Law Committee, </w:t>
      </w:r>
      <w:r>
        <w:rPr>
          <w:rFonts w:ascii="Times New Roman Regular" w:hAnsi="Times New Roman Regular" w:cs="Times New Roman Regular"/>
          <w:i/>
          <w:iCs/>
        </w:rPr>
        <w:t>The Financial Markets Law Committee, Distributed Ledger Technology and Governing Law: Issues of Legal Uncertainty</w:t>
      </w:r>
      <w:r>
        <w:rPr>
          <w:rFonts w:ascii="Times New Roman Regular" w:hAnsi="Times New Roman Regular" w:cs="Times New Roman Regular"/>
        </w:rPr>
        <w:t>,</w:t>
      </w:r>
    </w:p>
    <w:p w14:paraId="444BD27E">
      <w:pPr>
        <w:pStyle w:val="7"/>
        <w:keepLines/>
        <w:rPr>
          <w:rFonts w:ascii="Times New Roman Regular" w:hAnsi="Times New Roman Regular" w:cs="Times New Roman Regular"/>
        </w:rPr>
      </w:pPr>
      <w:r>
        <w:rPr>
          <w:rFonts w:ascii="Times New Roman Regular" w:hAnsi="Times New Roman Regular" w:cs="Times New Roman Regular"/>
        </w:rPr>
        <w:t>http://fmlc.org/wp-content/uploads/2018/05/dlt_paper.pdf.(last visited June. 21,2025)</w:t>
      </w:r>
    </w:p>
  </w:footnote>
  <w:footnote w:id="64">
    <w:p w14:paraId="2BD7083D">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See Giesela Rühl, </w:t>
      </w:r>
      <w:r>
        <w:rPr>
          <w:rFonts w:ascii="Times New Roman Regular" w:hAnsi="Times New Roman Regular" w:cs="Times New Roman Regular"/>
          <w:i/>
          <w:iCs/>
        </w:rPr>
        <w:t>Smart (Legal) Contracts, or: Which (Contract) Law for Smart Contracts?</w:t>
      </w:r>
      <w:r>
        <w:rPr>
          <w:rFonts w:ascii="Times New Roman Regular" w:hAnsi="Times New Roman Regular" w:cs="Times New Roman Regular"/>
        </w:rPr>
        <w:t>, in Benedetta Cappiello Gherardo &amp; Carullo eds., Blockchain, Law and Governance, Springer Nature Switzerland AG Press, 2021.</w:t>
      </w:r>
    </w:p>
  </w:footnote>
  <w:footnote w:id="65">
    <w:p w14:paraId="7363C52E">
      <w:pPr>
        <w:pStyle w:val="7"/>
        <w:keepLines/>
        <w:rPr>
          <w:rFonts w:ascii="Times New Roman Regular" w:hAnsi="Times New Roman Regular" w:cs="Times New Roman Regular"/>
          <w:highlight w:val="cyan"/>
        </w:rPr>
      </w:pPr>
      <w:r>
        <w:rPr>
          <w:rFonts w:ascii="Times New Roman Regular" w:hAnsi="Times New Roman Regular" w:cs="Times New Roman Regular"/>
        </w:rPr>
        <w:footnoteRef/>
      </w:r>
      <w:r>
        <w:rPr>
          <w:rFonts w:ascii="Times New Roman Regular" w:hAnsi="Times New Roman Regular" w:cs="Times New Roman Regular"/>
        </w:rPr>
        <w:t xml:space="preserve"> See Luís de Lima Pinheiro, </w:t>
      </w:r>
      <w:r>
        <w:rPr>
          <w:rFonts w:ascii="Times New Roman Regular" w:hAnsi="Times New Roman Regular" w:cs="Times New Roman Regular"/>
          <w:i/>
          <w:iCs/>
        </w:rPr>
        <w:t>Laws Applicable to International Smart Contracts and Decentralized Autonomous Organizations (DAOS)</w:t>
      </w:r>
      <w:r>
        <w:rPr>
          <w:rFonts w:ascii="Times New Roman Regular" w:hAnsi="Times New Roman Regular" w:cs="Times New Roman Regular"/>
        </w:rPr>
        <w:t xml:space="preserve">, </w:t>
      </w:r>
      <w:r>
        <w:rPr>
          <w:rFonts w:ascii="Times New Roman Regular" w:hAnsi="Times New Roman Regular" w:cs="Times New Roman Regular"/>
          <w:szCs w:val="18"/>
        </w:rPr>
        <w:t>SSRN(Jun 5, 2023), https://papers.ssrn.com/sol3/papers.cfm?abstract_id=4467408.</w:t>
      </w:r>
    </w:p>
  </w:footnote>
  <w:footnote w:id="66">
    <w:p w14:paraId="55905851">
      <w:pPr>
        <w:pStyle w:val="7"/>
        <w:keepLines/>
        <w:rPr>
          <w:rFonts w:ascii="Times New Roman Regular" w:hAnsi="Times New Roman Regular" w:cs="Times New Roman Regular"/>
          <w:highlight w:val="cyan"/>
        </w:rPr>
      </w:pPr>
      <w:r>
        <w:rPr>
          <w:rFonts w:ascii="Times New Roman Regular" w:hAnsi="Times New Roman Regular" w:cs="Times New Roman Regular"/>
        </w:rPr>
        <w:footnoteRef/>
      </w:r>
      <w:r>
        <w:rPr>
          <w:rFonts w:ascii="Times New Roman Regular" w:hAnsi="Times New Roman Regular" w:cs="Times New Roman Regular"/>
        </w:rPr>
        <w:t xml:space="preserve"> See Eliza Mik, </w:t>
      </w:r>
      <w:r>
        <w:rPr>
          <w:rFonts w:ascii="Times New Roman Regular" w:hAnsi="Times New Roman Regular" w:cs="Times New Roman Regular"/>
          <w:i/>
          <w:iCs/>
        </w:rPr>
        <w:t>Smart Contracts: a Requiem</w:t>
      </w:r>
      <w:r>
        <w:rPr>
          <w:rFonts w:ascii="Times New Roman Regular" w:hAnsi="Times New Roman Regular" w:cs="Times New Roman Regular"/>
        </w:rPr>
        <w:t xml:space="preserve">, </w:t>
      </w:r>
      <w:r>
        <w:rPr>
          <w:rFonts w:ascii="Times New Roman Regular" w:hAnsi="Times New Roman Regular" w:cs="Times New Roman Regular"/>
          <w:szCs w:val="18"/>
        </w:rPr>
        <w:t>SSRN(Dec.7, 2019), https://papers.ssrn.com/sol3/papers.cfm?abstract_id=3499998.</w:t>
      </w:r>
    </w:p>
  </w:footnote>
  <w:footnote w:id="67">
    <w:p w14:paraId="1D98F6C4">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参见肖永平：《国际私法原理》</w:t>
      </w:r>
      <w:r>
        <w:rPr>
          <w:rFonts w:hint="eastAsia" w:ascii="Times New Roman Regular" w:hAnsi="Times New Roman Regular" w:cs="Times New Roman Regular"/>
        </w:rPr>
        <w:t>（</w:t>
      </w:r>
      <w:r>
        <w:rPr>
          <w:rFonts w:ascii="Times New Roman Regular" w:hAnsi="Times New Roman Regular" w:cs="Times New Roman Regular"/>
        </w:rPr>
        <w:t>第</w:t>
      </w:r>
      <w:r>
        <w:rPr>
          <w:rFonts w:hint="eastAsia" w:ascii="Times New Roman Regular" w:hAnsi="Times New Roman Regular" w:cs="Times New Roman Regular"/>
        </w:rPr>
        <w:t>2</w:t>
      </w:r>
      <w:r>
        <w:rPr>
          <w:rFonts w:ascii="Times New Roman Regular" w:hAnsi="Times New Roman Regular" w:cs="Times New Roman Regular"/>
        </w:rPr>
        <w:t>版</w:t>
      </w:r>
      <w:r>
        <w:rPr>
          <w:rFonts w:hint="eastAsia" w:ascii="Times New Roman Regular" w:hAnsi="Times New Roman Regular" w:cs="Times New Roman Regular"/>
        </w:rPr>
        <w:t>）</w:t>
      </w:r>
      <w:r>
        <w:rPr>
          <w:rFonts w:ascii="Times New Roman Regular" w:hAnsi="Times New Roman Regular" w:cs="Times New Roman Regular"/>
        </w:rPr>
        <w:t>，法律出版社</w:t>
      </w:r>
      <w:r>
        <w:rPr>
          <w:rFonts w:hint="eastAsia" w:ascii="Times New Roman Regular" w:hAnsi="Times New Roman Regular" w:cs="Times New Roman Regular"/>
        </w:rPr>
        <w:t>2007年版</w:t>
      </w:r>
      <w:r>
        <w:rPr>
          <w:rFonts w:ascii="Times New Roman Regular" w:hAnsi="Times New Roman Regular" w:cs="Times New Roman Regular"/>
        </w:rPr>
        <w:t>，第146页。</w:t>
      </w:r>
    </w:p>
  </w:footnote>
  <w:footnote w:id="68">
    <w:p w14:paraId="02C969FD">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参见孙宪忠：《中国物权法总论》</w:t>
      </w:r>
      <w:r>
        <w:rPr>
          <w:rFonts w:hint="eastAsia" w:ascii="Times New Roman Regular" w:hAnsi="Times New Roman Regular" w:cs="Times New Roman Regular"/>
        </w:rPr>
        <w:t>（</w:t>
      </w:r>
      <w:r>
        <w:rPr>
          <w:rFonts w:ascii="Times New Roman Regular" w:hAnsi="Times New Roman Regular" w:cs="Times New Roman Regular"/>
        </w:rPr>
        <w:t>第</w:t>
      </w:r>
      <w:r>
        <w:rPr>
          <w:rFonts w:hint="eastAsia" w:ascii="Times New Roman Regular" w:hAnsi="Times New Roman Regular" w:cs="Times New Roman Regular"/>
        </w:rPr>
        <w:t>2</w:t>
      </w:r>
      <w:r>
        <w:rPr>
          <w:rFonts w:ascii="Times New Roman Regular" w:hAnsi="Times New Roman Regular" w:cs="Times New Roman Regular"/>
        </w:rPr>
        <w:t>版</w:t>
      </w:r>
      <w:r>
        <w:rPr>
          <w:rFonts w:hint="eastAsia" w:ascii="Times New Roman Regular" w:hAnsi="Times New Roman Regular" w:cs="Times New Roman Regular"/>
        </w:rPr>
        <w:t>）</w:t>
      </w:r>
      <w:r>
        <w:rPr>
          <w:rFonts w:ascii="Times New Roman Regular" w:hAnsi="Times New Roman Regular" w:cs="Times New Roman Regular"/>
        </w:rPr>
        <w:t>，法律出版社</w:t>
      </w:r>
      <w:r>
        <w:rPr>
          <w:rFonts w:hint="eastAsia" w:ascii="Times New Roman Regular" w:hAnsi="Times New Roman Regular" w:cs="Times New Roman Regular"/>
        </w:rPr>
        <w:t>2009年版</w:t>
      </w:r>
      <w:r>
        <w:rPr>
          <w:rFonts w:ascii="Times New Roman Regular" w:hAnsi="Times New Roman Regular" w:cs="Times New Roman Regular"/>
        </w:rPr>
        <w:t>，第169-172页。</w:t>
      </w:r>
    </w:p>
  </w:footnote>
  <w:footnote w:id="69">
    <w:p w14:paraId="03F3BA99">
      <w:pPr>
        <w:keepLines/>
        <w:adjustRightInd w:val="0"/>
        <w:snapToGrid w:val="0"/>
        <w:jc w:val="left"/>
        <w:rPr>
          <w:rFonts w:ascii="Times New Roman Regular" w:hAnsi="Times New Roman Regular" w:cs="Times New Roman Regular"/>
          <w:sz w:val="18"/>
        </w:rPr>
      </w:pPr>
      <w:r>
        <w:rPr>
          <w:rFonts w:ascii="Times New Roman Regular" w:hAnsi="Times New Roman Regular" w:cs="Times New Roman Regular"/>
          <w:sz w:val="18"/>
        </w:rPr>
        <w:footnoteRef/>
      </w:r>
      <w:r>
        <w:rPr>
          <w:rFonts w:ascii="Times New Roman Regular" w:hAnsi="Times New Roman Regular" w:cs="Times New Roman Regular"/>
          <w:sz w:val="18"/>
        </w:rPr>
        <w:t xml:space="preserve"> See John D Falconbridge, </w:t>
      </w:r>
      <w:r>
        <w:rPr>
          <w:rFonts w:ascii="Times New Roman Regular" w:hAnsi="Times New Roman Regular" w:cs="Times New Roman Regular"/>
          <w:i/>
          <w:iCs/>
          <w:sz w:val="18"/>
        </w:rPr>
        <w:t>Conflict of Laws: Examples of Characterization</w:t>
      </w:r>
      <w:r>
        <w:rPr>
          <w:rFonts w:ascii="Times New Roman Regular" w:hAnsi="Times New Roman Regular" w:cs="Times New Roman Regular"/>
          <w:sz w:val="18"/>
        </w:rPr>
        <w:t>, 15(4) Canadian Bar Review 215 (1937).</w:t>
      </w:r>
    </w:p>
  </w:footnote>
  <w:footnote w:id="70">
    <w:p w14:paraId="34FA8D1B">
      <w:pPr>
        <w:pStyle w:val="7"/>
        <w:keepLines/>
        <w:rPr>
          <w:rFonts w:hint="default" w:ascii="Times New Roman Regular" w:hAnsi="Times New Roman Regular" w:cs="Times New Roman Regular" w:eastAsiaTheme="minorEastAsia"/>
          <w:lang w:val="en-US" w:eastAsia="zh-CN"/>
        </w:rPr>
      </w:pPr>
      <w:r>
        <w:rPr>
          <w:rFonts w:ascii="Times New Roman Regular" w:hAnsi="Times New Roman Regular" w:cs="Times New Roman Regular"/>
        </w:rPr>
        <w:footnoteRef/>
      </w:r>
      <w:r>
        <w:rPr>
          <w:rFonts w:ascii="Times New Roman Regular" w:hAnsi="Times New Roman Regular" w:cs="Times New Roman Regular"/>
        </w:rPr>
        <w:t xml:space="preserve"> 参见程乐：《区块链交易国际规制体系的构建》，《荆楚法学》2022年第3期</w:t>
      </w:r>
      <w:r>
        <w:rPr>
          <w:rFonts w:hint="eastAsia" w:ascii="Times New Roman Regular" w:hAnsi="Times New Roman Regular" w:cs="Times New Roman Regular"/>
          <w:lang w:eastAsia="zh-CN"/>
        </w:rPr>
        <w:t>，</w:t>
      </w:r>
      <w:r>
        <w:rPr>
          <w:rFonts w:hint="eastAsia" w:ascii="Times New Roman Regular" w:hAnsi="Times New Roman Regular" w:cs="Times New Roman Regular"/>
          <w:lang w:val="en-US" w:eastAsia="zh-CN"/>
        </w:rPr>
        <w:t>第141-152页。</w:t>
      </w:r>
    </w:p>
  </w:footnote>
  <w:footnote w:id="71">
    <w:p w14:paraId="384A2F17">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参见颜林：《“PRIMA”规则的适用:困境及出路——基于制度发展史的考察》，《安徽师范大学学报（社会科学版）</w:t>
      </w:r>
      <w:r>
        <w:rPr>
          <w:rFonts w:hint="eastAsia" w:ascii="Times New Roman Regular" w:hAnsi="Times New Roman Regular" w:cs="Times New Roman Regular"/>
          <w:lang w:eastAsia="zh-CN"/>
        </w:rPr>
        <w:t>》</w:t>
      </w:r>
      <w:r>
        <w:rPr>
          <w:rFonts w:ascii="Times New Roman Regular" w:hAnsi="Times New Roman Regular" w:cs="Times New Roman Regular"/>
        </w:rPr>
        <w:t>2016年第5期，第624-632页。</w:t>
      </w:r>
    </w:p>
  </w:footnote>
  <w:footnote w:id="72">
    <w:p w14:paraId="10FD55F9">
      <w:pPr>
        <w:pStyle w:val="7"/>
        <w:keepLines/>
        <w:rPr>
          <w:rFonts w:ascii="Times New Roman Regular" w:hAnsi="Times New Roman Regular" w:cs="Times New Roman Regular"/>
          <w:highlight w:val="cyan"/>
        </w:rPr>
      </w:pPr>
      <w:r>
        <w:rPr>
          <w:rFonts w:ascii="Times New Roman Regular" w:hAnsi="Times New Roman Regular" w:cs="Times New Roman Regular"/>
        </w:rPr>
        <w:footnoteRef/>
      </w:r>
      <w:r>
        <w:rPr>
          <w:rFonts w:ascii="Times New Roman Regular" w:hAnsi="Times New Roman Regular" w:cs="Times New Roman Regular"/>
        </w:rPr>
        <w:t xml:space="preserve"> See Sophia Hurst, </w:t>
      </w:r>
      <w:r>
        <w:rPr>
          <w:rFonts w:ascii="Times New Roman Regular" w:hAnsi="Times New Roman Regular" w:cs="Times New Roman Regular"/>
          <w:i/>
          <w:iCs/>
        </w:rPr>
        <w:t>Decrypting conflict of laws</w:t>
      </w:r>
      <w:r>
        <w:rPr>
          <w:rFonts w:ascii="Times New Roman Regular" w:hAnsi="Times New Roman Regular" w:cs="Times New Roman Regular"/>
        </w:rPr>
        <w:t>, Lexis(Mar.1, 2023) , https://advance.lexis.com/api/document?collection=analytical-materials&amp;id=urncontentltem:689H-GDG1-JN6B-S164-00000-00&amp;context=1000516.</w:t>
      </w:r>
    </w:p>
  </w:footnote>
  <w:footnote w:id="73">
    <w:p w14:paraId="61D7E6BB">
      <w:pPr>
        <w:pStyle w:val="7"/>
        <w:keepLines/>
        <w:rPr>
          <w:rFonts w:ascii="Times New Roman Regular" w:hAnsi="Times New Roman Regular" w:cs="Times New Roman Regular"/>
          <w:highlight w:val="cyan"/>
        </w:rPr>
      </w:pPr>
      <w:r>
        <w:rPr>
          <w:rFonts w:ascii="Times New Roman Regular" w:hAnsi="Times New Roman Regular" w:cs="Times New Roman Regular"/>
        </w:rPr>
        <w:footnoteRef/>
      </w:r>
      <w:r>
        <w:rPr>
          <w:rFonts w:ascii="Times New Roman Regular" w:hAnsi="Times New Roman Regular" w:cs="Times New Roman Regular"/>
        </w:rPr>
        <w:t xml:space="preserve"> See Convention on the Law Applicable to Certain Rights in Respect of Securities held with an Intermediary, Art5.(concluded July 5, 2006).</w:t>
      </w:r>
    </w:p>
  </w:footnote>
  <w:footnote w:id="74">
    <w:p w14:paraId="32BB7365">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See Lawrence Collins &amp; Jonathan Harris KC eds., Dicey, Morries and Collins on the conflict of Laws, Sweet&amp;Maxwell Press, 2012, p391.</w:t>
      </w:r>
    </w:p>
  </w:footnote>
  <w:footnote w:id="75">
    <w:p w14:paraId="5C46ACE7">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参见刘璇：《间接持有模式下跨境证券交易的法律问题》，《齐齐哈尔大学学报（哲学社会科学版）》2021年，第103-106页。</w:t>
      </w:r>
    </w:p>
  </w:footnote>
  <w:footnote w:id="76">
    <w:p w14:paraId="1E63F123">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See Gerald Spindler, </w:t>
      </w:r>
      <w:r>
        <w:rPr>
          <w:rFonts w:ascii="Times New Roman Regular" w:hAnsi="Times New Roman Regular" w:cs="Times New Roman Regular"/>
          <w:i/>
          <w:iCs/>
        </w:rPr>
        <w:t>Fintech, digitalization, and the law applicable to proprietary effects of transactions in securities (tokens): a European perspective</w:t>
      </w:r>
      <w:r>
        <w:rPr>
          <w:rFonts w:ascii="Times New Roman Regular" w:hAnsi="Times New Roman Regular" w:cs="Times New Roman Regular"/>
        </w:rPr>
        <w:t>, 24 Uniform Law Review, 724 (2019).</w:t>
      </w:r>
    </w:p>
  </w:footnote>
  <w:footnote w:id="77">
    <w:p w14:paraId="7B268FAC">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参见齐爱民：《区块链环境中个人信息保护的法律障碍与应对》，《现代法学》2022年第5期，第180-193页。</w:t>
      </w:r>
    </w:p>
  </w:footnote>
  <w:footnote w:id="78">
    <w:p w14:paraId="1162B006">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See Opensea, https://support.opensea.io/en/articles/8867130-why-is-my-nft-marked-for-suspicious-activity.(last visited June.4, 2025)</w:t>
      </w:r>
    </w:p>
  </w:footnote>
  <w:footnote w:id="79">
    <w:p w14:paraId="12079772">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See Anne-Grace Kleczewski, </w:t>
      </w:r>
      <w:r>
        <w:rPr>
          <w:rFonts w:hint="default" w:ascii="Times New Roman Italic" w:hAnsi="Times New Roman Italic" w:cs="Times New Roman Italic"/>
          <w:i/>
          <w:iCs/>
        </w:rPr>
        <w:t>The Good, the Bad and the Ugly: The Private International Law</w:t>
      </w:r>
      <w:r>
        <w:rPr>
          <w:rFonts w:ascii="Times New Roman Regular" w:hAnsi="Times New Roman Regular" w:cs="Times New Roman Regular"/>
        </w:rPr>
        <w:t xml:space="preserve">, </w:t>
      </w:r>
      <w:r>
        <w:rPr>
          <w:rFonts w:hint="default" w:ascii="Times New Roman Italic" w:hAnsi="Times New Roman Italic" w:cs="Times New Roman Italic"/>
          <w:i/>
          <w:iCs/>
        </w:rPr>
        <w:t>the Crypto Transactions and the Pseudonyms</w:t>
      </w:r>
      <w:r>
        <w:rPr>
          <w:rFonts w:ascii="Times New Roman Regular" w:hAnsi="Times New Roman Regular" w:cs="Times New Roman Regular"/>
        </w:rPr>
        <w:t>, in Andrea Bonomi, Matthias Lehmann, Shaheeza Lalani eds., Blockchain and Private International Law, Koninklijke Brill NV, Press, 2023.</w:t>
      </w:r>
    </w:p>
  </w:footnote>
  <w:footnote w:id="80">
    <w:p w14:paraId="4849ABE8">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参见李伟：《区块链争议的冲突法解决范式探讨——以加密财产跨境转移为例》，《武大国际法评论》</w:t>
      </w:r>
      <w:r>
        <w:rPr>
          <w:rFonts w:hint="eastAsia" w:ascii="Times New Roman Regular" w:hAnsi="Times New Roman Regular" w:cs="Times New Roman Regular"/>
          <w:lang w:val="en-US" w:eastAsia="zh-CN"/>
        </w:rPr>
        <w:t>2021年第2期，</w:t>
      </w:r>
      <w:r>
        <w:rPr>
          <w:rFonts w:ascii="Times New Roman Regular" w:hAnsi="Times New Roman Regular" w:cs="Times New Roman Regular"/>
        </w:rPr>
        <w:t>第66-91页。</w:t>
      </w:r>
    </w:p>
  </w:footnote>
  <w:footnote w:id="81">
    <w:p w14:paraId="76DAD4E4">
      <w:pPr>
        <w:pStyle w:val="7"/>
        <w:keepLines/>
        <w:rPr>
          <w:rFonts w:ascii="Times New Roman Regular" w:hAnsi="Times New Roman Regular" w:cs="Times New Roman Regular"/>
        </w:rPr>
      </w:pPr>
      <w:r>
        <w:rPr>
          <w:rFonts w:ascii="Times New Roman Regular" w:hAnsi="Times New Roman Regular" w:cs="Times New Roman Regular"/>
        </w:rPr>
        <w:footnoteRef/>
      </w:r>
      <w:r>
        <w:rPr>
          <w:rFonts w:ascii="Times New Roman Regular" w:hAnsi="Times New Roman Regular" w:cs="Times New Roman Regular"/>
        </w:rPr>
        <w:t xml:space="preserve"> 参见李伟：《区块链争议的冲突法解决范式探讨——以加密财产跨境转移为例》，《武大国际法评论》</w:t>
      </w:r>
      <w:r>
        <w:rPr>
          <w:rFonts w:hint="eastAsia" w:ascii="Times New Roman Regular" w:hAnsi="Times New Roman Regular" w:cs="Times New Roman Regular"/>
          <w:lang w:val="en-US" w:eastAsia="zh-CN"/>
        </w:rPr>
        <w:t>2021年第2期，</w:t>
      </w:r>
      <w:r>
        <w:rPr>
          <w:rFonts w:ascii="Times New Roman Regular" w:hAnsi="Times New Roman Regular" w:cs="Times New Roman Regular"/>
        </w:rPr>
        <w:t>第66-91页。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FB3093"/>
    <w:multiLevelType w:val="singleLevel"/>
    <w:tmpl w:val="EFFB3093"/>
    <w:lvl w:ilvl="0" w:tentative="0">
      <w:start w:val="1"/>
      <w:numFmt w:val="decimal"/>
      <w:lvlText w:val="%1."/>
      <w:lvlJc w:val="left"/>
      <w:pPr>
        <w:tabs>
          <w:tab w:val="left" w:pos="312"/>
        </w:tabs>
      </w:pPr>
    </w:lvl>
  </w:abstractNum>
  <w:abstractNum w:abstractNumId="1">
    <w:nsid w:val="FBDCF928"/>
    <w:multiLevelType w:val="singleLevel"/>
    <w:tmpl w:val="FBDCF928"/>
    <w:lvl w:ilvl="0" w:tentative="0">
      <w:start w:val="2"/>
      <w:numFmt w:val="decimal"/>
      <w:suff w:val="space"/>
      <w:lvlText w:val="%1."/>
      <w:lvlJc w:val="left"/>
    </w:lvl>
  </w:abstractNum>
  <w:abstractNum w:abstractNumId="2">
    <w:nsid w:val="2FF0D8C9"/>
    <w:multiLevelType w:val="singleLevel"/>
    <w:tmpl w:val="2FF0D8C9"/>
    <w:lvl w:ilvl="0" w:tentative="0">
      <w:start w:val="1"/>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64"/>
    <w:footnote w:id="165"/>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67F426"/>
    <w:rsid w:val="18EEAEB9"/>
    <w:rsid w:val="1F7F13BA"/>
    <w:rsid w:val="27BF3C98"/>
    <w:rsid w:val="2FBDD06B"/>
    <w:rsid w:val="36FD1108"/>
    <w:rsid w:val="3767F426"/>
    <w:rsid w:val="38B66EFF"/>
    <w:rsid w:val="3BB58C93"/>
    <w:rsid w:val="3E65CA3C"/>
    <w:rsid w:val="3EAF25CF"/>
    <w:rsid w:val="4D5BC2D0"/>
    <w:rsid w:val="4F1FE0C6"/>
    <w:rsid w:val="4F3FC610"/>
    <w:rsid w:val="521D1EEC"/>
    <w:rsid w:val="5738086C"/>
    <w:rsid w:val="5B7F6F55"/>
    <w:rsid w:val="5DFFCBA7"/>
    <w:rsid w:val="6AFE6A2B"/>
    <w:rsid w:val="6EFA3381"/>
    <w:rsid w:val="6F7BBA4D"/>
    <w:rsid w:val="75FBE78D"/>
    <w:rsid w:val="75FDB5FE"/>
    <w:rsid w:val="767E8490"/>
    <w:rsid w:val="77DF18B1"/>
    <w:rsid w:val="77F7DA56"/>
    <w:rsid w:val="77FECEBA"/>
    <w:rsid w:val="79B36B6E"/>
    <w:rsid w:val="79BD7FA1"/>
    <w:rsid w:val="7A5D6C57"/>
    <w:rsid w:val="7B271E63"/>
    <w:rsid w:val="7B5FA51A"/>
    <w:rsid w:val="7B70A753"/>
    <w:rsid w:val="7BFBBFA3"/>
    <w:rsid w:val="7BFF382E"/>
    <w:rsid w:val="7BFF5777"/>
    <w:rsid w:val="7DE7F01D"/>
    <w:rsid w:val="7DEFCA9E"/>
    <w:rsid w:val="7E7782DC"/>
    <w:rsid w:val="7EDB3786"/>
    <w:rsid w:val="7F3555FD"/>
    <w:rsid w:val="7F77B4AE"/>
    <w:rsid w:val="7FB74A5E"/>
    <w:rsid w:val="7FEF70C4"/>
    <w:rsid w:val="7FFA5CCE"/>
    <w:rsid w:val="7FFF0DCE"/>
    <w:rsid w:val="95BB3A64"/>
    <w:rsid w:val="95FF1C57"/>
    <w:rsid w:val="9FBB34B6"/>
    <w:rsid w:val="ADFF6E13"/>
    <w:rsid w:val="AE2E79C5"/>
    <w:rsid w:val="AF67C174"/>
    <w:rsid w:val="B33FBE74"/>
    <w:rsid w:val="B54F33CC"/>
    <w:rsid w:val="BB2340DE"/>
    <w:rsid w:val="BB3EBC88"/>
    <w:rsid w:val="BBFF7C2D"/>
    <w:rsid w:val="BD6BA5A7"/>
    <w:rsid w:val="BFFB71BE"/>
    <w:rsid w:val="BFFC50E0"/>
    <w:rsid w:val="BFFE2313"/>
    <w:rsid w:val="C1EDFC24"/>
    <w:rsid w:val="CFB84A3C"/>
    <w:rsid w:val="D3FFC3D8"/>
    <w:rsid w:val="DFEEADA7"/>
    <w:rsid w:val="DFF59401"/>
    <w:rsid w:val="DFFD143D"/>
    <w:rsid w:val="E9CC8994"/>
    <w:rsid w:val="EA6E629F"/>
    <w:rsid w:val="EA97542A"/>
    <w:rsid w:val="ED2FBF01"/>
    <w:rsid w:val="EE6F5C40"/>
    <w:rsid w:val="EFBFDE64"/>
    <w:rsid w:val="EFD6E064"/>
    <w:rsid w:val="F3FE10C8"/>
    <w:rsid w:val="F3FF778D"/>
    <w:rsid w:val="F57E0054"/>
    <w:rsid w:val="F74F8527"/>
    <w:rsid w:val="F7BE0D91"/>
    <w:rsid w:val="F7E21EBB"/>
    <w:rsid w:val="F7E57133"/>
    <w:rsid w:val="F9FFF6FB"/>
    <w:rsid w:val="FBF5F35B"/>
    <w:rsid w:val="FBFBA011"/>
    <w:rsid w:val="FD7ADA6F"/>
    <w:rsid w:val="FDFF6558"/>
    <w:rsid w:val="FE7A1F10"/>
    <w:rsid w:val="FEEE5885"/>
    <w:rsid w:val="FEEFD922"/>
    <w:rsid w:val="FEFE7EC4"/>
    <w:rsid w:val="FF4BC11E"/>
    <w:rsid w:val="FF77E99F"/>
    <w:rsid w:val="FF9F538E"/>
    <w:rsid w:val="FFFF0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napToGrid w:val="0"/>
      <w:spacing w:line="360" w:lineRule="auto"/>
      <w:ind w:firstLine="600" w:firstLineChars="200"/>
      <w:outlineLvl w:val="0"/>
    </w:pPr>
    <w:rPr>
      <w:rFonts w:eastAsia="Songti SC" w:asciiTheme="minorAscii" w:hAnsiTheme="minorAscii"/>
      <w:b/>
      <w:kern w:val="44"/>
      <w:sz w:val="24"/>
    </w:rPr>
  </w:style>
  <w:style w:type="paragraph" w:styleId="3">
    <w:name w:val="heading 2"/>
    <w:basedOn w:val="1"/>
    <w:next w:val="1"/>
    <w:unhideWhenUsed/>
    <w:qFormat/>
    <w:uiPriority w:val="0"/>
    <w:pPr>
      <w:keepNext/>
      <w:keepLines/>
      <w:snapToGrid w:val="0"/>
      <w:spacing w:line="360" w:lineRule="auto"/>
      <w:ind w:firstLine="600" w:firstLineChars="200"/>
      <w:outlineLvl w:val="1"/>
    </w:pPr>
    <w:rPr>
      <w:rFonts w:ascii="Arial" w:hAnsi="Arial" w:eastAsia="Songti SC"/>
      <w:b/>
      <w:sz w:val="24"/>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footnote text"/>
    <w:basedOn w:val="1"/>
    <w:uiPriority w:val="0"/>
    <w:pPr>
      <w:snapToGrid w:val="0"/>
      <w:jc w:val="left"/>
    </w:pPr>
    <w:rPr>
      <w:sz w:val="18"/>
    </w:rPr>
  </w:style>
  <w:style w:type="character" w:styleId="10">
    <w:name w:val="annotation reference"/>
    <w:basedOn w:val="9"/>
    <w:uiPriority w:val="0"/>
    <w:rPr>
      <w:sz w:val="21"/>
      <w:szCs w:val="21"/>
    </w:rPr>
  </w:style>
  <w:style w:type="character" w:styleId="11">
    <w:name w:val="footnote reference"/>
    <w:basedOn w:val="9"/>
    <w:uiPriority w:val="0"/>
    <w:rPr>
      <w:vertAlign w:val="superscript"/>
    </w:rPr>
  </w:style>
  <w:style w:type="paragraph" w:customStyle="1" w:styleId="12">
    <w:name w:val="p1"/>
    <w:basedOn w:val="1"/>
    <w:uiPriority w:val="0"/>
    <w:pPr>
      <w:jc w:val="left"/>
    </w:pPr>
    <w:rPr>
      <w:rFonts w:ascii="Helvetica" w:hAnsi="Helvetica" w:eastAsia="Helvetica" w:cs="Times New Roman"/>
      <w:color w:val="000000"/>
      <w:kern w:val="0"/>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78</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2025-07-07T12:59:00Z</dcterms:created>
  <dc:creator>刘懿萱</dc:creator>
  <cp:lastModifiedBy>刘懿萱</cp:lastModifiedBy>
  <dcterms:modified xsi:type="dcterms:W3CDTF">2025-07-09T16:45:27Z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5D59617096BC0B14B0E56D6863C91C45_43</vt:lpwstr>
  </property>
</Properties>
</file>