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B18A28">
      <w:pPr>
        <w:pStyle w:val="2"/>
        <w:jc w:val="center"/>
        <w:rPr>
          <w:rFonts w:hint="eastAsia" w:ascii="楷体" w:hAnsi="楷体" w:eastAsia="楷体" w:cs="楷体"/>
          <w:sz w:val="24"/>
          <w:szCs w:val="24"/>
          <w:lang w:val="en-US" w:eastAsia="zh-CN"/>
        </w:rPr>
      </w:pPr>
      <w:bookmarkStart w:id="0" w:name="OLE_LINK2"/>
      <w:r>
        <w:rPr>
          <w:rFonts w:hint="eastAsia" w:ascii="黑体" w:hAnsi="黑体" w:eastAsia="黑体" w:cs="黑体"/>
          <w:sz w:val="32"/>
          <w:szCs w:val="32"/>
        </w:rPr>
        <w:t>论法律解释方法位阶不会影响法律解释结论的唯一性</w:t>
      </w:r>
      <w:bookmarkEnd w:id="0"/>
      <w:bookmarkStart w:id="2" w:name="_GoBack"/>
      <w:bookmarkEnd w:id="2"/>
    </w:p>
    <w:p w14:paraId="1CDB20DE">
      <w:pPr>
        <w:ind w:firstLine="480"/>
        <w:rPr>
          <w:rFonts w:hint="eastAsia" w:ascii="仿宋" w:hAnsi="仿宋" w:eastAsia="仿宋" w:cs="仿宋"/>
          <w:sz w:val="21"/>
          <w:szCs w:val="21"/>
        </w:rPr>
      </w:pPr>
      <w:r>
        <w:rPr>
          <w:rFonts w:hint="eastAsia" w:ascii="仿宋" w:hAnsi="仿宋" w:eastAsia="仿宋" w:cs="仿宋"/>
          <w:b/>
          <w:bCs/>
          <w:sz w:val="21"/>
          <w:szCs w:val="21"/>
          <w:lang w:eastAsia="zh-CN"/>
        </w:rPr>
        <w:t>【</w:t>
      </w:r>
      <w:r>
        <w:rPr>
          <w:rFonts w:hint="eastAsia" w:ascii="仿宋" w:hAnsi="仿宋" w:eastAsia="仿宋" w:cs="仿宋"/>
          <w:b w:val="0"/>
          <w:bCs w:val="0"/>
          <w:sz w:val="21"/>
          <w:szCs w:val="21"/>
        </w:rPr>
        <w:t>摘要</w:t>
      </w:r>
      <w:r>
        <w:rPr>
          <w:rFonts w:hint="eastAsia" w:ascii="仿宋" w:hAnsi="仿宋" w:eastAsia="仿宋" w:cs="仿宋"/>
          <w:b/>
          <w:bCs/>
          <w:sz w:val="21"/>
          <w:szCs w:val="21"/>
          <w:lang w:eastAsia="zh-CN"/>
        </w:rPr>
        <w:t>】</w:t>
      </w:r>
      <w:r>
        <w:rPr>
          <w:rFonts w:hint="eastAsia" w:ascii="仿宋" w:hAnsi="仿宋" w:eastAsia="仿宋" w:cs="仿宋"/>
          <w:sz w:val="21"/>
          <w:szCs w:val="21"/>
          <w:lang w:val="en-US" w:eastAsia="zh-CN"/>
        </w:rPr>
        <w:t xml:space="preserve"> </w:t>
      </w:r>
      <w:r>
        <w:rPr>
          <w:rFonts w:hint="eastAsia" w:ascii="仿宋" w:hAnsi="仿宋" w:eastAsia="仿宋" w:cs="仿宋"/>
          <w:sz w:val="21"/>
          <w:szCs w:val="21"/>
        </w:rPr>
        <w:t>法律解释方法是否存在位阶，长期以来是法学领域的重要议题。位阶肯定说与否定说表面是对法律解释方法位阶存在与否的争议，实际在于不同法律解释方法能否得出唯一结论，即法律解释结论唯一性的争议。此分歧在于位阶肯定说与否定说对文义的不同理解。文义的模糊性面向使法律有法律文本与法律意图/目的之断层。该断层的消弭，应通过立法者意图与客观目的之间的融贯以澄清法律的暗示性内容。基于此，法律解释不再是机械地套用某种固定位阶的过程，而是多种方法之间的相互补充与支持。法律解释最终只有唯一答案，法律解释方法位阶不值得期待。</w:t>
      </w:r>
    </w:p>
    <w:p w14:paraId="55EE09CC">
      <w:pPr>
        <w:ind w:firstLine="480"/>
        <w:rPr>
          <w:rFonts w:hint="default" w:ascii="仿宋" w:hAnsi="仿宋" w:eastAsia="仿宋" w:cs="仿宋"/>
          <w:sz w:val="21"/>
          <w:szCs w:val="21"/>
          <w:lang w:val="en-US" w:eastAsia="zh-CN"/>
        </w:rPr>
      </w:pPr>
      <w:r>
        <w:rPr>
          <w:rFonts w:hint="eastAsia" w:ascii="仿宋" w:hAnsi="仿宋" w:eastAsia="仿宋" w:cs="仿宋"/>
          <w:b/>
          <w:bCs/>
          <w:sz w:val="21"/>
          <w:szCs w:val="21"/>
          <w:lang w:eastAsia="zh-CN"/>
        </w:rPr>
        <w:t>【</w:t>
      </w:r>
      <w:r>
        <w:rPr>
          <w:rFonts w:hint="eastAsia" w:ascii="仿宋" w:hAnsi="仿宋" w:eastAsia="仿宋" w:cs="仿宋"/>
          <w:b w:val="0"/>
          <w:bCs w:val="0"/>
          <w:sz w:val="21"/>
          <w:szCs w:val="21"/>
        </w:rPr>
        <w:t>关键词</w:t>
      </w:r>
      <w:r>
        <w:rPr>
          <w:rFonts w:hint="eastAsia" w:ascii="仿宋" w:hAnsi="仿宋" w:eastAsia="仿宋" w:cs="仿宋"/>
          <w:b/>
          <w:bCs/>
          <w:sz w:val="21"/>
          <w:szCs w:val="21"/>
          <w:lang w:eastAsia="zh-CN"/>
        </w:rPr>
        <w:t>】</w:t>
      </w:r>
      <w:r>
        <w:rPr>
          <w:rFonts w:hint="eastAsia" w:ascii="仿宋" w:hAnsi="仿宋" w:eastAsia="仿宋" w:cs="仿宋"/>
          <w:sz w:val="21"/>
          <w:szCs w:val="21"/>
          <w:lang w:val="en-US" w:eastAsia="zh-CN"/>
        </w:rPr>
        <w:t xml:space="preserve"> </w:t>
      </w:r>
      <w:r>
        <w:rPr>
          <w:rFonts w:hint="eastAsia" w:ascii="仿宋" w:hAnsi="仿宋" w:eastAsia="仿宋" w:cs="仿宋"/>
          <w:sz w:val="21"/>
          <w:szCs w:val="21"/>
        </w:rPr>
        <w:t>解释位阶</w:t>
      </w:r>
      <w:r>
        <w:rPr>
          <w:rFonts w:hint="eastAsia" w:ascii="仿宋" w:hAnsi="仿宋" w:eastAsia="仿宋" w:cs="仿宋"/>
          <w:sz w:val="21"/>
          <w:szCs w:val="21"/>
          <w:lang w:eastAsia="zh-CN"/>
        </w:rPr>
        <w:t>；</w:t>
      </w:r>
      <w:r>
        <w:rPr>
          <w:rFonts w:hint="eastAsia" w:ascii="仿宋" w:hAnsi="仿宋" w:eastAsia="仿宋" w:cs="仿宋"/>
          <w:sz w:val="21"/>
          <w:szCs w:val="21"/>
        </w:rPr>
        <w:t>立法者意图</w:t>
      </w:r>
      <w:r>
        <w:rPr>
          <w:rFonts w:hint="eastAsia" w:ascii="仿宋" w:hAnsi="仿宋" w:eastAsia="仿宋" w:cs="仿宋"/>
          <w:sz w:val="21"/>
          <w:szCs w:val="21"/>
          <w:lang w:eastAsia="zh-CN"/>
        </w:rPr>
        <w:t>；</w:t>
      </w:r>
      <w:r>
        <w:rPr>
          <w:rFonts w:hint="eastAsia" w:ascii="仿宋" w:hAnsi="仿宋" w:eastAsia="仿宋" w:cs="仿宋"/>
          <w:sz w:val="21"/>
          <w:szCs w:val="21"/>
        </w:rPr>
        <w:t>客观目的</w:t>
      </w:r>
      <w:r>
        <w:rPr>
          <w:rFonts w:hint="eastAsia" w:ascii="仿宋" w:hAnsi="仿宋" w:eastAsia="仿宋" w:cs="仿宋"/>
          <w:sz w:val="21"/>
          <w:szCs w:val="21"/>
          <w:lang w:eastAsia="zh-CN"/>
        </w:rPr>
        <w:t>；</w:t>
      </w:r>
      <w:r>
        <w:rPr>
          <w:rFonts w:hint="eastAsia" w:ascii="仿宋" w:hAnsi="仿宋" w:eastAsia="仿宋" w:cs="仿宋"/>
          <w:sz w:val="21"/>
          <w:szCs w:val="21"/>
        </w:rPr>
        <w:t>文义解释</w:t>
      </w:r>
    </w:p>
    <w:p w14:paraId="3DBA7704">
      <w:pPr>
        <w:rPr>
          <w:rFonts w:hint="default"/>
          <w:lang w:val="en-US" w:eastAsia="zh-CN"/>
        </w:rPr>
      </w:pPr>
    </w:p>
    <w:p w14:paraId="03456551">
      <w:pPr>
        <w:rPr>
          <w:rFonts w:hint="default"/>
          <w:lang w:val="en-US" w:eastAsia="zh-CN"/>
        </w:rPr>
      </w:pPr>
      <w:r>
        <w:rPr>
          <w:rFonts w:hint="eastAsia" w:ascii="黑体" w:hAnsi="黑体" w:eastAsia="黑体" w:cs="黑体"/>
          <w:sz w:val="28"/>
          <w:szCs w:val="28"/>
          <w:lang w:val="en-US" w:eastAsia="zh-CN"/>
        </w:rPr>
        <w:t>引言</w:t>
      </w:r>
    </w:p>
    <w:p w14:paraId="235F7412">
      <w:pPr>
        <w:ind w:firstLine="480"/>
      </w:pPr>
      <w:r>
        <w:rPr>
          <w:rFonts w:hint="eastAsia"/>
        </w:rPr>
        <w:t>如果不管如何打乱使用法律解释方法的次序，都能得出共同的解释结论，那么法律解释方法的位阶就不能算作需要反复讨论的问题</w:t>
      </w:r>
      <w:r>
        <w:rPr>
          <w:rFonts w:hint="eastAsia"/>
          <w:lang w:eastAsia="zh-CN"/>
        </w:rPr>
        <w:t>。</w:t>
      </w:r>
      <w:r>
        <w:rPr>
          <w:rFonts w:hint="eastAsia"/>
        </w:rPr>
        <w:t>自19世纪成文法法典化运动以来，通过法律文本即可得出确定裁判结论的美梦并没有实现。法律成文化似乎反而让法律蒙上模糊的面纱。原因在于，成文法是由法律语言构建，而所谓的法律语言便是“民间共同用语在一切法律活动所运用的语言。”</w:t>
      </w:r>
      <w:r>
        <w:rPr>
          <w:rStyle w:val="11"/>
          <w:rFonts w:hint="eastAsia"/>
        </w:rPr>
        <w:footnoteReference w:id="0"/>
      </w:r>
      <w:r>
        <w:rPr>
          <w:rFonts w:hint="eastAsia"/>
        </w:rPr>
        <w:t>正因如此，法律语言不是一种人工语言，而是以习惯用语、民间共同用语为基础的符号体系，因此法律语言不可能如数学公式那般确定。恩迪科特进一步指出“法律的模糊是一个普遍现象，以至于在个案中法律规定往往带有不确定的面向”。</w:t>
      </w:r>
      <w:r>
        <w:rPr>
          <w:rStyle w:val="11"/>
          <w:rFonts w:hint="eastAsia"/>
        </w:rPr>
        <w:footnoteReference w:id="1"/>
      </w:r>
      <w:r>
        <w:rPr>
          <w:rFonts w:hint="eastAsia"/>
        </w:rPr>
        <w:t>法律模糊性带来了危险的主张，即权利和义务的不确定，这使法律的功能和法治的可能经受了怀疑。</w:t>
      </w:r>
      <w:r>
        <w:rPr>
          <w:rStyle w:val="11"/>
          <w:rFonts w:hint="eastAsia"/>
        </w:rPr>
        <w:footnoteReference w:id="2"/>
      </w:r>
      <w:r>
        <w:rPr>
          <w:rFonts w:hint="eastAsia"/>
        </w:rPr>
        <w:t>然而，尽管法律不是完全确定的，法律存在模糊之处，但法律“绝对不是一个荒诞的玩笑”。</w:t>
      </w:r>
    </w:p>
    <w:p w14:paraId="1FF4957B">
      <w:pPr>
        <w:ind w:firstLine="480"/>
      </w:pPr>
      <w:r>
        <w:rPr>
          <w:rFonts w:hint="eastAsia"/>
        </w:rPr>
        <w:t>一些法学研究者认为法律的模糊性可以被进一步澄清。为此，需要通过技艺理性从法学知识传统中发现应对变革之方法。</w:t>
      </w:r>
      <w:r>
        <w:rPr>
          <w:rStyle w:val="11"/>
          <w:rFonts w:hint="eastAsia"/>
        </w:rPr>
        <w:footnoteReference w:id="3"/>
      </w:r>
      <w:r>
        <w:rPr>
          <w:rFonts w:hint="eastAsia"/>
        </w:rPr>
        <w:t>法律解释便是其中之一的方法。但是，当法官、法学家在尝试解释法律的时候，发现了多样的法律解释方法。从萨维尼最早提出的逻辑、语法、历史等要素</w:t>
      </w:r>
      <w:r>
        <w:rPr>
          <w:rStyle w:val="11"/>
          <w:rFonts w:hint="eastAsia"/>
        </w:rPr>
        <w:footnoteReference w:id="4"/>
      </w:r>
      <w:r>
        <w:rPr>
          <w:rFonts w:hint="eastAsia"/>
        </w:rPr>
        <w:t>，到如今的多种解释方法，法律解释方法的研究逐渐细碎与繁琐。为什么随着法律解释的研究推进，法律解释方法数量会变得如此众多？如此数量庞杂的法律解释方法在应用上有位阶吗？如果没有位阶，那如何为解释方法的选择提供正当化的证明？法律解释方法的位阶是多样的法律解释方法带来的直接问题。李冠宜在翻译《法律帝国》时，针对当时的台湾法学界，也发出了这样的疑问。</w:t>
      </w:r>
      <w:r>
        <w:rPr>
          <w:rStyle w:val="11"/>
          <w:rFonts w:hint="eastAsia"/>
        </w:rPr>
        <w:footnoteReference w:id="5"/>
      </w:r>
      <w:r>
        <w:rPr>
          <w:rFonts w:hint="eastAsia"/>
        </w:rPr>
        <w:t>可见，这个问题是法学界的殷切之问。这个问题传统上有肯定说与否定说之分。在深入讨论这个问题之前，有必要先检讨传统观点。</w:t>
      </w:r>
    </w:p>
    <w:p w14:paraId="05175958">
      <w:pPr>
        <w:pStyle w:val="3"/>
      </w:pPr>
      <w:r>
        <w:rPr>
          <w:rFonts w:hint="eastAsia"/>
        </w:rPr>
        <w:t>一、一阶问题：法律解释方法位阶说的初步检讨</w:t>
      </w:r>
    </w:p>
    <w:p w14:paraId="6BCB2749">
      <w:pPr>
        <w:ind w:firstLine="480"/>
      </w:pPr>
      <w:r>
        <w:rPr>
          <w:rFonts w:hint="eastAsia"/>
        </w:rPr>
        <w:t>运用</w:t>
      </w:r>
      <w:r>
        <w:t>法律解释方法是为了澄清疑惑、消弭当事人的争议，因此争议的激烈程度决定了对法律解释方法的需求程度。</w:t>
      </w:r>
      <w:r>
        <w:rPr>
          <w:rFonts w:hint="eastAsia"/>
        </w:rPr>
        <w:t>通过法律解释首先要追寻法律规范语义的客观性、确定性，来为公众提供可预期的法律秩序。如何追寻语义客观性是司法裁判首先需要面对的问题。法律解释方法在此提供了必要的路径。在法律解释方法的研究文献中，首先关注的问题是不同种类的法律方法之间的适用位阶确定问题。该命题只存在是或否两种主张，所谓的折中只是不够绝对的肯定说。具体而言，肯定说认为确定位阶有利于维护法律的客观性，但肯定说同时承认位阶的例外，因此也被冠上折中说之名。否定说则看到价值判断的胶着进而怀疑确定的位阶安排之可能。法律解释位阶的研究是一种针对法律解释方法如何选择的研究。而这项研究的本质是讨论如何为法律解释结论提供客观性和正当性证明。再讨论第二个问题前，首先有必要检讨学界对法律解释方法位阶的相关争鸣。</w:t>
      </w:r>
    </w:p>
    <w:p w14:paraId="6BAEFCB3">
      <w:pPr>
        <w:pStyle w:val="4"/>
        <w:ind w:firstLine="0" w:firstLineChars="0"/>
      </w:pPr>
      <w:r>
        <w:rPr>
          <w:rFonts w:hint="eastAsia"/>
        </w:rPr>
        <w:t>（一）肯定说的分析</w:t>
      </w:r>
    </w:p>
    <w:p w14:paraId="33214F7F">
      <w:pPr>
        <w:ind w:firstLine="480"/>
        <w:rPr>
          <w:rStyle w:val="11"/>
        </w:rPr>
      </w:pPr>
      <w:r>
        <w:t>如果法律解释方法的选择存在位阶，那一种科学的法律解释观似乎可被期待，法律的确定性也再次值得追求。因此，法律解释的位阶肯定说在一段时间内成为主流。</w:t>
      </w:r>
      <w:r>
        <w:rPr>
          <w:rFonts w:hint="eastAsia"/>
        </w:rPr>
        <w:t>从拉伦茨</w:t>
      </w:r>
      <w:r>
        <w:rPr>
          <w:rStyle w:val="11"/>
          <w:rFonts w:hint="eastAsia"/>
        </w:rPr>
        <w:footnoteReference w:id="6"/>
      </w:r>
      <w:r>
        <w:rPr>
          <w:rFonts w:hint="eastAsia"/>
        </w:rPr>
        <w:t>到克莱默</w:t>
      </w:r>
      <w:r>
        <w:rPr>
          <w:rStyle w:val="11"/>
          <w:rFonts w:hint="eastAsia"/>
        </w:rPr>
        <w:footnoteReference w:id="7"/>
      </w:r>
      <w:r>
        <w:rPr>
          <w:rFonts w:hint="eastAsia"/>
        </w:rPr>
        <w:t>，诸多学者都认为法律解释方法选择存在位阶，并且提出了不同的位阶说观点。除欧陆各国支持的声音外，我国也有诸多学者持肯定说观点。</w:t>
      </w:r>
      <w:r>
        <w:rPr>
          <w:rStyle w:val="11"/>
          <w:rFonts w:hint="eastAsia"/>
        </w:rPr>
        <w:footnoteReference w:id="8"/>
      </w:r>
      <w:r>
        <w:rPr>
          <w:rStyle w:val="11"/>
          <w:rFonts w:hint="eastAsia"/>
        </w:rPr>
        <w:footnoteReference w:id="9"/>
      </w:r>
      <w:r>
        <w:rPr>
          <w:rFonts w:hint="eastAsia"/>
        </w:rPr>
        <w:t>目前主流的肯定说持此立场，即诸法律解释方法之间不是并列关系，而是一种非固定的位阶关系。</w:t>
      </w:r>
      <w:r>
        <w:rPr>
          <w:rStyle w:val="11"/>
          <w:rFonts w:hint="eastAsia"/>
        </w:rPr>
        <w:footnoteReference w:id="10"/>
      </w:r>
      <w:r>
        <w:rPr>
          <w:rFonts w:hint="eastAsia"/>
        </w:rPr>
        <w:t>这个观点可以认为是折中说，但因承认法律解释方法存在位阶，只不过加上了“非固定”的修饰，因此也可以认为是不绝对的肯定说。</w:t>
      </w:r>
    </w:p>
    <w:p w14:paraId="1FF38757">
      <w:pPr>
        <w:ind w:firstLine="480"/>
      </w:pPr>
      <w:r>
        <w:rPr>
          <w:rFonts w:hint="eastAsia"/>
        </w:rPr>
        <w:t>如此多的学者支持位阶肯定说肯定必存在理由。克莱默认为，如果法律解释方法没有位阶，那法律方法就缺少教义学上的说服力。</w:t>
      </w:r>
      <w:r>
        <w:rPr>
          <w:rStyle w:val="11"/>
          <w:rFonts w:hint="eastAsia"/>
        </w:rPr>
        <w:footnoteReference w:id="11"/>
      </w:r>
      <w:r>
        <w:rPr>
          <w:rFonts w:hint="eastAsia"/>
        </w:rPr>
        <w:t>另有学者指出，法律解释方法的位阶可以指导法官有顺序地选择解释方法，提高解释活动的效率。</w:t>
      </w:r>
      <w:r>
        <w:rPr>
          <w:rStyle w:val="11"/>
          <w:rFonts w:hint="eastAsia"/>
        </w:rPr>
        <w:footnoteReference w:id="12"/>
      </w:r>
      <w:r>
        <w:rPr>
          <w:rFonts w:hint="eastAsia"/>
        </w:rPr>
        <w:t>此外，法律解释方法存在位阶可以实现法律的可预测性目标，从而实现法的安定性与法治的可能性。</w:t>
      </w:r>
      <w:r>
        <w:rPr>
          <w:rStyle w:val="11"/>
          <w:rFonts w:hint="eastAsia"/>
        </w:rPr>
        <w:footnoteReference w:id="13"/>
      </w:r>
      <w:r>
        <w:rPr>
          <w:rFonts w:hint="eastAsia"/>
        </w:rPr>
        <w:t>因此，持肯定说观点学者坚持位阶的理由在于探求可预测的法律秩序，实现法律的安定性与法治目标，并让法律方法存在教义学上的说服力。</w:t>
      </w:r>
    </w:p>
    <w:p w14:paraId="5C9BE407">
      <w:pPr>
        <w:ind w:firstLine="480"/>
      </w:pPr>
      <w:r>
        <w:t>但这些学者所持的观点并不是一种绝对的肯定说。事实上，这些学者的观点也被冠上折中说之名。主要原因在于，这些学者也不认为自己的位阶</w:t>
      </w:r>
      <w:r>
        <w:rPr>
          <w:rFonts w:hint="eastAsia"/>
        </w:rPr>
        <w:t>说</w:t>
      </w:r>
      <w:r>
        <w:t>就是万能公式。在一些例外之处，这种位阶不是必然适用的指令。拉伦茨指出“解释不是计算题，而是一种创造性的精神活动。”</w:t>
      </w:r>
      <w:r>
        <w:rPr>
          <w:rStyle w:val="11"/>
        </w:rPr>
        <w:footnoteReference w:id="14"/>
      </w:r>
      <w:r>
        <w:t>克莱默也主张多种解释方法之间相互联系，并不是阶梯式的关系，而是相互关联，彼此融贯的方法。</w:t>
      </w:r>
      <w:r>
        <w:rPr>
          <w:rStyle w:val="11"/>
        </w:rPr>
        <w:footnoteReference w:id="15"/>
      </w:r>
      <w:r>
        <w:t>除此之外，对于法律解释方法的位阶究竟如何，肯定说也未能达成一致的意见。</w:t>
      </w:r>
      <w:r>
        <w:rPr>
          <w:rFonts w:hint="eastAsia"/>
        </w:rPr>
        <w:t>在这种表面批评之外，肯定说的重要问题在于无法为后位解释方法替代前位解释方法给出正当理由与依据，特别是在疑难案件中，肯定说在面对案件时不能给出一套程序性的指令。</w:t>
      </w:r>
      <w:r>
        <w:rPr>
          <w:rStyle w:val="11"/>
          <w:rFonts w:hint="eastAsia"/>
        </w:rPr>
        <w:footnoteReference w:id="16"/>
      </w:r>
      <w:r>
        <w:rPr>
          <w:rFonts w:hint="eastAsia"/>
        </w:rPr>
        <w:t>在司法实践中，无法找到证据说明法官在法律解释时遵循一种位阶的思路解释法律。在简单案例中，法官往往直接诉诸文义解释就可以得出结论。疑难案件似乎是应用位阶的最好场所，但肯定说又常言这里是位阶肯定说的例外地带，为法官没有位阶思维作出辩护。概言之，肯定说没能澄清位阶的最佳适用领域。</w:t>
      </w:r>
      <w:r>
        <w:t>因此，这种肯定说或折中说的观点是失败的探索。否定说</w:t>
      </w:r>
      <w:r>
        <w:rPr>
          <w:rFonts w:hint="eastAsia"/>
        </w:rPr>
        <w:t>由此</w:t>
      </w:r>
      <w:r>
        <w:t>应运而生。</w:t>
      </w:r>
    </w:p>
    <w:p w14:paraId="6387CF0F">
      <w:pPr>
        <w:pStyle w:val="4"/>
        <w:ind w:firstLine="0" w:firstLineChars="0"/>
      </w:pPr>
      <w:r>
        <w:rPr>
          <w:rFonts w:hint="eastAsia"/>
        </w:rPr>
        <w:t>（二）否定说的反思</w:t>
      </w:r>
    </w:p>
    <w:p w14:paraId="6C1F6F94">
      <w:pPr>
        <w:ind w:firstLine="480"/>
      </w:pPr>
      <w:r>
        <w:rPr>
          <w:rFonts w:hint="eastAsia"/>
        </w:rPr>
        <w:t>肯定说的挫败引起否定说的反思。否定说不认为法律解释方法存在位阶，那否定说是否认同法律解释方法可以被随意选择呢？激进的规则怀疑论会赞同这种主张。这种理论认为法官在裁判前就有了如何判决的倾向，并且总能通过自身的价值判断为想得到的结果找到教义上的证立，对于每个支持某一解释方法的规准，总存在一个支持相反观点的“冲突性”规准。</w:t>
      </w:r>
      <w:r>
        <w:rPr>
          <w:rStyle w:val="11"/>
          <w:rFonts w:hint="eastAsia"/>
        </w:rPr>
        <w:footnoteReference w:id="17"/>
      </w:r>
      <w:r>
        <w:rPr>
          <w:rFonts w:hint="eastAsia"/>
        </w:rPr>
        <w:t>这个观念便引导出法律解释的“霰弹枪模式”，即法律解释方法是被综合运用的工具，哪种法律解释方法能证立法官意欲之结论，此法律解释方法便被使用，反之则被弃之不顾。</w:t>
      </w:r>
      <w:r>
        <w:rPr>
          <w:rStyle w:val="11"/>
          <w:rFonts w:hint="eastAsia"/>
        </w:rPr>
        <w:footnoteReference w:id="18"/>
      </w:r>
      <w:r>
        <w:rPr>
          <w:rFonts w:hint="eastAsia"/>
        </w:rPr>
        <w:t>据此，法律解释方法不过是对预先设想解释结果的理由虚饰。尽管如此，这种最极端的理论也无法脱离法律文本本身来寻求价值判断。法官并不总是能找到契合自己价值判断的解释方法，其价值判断依旧是在法律文本的内涵之下作出的。“但这是一种错误的结论，即解释者（interpreter）可以在（解释）工作中找到任何有意义的结论。”</w:t>
      </w:r>
      <w:r>
        <w:rPr>
          <w:rStyle w:val="11"/>
          <w:rFonts w:hint="eastAsia"/>
        </w:rPr>
        <w:footnoteReference w:id="19"/>
      </w:r>
      <w:r>
        <w:rPr>
          <w:rFonts w:hint="eastAsia"/>
        </w:rPr>
        <w:t>即便是最极端的理论，也说明主观性的价值判断受制于法律文本客观性，解释结果的客观性是可期待的要素。因此，极端版本的规则怀疑论注意到了法官在解释法律过程中的价值倾向，而机械的位阶排序无法包容法官的价值倾向。虽然规则怀疑论在过去半个世纪屡遭批判，但这种洞见值得学者留意。</w:t>
      </w:r>
    </w:p>
    <w:p w14:paraId="0D0867A5">
      <w:pPr>
        <w:ind w:firstLine="480"/>
      </w:pPr>
      <w:r>
        <w:rPr>
          <w:rFonts w:hint="eastAsia"/>
        </w:rPr>
        <w:t>另一种尖锐的否定说同样否认法律解释方法的位阶，但其理由在于法律方法的功能。其观点认为，法律方法论主要是一种思维实践活动，即通过方法论意识的提升而对法官裁判有所帮助和指导。</w:t>
      </w:r>
      <w:r>
        <w:rPr>
          <w:rStyle w:val="11"/>
          <w:rFonts w:hint="eastAsia"/>
        </w:rPr>
        <w:footnoteReference w:id="20"/>
      </w:r>
      <w:r>
        <w:rPr>
          <w:rFonts w:hint="eastAsia"/>
        </w:rPr>
        <w:t>亦有学者指出，法律解释方法并不具有适用强制性，而只具有思维引导性。</w:t>
      </w:r>
      <w:r>
        <w:rPr>
          <w:rStyle w:val="11"/>
          <w:rFonts w:hint="eastAsia"/>
        </w:rPr>
        <w:footnoteReference w:id="21"/>
      </w:r>
      <w:r>
        <w:rPr>
          <w:rFonts w:hint="eastAsia"/>
        </w:rPr>
        <w:t>依此观点，法学方法论是针对法官裁判主观思维活动所做的研究。法学方法论可以描述这种思维活动，也可以为这种思维活动提供指引，但是不能设定规范予以限制。从这种观点来看，讨论“法律解释方法的适用位阶”是一个无意义的问题，因为不存在什么强制性的位阶去约束法官的行为。肯定说的学者正是在此处犯了错误。但是，法律方法的思维指引性不否认法律解释方法的科学性与客观性。肯定说学者可退一步主张法律解释方法位阶为法官如何选择法律解释提供思维指引，而不是强制法官选择法律解释方法。因此，这种否定说并不十分有说服力，但这种否定说为肯定说的主张做了必要的修正。</w:t>
      </w:r>
    </w:p>
    <w:p w14:paraId="167CE78E">
      <w:pPr>
        <w:ind w:firstLine="480"/>
      </w:pPr>
      <w:r>
        <w:rPr>
          <w:rFonts w:hint="eastAsia"/>
        </w:rPr>
        <w:t>一种温和的否定说认为，因为司法的复杂性极高，所以在各种解释方法之间确立一个明确的顺序关系并无可能。</w:t>
      </w:r>
      <w:r>
        <w:rPr>
          <w:rStyle w:val="11"/>
          <w:rFonts w:hint="eastAsia"/>
        </w:rPr>
        <w:footnoteReference w:id="22"/>
      </w:r>
      <w:r>
        <w:rPr>
          <w:rFonts w:hint="eastAsia"/>
        </w:rPr>
        <w:t>阿列克西也指出，“要想给出普遍可接受的法律解释方法位阶并不现实”，因此主张一种论证性理论。</w:t>
      </w:r>
      <w:r>
        <w:rPr>
          <w:rStyle w:val="11"/>
          <w:rFonts w:hint="eastAsia"/>
        </w:rPr>
        <w:footnoteReference w:id="23"/>
      </w:r>
      <w:r>
        <w:rPr>
          <w:rFonts w:hint="eastAsia"/>
        </w:rPr>
        <w:t>这种否定说基于这样的立场：不同法律解释方法之间不是彼此割裂的关系，其本身就是一种融贯整体。因此，法官选择不同法律解释方法，应基于融贯的法律论证立场得出结论。</w:t>
      </w:r>
      <w:r>
        <w:rPr>
          <w:rStyle w:val="11"/>
          <w:rFonts w:hint="eastAsia"/>
        </w:rPr>
        <w:footnoteReference w:id="24"/>
      </w:r>
      <w:r>
        <w:rPr>
          <w:rFonts w:hint="eastAsia"/>
        </w:rPr>
        <w:t>在此，否定说与肯定说的核心分歧便可展现：不同的法律解释方法是否导向一致的解释结论？尽管肯定说内部分歧重重，但对这个问题无疑会给予否定回答。肯定说对法律解释方法位阶排序尽管存有分歧，但均认同文义解释的优先适用位置，只有在文义解释与其他解释方法结论不一致时，才呼吁通过位阶解释问题。盖如是，肯定说的观点又可进一步归结为文义解释与其他解释方法之解释结论不一致矛盾。综上所述，法律解释方法是否存在位阶，只是肯定说和否定说的表面争议，不同法律解释方法能否得出一致结论是隐藏于表面下的核心争议。</w:t>
      </w:r>
    </w:p>
    <w:p w14:paraId="50CBF86B">
      <w:pPr>
        <w:pStyle w:val="3"/>
      </w:pPr>
      <w:r>
        <w:rPr>
          <w:rFonts w:hint="eastAsia"/>
        </w:rPr>
        <w:t>二、核心问题：法律解释结论是否有唯一性</w:t>
      </w:r>
    </w:p>
    <w:p w14:paraId="3C0605CD">
      <w:pPr>
        <w:ind w:firstLine="480"/>
      </w:pPr>
      <w:r>
        <w:rPr>
          <w:rFonts w:hint="eastAsia"/>
        </w:rPr>
        <w:t>如果不同学者对于裁判者的信任程度相同，那么对于解释方法位阶的讨论就会趋于和缓。正因为信任程度的差异以及背后价值偏好的不同必然存在，所以就需要尝试通过法律解释方法位阶来限定裁判者的司法裁量权。裁判者使用不同法律解释方法得出一致结论，系法律解释位阶观的二阶问题。本部分通过分析位阶肯定说与否定说的对立主张，探讨法律解释方法是否存在优先性及其对解释结论一致性的影响。位阶肯定说认为，通过确立解释方法的位阶可以防止法官选择的随意性，但其对文义解释优先的倚重在实际应用中暴露了矛盾；位阶否定说则主张法律解释方法之间本质上是融贯的关系，其结果需要通过整体性的法律体系和目的进行证立。然而，文义解释的固有局限和法律价值判断的主观性介入，使得法律解释位阶的争论进一步复杂化，也揭示了解释方法间寻求一致性结论的现实困难。造成该现实困难的原因，在于“法律表述什么”与“法律意在说明什么”之断层。此断层的弥合，进一步需要客观目的与立法者意图的协调融贯。</w:t>
      </w:r>
    </w:p>
    <w:p w14:paraId="4E1956A6">
      <w:pPr>
        <w:pStyle w:val="4"/>
        <w:ind w:firstLine="0" w:firstLineChars="0"/>
      </w:pPr>
      <w:r>
        <w:rPr>
          <w:rFonts w:hint="eastAsia"/>
        </w:rPr>
        <w:t>（一）直觉反思：位阶肯定说的辩护</w:t>
      </w:r>
    </w:p>
    <w:p w14:paraId="3D1DFB97">
      <w:pPr>
        <w:ind w:firstLine="480"/>
      </w:pPr>
      <w:r>
        <w:rPr>
          <w:rFonts w:hint="eastAsia"/>
        </w:rPr>
        <w:t>直觉上很难支持不同法律解释方法可以得出一致结论的主张，否则难以说明为何学术界还会对法律解释方法争论不休。不同法律解释方法得出的结论似乎不可能一致，问题在于选择哪种解释方法。例如，哈特提及的“公园禁止车辆进入”规则（下文简称为“R1”规则）是否禁止救护车进入？倘若公园里此时有人需要急救，那公园门卫能否以这条规则为依据，禁止救护车进入？如果门卫这么做了，他不仅会遭受舆论对他的道德上的谴责，同时公园管理者乃至司法机关还会追究门卫渎职的责任。问题在于，门卫为什么会被追究责任，而不仅仅是受到谴责？</w:t>
      </w:r>
    </w:p>
    <w:p w14:paraId="4249AF2A">
      <w:pPr>
        <w:ind w:firstLine="480"/>
      </w:pPr>
      <w:r>
        <w:rPr>
          <w:rFonts w:hint="eastAsia"/>
        </w:rPr>
        <w:t>如果对R1做文义解释，那么救护车明显属于「车辆」概念的范畴。因此门卫确实有权禁止救护车驶入。但是如果作目的解释，无论是主观目的解释还是客观目的解释，都可以解释为这条规则不会禁止救护车在救人的情况下驶入公园。基于此，“不同法律解释方法会得出不一致的结论的命题为真”似乎被证明了。也就是说，位阶肯定说的立场言之有理、毋庸置疑。但问题是。位阶肯定说认为文义解释优先，但此时舍弃文义解释而寻求目的解释的正当性何在？</w:t>
      </w:r>
    </w:p>
    <w:p w14:paraId="1FD1B9E6">
      <w:pPr>
        <w:ind w:firstLine="480"/>
      </w:pPr>
      <w:r>
        <w:rPr>
          <w:rFonts w:hint="eastAsia"/>
        </w:rPr>
        <w:t>此解释</w:t>
      </w:r>
      <w:r>
        <w:t>结论基于道德理由的普遍认同，但道德争议的广泛存在和相对主义的影响使这种共识并不普遍适用。尽管</w:t>
      </w:r>
      <w:r>
        <w:rPr>
          <w:rFonts w:hint="eastAsia"/>
        </w:rPr>
        <w:t>该</w:t>
      </w:r>
      <w:r>
        <w:t>解释结论可能在道德上有支持，但无法保证在所有法律规则的解释中都能一致达成。此外，</w:t>
      </w:r>
      <w:r>
        <w:rPr>
          <w:rFonts w:hint="eastAsia"/>
        </w:rPr>
        <w:t>门卫</w:t>
      </w:r>
      <w:r>
        <w:t>也可能基于规则文本进行正当辩护，认为自己履行职责。纯粹依赖道德价值判断，</w:t>
      </w:r>
      <w:r>
        <w:rPr>
          <w:rFonts w:hint="eastAsia"/>
        </w:rPr>
        <w:t>既</w:t>
      </w:r>
      <w:r>
        <w:t>无法驳倒此类主张，也难以充分佐证法律上的主张。</w:t>
      </w:r>
      <w:r>
        <w:rPr>
          <w:rFonts w:hint="eastAsia"/>
        </w:rPr>
        <w:t>哈特的“开放结构”理论或许可以做进一步辩护，救护车进入公园属于语义“边缘地带”的情形，因而不宜机械解释。然而，若情境扩展至公园内有人晕倒，而外派救护车因任务繁忙无法及时赶到，公园外某人自愿驾驶私家车救人，此类行为显然属于核心地带，而门卫可依据R1禁止其进入。此时，如何进一步论证规则的灵活适用性，成为关键问题。</w:t>
      </w:r>
    </w:p>
    <w:p w14:paraId="4BD565A6">
      <w:pPr>
        <w:ind w:firstLine="480"/>
      </w:pPr>
      <w:r>
        <w:rPr>
          <w:rFonts w:hint="eastAsia"/>
        </w:rPr>
        <w:t>位阶肯定说所列位阶顺序大致遵循一种解释者主观能动性从小到大之次序，以谋求法律的客观性和社会正义的统一。位阶肯定说在佐证后位阶替代前位阶时，以社会后果、道德等因素提供理由，说服这种替代的合理性。为进一步论证这种替代的合理性，有学者指出，“法律解释方法位阶分为抽象位阶和具体位阶”。</w:t>
      </w:r>
      <w:r>
        <w:rPr>
          <w:rStyle w:val="11"/>
          <w:rFonts w:hint="eastAsia"/>
        </w:rPr>
        <w:footnoteReference w:id="25"/>
      </w:r>
      <w:r>
        <w:rPr>
          <w:rFonts w:hint="eastAsia"/>
        </w:rPr>
        <w:t>即个案之中，法律解释方法位阶是一个需要衡量、权重的过程，因此抽象的法律解释位阶并不能在个案中发挥理想作用。另有学者将传统的法律解释方法还原为一种原则，进而通过阿列克西的理论消除解释结论间的冲突，寻求融贯答案。</w:t>
      </w:r>
      <w:r>
        <w:rPr>
          <w:rStyle w:val="11"/>
          <w:rFonts w:hint="eastAsia"/>
        </w:rPr>
        <w:footnoteReference w:id="26"/>
      </w:r>
      <w:r>
        <w:rPr>
          <w:rFonts w:hint="eastAsia"/>
        </w:rPr>
        <w:t>位阶肯定说认识到不同法律解释方法结论之可能冲突，继而吸收位阶反对说的意见，试图作出修正尝试，但此种复杂的权衡方式能否应用于实践却值得反思。</w:t>
      </w:r>
    </w:p>
    <w:p w14:paraId="54A97AE1">
      <w:pPr>
        <w:ind w:firstLine="480"/>
      </w:pPr>
      <w:r>
        <w:rPr>
          <w:rFonts w:hint="eastAsia"/>
        </w:rPr>
        <w:t>位阶肯定说的立足点在于，不同法律解释方法会得出不一样的解释结论，为了防止法官随意选择解释结论，需要通过位阶制衡法官的选择。换言之，位阶肯定说对法官选择法律解释方法采取一种消极立场，担忧法官的随意选择而导致解释结果主观性的泛滥。但在这个情形中，位阶肯定说又急切寄希望于主观性的价值判断去得出结果。于是，位阶肯定说的矛盾在此体现得淋漓尽致，其既主张文义解释优先，又担心文义解释得出结论不正当；其既担忧主观价值判断导致解释结论随意化，又希望有价值判断来替代前位解释方法；其既希望有位阶限制法官解释，又希望法官能突破位阶。位阶肯定说之所以如此分裂，原因在于，其对不同法律解释方法得出不一致解释结论的证明过于简单，而依据直觉得出不一致的错误结论。</w:t>
      </w:r>
    </w:p>
    <w:p w14:paraId="04DBE0F5">
      <w:pPr>
        <w:pStyle w:val="4"/>
        <w:ind w:firstLine="0" w:firstLineChars="0"/>
      </w:pPr>
      <w:r>
        <w:rPr>
          <w:rFonts w:hint="eastAsia"/>
        </w:rPr>
        <w:t>（二）内在分析：位阶否定说的反驳</w:t>
      </w:r>
    </w:p>
    <w:p w14:paraId="0251DAF8">
      <w:pPr>
        <w:ind w:firstLine="480"/>
      </w:pPr>
      <w:r>
        <w:rPr>
          <w:rFonts w:hint="eastAsia"/>
        </w:rPr>
        <w:t>在上述例子中，位阶肯定说认为对R1的文义解释结果似乎是“禁止救护车进入公园”，但其实是进一步主张“在任何时候，无论什么情况，禁止任何车辆（包括救护车）进入公园”这项规则（R2）。位阶肯定说表面上忽略了R1到R2的推理过程，实质上是忽略了“法律表述什么”和“法律意在说明什么”这个问题。正是因为这个失误，使其主张的文义解释结论也明显偏颇。因此，本文在此主张，对R1真正的文义解释是可以和目的解释结论（通过其他解释方法得出的结论）一致。</w:t>
      </w:r>
    </w:p>
    <w:p w14:paraId="194A05E8">
      <w:pPr>
        <w:ind w:firstLine="480"/>
      </w:pPr>
      <w:r>
        <w:t>法律体系</w:t>
      </w:r>
      <w:r>
        <w:rPr>
          <w:rFonts w:hint="eastAsia"/>
        </w:rPr>
        <w:t>可以为此</w:t>
      </w:r>
      <w:r>
        <w:t>寻求目的解释结论的证立。在这个例子中，</w:t>
      </w:r>
      <w:r>
        <w:rPr>
          <w:rFonts w:hint="eastAsia"/>
        </w:rPr>
        <w:t>保护公园内游客安全系门卫</w:t>
      </w:r>
      <w:r>
        <w:t>的职责，这项规则</w:t>
      </w:r>
      <w:r>
        <w:rPr>
          <w:rFonts w:hint="eastAsia"/>
        </w:rPr>
        <w:t>并不和R1</w:t>
      </w:r>
      <w:r>
        <w:t>存在本质上的冲突</w:t>
      </w:r>
      <w:r>
        <w:rPr>
          <w:rFonts w:hint="eastAsia"/>
        </w:rPr>
        <w:t>。R1</w:t>
      </w:r>
      <w:r>
        <w:t>只是一种表述，但是</w:t>
      </w:r>
      <w:r>
        <w:rPr>
          <w:rFonts w:hint="eastAsia"/>
        </w:rPr>
        <w:t>在体系视角下</w:t>
      </w:r>
      <w:r>
        <w:t>，R1其实可以这么说明：</w:t>
      </w:r>
      <w:r>
        <w:rPr>
          <w:rFonts w:hint="eastAsia"/>
        </w:rPr>
        <w:t>“</w:t>
      </w:r>
      <w:r>
        <w:t>外来车辆一般禁止进入</w:t>
      </w:r>
      <w:r>
        <w:rPr>
          <w:rFonts w:hint="eastAsia"/>
        </w:rPr>
        <w:t>公园</w:t>
      </w:r>
      <w:r>
        <w:t>，但是为了保护</w:t>
      </w:r>
      <w:r>
        <w:rPr>
          <w:rFonts w:hint="eastAsia"/>
        </w:rPr>
        <w:t>游客生命</w:t>
      </w:r>
      <w:r>
        <w:t>安全除外。</w:t>
      </w:r>
      <w:r>
        <w:rPr>
          <w:rFonts w:hint="eastAsia"/>
        </w:rPr>
        <w:t>”</w:t>
      </w:r>
      <w:r>
        <w:t>也可以说</w:t>
      </w:r>
      <w:r>
        <w:rPr>
          <w:rFonts w:hint="eastAsia"/>
        </w:rPr>
        <w:t>“</w:t>
      </w:r>
      <w:r>
        <w:t>为了保护</w:t>
      </w:r>
      <w:r>
        <w:rPr>
          <w:rFonts w:hint="eastAsia"/>
        </w:rPr>
        <w:t>游客生命安全</w:t>
      </w:r>
      <w:r>
        <w:t>，必要时允许外来车辆进入</w:t>
      </w:r>
      <w:r>
        <w:rPr>
          <w:rFonts w:hint="eastAsia"/>
        </w:rPr>
        <w:t>公园</w:t>
      </w:r>
      <w:r>
        <w:t>。</w:t>
      </w:r>
      <w:r>
        <w:rPr>
          <w:rFonts w:hint="eastAsia"/>
        </w:rPr>
        <w:t>”</w:t>
      </w:r>
      <w:r>
        <w:t>（</w:t>
      </w:r>
      <w:r>
        <w:rPr>
          <w:rFonts w:hint="eastAsia"/>
        </w:rPr>
        <w:t>R3</w:t>
      </w:r>
      <w:r>
        <w:t>）换句话说，从体系的视角看，</w:t>
      </w:r>
      <w:r>
        <w:rPr>
          <w:rFonts w:hint="eastAsia"/>
        </w:rPr>
        <w:t>R1</w:t>
      </w:r>
      <w:r>
        <w:t>实际上表达了这样的</w:t>
      </w:r>
      <w:r>
        <w:rPr>
          <w:rFonts w:hint="eastAsia"/>
        </w:rPr>
        <w:t>——规则意在说明的——</w:t>
      </w:r>
      <w:r>
        <w:t>内容，这也为我们通过目的解释得出的结论寻求了证立。</w:t>
      </w:r>
      <w:r>
        <w:rPr>
          <w:rFonts w:hint="eastAsia"/>
        </w:rPr>
        <w:t>因此，位阶肯定说仅通过R1得出的R2解释难以被证立。相反，R3是R1的文义应有之意，并不是被文义解释所排除的规范。文义解释的结论是否正确可以通过其他法律解释得以证立。因此，文义解释和其他解释方法是否可能发生矛盾的问题，正是法律解释和法律解释结论的证立问题。</w:t>
      </w:r>
      <w:r>
        <w:rPr>
          <w:rStyle w:val="11"/>
          <w:rFonts w:hint="eastAsia"/>
        </w:rPr>
        <w:footnoteReference w:id="27"/>
      </w:r>
      <w:r>
        <w:rPr>
          <w:rFonts w:hint="eastAsia"/>
        </w:rPr>
        <w:t>这个问题同样反映何为“文义解释”的问题。</w:t>
      </w:r>
    </w:p>
    <w:p w14:paraId="47D15665">
      <w:pPr>
        <w:ind w:firstLine="480"/>
        <w:rPr>
          <w:rStyle w:val="11"/>
        </w:rPr>
      </w:pPr>
      <w:r>
        <w:t>文义解释最早可追溯到萨维尼所称的语法上的要素。</w:t>
      </w:r>
      <w:r>
        <w:rPr>
          <w:rStyle w:val="11"/>
        </w:rPr>
        <w:footnoteReference w:id="28"/>
      </w:r>
      <w:r>
        <w:t>但直至今日，关于文义解释的具体内涵和范围，学术界尚有争鸣。尽管学术界诸多学者将文义解释限缩为主体对法律条文中语词之字面含义的通俗化说明活动</w:t>
      </w:r>
      <w:r>
        <w:rPr>
          <w:rStyle w:val="11"/>
        </w:rPr>
        <w:footnoteReference w:id="29"/>
      </w:r>
      <w:r>
        <w:t>，但也有学者认为凡解释对象是法律语词，方法是发现，姿态是服从，结果不背离可能文义的解释活动就是文义解释</w:t>
      </w:r>
      <w:r>
        <w:rPr>
          <w:rStyle w:val="11"/>
        </w:rPr>
        <w:footnoteReference w:id="30"/>
      </w:r>
      <w:r>
        <w:t>。后一种观点是一种</w:t>
      </w:r>
      <w:r>
        <w:rPr>
          <w:rFonts w:asciiTheme="minorEastAsia" w:hAnsiTheme="minorEastAsia"/>
        </w:rPr>
        <w:t>“</w:t>
      </w:r>
      <w:r>
        <w:rPr>
          <w:rFonts w:hint="eastAsia" w:asciiTheme="minorEastAsia" w:hAnsiTheme="minorEastAsia"/>
        </w:rPr>
        <w:t>广义</w:t>
      </w:r>
      <w:r>
        <w:rPr>
          <w:rFonts w:asciiTheme="minorEastAsia" w:hAnsiTheme="minorEastAsia"/>
        </w:rPr>
        <w:t>”</w:t>
      </w:r>
      <w:r>
        <w:t>上的文义解释，将当然解释、合宪性解释等多种解释方法均囊括其中。</w:t>
      </w:r>
      <w:r>
        <w:rPr>
          <w:rFonts w:hint="eastAsia"/>
        </w:rPr>
        <w:t>文义解释这种广义与狭义的概念上的讨论，反映文义是法律解释的核心领域。脱离文义的并不是法律解释，而是法律续造。因此，广义的文义解释就是法律解释，或者说，法律解释仅仅文义解释一种方法，其余的解释方法都是文义解释的证立或补充。</w:t>
      </w:r>
      <w:r>
        <w:rPr>
          <w:rStyle w:val="11"/>
          <w:rFonts w:hint="eastAsia"/>
        </w:rPr>
        <w:footnoteReference w:id="31"/>
      </w:r>
    </w:p>
    <w:p w14:paraId="44EC4B9D">
      <w:pPr>
        <w:ind w:firstLine="480"/>
      </w:pPr>
      <w:r>
        <w:rPr>
          <w:rFonts w:hint="eastAsia"/>
        </w:rPr>
        <w:t>据此，不同法律解释在表面上似乎会得出不一样的解释结论，但其根本在于通过文义解释与其他解释方法得出了狭隘、错误的结论，同时没有意识到其他解释方法是证立文义解释的判准。在这个意义上，法律解释方法间是彼此融贯的关系，位阶否定说似乎赢下了这场争论。</w:t>
      </w:r>
    </w:p>
    <w:p w14:paraId="381DA798">
      <w:pPr>
        <w:ind w:firstLine="480"/>
      </w:pPr>
      <w:r>
        <w:rPr>
          <w:rFonts w:hint="eastAsia"/>
        </w:rPr>
        <w:t>这是一种理想情形，但反对者会主张，直接通过文义解释得出的结论和其他解释方法得出的结论明显存在截然相反的趋向。其会主张位阶否定说篡改了文义解释的结论，让不同解释结论形成表面上的统一。因此，这种法律解释方法的融贯性是虚假的表象，并让文义解释沦为其他解释结论的理由虚饰，不同法律解释得出的解释结论依旧不同。这种反对意见的基础是对文义解释的错误认识。文义解释总被认为是一种优先使用的解释方法，其理由立足于文义的清晰性与客观性特征。但此观点对文义解释的具体功能有错误定位，从而“神话”了文义解释，进而对解释位阶有错误的迷思。</w:t>
      </w:r>
    </w:p>
    <w:p w14:paraId="64B338B9">
      <w:pPr>
        <w:pStyle w:val="4"/>
        <w:ind w:firstLine="0" w:firstLineChars="0"/>
      </w:pPr>
      <w:r>
        <w:rPr>
          <w:rFonts w:hint="eastAsia"/>
        </w:rPr>
        <w:t>（三）深层原因：文义解释的“神话”与解释位阶的迷思</w:t>
      </w:r>
    </w:p>
    <w:p w14:paraId="4A940E7D">
      <w:pPr>
        <w:ind w:firstLine="480"/>
      </w:pPr>
      <w:r>
        <w:rPr>
          <w:rFonts w:hint="eastAsia"/>
        </w:rPr>
        <w:t>位阶肯定说在此会继续主张文义解释优先，文义解释和其他解释方法相分离。即，文义解释与其他解释方法均系独立解释方法，不存在法律解释与法律解释的证立一说。尽管位阶肯定说对法律解释方法具体位阶的观点争议颇多，但在文义解释优先这个命题上，位阶肯定说均认为这个命题为真。从概念来看，文义解释是对法律条文语词的说明，因此，文义解释也被认为是最客观的与直观的基于法律文本的解释。但是，文义解释有不可避免之缺憾，因为文义解释是只能基于文本、词句本身展开的一种思维方式，这种思维定势决定了文义解释的局限性。</w:t>
      </w:r>
    </w:p>
    <w:p w14:paraId="2CFC9FDD">
      <w:pPr>
        <w:ind w:firstLine="480"/>
      </w:pPr>
      <w:r>
        <w:rPr>
          <w:rFonts w:hint="eastAsia"/>
        </w:rPr>
        <w:t>受限于这种思维定势，文义解释有时无法对需要解释的问题给出令人满意的回答。因为语词固有的模糊性，如果只将视角聚焦于语词含义，可能无法得出最终的结果。例如，《民法典》第546条规定：“债权人转让债权，未通知债务人的，该转让对债务人不发生效力。”从语法角度考察，“未通知债务人”的主语应是前句的“债权人”，那是否意味着只有债权人通知债务人才会发生债权转让之效力，而债权受让人既无通知义务，其通知债务人也无法发生债权转让效力呢？</w:t>
      </w:r>
      <w:r>
        <w:rPr>
          <w:rStyle w:val="11"/>
          <w:rFonts w:hint="eastAsia"/>
        </w:rPr>
        <w:footnoteReference w:id="32"/>
      </w:r>
      <w:r>
        <w:rPr>
          <w:rFonts w:hint="eastAsia"/>
        </w:rPr>
        <w:t>文义不能肯定亦不能否定这些追问。因此，法律想传达的内容并不一定总能通过文义体现，即“法律表述什么”并不一定意味着“法律意在说明什么”。</w:t>
      </w:r>
      <w:r>
        <w:rPr>
          <w:rStyle w:val="11"/>
          <w:rFonts w:hint="eastAsia"/>
        </w:rPr>
        <w:footnoteReference w:id="33"/>
      </w:r>
      <w:r>
        <w:rPr>
          <w:rFonts w:hint="eastAsia"/>
        </w:rPr>
        <w:t>。法律存在这两者的断层，即一种“理论争议”</w:t>
      </w:r>
      <w:r>
        <w:rPr>
          <w:rStyle w:val="11"/>
          <w:rFonts w:hint="eastAsia"/>
        </w:rPr>
        <w:footnoteReference w:id="34"/>
      </w:r>
      <w:r>
        <w:rPr>
          <w:rFonts w:hint="eastAsia"/>
        </w:rPr>
        <w:t>。仅凭文义无法给出精准的解释。解释者通过定义解释法律，常使规则解释问题变成语词概念解释问题，后者进一步变成概念定义的再解释问题。如此探究，即便找到最后可利用的定义，依旧有模糊性或歧义性的可能。</w:t>
      </w:r>
      <w:r>
        <w:rPr>
          <w:rStyle w:val="11"/>
          <w:rFonts w:hint="eastAsia"/>
        </w:rPr>
        <w:footnoteReference w:id="35"/>
      </w:r>
    </w:p>
    <w:p w14:paraId="728D9B94">
      <w:pPr>
        <w:ind w:firstLine="480"/>
      </w:pPr>
      <w:r>
        <w:rPr>
          <w:rFonts w:hint="eastAsia"/>
        </w:rPr>
        <w:t>因此，文义解释在很多情况中不能说有优先地位。文义解释在无法得出结果或不能展开时，优先性便无法体现，因此需要其他解释方法的介入。如魏德士所言：“一切认为文义绝对优先于其他任何解释论据的解释理论的观点都是错误的。”</w:t>
      </w:r>
      <w:r>
        <w:rPr>
          <w:rStyle w:val="11"/>
          <w:rFonts w:hint="eastAsia"/>
        </w:rPr>
        <w:footnoteReference w:id="36"/>
      </w:r>
      <w:r>
        <w:rPr>
          <w:rFonts w:hint="eastAsia"/>
        </w:rPr>
        <w:t>据此，位阶肯定说意识到文义解释在一般情况下可以对法律作出清晰明确且客观的解释，这正是法律解释的追求。但概率上的优先不能证成规范性与指引性上的优先。位阶肯定说在此对文义解释产生错误认知，因此需要予以纠正。</w:t>
      </w:r>
    </w:p>
    <w:p w14:paraId="3D9662BE">
      <w:pPr>
        <w:ind w:firstLine="480"/>
        <w:rPr>
          <w:rStyle w:val="11"/>
        </w:rPr>
      </w:pPr>
      <w:r>
        <w:rPr>
          <w:rFonts w:hint="eastAsia"/>
        </w:rPr>
        <w:t>文义解释因其局限，不可对其“神话”。文义解释是文本主义（textualism）解释理论的基石。但对文义解释的检讨说明，纯粹的文本主义解释立场行不通。位阶肯定说奉行的文义解释优先是希望发掘法律文本客观应有之意，而限制法官价值判断的随意介入。此外，位阶肯定说不会否认法官价值判断的介入，并常将最能体现价值判断介入的目的解释置于最后位阶。换言之，位阶肯定说意识到“法律表述什么”和“法律意在说什么”的矛盾，进一步说，即法律文本内容与其背后目的或意图的矛盾。位阶肯定说希望通过位阶实现从目的到内容的过渡。但位阶否定说的批评揭示了这种过渡并不成功。不同解释方法均容纳价值判断与意图的介入，只不过是程度上的区别。位阶否定说则留意到这种矛盾不可能通过机械位阶的实现来解决，而是通过不同解释方法之间彼此融贯与证立实现平衡。因此，如何解决法律解释结论是否有唯一性问题，根本在于解决法律文本与其意图/目的和谐的问题。如果这个问题可以被解决，那说明法律解释存在唯一答案，法律解释方法是否存在位阶就不再值得被期待。</w:t>
      </w:r>
    </w:p>
    <w:p w14:paraId="4D56F51B">
      <w:pPr>
        <w:pStyle w:val="3"/>
      </w:pPr>
      <w:r>
        <w:rPr>
          <w:rFonts w:hint="eastAsia"/>
        </w:rPr>
        <w:t>三、证明路径：立法者意图与客观目的之融贯</w:t>
      </w:r>
    </w:p>
    <w:p w14:paraId="1C05DDBC">
      <w:pPr>
        <w:ind w:firstLine="480"/>
      </w:pPr>
      <w:r>
        <w:rPr>
          <w:rFonts w:hint="eastAsia"/>
        </w:rPr>
        <w:t>法律规范的安定性特征使得追求文义的客观性成为明显优先的价值选择，但追求文义客观性的目的在于借助规范的约束与指引来妥善解决个案的利益纠纷以维护社群的整体秩序。受限于语词的局限，法律文本只能呈现出部分（</w:t>
      </w:r>
      <w:r>
        <w:t>something</w:t>
      </w:r>
      <w:r>
        <w:rPr>
          <w:rFonts w:hint="eastAsia"/>
        </w:rPr>
        <w:t>）而不能展现全部</w:t>
      </w:r>
      <w:r>
        <w:t>(everything)</w:t>
      </w:r>
      <w:r>
        <w:rPr>
          <w:rFonts w:hint="eastAsia"/>
        </w:rPr>
        <w:t>，因此，存在断言性内容（asserted content）和暗示性内容（implicated content）的区别。</w:t>
      </w:r>
      <w:r>
        <w:rPr>
          <w:rStyle w:val="11"/>
          <w:rFonts w:hint="eastAsia"/>
        </w:rPr>
        <w:footnoteReference w:id="37"/>
      </w:r>
      <w:r>
        <w:rPr>
          <w:rFonts w:hint="eastAsia"/>
        </w:rPr>
        <w:t>断言性内容一般可以通过文义解释获得理解，而暗示性内容则需要其他解释方法寻求文义上的证立。语言哲学的研究表明，言辞行为（</w:t>
      </w:r>
      <w:r>
        <w:t>speech act</w:t>
      </w:r>
      <w:r>
        <w:rPr>
          <w:rFonts w:hint="eastAsia"/>
        </w:rPr>
        <w:t>）关于特定目的，即个人或群体所表达的言辞背后有其特定目的。</w:t>
      </w:r>
      <w:r>
        <w:rPr>
          <w:rStyle w:val="11"/>
          <w:rFonts w:hint="eastAsia"/>
        </w:rPr>
        <w:footnoteReference w:id="38"/>
      </w:r>
      <w:r>
        <w:rPr>
          <w:rFonts w:hint="eastAsia"/>
        </w:rPr>
        <w:t>因此，在日常交流中，人们也会讨论别人“意在说明什么”。在法律中，这就体现为法律的目的。目的解释追问的便是规范的精神与目的。</w:t>
      </w:r>
      <w:r>
        <w:rPr>
          <w:rStyle w:val="11"/>
          <w:rFonts w:hint="eastAsia"/>
        </w:rPr>
        <w:footnoteReference w:id="39"/>
      </w:r>
      <w:r>
        <w:rPr>
          <w:rFonts w:hint="eastAsia"/>
        </w:rPr>
        <w:t>目的解释讨论的核心问题在于“目的”系立法者意图抑或客观目的，即存在主观理论与客观理论的分野。如前所述，文义解释之外的法律解释方法乃系对文义解释的证立。因此，目的解释中主观理论与客观理论的争论系法律解释观的争论而非一种解释方法的争论。因此，有学者将之归纳为意图主义（intentionalism）和目的主义（purposivism）两种理论主张。</w:t>
      </w:r>
      <w:r>
        <w:rPr>
          <w:rStyle w:val="11"/>
          <w:rFonts w:hint="eastAsia"/>
        </w:rPr>
        <w:footnoteReference w:id="40"/>
      </w:r>
      <w:r>
        <w:rPr>
          <w:rFonts w:hint="eastAsia"/>
        </w:rPr>
        <w:t>法官是解释立法者作品的“演奏家”（</w:t>
      </w:r>
      <w:r>
        <w:t>Pianist</w:t>
      </w:r>
      <w:r>
        <w:rPr>
          <w:rFonts w:hint="eastAsia"/>
        </w:rPr>
        <w:t>）还是甘当“法律的奴仆”（</w:t>
      </w:r>
      <w:r>
        <w:t>Diener des Gesetzes</w:t>
      </w:r>
      <w:r>
        <w:rPr>
          <w:rFonts w:hint="eastAsia"/>
        </w:rPr>
        <w:t>）？</w:t>
      </w:r>
      <w:r>
        <w:rPr>
          <w:rStyle w:val="11"/>
          <w:rFonts w:hint="eastAsia"/>
        </w:rPr>
        <w:footnoteReference w:id="41"/>
      </w:r>
      <w:r>
        <w:rPr>
          <w:rFonts w:hint="eastAsia"/>
        </w:rPr>
        <w:t>两种理论的主张在学界已有广泛的讨论。本文主张一种折中说，即法律解释观需同时容纳意图与目的。通过这个观点的证立，可以消弭法律文本与法律意图/目的之冲突，论证不同法律解释方法可以得出一致结论，进而为位阶否定说提供一种新的证明路径。</w:t>
      </w:r>
    </w:p>
    <w:p w14:paraId="28182F5E">
      <w:pPr>
        <w:pStyle w:val="4"/>
        <w:ind w:firstLine="0" w:firstLineChars="0"/>
      </w:pPr>
      <w:r>
        <w:rPr>
          <w:rFonts w:hint="eastAsia"/>
        </w:rPr>
        <w:t>（一）理论基础：语言与意图的多样性</w:t>
      </w:r>
    </w:p>
    <w:p w14:paraId="42DDFA39">
      <w:pPr>
        <w:ind w:firstLine="480"/>
      </w:pPr>
      <w:r>
        <w:rPr>
          <w:rFonts w:hint="eastAsia"/>
        </w:rPr>
        <w:t>法律文本与其意图/目的之间的矛盾，是解释位阶争议的根源。进一步分析立法者意图与客观目的的冲突，可以揭示法律解释中位阶问题的理论局限性。鉴于后者的内在矛盾，首先应说明该内在矛盾如何在理论上与实践上解决。</w:t>
      </w:r>
    </w:p>
    <w:p w14:paraId="58D524B6">
      <w:pPr>
        <w:ind w:firstLine="480"/>
      </w:pPr>
      <w:r>
        <w:rPr>
          <w:rFonts w:hint="eastAsia"/>
        </w:rPr>
        <w:t>作为制定法律之立法者，将立法者意图的探寻作为一种解释观似乎是不言自明的判断。但不同于客观目的，立法者意图能否被准确探寻是受到质疑的情形。例如，格林伯格（</w:t>
      </w:r>
      <w:r>
        <w:t>M.</w:t>
      </w:r>
      <w:r>
        <w:rPr>
          <w:rFonts w:hint="eastAsia"/>
        </w:rPr>
        <w:t>Greenberg）认为：首先，立法仅是投票的事实行为，很多议员经常在并不知道法律的具体内容的情况下投票。那么，自然没有立法者意图的存在；其次，即便存在意图，立法是一个投票行为，不同立法者均有不同的理由。因此，探寻立法者的意图似乎并无必要。</w:t>
      </w:r>
      <w:r>
        <w:rPr>
          <w:rStyle w:val="11"/>
          <w:rFonts w:hint="eastAsia"/>
        </w:rPr>
        <w:footnoteReference w:id="42"/>
      </w:r>
      <w:r>
        <w:rPr>
          <w:rFonts w:hint="eastAsia"/>
        </w:rPr>
        <w:t>格林伯格这个观点显然有误。首先，如果议员在不知道要表决的法律是什么的情况下就投票，那这明显是一个机械行为，且议员根本不知道如何作出决定。因此至少需要有人告知议员如何投票，而这就是一个言辞行为（</w:t>
      </w:r>
      <w:r>
        <w:t>speech act</w:t>
      </w:r>
      <w:r>
        <w:rPr>
          <w:rFonts w:hint="eastAsia"/>
        </w:rPr>
        <w:t>），因此就有立法者意图可循。其次，即便认同议员在表决时各有意图，那也导向同一结果。“但是，并非伴随言辞行为的每一种意图都构成有关话语所宣称的内容的一部分。”</w:t>
      </w:r>
      <w:r>
        <w:rPr>
          <w:rStyle w:val="11"/>
          <w:rFonts w:hint="eastAsia"/>
        </w:rPr>
        <w:footnoteReference w:id="43"/>
      </w:r>
      <w:r>
        <w:rPr>
          <w:rFonts w:hint="eastAsia"/>
        </w:rPr>
        <w:t>法律文本制定是一个集体产出的统一表达，因此立法者意图不同于单个议员的意图。既然存在同一结果，法律适用者识别何为真正的立法者意图才是重要的任务。</w:t>
      </w:r>
    </w:p>
    <w:p w14:paraId="03EE4951">
      <w:pPr>
        <w:ind w:firstLine="480"/>
        <w:rPr>
          <w:rStyle w:val="11"/>
        </w:rPr>
      </w:pPr>
      <w:r>
        <w:rPr>
          <w:rFonts w:hint="eastAsia"/>
        </w:rPr>
        <w:t>作为马默的论证对手，格林伯格留意到立法者意图的多样性可能。表达立法者真正意图的陈述并不如人们所希望那边明确。因此，识别何为立法者的真正意图可能离不开法官自我的判断。此外，在立法者沉默不语之时，人们所得知的可能只是“假象的意图”。</w:t>
      </w:r>
      <w:r>
        <w:rPr>
          <w:rStyle w:val="11"/>
          <w:rFonts w:hint="eastAsia"/>
        </w:rPr>
        <w:footnoteReference w:id="44"/>
      </w:r>
      <w:r>
        <w:rPr>
          <w:rFonts w:hint="eastAsia"/>
        </w:rPr>
        <w:t>为挽救立法者意图，不少学者也做了尝试。除马默外，埃金斯（</w:t>
      </w:r>
      <w:r>
        <w:t>Richard Ekins</w:t>
      </w:r>
      <w:r>
        <w:rPr>
          <w:rFonts w:hint="eastAsia"/>
        </w:rPr>
        <w:t>）将立法者意图区分为常设意图（</w:t>
      </w:r>
      <w:r>
        <w:t>standing intention</w:t>
      </w:r>
      <w:r>
        <w:rPr>
          <w:rFonts w:hint="eastAsia"/>
        </w:rPr>
        <w:t>）和特定意图（</w:t>
      </w:r>
      <w:r>
        <w:t>specific intention</w:t>
      </w:r>
      <w:r>
        <w:rPr>
          <w:rFonts w:hint="eastAsia"/>
        </w:rPr>
        <w:t>）两个方面。</w:t>
      </w:r>
      <w:r>
        <w:rPr>
          <w:rStyle w:val="11"/>
          <w:rFonts w:hint="eastAsia"/>
        </w:rPr>
        <w:footnoteReference w:id="45"/>
      </w:r>
      <w:r>
        <w:rPr>
          <w:rFonts w:hint="eastAsia"/>
        </w:rPr>
        <w:t>具体而言，埃金斯希望通过“会话模式”勾勒立法者的意图。此外，在对文本主义的批驳中，亦有学者指出无意图的文本主义在概念上不可能成立，立法者意图在法律解释中必有用武之地。</w:t>
      </w:r>
      <w:r>
        <w:rPr>
          <w:rStyle w:val="11"/>
          <w:rFonts w:hint="eastAsia"/>
        </w:rPr>
        <w:footnoteReference w:id="46"/>
      </w:r>
    </w:p>
    <w:p w14:paraId="677F4AD1">
      <w:pPr>
        <w:ind w:firstLine="480"/>
      </w:pPr>
      <w:r>
        <w:rPr>
          <w:rFonts w:hint="eastAsia"/>
        </w:rPr>
        <w:t>但是，这些学者的尝试无法证明意图主义是唯一成立的解释理论。根本理由在于，法律解释不同于历史学家对历史文献的解读，也不同于文学评论家对文学作品的解读。法律解释是一种指导当下实践行为的解释活动。在此，法律解释是一种与共同体生活息息相关的活动。在《法律帝国》中，德沃金通过解读莎士比亚的作品解读法律解释这种实践面向。现代戏剧演员要重现《威尼斯商人》里的夏洛克形象，既要考虑莎士比亚在那个时代里的夏洛克形象，也要考虑现代人对那个时代的认识。因此这个演员重现的形象并不和莎士比亚的构想一模一样。对艺术作品的改编往往是有改编者自己的价值思考加入其中的创作。</w:t>
      </w:r>
      <w:r>
        <w:rPr>
          <w:rStyle w:val="11"/>
          <w:rFonts w:hint="eastAsia"/>
        </w:rPr>
        <w:footnoteReference w:id="47"/>
      </w:r>
      <w:r>
        <w:rPr>
          <w:rFonts w:hint="eastAsia"/>
        </w:rPr>
        <w:t>同样，法律解释也需要考量当下社会实况赋予法律规范的客观目的。</w:t>
      </w:r>
    </w:p>
    <w:p w14:paraId="19661C14">
      <w:pPr>
        <w:ind w:firstLine="480"/>
      </w:pPr>
      <w:r>
        <w:rPr>
          <w:rFonts w:hint="eastAsia"/>
        </w:rPr>
        <w:t>但是，客观目的是法律解释中的一个危险地带，其理论基础被诸多学者——特别是德国学者——否定。在这些学者看来，此种观念所解读出来的不过是法律适用者自己强加进去的意思。</w:t>
      </w:r>
      <w:r>
        <w:rPr>
          <w:rStyle w:val="11"/>
          <w:rFonts w:hint="eastAsia"/>
        </w:rPr>
        <w:footnoteReference w:id="48"/>
      </w:r>
      <w:r>
        <w:rPr>
          <w:rFonts w:hint="eastAsia"/>
        </w:rPr>
        <w:t>魏德士更是主张此种理论是臆造的而非科学的方法。</w:t>
      </w:r>
      <w:r>
        <w:rPr>
          <w:rStyle w:val="11"/>
          <w:rFonts w:hint="eastAsia"/>
        </w:rPr>
        <w:footnoteReference w:id="49"/>
      </w:r>
      <w:r>
        <w:rPr>
          <w:rFonts w:hint="eastAsia"/>
        </w:rPr>
        <w:t>德国学者之所以如此反对客观理论，是受到纳粹德国的影响。纳粹德国法律尤其强调原则、一般条款的作用，并要求法官借助所谓的“元首意志”等歪曲法律的应有之义。法官甚至不仅有义务选择符合纳粹意识形态的法律解释，而且法官需要检验现有法律是否和纳粹主义相一致，否则就应加以批判。</w:t>
      </w:r>
      <w:r>
        <w:rPr>
          <w:rStyle w:val="11"/>
          <w:rFonts w:hint="eastAsia"/>
        </w:rPr>
        <w:footnoteReference w:id="50"/>
      </w:r>
      <w:r>
        <w:rPr>
          <w:rFonts w:hint="eastAsia"/>
        </w:rPr>
        <w:t>客观目的的滥用不但不能正确解读法律，还可能成为歪曲法律的工具。</w:t>
      </w:r>
    </w:p>
    <w:p w14:paraId="7D4FF12C">
      <w:pPr>
        <w:ind w:firstLine="480"/>
      </w:pPr>
      <w:r>
        <w:rPr>
          <w:rFonts w:hint="eastAsia"/>
        </w:rPr>
        <w:t>尽管纳粹德国时期的立法与司法给人类社会带来浩劫，但解释者意图应是被反思的对象，而不是被否定的因素。法律解释活动不是单调的文本解释活动。一方面，不能苛求立法者在立法时的意图能完美衔接未来生活；另一方面，如哈特指出的，“立法者本身便可能在法律中留下空间，允许未来的法官在具体情境下进行裁量和创造性解释”。</w:t>
      </w:r>
      <w:r>
        <w:rPr>
          <w:rStyle w:val="11"/>
          <w:rFonts w:hint="eastAsia"/>
        </w:rPr>
        <w:footnoteReference w:id="51"/>
      </w:r>
      <w:r>
        <w:rPr>
          <w:rFonts w:hint="eastAsia"/>
        </w:rPr>
        <w:t>如今，亦有德国学者认同解释者意图在法律解释中的功能，并对立法者目的有正确认识，而采纳一种折中说的观点。</w:t>
      </w:r>
      <w:r>
        <w:rPr>
          <w:rStyle w:val="11"/>
          <w:rFonts w:hint="eastAsia"/>
        </w:rPr>
        <w:footnoteReference w:id="52"/>
      </w:r>
      <w:r>
        <w:rPr>
          <w:rFonts w:hint="eastAsia"/>
        </w:rPr>
        <w:t>只要在不脱离法律文义的基础上，容纳解释者的目的便有可能。</w:t>
      </w:r>
    </w:p>
    <w:p w14:paraId="7EE410E1">
      <w:pPr>
        <w:pStyle w:val="4"/>
        <w:ind w:firstLine="0" w:firstLineChars="0"/>
      </w:pPr>
      <w:r>
        <w:rPr>
          <w:rFonts w:hint="eastAsia"/>
        </w:rPr>
        <w:t>（二）实践论证：客观目的如何尊重与融入意图</w:t>
      </w:r>
    </w:p>
    <w:p w14:paraId="0E687729">
      <w:pPr>
        <w:ind w:firstLine="480"/>
      </w:pPr>
      <w:r>
        <w:rPr>
          <w:rFonts w:hint="eastAsia"/>
        </w:rPr>
        <w:t>法律解释是基于文本的解释。但是法律文本有模糊不清之处，且有暗示性内容存在。因此，法律解释需要探讨“法律意在说明什么”。为此，需要考虑法律背后之目的与意图。客观目的理论与主观目的理论争论不休，但对法律的正确解释需要容纳立法者意图与客观目的。主观目的理论探寻立法者在历史语境下的动机以寻求“法律为什么这么说”“法律这么说意味着什么”。客观目的理论则将法律视为一个动态的新陈代谢系统，因此法律解释不能被既往的立法者束缚，需要基于社会发展寻求符合社会现实的解释结论。主观目的理论无法澄清立法者意图多样性下何为真正立法者意图，以及立法者意图能否适应当下社会发展要求；客观目的理论则有价值介入倾覆法治的危险。在理论上说明为何单一的解释观是错误，必须将两种解释观容纳考虑后，需要给出实践上如何操作的论证。</w:t>
      </w:r>
    </w:p>
    <w:p w14:paraId="58B01744">
      <w:pPr>
        <w:ind w:firstLine="480"/>
      </w:pPr>
      <w:r>
        <w:rPr>
          <w:rFonts w:hint="eastAsia"/>
        </w:rPr>
        <w:t>法律解释应坚持一种“消极性”立场，即解释法律而非创造法律。在此基础上，法官价值判断介入是一个被抑制而非禁止的活动。在检讨客观理论与主观理论实践融合的过程中，应坚持这样的主张：</w:t>
      </w:r>
    </w:p>
    <w:p w14:paraId="76796E75">
      <w:pPr>
        <w:ind w:firstLine="480"/>
      </w:pPr>
      <w:r>
        <w:rPr>
          <w:rFonts w:hint="eastAsia"/>
        </w:rPr>
        <w:t>解释者尊重立法者意图，并将客观目的融入立法者可能的意图中；除非说明立法者意图完全背离社会情境，且客观目的能在文义范围之内给出更好解释。</w:t>
      </w:r>
    </w:p>
    <w:p w14:paraId="2B8F67C8">
      <w:pPr>
        <w:ind w:firstLine="480"/>
      </w:pPr>
      <w:r>
        <w:rPr>
          <w:rFonts w:hint="eastAsia"/>
        </w:rPr>
        <w:t>作为制定法律之立法者，其意图不能被随意抛弃自不待言。尊重立法者意图，也是尊重法律的权威与安定性。如前所述，现有理论说明立法者意图如何探寻，尽管这种探寻有时会失败，但也不能直接否决。此外，法律解释作为指导实践生活的解释活动，不能像文学解读一样持有“作者已死”的立场。对立法者意图的忽视，无异于剥夺了立法者控制制定法内容之权限，并造成议会的权力被司法剥夺。</w:t>
      </w:r>
      <w:r>
        <w:rPr>
          <w:rStyle w:val="11"/>
          <w:rFonts w:hint="eastAsia"/>
        </w:rPr>
        <w:footnoteReference w:id="53"/>
      </w:r>
      <w:r>
        <w:rPr>
          <w:rFonts w:hint="eastAsia"/>
        </w:rPr>
        <w:t>的确，法律有滞后性的特征，法律一经颁布就成为“昨日黄花”。但法治要求依规则而治，这要求法律有安定性特征，安定性也是法治的应有之义。而法的安定性进一步而言便是可预测性和裁量权的约束。</w:t>
      </w:r>
      <w:r>
        <w:rPr>
          <w:rStyle w:val="11"/>
          <w:rFonts w:hint="eastAsia"/>
        </w:rPr>
        <w:footnoteReference w:id="54"/>
      </w:r>
      <w:r>
        <w:rPr>
          <w:rFonts w:hint="eastAsia"/>
        </w:rPr>
        <w:t>因此，对客观目的说辞的使用不能直接否定法律文本与立法者意图，否则就是法律续造而非法律解释。立法者意图可能是多样的、不清楚的论断，但法律适用者可以借助客观目的探寻最可能的立法者意图，将客观目的融入意图之中。法律由立法者制定，而立法者通过民选代表产生，因此法律一般是符合民意的规范。这意味着，在绝大多数案件中，立法者意图与客观目的应是相融的关系，不至于产生对立。</w:t>
      </w:r>
    </w:p>
    <w:p w14:paraId="378D1F13">
      <w:pPr>
        <w:ind w:firstLine="480"/>
      </w:pPr>
      <w:r>
        <w:rPr>
          <w:rFonts w:hint="eastAsia"/>
        </w:rPr>
        <w:t>但立法者不是全能之人。百年前的立法者不可能预料到现今生活的方方面面，在法律和社会明显脱节的地方，立法者会修订法律以使之符合社会发展趋势。那法官在解释法律活动中，应探究第一次立法者的意图，还是要不断考虑每次修订者的意图？新中国法律起步较晚，对此问题反应不明显。但德国现行《民法典》自1900年颁布以来只有修订而未废止，法国更是依旧使用1804年的《拿破仑法典》。立法者意图本身有多样性。法律修订又似乎显得立法者意图更加难以揣测。因此法官需要借助客观目的，探寻立法者可能之意图，该意图至少不可能是立法者否认的命题。在此基础上完成法律暗示性内容的填补。</w:t>
      </w:r>
    </w:p>
    <w:p w14:paraId="3BEDF751">
      <w:pPr>
        <w:ind w:firstLine="480"/>
      </w:pPr>
      <w:r>
        <w:rPr>
          <w:rFonts w:hint="eastAsia"/>
        </w:rPr>
        <w:t>美国的堕胎权争论系此问题的具体化。2022年，美国联邦法院在“T</w:t>
      </w:r>
      <w:r>
        <w:t>.</w:t>
      </w:r>
      <w:r>
        <w:rPr>
          <w:rFonts w:hint="eastAsia"/>
        </w:rPr>
        <w:t xml:space="preserve"> E. D</w:t>
      </w:r>
      <w:r>
        <w:t xml:space="preserve">obbs </w:t>
      </w:r>
      <w:r>
        <w:rPr>
          <w:rFonts w:ascii="Times New Roman Italic" w:hAnsi="Times New Roman Italic" w:cs="Times New Roman Italic"/>
          <w:i/>
          <w:iCs/>
        </w:rPr>
        <w:t>v</w:t>
      </w:r>
      <w:r>
        <w:t>. Jackson Women’s Health Organization</w:t>
      </w:r>
      <w:r>
        <w:rPr>
          <w:rFonts w:hint="eastAsia"/>
        </w:rPr>
        <w:t>”案</w:t>
      </w:r>
      <w:r>
        <w:rPr>
          <w:rStyle w:val="11"/>
          <w:rFonts w:hint="eastAsia"/>
        </w:rPr>
        <w:footnoteReference w:id="55"/>
      </w:r>
      <w:r>
        <w:rPr>
          <w:rFonts w:hint="eastAsia"/>
        </w:rPr>
        <w:t xml:space="preserve">中推翻了自“Roe </w:t>
      </w:r>
      <w:r>
        <w:rPr>
          <w:rFonts w:ascii="Times New Roman Italic" w:hAnsi="Times New Roman Italic" w:cs="Times New Roman Italic"/>
          <w:i/>
          <w:iCs/>
        </w:rPr>
        <w:t>v</w:t>
      </w:r>
      <w:r>
        <w:rPr>
          <w:rFonts w:hint="eastAsia"/>
        </w:rPr>
        <w:t>. Wade”案</w:t>
      </w:r>
      <w:r>
        <w:rPr>
          <w:rStyle w:val="11"/>
          <w:rFonts w:hint="eastAsia"/>
        </w:rPr>
        <w:footnoteReference w:id="56"/>
      </w:r>
      <w:r>
        <w:rPr>
          <w:rFonts w:hint="eastAsia"/>
        </w:rPr>
        <w:t>以来确立的妇女的堕胎权利。该判决引发舆论哗然，诸多人士纷纷指责这是美国法律的倒退。但如阿利托（Alito）法官在多数意见中指出的，“Roe案根据宪法第十四修正案，即正当程序条款保护宪法未明说的权利，确认妇女的堕胎权”。宪法未明说的权利应是“深深植根于这个国家的历史和传统之中”，并且“隐含在有序自由的概念中。”美国在堕胎权问题上，存在大量道德争议，第十四修正案颁布时美国四分之三的州将怀孕所有阶段的堕胎定为犯罪，因此堕胎权并不属于上述范畴。联邦法院强调，“Roe v. Wade”案的判决更像是一种法律续造，而非对宪法和法律的合理解释。“允许还是限制堕胎，应该像我们民主制度中最重要的问题一样来解决：由公民们相互说服，然后投票做出决定。”这是联邦法院对待法律的主要立场。的确，联邦法院的新判决对很多人而言是不可接受的挑战，但对法律解释活动有着警示。法律解释活动应基于文义的范畴，不可僭越宪法和法律。纳粹德国滥用客观目的的教训也在于此。尽管客观目的可能有助于公平正义的实现，但是法律解释活动首先应对法律有所尊重。在如美国堕胎权这样的问题上，交给立法机关处理，而非法官“脱离”法律创制权利并虚构成对法律的解释，也许是更佳选择。</w:t>
      </w:r>
    </w:p>
    <w:p w14:paraId="3335A8FB">
      <w:pPr>
        <w:ind w:firstLine="480"/>
      </w:pPr>
      <w:r>
        <w:rPr>
          <w:rFonts w:hint="eastAsia"/>
        </w:rPr>
        <w:t>联邦法院的这种“保守主义”转向彰显一个问题，即立法者意图可能已经背离了社会情境。当下的美国有支持堕胎权的声音，但立法者意图明显不肯定堕胎权的保护。客观目的介入也许可以避免僵化的裁判，在文义范围之内，这是可能的含义。但是，美国宪法与法律从未提及堕胎权，基于司法服从立法的立场，联邦法院的这次转向是有依据的选择。因此，客观目的不可随意介入，解释者不可随意否定文本与立法者意图，而应予以尊重。这样，客观解释的活动就不是随意的行为，纳粹德国时期的悲剧才可以避免。美国堕胎权问题本质上反映的是，现有法律脱离当下社会生活的问题，这个问题交给立法机关而不是司法机关处理是更妥当的安排。</w:t>
      </w:r>
    </w:p>
    <w:p w14:paraId="2CA074C2">
      <w:pPr>
        <w:pStyle w:val="4"/>
      </w:pPr>
      <w:r>
        <w:rPr>
          <w:rFonts w:hint="eastAsia"/>
        </w:rPr>
        <w:t>（三）法律解释必有唯一答案</w:t>
      </w:r>
    </w:p>
    <w:p w14:paraId="22AC0C92">
      <w:pPr>
        <w:ind w:firstLine="480"/>
      </w:pPr>
      <w:r>
        <w:rPr>
          <w:rFonts w:hint="eastAsia"/>
        </w:rPr>
        <w:t>基于此，在理论与实践意义上，对于立法者意图和客观目的可以求得融贯解决。解决办法即该命题：解释者尊重立法者意图，并将客观目的融入立法者可能的意图中；除非说明立法者意图完全背离社会情境，且客观目的能在文义范围之内给出更好解释。</w:t>
      </w:r>
    </w:p>
    <w:p w14:paraId="3D6B0B90">
      <w:pPr>
        <w:ind w:firstLine="480"/>
      </w:pPr>
      <w:r>
        <w:rPr>
          <w:rFonts w:hint="eastAsia"/>
        </w:rPr>
        <w:t>由此，法律的意图与目的，即“法律意在说明什么”问题不再是模糊不清且让人无能为力的谜团。法律的暗示性内容不再是法律的闪烁其词，而是可以通过立法者意图与客观目的的融贯求得正解的命题。因此，法律的意图与目的之矛盾可以消解。“法律意在说明”的内容可以被澄清。而这种澄清并不脱离文本本身的含义，因此，法律文本与法律的意图/目的之间的矛盾可以被消弭。</w:t>
      </w:r>
    </w:p>
    <w:p w14:paraId="4EA77AF0">
      <w:pPr>
        <w:ind w:firstLine="480"/>
      </w:pPr>
      <w:r>
        <w:rPr>
          <w:rFonts w:hint="eastAsia"/>
        </w:rPr>
        <w:t>此问题的消弭可以回应法律解释方法位阶说之争。在前文提及的“公园禁止车辆进入”（R1）规则中，位阶肯定说强调通过目的解释允许救护车进入公园。但对此时为什么寻求目的解释而非遵从文义解释，位阶肯定说只能寻求价值判断寻求证立。而在进一步追问下，位阶肯定说只能沉默不语。</w:t>
      </w:r>
    </w:p>
    <w:p w14:paraId="0A242B0C">
      <w:pPr>
        <w:ind w:firstLine="480"/>
      </w:pPr>
      <w:r>
        <w:rPr>
          <w:rFonts w:hint="eastAsia"/>
        </w:rPr>
        <w:t>位阶肯定说的第一个谬误即在于，对文义解释的错误认识。法律文本有时含混不清，这种含混不清基于文本语言在结构上的模糊与歧义，无法简单通过信息补充得到解决。这使得文义解释似乎有多重解释空间，即使拥有完全的信息，也无法仅凭文本本身做出明确的裁定。</w:t>
      </w:r>
      <w:r>
        <w:rPr>
          <w:rStyle w:val="11"/>
          <w:rFonts w:hint="eastAsia"/>
        </w:rPr>
        <w:footnoteReference w:id="57"/>
      </w:r>
      <w:r>
        <w:rPr>
          <w:rFonts w:hint="eastAsia"/>
        </w:rPr>
        <w:t>因此，文义解释不一定能得出结论，而需要其他解释方法为文义解释结论寻求证立。法律解释方法严格意义上只有文义解释一种，因此不是说文义解释优先，而是法律解释应当基于文义。</w:t>
      </w:r>
    </w:p>
    <w:p w14:paraId="28942761">
      <w:pPr>
        <w:ind w:firstLine="480"/>
        <w:rPr>
          <w:rFonts w:hint="eastAsia"/>
        </w:rPr>
      </w:pPr>
      <w:r>
        <w:rPr>
          <w:rFonts w:hint="eastAsia"/>
        </w:rPr>
        <w:t>在对法律解释方法重新审视后，可知文义解释外的其他解释方法不过是对“法律意在说明什么”的证立。此为位阶肯定说第二个谬误，误以为“法律表述什么”和“法律意在说明什么”的断层应通过位阶解决。基于体系和目的的解释结论并不是文义解释之后的独立解释方法，而是对文义解释结论的补充说明，可以揭示隐藏的文义、契合立法目的的文义。R3并不是基于目的或体系等解释方法得出的解释结论，而是基于文义表明法律的暗示性内容。R3是法律解释的唯一答案，R2是局限于文义解释的错误结论。通过弥合法律文本与其意图/目的的矛盾，本文表明法律解释方法间的位阶并无必要。法律解释最终只有唯一答案，拘泥于解释方法位阶只会导致片面结论。</w:t>
      </w:r>
    </w:p>
    <w:p w14:paraId="2FCA0E02">
      <w:pPr>
        <w:ind w:firstLine="480"/>
        <w:rPr>
          <w:rFonts w:hint="eastAsia"/>
        </w:rPr>
      </w:pPr>
    </w:p>
    <w:p w14:paraId="56B77AAB">
      <w:p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结语：法律解释方法位阶不值得期待</w:t>
      </w:r>
    </w:p>
    <w:p w14:paraId="57E9E86F">
      <w:pPr>
        <w:ind w:firstLine="480"/>
      </w:pPr>
      <w:r>
        <w:rPr>
          <w:rFonts w:hint="eastAsia"/>
        </w:rPr>
        <w:t>裁判者运用不同法律解释方法时面临的证明负担存在差异。直接阐述显见的文义显然不需要承担繁重的证明任务，但若要解释隐含的文义则需要寻求相关法律规范、立法资料、社会实况、域外制度等其他论证资源的支撑。</w:t>
      </w:r>
      <w:r>
        <w:t>论证任务与信任程度相关，对于裁判者的信任程度低，需要完成的论证任务就更重。所以，只可能有由易到难的法律解释方法选择次序，没有固定不变的法律解释方法适用规则能够被证立。 </w:t>
      </w:r>
      <w:r>
        <w:rPr>
          <w:rFonts w:hint="eastAsia"/>
        </w:rPr>
        <w:t>法律不可避免有模糊性，这导致权利和义务的不确定，使法律的功能和法治的可能经受了怀疑。法律的模糊性可以被进一步澄清，法律解释是其中的一种手段。法律解释方法形形色色，具体如何选择适用，为司法裁判的正当性与客观性提供理论依据成为困扰学界的难题。该问题传统上表现为法律解释方法位阶肯定说与否定说两种理论主张。肯定说的理由基于不同法律解释方法会得出不一致结论，因此需要位阶次序的安排；否定说主张不同法律解释的综合使用应当得出一致解释结论。因此位阶肯定说与否定说的核心问题在于不同解释方法能否得出一致结论，即法律解释结论唯一性问题。</w:t>
      </w:r>
    </w:p>
    <w:p w14:paraId="4386BCE5">
      <w:pPr>
        <w:ind w:firstLine="480"/>
      </w:pPr>
      <w:r>
        <w:rPr>
          <w:rFonts w:hint="eastAsia"/>
        </w:rPr>
        <w:t>位阶肯定说和否定说在这个问题上的分歧基于对法律解释与文义解释的不同理解。法律文义有其固有模糊性特征，因此法律解释应当以显见的文义为基础，而非将文义解释置于优先位置，以致文义解释与其他所谓的解释方法分离。法律解释只有广义上的文义解释一种解释方法，其他的解释方法是对广义上的文义解释的补充说明与证立。文义之所以模糊，根本原因在于语言无法表达言语者的全部意思，存在“法律表述什么”和“法律意在说明什么”的矛盾。即法律文本与法律意图/目的之间的断层。位阶肯定说希望通过位阶实现从目的到内容的过渡。但位阶否定说的批评揭示了这种过渡并不成功。不同解释方法均容纳价值判断与意图的介入，只不过是程度上的区别。位阶否定说则留意到这种矛盾不可能通过机械位阶实现解决，而是通过不同解释方法之间彼此融贯与证立实现平衡。</w:t>
      </w:r>
    </w:p>
    <w:p w14:paraId="23097D7A">
      <w:pPr>
        <w:ind w:firstLine="480"/>
      </w:pPr>
      <w:r>
        <w:t>本文以此为</w:t>
      </w:r>
      <w:r>
        <w:rPr>
          <w:rFonts w:hint="eastAsia"/>
        </w:rPr>
        <w:t>证明路径</w:t>
      </w:r>
      <w:r>
        <w:t>，主张通过对立法者意图与</w:t>
      </w:r>
      <w:r>
        <w:rPr>
          <w:rFonts w:hint="eastAsia"/>
        </w:rPr>
        <w:t>客观目的</w:t>
      </w:r>
      <w:r>
        <w:t>的协调，弥合法律文本与法律意图/目的之间的</w:t>
      </w:r>
      <w:r>
        <w:rPr>
          <w:rFonts w:hint="eastAsia"/>
        </w:rPr>
        <w:t>断层</w:t>
      </w:r>
      <w:r>
        <w:t>，从而实现法律解释的唯一解。</w:t>
      </w:r>
      <w:r>
        <w:rPr>
          <w:rFonts w:hint="eastAsia"/>
        </w:rPr>
        <w:t>该矛盾协调依赖此命题的实现：解释者尊重立法者意图，并将客观目的融入立法者可能的意图中；除非说明立法者意图完全背离社会情境，且客观目的能在文义范围之内给出更好解释。从而实现立法者意图与客观目的融贯的目标。</w:t>
      </w:r>
    </w:p>
    <w:p w14:paraId="1CC0540E">
      <w:pPr>
        <w:ind w:firstLine="480"/>
        <w:rPr>
          <w:rFonts w:hint="default"/>
          <w:lang w:val="en-US" w:eastAsia="zh-CN"/>
        </w:rPr>
      </w:pPr>
      <w:r>
        <w:rPr>
          <w:rFonts w:hint="eastAsia"/>
        </w:rPr>
        <w:t>该目标在理论与实践上的证明，说明“法律意在说明什么”可以得到澄清与解释，从而消弭法律文本与法律意图/目的之间的断层。基于此，法律解释不再是机械地套用某种固定位阶的过程，而是多种方法之间的相互补充与支持。文义解释为解释活动提供基本方向，其他解释方法则在补充与修正中实现结论的正当性。通过这样的方式，法律解释不仅能在个案中体现正义，也能维护法律体系的科学性与客观性。只有通过对法律文本、意图与目的的整体性理解与把握，才能揭示法律解释的唯一答案。因此，法律解释最终只有唯一答案，法律解释方法位阶不值得期待。</w:t>
      </w:r>
    </w:p>
    <w:sectPr>
      <w:headerReference r:id="rId7" w:type="first"/>
      <w:footerReference r:id="rId10" w:type="first"/>
      <w:headerReference r:id="rId5" w:type="default"/>
      <w:footerReference r:id="rId8" w:type="default"/>
      <w:headerReference r:id="rId6" w:type="even"/>
      <w:footerReference r:id="rId9" w:type="even"/>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Heiti SC Medium">
    <w:panose1 w:val="02000000000000000000"/>
    <w:charset w:val="86"/>
    <w:family w:val="auto"/>
    <w:pitch w:val="default"/>
    <w:sig w:usb0="8000002F" w:usb1="0800004A" w:usb2="00000000" w:usb3="00000000" w:csb0="203E0000" w:csb1="00000000"/>
  </w:font>
  <w:font w:name="Times New Roman (正文 CS 字体)">
    <w:altName w:val="Times New Roman"/>
    <w:panose1 w:val="020B0604020202020204"/>
    <w:charset w:val="86"/>
    <w:family w:val="roman"/>
    <w:pitch w:val="default"/>
    <w:sig w:usb0="00000000" w:usb1="00000000" w:usb2="00000000" w:usb3="00000000" w:csb0="00000000" w:csb1="00000000"/>
  </w:font>
  <w:font w:name="STKaiti">
    <w:panose1 w:val="02010600040101010101"/>
    <w:charset w:val="86"/>
    <w:family w:val="auto"/>
    <w:pitch w:val="default"/>
    <w:sig w:usb0="80000287" w:usb1="280F3C52" w:usb2="00000016" w:usb3="00000000" w:csb0="0004001F" w:csb1="00000000"/>
  </w:font>
  <w:font w:name="楷体">
    <w:altName w:val="汉仪楷体KW"/>
    <w:panose1 w:val="02010609060101010101"/>
    <w:charset w:val="86"/>
    <w:family w:val="modern"/>
    <w:pitch w:val="default"/>
    <w:sig w:usb0="00000000" w:usb1="00000000" w:usb2="00000016" w:usb3="00000000" w:csb0="00040001" w:csb1="00000000"/>
  </w:font>
  <w:font w:name="仿宋">
    <w:altName w:val="方正仿宋_GBK"/>
    <w:panose1 w:val="00000000000000000000"/>
    <w:charset w:val="00"/>
    <w:family w:val="auto"/>
    <w:pitch w:val="default"/>
    <w:sig w:usb0="00000000" w:usb1="00000000" w:usb2="00000000" w:usb3="00000000" w:csb0="00000000" w:csb1="00000000"/>
  </w:font>
  <w:font w:name="Times New Roman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F1BBB">
    <w:pPr>
      <w:pStyle w:val="6"/>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043C9F">
                          <w:pPr>
                            <w:pStyle w:val="6"/>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A043C9F">
                    <w:pPr>
                      <w:pStyle w:val="6"/>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6863D">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7EE8D">
    <w:pPr>
      <w:pStyle w:val="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16">
    <w:p>
      <w:pPr>
        <w:spacing w:line="300" w:lineRule="auto"/>
        <w:ind w:firstLine="420"/>
      </w:pPr>
      <w:r>
        <w:separator/>
      </w:r>
    </w:p>
  </w:footnote>
  <w:footnote w:type="continuationSeparator" w:id="117">
    <w:p>
      <w:pPr>
        <w:spacing w:line="300" w:lineRule="auto"/>
        <w:ind w:firstLine="420"/>
      </w:pPr>
      <w:r>
        <w:continuationSeparator/>
      </w:r>
    </w:p>
  </w:footnote>
  <w:footnote w:id="0">
    <w:p w14:paraId="37411C47">
      <w:pPr>
        <w:pStyle w:val="8"/>
        <w:ind w:left="199" w:leftChars="95" w:firstLine="270" w:firstLineChars="150"/>
        <w:rPr>
          <w:rFonts w:hint="eastAsia" w:ascii="仿宋" w:hAnsi="仿宋" w:eastAsia="仿宋" w:cs="仿宋"/>
          <w:lang w:val="en-US" w:eastAsia="zh-CN"/>
        </w:rPr>
      </w:pPr>
      <w:r>
        <w:rPr>
          <w:rStyle w:val="11"/>
          <w:rFonts w:hint="eastAsia" w:ascii="仿宋" w:hAnsi="仿宋" w:eastAsia="仿宋" w:cs="仿宋"/>
        </w:rPr>
        <w:footnoteRef/>
      </w:r>
      <w:r>
        <w:rPr>
          <w:rFonts w:hint="eastAsia" w:ascii="仿宋" w:hAnsi="仿宋" w:eastAsia="仿宋" w:cs="仿宋"/>
        </w:rPr>
        <w:t xml:space="preserve"> 潘庆云：《法律语言学》，中国政法大学出版社2017年版，第</w:t>
      </w:r>
      <w:r>
        <w:rPr>
          <w:rFonts w:hint="eastAsia" w:ascii="仿宋" w:hAnsi="仿宋" w:eastAsia="仿宋" w:cs="仿宋"/>
          <w:lang w:val="en-US" w:eastAsia="zh-CN"/>
        </w:rPr>
        <w:t>2</w:t>
      </w:r>
      <w:r>
        <w:rPr>
          <w:rFonts w:hint="eastAsia" w:ascii="仿宋" w:hAnsi="仿宋" w:eastAsia="仿宋" w:cs="仿宋"/>
        </w:rPr>
        <w:t>页。</w:t>
      </w:r>
    </w:p>
  </w:footnote>
  <w:footnote w:id="1">
    <w:p w14:paraId="57E69FF7">
      <w:pPr>
        <w:pStyle w:val="8"/>
        <w:ind w:firstLine="360"/>
        <w:rPr>
          <w:rFonts w:hint="eastAsia" w:ascii="仿宋" w:hAnsi="仿宋" w:eastAsia="仿宋" w:cs="仿宋"/>
          <w:lang w:val="en-US" w:eastAsia="zh-CN"/>
        </w:rPr>
      </w:pPr>
      <w:r>
        <w:rPr>
          <w:rStyle w:val="11"/>
          <w:rFonts w:hint="eastAsia" w:ascii="仿宋" w:hAnsi="仿宋" w:eastAsia="仿宋" w:cs="仿宋"/>
        </w:rPr>
        <w:footnoteRef/>
      </w:r>
      <w:r>
        <w:rPr>
          <w:rFonts w:hint="eastAsia" w:ascii="仿宋" w:hAnsi="仿宋" w:eastAsia="仿宋" w:cs="仿宋"/>
        </w:rPr>
        <w:t xml:space="preserve"> 参见[英]蒂莫西·A.O.恩迪科特：《法律中的模糊性》，程朝阳译，北京大学出版社2010年版，第9</w:t>
      </w:r>
      <w:r>
        <w:rPr>
          <w:rFonts w:hint="eastAsia" w:ascii="仿宋" w:hAnsi="仿宋" w:eastAsia="仿宋" w:cs="仿宋"/>
          <w:lang w:eastAsia="zh-CN"/>
        </w:rPr>
        <w:t>-</w:t>
      </w:r>
      <w:r>
        <w:rPr>
          <w:rFonts w:hint="eastAsia" w:ascii="仿宋" w:hAnsi="仿宋" w:eastAsia="仿宋" w:cs="仿宋"/>
        </w:rPr>
        <w:t>10页。</w:t>
      </w:r>
    </w:p>
  </w:footnote>
  <w:footnote w:id="2">
    <w:p w14:paraId="4593AE35">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法律现实主义对法律的一大怀疑便基于此。对这种怀疑下文会进一步展开讨论。</w:t>
      </w:r>
    </w:p>
  </w:footnote>
  <w:footnote w:id="3">
    <w:p w14:paraId="4D8EFB2C">
      <w:pPr>
        <w:pStyle w:val="8"/>
        <w:ind w:firstLine="360"/>
        <w:rPr>
          <w:rFonts w:hint="eastAsia" w:ascii="仿宋" w:hAnsi="仿宋" w:eastAsia="仿宋" w:cs="仿宋"/>
          <w:lang w:val="en-US" w:eastAsia="zh-CN"/>
        </w:rPr>
      </w:pPr>
      <w:r>
        <w:rPr>
          <w:rStyle w:val="11"/>
          <w:rFonts w:hint="eastAsia" w:ascii="仿宋" w:hAnsi="仿宋" w:eastAsia="仿宋" w:cs="仿宋"/>
        </w:rPr>
        <w:footnoteRef/>
      </w:r>
      <w:r>
        <w:rPr>
          <w:rFonts w:hint="eastAsia" w:ascii="仿宋" w:hAnsi="仿宋" w:eastAsia="仿宋" w:cs="仿宋"/>
        </w:rPr>
        <w:t xml:space="preserve"> 参见王婧：《法律的确定性与不确定性——庞德与卢埃林论战解读》，</w:t>
      </w:r>
      <w:r>
        <w:rPr>
          <w:rFonts w:hint="eastAsia" w:ascii="仿宋" w:hAnsi="仿宋" w:eastAsia="仿宋" w:cs="仿宋"/>
          <w:lang w:eastAsia="zh-CN"/>
        </w:rPr>
        <w:t>《</w:t>
      </w:r>
      <w:r>
        <w:rPr>
          <w:rFonts w:hint="eastAsia" w:ascii="仿宋" w:hAnsi="仿宋" w:eastAsia="仿宋" w:cs="仿宋"/>
        </w:rPr>
        <w:t>清华法治论衡》2015年第2期。</w:t>
      </w:r>
    </w:p>
  </w:footnote>
  <w:footnote w:id="4">
    <w:p w14:paraId="0146B19D">
      <w:pPr>
        <w:pStyle w:val="8"/>
        <w:ind w:firstLine="360"/>
        <w:rPr>
          <w:rFonts w:hint="eastAsia" w:ascii="仿宋" w:hAnsi="仿宋" w:eastAsia="仿宋" w:cs="仿宋"/>
          <w:lang w:val="en-US" w:eastAsia="zh-CN"/>
        </w:rPr>
      </w:pPr>
      <w:r>
        <w:rPr>
          <w:rStyle w:val="11"/>
          <w:rFonts w:hint="eastAsia" w:ascii="仿宋" w:hAnsi="仿宋" w:eastAsia="仿宋" w:cs="仿宋"/>
        </w:rPr>
        <w:footnoteRef/>
      </w:r>
      <w:r>
        <w:rPr>
          <w:rFonts w:hint="eastAsia" w:ascii="仿宋" w:hAnsi="仿宋" w:eastAsia="仿宋" w:cs="仿宋"/>
        </w:rPr>
        <w:t xml:space="preserve"> 萨维尼最早提出法律解释应遵循的几大要素，后世的部分学者则将萨维尼的理论理解为法律解释方法，即文义解释、历史解释、目的解释、体系解释等方法。关于萨维尼所指的要素是否是解释方法并不是本文讨论重点，但萨维尼的法律解释要素理论对于理解法律解释方法是有启发性的。对相关问题的讨论可参见[德]弗里德里希·卡尔·冯·萨维尼：《萨维尼法学方法论与格林笔记》，杨代雄译，胡晓静校，法律出版社2014年版，第8页、第76</w:t>
      </w:r>
      <w:r>
        <w:rPr>
          <w:rFonts w:hint="eastAsia" w:ascii="仿宋" w:hAnsi="仿宋" w:eastAsia="仿宋" w:cs="仿宋"/>
          <w:lang w:val="en-US" w:eastAsia="zh-CN"/>
        </w:rPr>
        <w:t>-</w:t>
      </w:r>
      <w:r>
        <w:rPr>
          <w:rFonts w:hint="eastAsia" w:ascii="仿宋" w:hAnsi="仿宋" w:eastAsia="仿宋" w:cs="仿宋"/>
        </w:rPr>
        <w:t>79页；[德]</w:t>
      </w:r>
      <w:bookmarkStart w:id="1" w:name="OLE_LINK1"/>
      <w:r>
        <w:rPr>
          <w:rFonts w:hint="eastAsia" w:ascii="仿宋" w:hAnsi="仿宋" w:eastAsia="仿宋" w:cs="仿宋"/>
        </w:rPr>
        <w:t>伯恩·魏德士：《法理学》</w:t>
      </w:r>
      <w:bookmarkEnd w:id="1"/>
      <w:r>
        <w:rPr>
          <w:rFonts w:hint="eastAsia" w:ascii="仿宋" w:hAnsi="仿宋" w:eastAsia="仿宋" w:cs="仿宋"/>
        </w:rPr>
        <w:t>，丁晓春，吴越译，法律出版社2013年版，第302页。[德]弗里德里希·卡尔·冯·萨维尼</w:t>
      </w:r>
      <w:r>
        <w:rPr>
          <w:rFonts w:hint="eastAsia" w:ascii="仿宋" w:hAnsi="仿宋" w:eastAsia="仿宋" w:cs="仿宋"/>
          <w:lang w:val="en-US"/>
        </w:rPr>
        <w:t>. 萨维尼法学方法论与格林笔记[</w:t>
      </w:r>
      <w:r>
        <w:rPr>
          <w:rFonts w:hint="eastAsia" w:ascii="仿宋" w:hAnsi="仿宋" w:eastAsia="仿宋" w:cs="仿宋"/>
          <w:lang w:val="en-US" w:eastAsia="zh-CN"/>
        </w:rPr>
        <w:t>M</w:t>
      </w:r>
      <w:r>
        <w:rPr>
          <w:rFonts w:hint="eastAsia" w:ascii="仿宋" w:hAnsi="仿宋" w:eastAsia="仿宋" w:cs="仿宋"/>
          <w:lang w:val="en-US"/>
        </w:rPr>
        <w:t xml:space="preserve">]. 杨代雄译，胡晓静校. </w:t>
      </w:r>
      <w:r>
        <w:rPr>
          <w:rFonts w:hint="eastAsia" w:ascii="仿宋" w:hAnsi="仿宋" w:eastAsia="仿宋" w:cs="仿宋"/>
          <w:lang w:val="en-US" w:eastAsia="zh-CN"/>
        </w:rPr>
        <w:t>北京: 法律出版社,2014: 8、76-79. [德]伯恩·魏德士. 法理学. 丁晓春，吴越译，</w:t>
      </w:r>
    </w:p>
  </w:footnote>
  <w:footnote w:id="5">
    <w:p w14:paraId="1018735C">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参见罗纳德·德沃金：《法律帝国》，李冠宜译，时英出版社2002年版，译者序部分</w:t>
      </w:r>
      <w:r>
        <w:rPr>
          <w:rFonts w:hint="eastAsia" w:ascii="仿宋" w:hAnsi="仿宋" w:eastAsia="仿宋" w:cs="仿宋"/>
          <w:lang w:val="en-US" w:eastAsia="zh-CN"/>
        </w:rPr>
        <w:t>第vi页</w:t>
      </w:r>
      <w:r>
        <w:rPr>
          <w:rFonts w:hint="eastAsia" w:ascii="仿宋" w:hAnsi="仿宋" w:eastAsia="仿宋" w:cs="仿宋"/>
        </w:rPr>
        <w:t>。</w:t>
      </w:r>
    </w:p>
  </w:footnote>
  <w:footnote w:id="6">
    <w:p w14:paraId="150E410E">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拉伦茨的位阶观便是：文义解释—体系解释（意义脉络）—历史的目的论解释—客观目的论解释—合宪性解释兜底。参见[德]卡尔·拉伦茨：《法学方法论》，黄家镇译，商务印书馆2020年版，第431</w:t>
      </w:r>
      <w:r>
        <w:rPr>
          <w:rFonts w:hint="eastAsia" w:ascii="仿宋" w:hAnsi="仿宋" w:eastAsia="仿宋" w:cs="仿宋"/>
          <w:lang w:val="en-US" w:eastAsia="zh-CN"/>
        </w:rPr>
        <w:t>-</w:t>
      </w:r>
      <w:r>
        <w:rPr>
          <w:rFonts w:hint="eastAsia" w:ascii="仿宋" w:hAnsi="仿宋" w:eastAsia="仿宋" w:cs="仿宋"/>
        </w:rPr>
        <w:t>434页。</w:t>
      </w:r>
    </w:p>
  </w:footnote>
  <w:footnote w:id="7">
    <w:p w14:paraId="5EE270A4">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克莱默的位阶观是：文义解释—语境内的解释（体系解释）—文义范围内确定法律意旨，必要时超出或者违背文义解答（目的解释）—历史解释（给予目的解释关键的信息）。参见[奥]恩斯特·A·克莱默：《法律方法论》，周万里译，法律出版社2019年版，第146</w:t>
      </w:r>
      <w:r>
        <w:rPr>
          <w:rFonts w:hint="eastAsia" w:ascii="仿宋" w:hAnsi="仿宋" w:eastAsia="仿宋" w:cs="仿宋"/>
          <w:lang w:eastAsia="zh-CN"/>
        </w:rPr>
        <w:t>-</w:t>
      </w:r>
      <w:r>
        <w:rPr>
          <w:rFonts w:hint="eastAsia" w:ascii="仿宋" w:hAnsi="仿宋" w:eastAsia="仿宋" w:cs="仿宋"/>
        </w:rPr>
        <w:t>148页。</w:t>
      </w:r>
    </w:p>
  </w:footnote>
  <w:footnote w:id="8">
    <w:p w14:paraId="30082EC4">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梁慧星对此问题专门整理王泽鉴、黄茂荣等持肯定说的学者观点，参见梁慧星：《民法解释学》，法律出版社2022年版，第207</w:t>
      </w:r>
      <w:r>
        <w:rPr>
          <w:rFonts w:hint="eastAsia" w:ascii="仿宋" w:hAnsi="仿宋" w:eastAsia="仿宋" w:cs="仿宋"/>
          <w:lang w:eastAsia="zh-CN"/>
        </w:rPr>
        <w:t>-</w:t>
      </w:r>
      <w:r>
        <w:rPr>
          <w:rFonts w:hint="eastAsia" w:ascii="仿宋" w:hAnsi="仿宋" w:eastAsia="仿宋" w:cs="仿宋"/>
        </w:rPr>
        <w:t>209页。</w:t>
      </w:r>
    </w:p>
  </w:footnote>
  <w:footnote w:id="9">
    <w:p w14:paraId="44F6D5A4">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近年来，如舒国滢等学者依旧认为存在法律解释方法位阶，但这种位阶是相对而言的，如语义学解释优先于体系解释，立法者目的解释优于历史解释等。参见舒国滢、王夏昊、雷磊：《法学方法论》，中国政法大学出版社2018年版，第384页。</w:t>
      </w:r>
    </w:p>
  </w:footnote>
  <w:footnote w:id="10">
    <w:p w14:paraId="4C6ED682">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参见王夏昊、吴国邦：《论法律解释方法抽象位阶的作用及其逻辑结构》，</w:t>
      </w:r>
      <w:r>
        <w:rPr>
          <w:rFonts w:hint="eastAsia" w:ascii="仿宋" w:hAnsi="仿宋" w:eastAsia="仿宋" w:cs="仿宋"/>
          <w:lang w:eastAsia="zh-CN"/>
        </w:rPr>
        <w:t>《</w:t>
      </w:r>
      <w:r>
        <w:rPr>
          <w:rFonts w:hint="eastAsia" w:ascii="仿宋" w:hAnsi="仿宋" w:eastAsia="仿宋" w:cs="仿宋"/>
        </w:rPr>
        <w:t>烟台大学学报（哲学社会科学版）》2018年第5期。</w:t>
      </w:r>
    </w:p>
  </w:footnote>
  <w:footnote w:id="11">
    <w:p w14:paraId="53282293">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参见[奥]恩斯特·A·克莱默：《法律方法论》，周万里译，法律出版社2019年版，第146页。</w:t>
      </w:r>
    </w:p>
  </w:footnote>
  <w:footnote w:id="12">
    <w:p w14:paraId="45C34A14">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D. N. MacCormick and R. S. Summes</w:t>
      </w:r>
      <w:r>
        <w:rPr>
          <w:rFonts w:hint="eastAsia" w:ascii="仿宋" w:hAnsi="仿宋" w:eastAsia="仿宋" w:cs="仿宋"/>
          <w:i w:val="0"/>
          <w:iCs w:val="0"/>
        </w:rPr>
        <w:t xml:space="preserve">, </w:t>
      </w:r>
      <w:r>
        <w:rPr>
          <w:rFonts w:hint="eastAsia" w:ascii="仿宋" w:hAnsi="仿宋" w:eastAsia="仿宋" w:cs="仿宋"/>
          <w:i/>
          <w:iCs/>
        </w:rPr>
        <w:t>Interpreting Statues: A Comparative Study</w:t>
      </w:r>
      <w:r>
        <w:rPr>
          <w:rFonts w:hint="eastAsia" w:ascii="仿宋" w:hAnsi="仿宋" w:eastAsia="仿宋" w:cs="仿宋"/>
          <w:i w:val="0"/>
          <w:iCs w:val="0"/>
        </w:rPr>
        <w:t xml:space="preserve">, </w:t>
      </w:r>
      <w:r>
        <w:rPr>
          <w:rFonts w:hint="eastAsia" w:ascii="仿宋" w:hAnsi="仿宋" w:eastAsia="仿宋" w:cs="仿宋"/>
        </w:rPr>
        <w:t>Dartmouth Publishing Company, 1991, p.</w:t>
      </w:r>
      <w:r>
        <w:rPr>
          <w:rFonts w:hint="eastAsia" w:ascii="仿宋" w:hAnsi="仿宋" w:eastAsia="仿宋" w:cs="仿宋"/>
          <w:lang w:val="en-US"/>
        </w:rPr>
        <w:t xml:space="preserve"> </w:t>
      </w:r>
      <w:r>
        <w:rPr>
          <w:rFonts w:hint="eastAsia" w:ascii="仿宋" w:hAnsi="仿宋" w:eastAsia="仿宋" w:cs="仿宋"/>
        </w:rPr>
        <w:t>531.转引自舒国滢、王夏昊、雷磊：《法学方法论前沿问题研究》，中国政法大学出版社2020年版，第373页。</w:t>
      </w:r>
    </w:p>
  </w:footnote>
  <w:footnote w:id="13">
    <w:p w14:paraId="6FFDB196">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参见舒国滢、王夏昊、雷磊：《法学方法论前沿问题研究》，中国政法大学出版社2020年版，第374页。</w:t>
      </w:r>
    </w:p>
  </w:footnote>
  <w:footnote w:id="14">
    <w:p w14:paraId="7292BCE7">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[德]卡尔·拉伦茨：《法学方法论》，黄家镇译，商务印书馆2020年版，第434页。</w:t>
      </w:r>
    </w:p>
  </w:footnote>
  <w:footnote w:id="15">
    <w:p w14:paraId="0265DC0A">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参见[奥]恩斯特·A·克莱默：《法律方法论》，周万里译，法律出版社2019年版，第146</w:t>
      </w:r>
      <w:r>
        <w:rPr>
          <w:rFonts w:hint="eastAsia" w:ascii="仿宋" w:hAnsi="仿宋" w:eastAsia="仿宋" w:cs="仿宋"/>
          <w:lang w:eastAsia="zh-CN"/>
        </w:rPr>
        <w:t>-</w:t>
      </w:r>
      <w:r>
        <w:rPr>
          <w:rFonts w:hint="eastAsia" w:ascii="仿宋" w:hAnsi="仿宋" w:eastAsia="仿宋" w:cs="仿宋"/>
        </w:rPr>
        <w:t>148页。</w:t>
      </w:r>
    </w:p>
  </w:footnote>
  <w:footnote w:id="16">
    <w:p w14:paraId="18B71153">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See Karl N. Llewellyn, </w:t>
      </w:r>
      <w:r>
        <w:rPr>
          <w:rFonts w:hint="eastAsia" w:ascii="仿宋" w:hAnsi="仿宋" w:eastAsia="仿宋" w:cs="仿宋"/>
          <w:i/>
          <w:iCs/>
        </w:rPr>
        <w:t>The Bramble Bush: On Our Law and It Study</w:t>
      </w:r>
      <w:r>
        <w:rPr>
          <w:rFonts w:hint="eastAsia" w:ascii="仿宋" w:hAnsi="仿宋" w:eastAsia="仿宋" w:cs="仿宋"/>
        </w:rPr>
        <w:t>, Quid Pro Books,, 2012, p</w:t>
      </w:r>
      <w:r>
        <w:rPr>
          <w:rFonts w:hint="eastAsia" w:ascii="仿宋" w:hAnsi="仿宋" w:eastAsia="仿宋" w:cs="仿宋"/>
          <w:lang w:val="en-US"/>
        </w:rPr>
        <w:t xml:space="preserve">. </w:t>
      </w:r>
      <w:r>
        <w:rPr>
          <w:rFonts w:hint="eastAsia" w:ascii="仿宋" w:hAnsi="仿宋" w:eastAsia="仿宋" w:cs="仿宋"/>
        </w:rPr>
        <w:t>73.</w:t>
      </w:r>
    </w:p>
  </w:footnote>
  <w:footnote w:id="17">
    <w:p w14:paraId="42205EA4">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参见[美]弗雷德里克·肖尔：《像法律人那样思考》，雷磊译，中国法制出版社2016年版，第148</w:t>
      </w:r>
      <w:r>
        <w:rPr>
          <w:rFonts w:hint="eastAsia" w:ascii="仿宋" w:hAnsi="仿宋" w:eastAsia="仿宋" w:cs="仿宋"/>
          <w:lang w:eastAsia="zh-CN"/>
        </w:rPr>
        <w:t>-</w:t>
      </w:r>
      <w:r>
        <w:rPr>
          <w:rFonts w:hint="eastAsia" w:ascii="仿宋" w:hAnsi="仿宋" w:eastAsia="仿宋" w:cs="仿宋"/>
        </w:rPr>
        <w:t>149页。</w:t>
      </w:r>
    </w:p>
  </w:footnote>
  <w:footnote w:id="18">
    <w:p w14:paraId="6EDBA0FA">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参见傅爱竹：《如何“综合运用”解释方法？——检讨法律解释的“霰弹枪模式”》，</w:t>
      </w:r>
      <w:r>
        <w:rPr>
          <w:rFonts w:hint="eastAsia" w:ascii="仿宋" w:hAnsi="仿宋" w:eastAsia="仿宋" w:cs="仿宋"/>
          <w:lang w:eastAsia="zh-CN"/>
        </w:rPr>
        <w:t>《</w:t>
      </w:r>
      <w:r>
        <w:rPr>
          <w:rFonts w:hint="eastAsia" w:ascii="仿宋" w:hAnsi="仿宋" w:eastAsia="仿宋" w:cs="仿宋"/>
        </w:rPr>
        <w:t>法治社会》2023年第5期。</w:t>
      </w:r>
    </w:p>
  </w:footnote>
  <w:footnote w:id="19">
    <w:p w14:paraId="7ABB8A22">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Joseph Raz, </w:t>
      </w:r>
      <w:r>
        <w:rPr>
          <w:rFonts w:hint="eastAsia" w:ascii="仿宋" w:hAnsi="仿宋" w:eastAsia="仿宋" w:cs="仿宋"/>
          <w:i/>
          <w:iCs/>
        </w:rPr>
        <w:t xml:space="preserve">Between Authority and Interpretation, </w:t>
      </w:r>
      <w:r>
        <w:rPr>
          <w:rFonts w:hint="eastAsia" w:ascii="仿宋" w:hAnsi="仿宋" w:eastAsia="仿宋" w:cs="仿宋"/>
        </w:rPr>
        <w:t>Oxford University Press, 2009, p</w:t>
      </w:r>
      <w:r>
        <w:rPr>
          <w:rFonts w:hint="eastAsia" w:ascii="仿宋" w:hAnsi="仿宋" w:eastAsia="仿宋" w:cs="仿宋"/>
          <w:lang w:val="en-US"/>
        </w:rPr>
        <w:t xml:space="preserve">. </w:t>
      </w:r>
      <w:r>
        <w:rPr>
          <w:rFonts w:hint="eastAsia" w:ascii="仿宋" w:hAnsi="仿宋" w:eastAsia="仿宋" w:cs="仿宋"/>
        </w:rPr>
        <w:t>243.</w:t>
      </w:r>
    </w:p>
  </w:footnote>
  <w:footnote w:id="20">
    <w:p w14:paraId="07AF292D">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参见孙光宁：《反思法律解释方法的位阶问题——兼论法律方法论的实践走向》，</w:t>
      </w:r>
      <w:r>
        <w:rPr>
          <w:rFonts w:hint="eastAsia" w:ascii="仿宋" w:hAnsi="仿宋" w:eastAsia="仿宋" w:cs="仿宋"/>
          <w:lang w:eastAsia="zh-CN"/>
        </w:rPr>
        <w:t>《</w:t>
      </w:r>
      <w:r>
        <w:rPr>
          <w:rFonts w:hint="eastAsia" w:ascii="仿宋" w:hAnsi="仿宋" w:eastAsia="仿宋" w:cs="仿宋"/>
        </w:rPr>
        <w:t>政治与法律》2013年第2期。</w:t>
      </w:r>
    </w:p>
  </w:footnote>
  <w:footnote w:id="21">
    <w:p w14:paraId="65CB4956">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参见杨铜铜：《论法律解释规则》，</w:t>
      </w:r>
      <w:r>
        <w:rPr>
          <w:rFonts w:hint="eastAsia" w:ascii="仿宋" w:hAnsi="仿宋" w:eastAsia="仿宋" w:cs="仿宋"/>
          <w:lang w:eastAsia="zh-CN"/>
        </w:rPr>
        <w:t>《</w:t>
      </w:r>
      <w:r>
        <w:rPr>
          <w:rFonts w:hint="eastAsia" w:ascii="仿宋" w:hAnsi="仿宋" w:eastAsia="仿宋" w:cs="仿宋"/>
        </w:rPr>
        <w:t>法律科学(西北政法大学学报)》2019年第3期。</w:t>
      </w:r>
    </w:p>
  </w:footnote>
  <w:footnote w:id="22">
    <w:p w14:paraId="42C9459A">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参见[德]卡尔·恩吉施：《法律思维导论》，郑永流译，北京: 法律出版社2004年版，第95</w:t>
      </w:r>
      <w:r>
        <w:rPr>
          <w:rFonts w:hint="eastAsia" w:ascii="仿宋" w:hAnsi="仿宋" w:eastAsia="仿宋" w:cs="仿宋"/>
          <w:lang w:eastAsia="zh-CN"/>
        </w:rPr>
        <w:t>-</w:t>
      </w:r>
      <w:r>
        <w:rPr>
          <w:rFonts w:hint="eastAsia" w:ascii="仿宋" w:hAnsi="仿宋" w:eastAsia="仿宋" w:cs="仿宋"/>
        </w:rPr>
        <w:t>98页。</w:t>
      </w:r>
    </w:p>
  </w:footnote>
  <w:footnote w:id="23">
    <w:p w14:paraId="3E800B39">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参见[德]罗伯特·阿列克西:《法律论证理论——作为法律证立理论的理性论辩理论》，舒国滢译，中国法制出版社2002年版，第305页。</w:t>
      </w:r>
    </w:p>
  </w:footnote>
  <w:footnote w:id="24">
    <w:p w14:paraId="513B6139">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参见蔡琳：《法律论证中的融贯论》，</w:t>
      </w:r>
      <w:r>
        <w:rPr>
          <w:rFonts w:hint="eastAsia" w:ascii="仿宋" w:hAnsi="仿宋" w:eastAsia="仿宋" w:cs="仿宋"/>
          <w:lang w:eastAsia="zh-CN"/>
        </w:rPr>
        <w:t>《</w:t>
      </w:r>
      <w:r>
        <w:rPr>
          <w:rFonts w:hint="eastAsia" w:ascii="仿宋" w:hAnsi="仿宋" w:eastAsia="仿宋" w:cs="仿宋"/>
        </w:rPr>
        <w:t>法制与社会发展》2006年第2期。</w:t>
      </w:r>
    </w:p>
  </w:footnote>
  <w:footnote w:id="25">
    <w:p w14:paraId="6E0DA78A">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参见王夏昊、吴国邦：《论法律解释方法抽象位阶的作用及其逻辑结构》，</w:t>
      </w:r>
      <w:r>
        <w:rPr>
          <w:rFonts w:hint="eastAsia" w:ascii="仿宋" w:hAnsi="仿宋" w:eastAsia="仿宋" w:cs="仿宋"/>
          <w:lang w:eastAsia="zh-CN"/>
        </w:rPr>
        <w:t>《</w:t>
      </w:r>
      <w:r>
        <w:rPr>
          <w:rFonts w:hint="eastAsia" w:ascii="仿宋" w:hAnsi="仿宋" w:eastAsia="仿宋" w:cs="仿宋"/>
        </w:rPr>
        <w:t>烟台大学学报（哲学社会科学版）》2018年第5期。</w:t>
      </w:r>
    </w:p>
  </w:footnote>
  <w:footnote w:id="26">
    <w:p w14:paraId="1CE13F30">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参见魏治勋：《法律解释的方法性原则——对四种法律解释方法性原则之方法属性的辩驳与重构》，</w:t>
      </w:r>
      <w:r>
        <w:rPr>
          <w:rFonts w:hint="eastAsia" w:ascii="仿宋" w:hAnsi="仿宋" w:eastAsia="仿宋" w:cs="仿宋"/>
          <w:lang w:eastAsia="zh-CN"/>
        </w:rPr>
        <w:t>《</w:t>
      </w:r>
      <w:r>
        <w:rPr>
          <w:rFonts w:hint="eastAsia" w:ascii="仿宋" w:hAnsi="仿宋" w:eastAsia="仿宋" w:cs="仿宋"/>
        </w:rPr>
        <w:t>人大法律评论》2016年卷第3辑。</w:t>
      </w:r>
    </w:p>
  </w:footnote>
  <w:footnote w:id="27">
    <w:p w14:paraId="0841D734">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参见苏晓宏：《法律解释还是法律解释的证立》，</w:t>
      </w:r>
      <w:r>
        <w:rPr>
          <w:rFonts w:hint="eastAsia" w:ascii="仿宋" w:hAnsi="仿宋" w:eastAsia="仿宋" w:cs="仿宋"/>
          <w:lang w:eastAsia="zh-CN"/>
        </w:rPr>
        <w:t>《</w:t>
      </w:r>
      <w:r>
        <w:rPr>
          <w:rFonts w:hint="eastAsia" w:ascii="仿宋" w:hAnsi="仿宋" w:eastAsia="仿宋" w:cs="仿宋"/>
        </w:rPr>
        <w:t>求是学刊》2014年第6期。</w:t>
      </w:r>
    </w:p>
  </w:footnote>
  <w:footnote w:id="28">
    <w:p w14:paraId="60E9934C">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参见[德]约阿希姆·吕克特：《民法方法论：从萨维尼到托依布纳》，刘志阳、王战涛、田文浩译，刘志阳校，中国法制出版社2023年版，第38页。</w:t>
      </w:r>
    </w:p>
  </w:footnote>
  <w:footnote w:id="29">
    <w:p w14:paraId="7BC4A74B">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参见魏治勋：《法律解释的原理与方法体系》，北京大学出版社2017年版，第126页。</w:t>
      </w:r>
    </w:p>
  </w:footnote>
  <w:footnote w:id="30">
    <w:p w14:paraId="4252DC89">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参见陈金钊：《文义解释：法律方法的优位选择》，</w:t>
      </w:r>
      <w:r>
        <w:rPr>
          <w:rFonts w:hint="eastAsia" w:ascii="仿宋" w:hAnsi="仿宋" w:eastAsia="仿宋" w:cs="仿宋"/>
          <w:lang w:eastAsia="zh-CN"/>
        </w:rPr>
        <w:t>《</w:t>
      </w:r>
      <w:r>
        <w:rPr>
          <w:rFonts w:hint="eastAsia" w:ascii="仿宋" w:hAnsi="仿宋" w:eastAsia="仿宋" w:cs="仿宋"/>
        </w:rPr>
        <w:t>文史哲》2005年第6期。</w:t>
      </w:r>
    </w:p>
  </w:footnote>
  <w:footnote w:id="31">
    <w:p w14:paraId="7FE34A02">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参见苏晓宏：《法律解释还是法律解释的证立》，</w:t>
      </w:r>
      <w:r>
        <w:rPr>
          <w:rFonts w:hint="eastAsia" w:ascii="仿宋" w:hAnsi="仿宋" w:eastAsia="仿宋" w:cs="仿宋"/>
          <w:lang w:eastAsia="zh-CN"/>
        </w:rPr>
        <w:t>《</w:t>
      </w:r>
      <w:r>
        <w:rPr>
          <w:rFonts w:hint="eastAsia" w:ascii="仿宋" w:hAnsi="仿宋" w:eastAsia="仿宋" w:cs="仿宋"/>
        </w:rPr>
        <w:t>求是学刊》2014年第6期。</w:t>
      </w:r>
    </w:p>
  </w:footnote>
  <w:footnote w:id="32">
    <w:p w14:paraId="4D9B318D">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最高院2023年发布的《&lt;民法典&gt;合同编通则解释》第48</w:t>
      </w:r>
      <w:r>
        <w:rPr>
          <w:rFonts w:hint="eastAsia" w:ascii="仿宋" w:hAnsi="仿宋" w:eastAsia="仿宋" w:cs="仿宋"/>
          <w:lang w:eastAsia="zh-CN"/>
        </w:rPr>
        <w:t>-</w:t>
      </w:r>
      <w:r>
        <w:rPr>
          <w:rFonts w:hint="eastAsia" w:ascii="仿宋" w:hAnsi="仿宋" w:eastAsia="仿宋" w:cs="仿宋"/>
        </w:rPr>
        <w:t>50条对该问题有进一步的解释。当下学界对此问题有进一步深入讨论。参见王利明、霍帅甫：《论债权多重转让中的责任承担——以&lt;合同编通则司法解释&gt;第50条为中心》，</w:t>
      </w:r>
      <w:r>
        <w:rPr>
          <w:rFonts w:hint="eastAsia" w:ascii="仿宋" w:hAnsi="仿宋" w:eastAsia="仿宋" w:cs="仿宋"/>
          <w:lang w:eastAsia="zh-CN"/>
        </w:rPr>
        <w:t>《</w:t>
      </w:r>
      <w:r>
        <w:rPr>
          <w:rFonts w:hint="eastAsia" w:ascii="仿宋" w:hAnsi="仿宋" w:eastAsia="仿宋" w:cs="仿宋"/>
        </w:rPr>
        <w:t>甘肃政法大学学报》2024年第3期；朱虎：《债权转让中对债务人的程序性保护:债权转让通知》，</w:t>
      </w:r>
      <w:r>
        <w:rPr>
          <w:rFonts w:hint="eastAsia" w:ascii="仿宋" w:hAnsi="仿宋" w:eastAsia="仿宋" w:cs="仿宋"/>
          <w:lang w:eastAsia="zh-CN"/>
        </w:rPr>
        <w:t>《</w:t>
      </w:r>
      <w:r>
        <w:rPr>
          <w:rFonts w:hint="eastAsia" w:ascii="仿宋" w:hAnsi="仿宋" w:eastAsia="仿宋" w:cs="仿宋"/>
        </w:rPr>
        <w:t>当代法学》2020年第6期等。</w:t>
      </w:r>
    </w:p>
  </w:footnote>
  <w:footnote w:id="33">
    <w:p w14:paraId="55C8CDC1">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See Andrei Marmor, </w:t>
      </w:r>
      <w:r>
        <w:rPr>
          <w:rFonts w:hint="eastAsia" w:ascii="仿宋" w:hAnsi="仿宋" w:eastAsia="仿宋" w:cs="仿宋"/>
          <w:i/>
          <w:iCs/>
        </w:rPr>
        <w:t>The language of Law</w:t>
      </w:r>
      <w:r>
        <w:rPr>
          <w:rFonts w:hint="eastAsia" w:ascii="仿宋" w:hAnsi="仿宋" w:eastAsia="仿宋" w:cs="仿宋"/>
        </w:rPr>
        <w:t xml:space="preserve">, Oxford University Press, 2014, </w:t>
      </w:r>
      <w:r>
        <w:rPr>
          <w:rFonts w:hint="default" w:ascii="仿宋" w:hAnsi="仿宋" w:eastAsia="仿宋" w:cs="仿宋"/>
          <w:lang w:val="en-US"/>
        </w:rPr>
        <w:t>p</w:t>
      </w:r>
      <w:r>
        <w:rPr>
          <w:rFonts w:hint="eastAsia" w:ascii="仿宋" w:hAnsi="仿宋" w:eastAsia="仿宋" w:cs="仿宋"/>
          <w:lang w:val="en-US"/>
        </w:rPr>
        <w:t xml:space="preserve">. </w:t>
      </w:r>
      <w:r>
        <w:rPr>
          <w:rFonts w:hint="eastAsia" w:ascii="仿宋" w:hAnsi="仿宋" w:eastAsia="仿宋" w:cs="仿宋"/>
        </w:rPr>
        <w:t>35</w:t>
      </w:r>
      <w:r>
        <w:rPr>
          <w:rFonts w:hint="eastAsia" w:ascii="仿宋" w:hAnsi="仿宋" w:eastAsia="仿宋" w:cs="仿宋"/>
          <w:lang w:eastAsia="zh-CN"/>
        </w:rPr>
        <w:t>-</w:t>
      </w:r>
      <w:r>
        <w:rPr>
          <w:rFonts w:hint="eastAsia" w:ascii="仿宋" w:hAnsi="仿宋" w:eastAsia="仿宋" w:cs="仿宋"/>
        </w:rPr>
        <w:t>36.</w:t>
      </w:r>
    </w:p>
  </w:footnote>
  <w:footnote w:id="34">
    <w:p w14:paraId="138A55A9">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参见[美]罗纳德·德沃金：《法律帝国》，许杨勇译，上海三联书店，2016年版，第4页。</w:t>
      </w:r>
    </w:p>
  </w:footnote>
  <w:footnote w:id="35">
    <w:p w14:paraId="3D04E121">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[美]史蒂文·J·伯顿：《法律和法律推理导论》，张志铭、解兴权译，中国政法大学1998年版，第62</w:t>
      </w:r>
      <w:r>
        <w:rPr>
          <w:rFonts w:hint="eastAsia" w:ascii="仿宋" w:hAnsi="仿宋" w:eastAsia="仿宋" w:cs="仿宋"/>
          <w:lang w:eastAsia="zh-CN"/>
        </w:rPr>
        <w:t>-</w:t>
      </w:r>
      <w:r>
        <w:rPr>
          <w:rFonts w:hint="eastAsia" w:ascii="仿宋" w:hAnsi="仿宋" w:eastAsia="仿宋" w:cs="仿宋"/>
        </w:rPr>
        <w:t>63页。</w:t>
      </w:r>
    </w:p>
  </w:footnote>
  <w:footnote w:id="36">
    <w:p w14:paraId="7F3D7352">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[德]伯恩·魏德士：《法理学》，丁晓春、吴越译，法律出版社2013年版，第312页。</w:t>
      </w:r>
    </w:p>
  </w:footnote>
  <w:footnote w:id="37">
    <w:p w14:paraId="737E03CD">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See Andrei Marmor, </w:t>
      </w:r>
      <w:r>
        <w:rPr>
          <w:rFonts w:hint="eastAsia" w:ascii="仿宋" w:hAnsi="仿宋" w:eastAsia="仿宋" w:cs="仿宋"/>
          <w:i/>
          <w:iCs/>
        </w:rPr>
        <w:t>The language of Law</w:t>
      </w:r>
      <w:r>
        <w:rPr>
          <w:rFonts w:hint="eastAsia" w:ascii="仿宋" w:hAnsi="仿宋" w:eastAsia="仿宋" w:cs="仿宋"/>
        </w:rPr>
        <w:t xml:space="preserve">, Oxford University Press, 2014, </w:t>
      </w:r>
      <w:r>
        <w:rPr>
          <w:rFonts w:hint="default" w:ascii="仿宋" w:hAnsi="仿宋" w:eastAsia="仿宋" w:cs="仿宋"/>
          <w:lang w:val="en-US"/>
        </w:rPr>
        <w:t>p</w:t>
      </w:r>
      <w:r>
        <w:rPr>
          <w:rFonts w:hint="eastAsia" w:ascii="仿宋" w:hAnsi="仿宋" w:eastAsia="仿宋" w:cs="仿宋"/>
          <w:lang w:val="en-US"/>
        </w:rPr>
        <w:t xml:space="preserve">. </w:t>
      </w:r>
      <w:r>
        <w:rPr>
          <w:rFonts w:hint="eastAsia" w:ascii="仿宋" w:hAnsi="仿宋" w:eastAsia="仿宋" w:cs="仿宋"/>
        </w:rPr>
        <w:t>13</w:t>
      </w:r>
      <w:r>
        <w:rPr>
          <w:rFonts w:hint="eastAsia" w:ascii="仿宋" w:hAnsi="仿宋" w:eastAsia="仿宋" w:cs="仿宋"/>
          <w:lang w:eastAsia="zh-CN"/>
        </w:rPr>
        <w:t>-</w:t>
      </w:r>
      <w:r>
        <w:rPr>
          <w:rFonts w:hint="eastAsia" w:ascii="仿宋" w:hAnsi="仿宋" w:eastAsia="仿宋" w:cs="仿宋"/>
        </w:rPr>
        <w:t>14.</w:t>
      </w:r>
    </w:p>
  </w:footnote>
  <w:footnote w:id="38">
    <w:p w14:paraId="4464C8C8">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See J. R. Searle, </w:t>
      </w:r>
      <w:r>
        <w:rPr>
          <w:rFonts w:hint="eastAsia" w:ascii="仿宋" w:hAnsi="仿宋" w:eastAsia="仿宋" w:cs="仿宋"/>
          <w:i/>
          <w:iCs/>
        </w:rPr>
        <w:t>Speech Acts: An Essay in the Philosophy of Language</w:t>
      </w:r>
      <w:r>
        <w:rPr>
          <w:rFonts w:hint="eastAsia" w:ascii="仿宋" w:hAnsi="仿宋" w:eastAsia="仿宋" w:cs="仿宋"/>
        </w:rPr>
        <w:t>, Cambridge University Press, 1970, p</w:t>
      </w:r>
      <w:r>
        <w:rPr>
          <w:rFonts w:hint="eastAsia" w:ascii="仿宋" w:hAnsi="仿宋" w:eastAsia="仿宋" w:cs="仿宋"/>
          <w:lang w:val="en-US"/>
        </w:rPr>
        <w:t xml:space="preserve">. </w:t>
      </w:r>
      <w:r>
        <w:rPr>
          <w:rFonts w:hint="eastAsia" w:ascii="仿宋" w:hAnsi="仿宋" w:eastAsia="仿宋" w:cs="仿宋"/>
        </w:rPr>
        <w:t>10.</w:t>
      </w:r>
    </w:p>
  </w:footnote>
  <w:footnote w:id="39">
    <w:p w14:paraId="69777D7D">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参见[德]托马斯·M·默勒斯：《法学方法论》，北京大学出版社2022年版，第253页。</w:t>
      </w:r>
    </w:p>
  </w:footnote>
  <w:footnote w:id="40">
    <w:p w14:paraId="281626A3">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参见卢俊安：《意图是制定法解释的核心吗？——对交流意图论的批判性检验》，</w:t>
      </w:r>
      <w:r>
        <w:rPr>
          <w:rFonts w:hint="eastAsia" w:ascii="仿宋" w:hAnsi="仿宋" w:eastAsia="仿宋" w:cs="仿宋"/>
          <w:lang w:eastAsia="zh-CN"/>
        </w:rPr>
        <w:t>《</w:t>
      </w:r>
      <w:r>
        <w:rPr>
          <w:rFonts w:hint="eastAsia" w:ascii="仿宋" w:hAnsi="仿宋" w:eastAsia="仿宋" w:cs="仿宋"/>
        </w:rPr>
        <w:t>法制与社会发展》2024年第6期。</w:t>
      </w:r>
    </w:p>
  </w:footnote>
  <w:footnote w:id="41">
    <w:p w14:paraId="74D50936">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参见[德]托马斯·M·默勒斯：《法学方法论》，北京大学出版社2022年版，第347页。</w:t>
      </w:r>
    </w:p>
  </w:footnote>
  <w:footnote w:id="42">
    <w:p w14:paraId="2BCF6031">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See M. Greenberg, </w:t>
      </w:r>
      <w:r>
        <w:rPr>
          <w:rFonts w:hint="eastAsia" w:ascii="仿宋" w:hAnsi="仿宋" w:eastAsia="仿宋" w:cs="仿宋"/>
          <w:i/>
          <w:iCs/>
        </w:rPr>
        <w:t>Legislation as Communication? Legal Interpretation and the Study of Linguistic Communication</w:t>
      </w:r>
      <w:r>
        <w:rPr>
          <w:rFonts w:hint="eastAsia" w:ascii="仿宋" w:hAnsi="仿宋" w:eastAsia="仿宋" w:cs="仿宋"/>
          <w:i w:val="0"/>
          <w:iCs w:val="0"/>
          <w:lang w:val="en-US"/>
        </w:rPr>
        <w:t xml:space="preserve">, </w:t>
      </w:r>
      <w:r>
        <w:rPr>
          <w:rFonts w:hint="eastAsia" w:ascii="仿宋" w:hAnsi="仿宋" w:eastAsia="仿宋" w:cs="仿宋"/>
          <w:lang w:val="en-US"/>
        </w:rPr>
        <w:t xml:space="preserve">p. </w:t>
      </w:r>
      <w:r>
        <w:rPr>
          <w:rFonts w:hint="eastAsia" w:ascii="仿宋" w:hAnsi="仿宋" w:eastAsia="仿宋" w:cs="仿宋"/>
        </w:rPr>
        <w:t xml:space="preserve"> 256. From Andrei Marmor, </w:t>
      </w:r>
      <w:r>
        <w:rPr>
          <w:rFonts w:hint="eastAsia" w:ascii="仿宋" w:hAnsi="仿宋" w:eastAsia="仿宋" w:cs="仿宋"/>
          <w:i/>
          <w:iCs/>
        </w:rPr>
        <w:t>The language of Law</w:t>
      </w:r>
      <w:r>
        <w:rPr>
          <w:rFonts w:hint="eastAsia" w:ascii="仿宋" w:hAnsi="仿宋" w:eastAsia="仿宋" w:cs="仿宋"/>
        </w:rPr>
        <w:t>, Oxford University Press, 2014, p11,15.</w:t>
      </w:r>
    </w:p>
  </w:footnote>
  <w:footnote w:id="43">
    <w:p w14:paraId="4DAA1024">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Andrei Marmor, </w:t>
      </w:r>
      <w:r>
        <w:rPr>
          <w:rFonts w:hint="eastAsia" w:ascii="仿宋" w:hAnsi="仿宋" w:eastAsia="仿宋" w:cs="仿宋"/>
          <w:i/>
          <w:iCs/>
        </w:rPr>
        <w:t>The language of Law</w:t>
      </w:r>
      <w:r>
        <w:rPr>
          <w:rFonts w:hint="eastAsia" w:ascii="仿宋" w:hAnsi="仿宋" w:eastAsia="仿宋" w:cs="仿宋"/>
        </w:rPr>
        <w:t>, Oxford University Press, 2014, p</w:t>
      </w:r>
      <w:r>
        <w:rPr>
          <w:rFonts w:hint="eastAsia" w:ascii="仿宋" w:hAnsi="仿宋" w:eastAsia="仿宋" w:cs="仿宋"/>
          <w:lang w:val="en-US"/>
        </w:rPr>
        <w:t xml:space="preserve">. </w:t>
      </w:r>
      <w:r>
        <w:rPr>
          <w:rFonts w:hint="eastAsia" w:ascii="仿宋" w:hAnsi="仿宋" w:eastAsia="仿宋" w:cs="仿宋"/>
        </w:rPr>
        <w:t>16.</w:t>
      </w:r>
    </w:p>
  </w:footnote>
  <w:footnote w:id="44">
    <w:p w14:paraId="103A14D7">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参见[德]托马斯·M·默勒斯：《法学方法论》，北京大学出版社2022年版，第351页。</w:t>
      </w:r>
    </w:p>
  </w:footnote>
  <w:footnote w:id="45">
    <w:p w14:paraId="1F3E34D4">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See Richard Ekins, </w:t>
      </w:r>
      <w:r>
        <w:rPr>
          <w:rFonts w:hint="eastAsia" w:ascii="仿宋" w:hAnsi="仿宋" w:eastAsia="仿宋" w:cs="仿宋"/>
          <w:i/>
          <w:iCs/>
        </w:rPr>
        <w:t>The Nature of Legislative Intent</w:t>
      </w:r>
      <w:r>
        <w:rPr>
          <w:rFonts w:hint="eastAsia" w:ascii="仿宋" w:hAnsi="仿宋" w:eastAsia="仿宋" w:cs="仿宋"/>
        </w:rPr>
        <w:t xml:space="preserve">, Oxford University Press, 2012, </w:t>
      </w:r>
      <w:r>
        <w:rPr>
          <w:rFonts w:hint="default" w:ascii="仿宋" w:hAnsi="仿宋" w:eastAsia="仿宋" w:cs="仿宋"/>
          <w:lang w:val="en-US"/>
        </w:rPr>
        <w:t>p</w:t>
      </w:r>
      <w:r>
        <w:rPr>
          <w:rFonts w:hint="eastAsia" w:ascii="仿宋" w:hAnsi="仿宋" w:eastAsia="仿宋" w:cs="仿宋"/>
        </w:rPr>
        <w:t>213</w:t>
      </w:r>
      <w:r>
        <w:rPr>
          <w:rFonts w:hint="eastAsia" w:ascii="仿宋" w:hAnsi="仿宋" w:eastAsia="仿宋" w:cs="仿宋"/>
          <w:lang w:eastAsia="zh-CN"/>
        </w:rPr>
        <w:t>-</w:t>
      </w:r>
      <w:r>
        <w:rPr>
          <w:rFonts w:hint="eastAsia" w:ascii="仿宋" w:hAnsi="仿宋" w:eastAsia="仿宋" w:cs="仿宋"/>
        </w:rPr>
        <w:t>228.</w:t>
      </w:r>
    </w:p>
  </w:footnote>
  <w:footnote w:id="46">
    <w:p w14:paraId="307D6FC0">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参见[美]拉里·亚历山大、塞克里希纳·普拉卡什：《“你想表达的如你所言吗”——为什么无意图解释是不可能的》，王喆译，王建芳校，</w:t>
      </w:r>
      <w:r>
        <w:rPr>
          <w:rFonts w:hint="eastAsia" w:ascii="仿宋" w:hAnsi="仿宋" w:eastAsia="仿宋" w:cs="仿宋"/>
          <w:lang w:eastAsia="zh-CN"/>
        </w:rPr>
        <w:t>《</w:t>
      </w:r>
      <w:r>
        <w:rPr>
          <w:rFonts w:hint="eastAsia" w:ascii="仿宋" w:hAnsi="仿宋" w:eastAsia="仿宋" w:cs="仿宋"/>
        </w:rPr>
        <w:t>法律方法》2023年第1期。</w:t>
      </w:r>
    </w:p>
  </w:footnote>
  <w:footnote w:id="47">
    <w:p w14:paraId="5734DE35">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参见[美]罗纳德·德沃金：《法律帝国》，许杨勇译，上海三联书店2016年版，第45页。</w:t>
      </w:r>
    </w:p>
  </w:footnote>
  <w:footnote w:id="48">
    <w:p w14:paraId="223D7FB5">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参见[德]托马斯·M·默勒斯：《法学方法论》，北京大学出版社2022年版，第347页。</w:t>
      </w:r>
    </w:p>
  </w:footnote>
  <w:footnote w:id="49">
    <w:p w14:paraId="2C58FE2C">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参见[德]伯恩·魏德士：《法理学》，丁晓春、吴越译，法律出版社2013年版，第335</w:t>
      </w:r>
      <w:r>
        <w:rPr>
          <w:rFonts w:hint="eastAsia" w:ascii="仿宋" w:hAnsi="仿宋" w:eastAsia="仿宋" w:cs="仿宋"/>
          <w:lang w:eastAsia="zh-CN"/>
        </w:rPr>
        <w:t>-</w:t>
      </w:r>
      <w:r>
        <w:rPr>
          <w:rFonts w:hint="eastAsia" w:ascii="仿宋" w:hAnsi="仿宋" w:eastAsia="仿宋" w:cs="仿宋"/>
        </w:rPr>
        <w:t>340页。</w:t>
      </w:r>
    </w:p>
  </w:footnote>
  <w:footnote w:id="50">
    <w:p w14:paraId="6D1BB965">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参见高仰光：《纳粹德国的法与不法》，商务印书馆2024年版，第335页。</w:t>
      </w:r>
    </w:p>
  </w:footnote>
  <w:footnote w:id="51">
    <w:p w14:paraId="5BA4489B">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See H. L. A. Hart, </w:t>
      </w:r>
      <w:r>
        <w:rPr>
          <w:rFonts w:hint="eastAsia" w:ascii="仿宋" w:hAnsi="仿宋" w:eastAsia="仿宋" w:cs="仿宋"/>
          <w:i/>
          <w:iCs/>
        </w:rPr>
        <w:t>The Concept of Law</w:t>
      </w:r>
      <w:r>
        <w:rPr>
          <w:rFonts w:hint="eastAsia" w:ascii="仿宋" w:hAnsi="仿宋" w:eastAsia="仿宋" w:cs="仿宋"/>
        </w:rPr>
        <w:t xml:space="preserve">, Oxford University Press, 1994, </w:t>
      </w:r>
      <w:r>
        <w:rPr>
          <w:rFonts w:hint="default" w:ascii="仿宋" w:hAnsi="仿宋" w:eastAsia="仿宋" w:cs="仿宋"/>
          <w:lang w:val="en-US"/>
        </w:rPr>
        <w:t>p</w:t>
      </w:r>
      <w:r>
        <w:rPr>
          <w:rFonts w:hint="eastAsia" w:ascii="仿宋" w:hAnsi="仿宋" w:eastAsia="仿宋" w:cs="仿宋"/>
          <w:lang w:val="en-US"/>
        </w:rPr>
        <w:t xml:space="preserve">. </w:t>
      </w:r>
      <w:r>
        <w:rPr>
          <w:rFonts w:hint="eastAsia" w:ascii="仿宋" w:hAnsi="仿宋" w:eastAsia="仿宋" w:cs="仿宋"/>
        </w:rPr>
        <w:t>135</w:t>
      </w:r>
      <w:r>
        <w:rPr>
          <w:rFonts w:hint="eastAsia" w:ascii="仿宋" w:hAnsi="仿宋" w:eastAsia="仿宋" w:cs="仿宋"/>
          <w:lang w:eastAsia="zh-CN"/>
        </w:rPr>
        <w:t>-</w:t>
      </w:r>
      <w:r>
        <w:rPr>
          <w:rFonts w:hint="eastAsia" w:ascii="仿宋" w:hAnsi="仿宋" w:eastAsia="仿宋" w:cs="仿宋"/>
        </w:rPr>
        <w:t>136.</w:t>
      </w:r>
    </w:p>
  </w:footnote>
  <w:footnote w:id="52">
    <w:p w14:paraId="48825852">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如克莱默便为客观理论辩护，即法律适用者应让法律的解释更符合当下生活的需要，同时法律产生的历史与立法者意图对解释活动绝不是不重要。默勒斯也主张类似的折中说，将主观理论视为一种推定规则，并借助法的价值安排对客观理论进行调整。参见[奥]恩斯特·A·克莱默：《法律方法论》，周万里译，法律出版社2019年版，第103</w:t>
      </w:r>
      <w:r>
        <w:rPr>
          <w:rFonts w:hint="eastAsia" w:ascii="仿宋" w:hAnsi="仿宋" w:eastAsia="仿宋" w:cs="仿宋"/>
          <w:lang w:eastAsia="zh-CN"/>
        </w:rPr>
        <w:t>-</w:t>
      </w:r>
      <w:r>
        <w:rPr>
          <w:rFonts w:hint="eastAsia" w:ascii="仿宋" w:hAnsi="仿宋" w:eastAsia="仿宋" w:cs="仿宋"/>
        </w:rPr>
        <w:t>104页。参见[德]托马斯·M·默勒斯：《法学方法论》，北京大学出版社2022年版，第356</w:t>
      </w:r>
      <w:r>
        <w:rPr>
          <w:rFonts w:hint="eastAsia" w:ascii="仿宋" w:hAnsi="仿宋" w:eastAsia="仿宋" w:cs="仿宋"/>
          <w:lang w:eastAsia="zh-CN"/>
        </w:rPr>
        <w:t>-</w:t>
      </w:r>
      <w:r>
        <w:rPr>
          <w:rFonts w:hint="eastAsia" w:ascii="仿宋" w:hAnsi="仿宋" w:eastAsia="仿宋" w:cs="仿宋"/>
        </w:rPr>
        <w:t>357页。</w:t>
      </w:r>
    </w:p>
  </w:footnote>
  <w:footnote w:id="53">
    <w:p w14:paraId="4B831EDA">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参见[德]托马斯·M·默勒斯：《法学方法论》，北京大学出版社2022年版，第349页。</w:t>
      </w:r>
    </w:p>
  </w:footnote>
  <w:footnote w:id="54">
    <w:p w14:paraId="00435B9A">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参见雷磊：《法律方法、法的安定性与法治》，</w:t>
      </w:r>
      <w:r>
        <w:rPr>
          <w:rFonts w:hint="eastAsia" w:ascii="仿宋" w:hAnsi="仿宋" w:eastAsia="仿宋" w:cs="仿宋"/>
          <w:lang w:eastAsia="zh-CN"/>
        </w:rPr>
        <w:t>《</w:t>
      </w:r>
      <w:r>
        <w:rPr>
          <w:rFonts w:hint="eastAsia" w:ascii="仿宋" w:hAnsi="仿宋" w:eastAsia="仿宋" w:cs="仿宋"/>
        </w:rPr>
        <w:t>法学家》2015年第4期。</w:t>
      </w:r>
    </w:p>
  </w:footnote>
  <w:footnote w:id="55">
    <w:p w14:paraId="331DE495">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T. E. Dobbs </w:t>
      </w:r>
      <w:r>
        <w:rPr>
          <w:rFonts w:hint="eastAsia" w:ascii="仿宋" w:hAnsi="仿宋" w:eastAsia="仿宋" w:cs="仿宋"/>
          <w:i/>
          <w:iCs/>
        </w:rPr>
        <w:t>v</w:t>
      </w:r>
      <w:r>
        <w:rPr>
          <w:rFonts w:hint="eastAsia" w:ascii="仿宋" w:hAnsi="仿宋" w:eastAsia="仿宋" w:cs="仿宋"/>
        </w:rPr>
        <w:t>. Jackson Women’s Health Organization, 597 U.S. 215, 142 S.Ct. 2228, 213 L.Ed.2d 545(2022).</w:t>
      </w:r>
    </w:p>
  </w:footnote>
  <w:footnote w:id="56">
    <w:p w14:paraId="1CD70678">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Roe</w:t>
      </w:r>
      <w:r>
        <w:rPr>
          <w:rFonts w:hint="eastAsia" w:ascii="仿宋" w:hAnsi="仿宋" w:eastAsia="仿宋" w:cs="仿宋"/>
          <w:i/>
          <w:iCs/>
        </w:rPr>
        <w:t xml:space="preserve"> v</w:t>
      </w:r>
      <w:r>
        <w:rPr>
          <w:rFonts w:hint="eastAsia" w:ascii="仿宋" w:hAnsi="仿宋" w:eastAsia="仿宋" w:cs="仿宋"/>
        </w:rPr>
        <w:t>. Wade, 410 U.S. 113, 93 S. Ct. 705, 35 L. Ed. 2d 147 (1973).</w:t>
      </w:r>
    </w:p>
  </w:footnote>
  <w:footnote w:id="57">
    <w:p w14:paraId="4F07D6CF">
      <w:pPr>
        <w:pStyle w:val="8"/>
        <w:ind w:firstLine="360"/>
        <w:rPr>
          <w:rFonts w:hint="eastAsia" w:ascii="仿宋" w:hAnsi="仿宋" w:eastAsia="仿宋" w:cs="仿宋"/>
        </w:rPr>
      </w:pPr>
      <w:r>
        <w:rPr>
          <w:rStyle w:val="11"/>
          <w:rFonts w:hint="eastAsia" w:ascii="仿宋" w:hAnsi="仿宋" w:eastAsia="仿宋" w:cs="仿宋"/>
        </w:rPr>
        <w:footnoteRef/>
      </w:r>
      <w:r>
        <w:rPr>
          <w:rFonts w:hint="eastAsia" w:ascii="仿宋" w:hAnsi="仿宋" w:eastAsia="仿宋" w:cs="仿宋"/>
        </w:rPr>
        <w:t xml:space="preserve"> See Jonathan H. Choi, </w:t>
      </w:r>
      <w:r>
        <w:rPr>
          <w:rFonts w:hint="eastAsia" w:ascii="仿宋" w:hAnsi="仿宋" w:eastAsia="仿宋" w:cs="仿宋"/>
          <w:i/>
          <w:iCs/>
        </w:rPr>
        <w:t>Measuring Clarity in Legal Text</w:t>
      </w:r>
      <w:r>
        <w:rPr>
          <w:rFonts w:hint="eastAsia" w:ascii="仿宋" w:hAnsi="仿宋" w:eastAsia="仿宋" w:cs="仿宋"/>
        </w:rPr>
        <w:t>, University of Chicago Law Review</w:t>
      </w:r>
    </w:p>
    <w:p w14:paraId="001FDF66">
      <w:pPr>
        <w:pStyle w:val="8"/>
        <w:ind w:firstLine="360"/>
        <w:rPr>
          <w:rFonts w:hint="eastAsia" w:ascii="仿宋" w:hAnsi="仿宋" w:eastAsia="仿宋" w:cs="仿宋"/>
        </w:rPr>
      </w:pPr>
      <w:r>
        <w:rPr>
          <w:rFonts w:hint="eastAsia" w:ascii="仿宋" w:hAnsi="仿宋" w:eastAsia="仿宋" w:cs="仿宋"/>
        </w:rPr>
        <w:t>91, no. 1</w:t>
      </w:r>
      <w:r>
        <w:rPr>
          <w:rFonts w:hint="eastAsia" w:ascii="仿宋" w:hAnsi="仿宋" w:eastAsia="仿宋" w:cs="仿宋"/>
          <w:lang w:val="en-US"/>
        </w:rPr>
        <w:t xml:space="preserve"> p.1-</w:t>
      </w:r>
      <w:r>
        <w:rPr>
          <w:rFonts w:hint="eastAsia" w:ascii="仿宋" w:hAnsi="仿宋" w:eastAsia="仿宋" w:cs="仿宋"/>
          <w:lang w:val="en-US" w:eastAsia="zh-CN"/>
        </w:rPr>
        <w:t>82</w:t>
      </w:r>
      <w:r>
        <w:rPr>
          <w:rFonts w:hint="default" w:ascii="仿宋" w:hAnsi="仿宋" w:eastAsia="仿宋" w:cs="仿宋"/>
          <w:lang w:val="en-US" w:eastAsia="zh-CN"/>
        </w:rPr>
        <w:t xml:space="preserve"> </w:t>
      </w:r>
      <w:r>
        <w:rPr>
          <w:rFonts w:hint="eastAsia" w:ascii="仿宋" w:hAnsi="仿宋" w:eastAsia="仿宋" w:cs="仿宋"/>
          <w:lang w:val="en-US"/>
        </w:rPr>
        <w:t>(</w:t>
      </w:r>
      <w:r>
        <w:rPr>
          <w:rFonts w:hint="eastAsia" w:ascii="仿宋" w:hAnsi="仿宋" w:eastAsia="仿宋" w:cs="仿宋"/>
        </w:rPr>
        <w:t>2024)</w:t>
      </w:r>
      <w:r>
        <w:rPr>
          <w:rFonts w:hint="eastAsia" w:ascii="仿宋" w:hAnsi="仿宋" w:eastAsia="仿宋" w:cs="仿宋"/>
          <w:lang w:val="en-US"/>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75A5E">
    <w:pPr>
      <w:pStyle w:val="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FDF1C">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475F9">
    <w:pPr>
      <w:pStyle w:val="7"/>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16"/>
    <w:footnote w:id="117"/>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778A63"/>
    <w:rsid w:val="00057B8A"/>
    <w:rsid w:val="001079CD"/>
    <w:rsid w:val="00124618"/>
    <w:rsid w:val="00153007"/>
    <w:rsid w:val="0018763A"/>
    <w:rsid w:val="002C639D"/>
    <w:rsid w:val="00461E87"/>
    <w:rsid w:val="004A36AA"/>
    <w:rsid w:val="00554D0E"/>
    <w:rsid w:val="005B756E"/>
    <w:rsid w:val="0068463C"/>
    <w:rsid w:val="00757C6D"/>
    <w:rsid w:val="007D2B68"/>
    <w:rsid w:val="007F7C39"/>
    <w:rsid w:val="00873B92"/>
    <w:rsid w:val="008C18E6"/>
    <w:rsid w:val="00914FF1"/>
    <w:rsid w:val="00A842E5"/>
    <w:rsid w:val="00AF13BD"/>
    <w:rsid w:val="00B01F0E"/>
    <w:rsid w:val="00C824F0"/>
    <w:rsid w:val="00CB5970"/>
    <w:rsid w:val="00E15D39"/>
    <w:rsid w:val="00EB4B59"/>
    <w:rsid w:val="00F84936"/>
    <w:rsid w:val="00F860B9"/>
    <w:rsid w:val="03CA81D2"/>
    <w:rsid w:val="0FED83F4"/>
    <w:rsid w:val="0FF6C114"/>
    <w:rsid w:val="10EF0A54"/>
    <w:rsid w:val="1377B70E"/>
    <w:rsid w:val="15F33181"/>
    <w:rsid w:val="16FFE3E6"/>
    <w:rsid w:val="17F1D5D3"/>
    <w:rsid w:val="19FAA7FE"/>
    <w:rsid w:val="1AFF8509"/>
    <w:rsid w:val="1BD59817"/>
    <w:rsid w:val="1CD95017"/>
    <w:rsid w:val="1CDF1DFA"/>
    <w:rsid w:val="1DBC39AB"/>
    <w:rsid w:val="1F5EEE9F"/>
    <w:rsid w:val="1FE5A1E2"/>
    <w:rsid w:val="1FF754C4"/>
    <w:rsid w:val="266E65F2"/>
    <w:rsid w:val="278F7DC9"/>
    <w:rsid w:val="27BDF8C4"/>
    <w:rsid w:val="2BFF0A92"/>
    <w:rsid w:val="2D21C714"/>
    <w:rsid w:val="2D3FCCC3"/>
    <w:rsid w:val="2F9F82CC"/>
    <w:rsid w:val="31DFD2C3"/>
    <w:rsid w:val="31FDB389"/>
    <w:rsid w:val="33753189"/>
    <w:rsid w:val="34B0844A"/>
    <w:rsid w:val="35AF4938"/>
    <w:rsid w:val="35BF8B9E"/>
    <w:rsid w:val="35EFC2F4"/>
    <w:rsid w:val="375E1D14"/>
    <w:rsid w:val="375EAD85"/>
    <w:rsid w:val="37BDFEB5"/>
    <w:rsid w:val="37BF9D03"/>
    <w:rsid w:val="37DC5EDD"/>
    <w:rsid w:val="37DFB800"/>
    <w:rsid w:val="383E3378"/>
    <w:rsid w:val="3A7D5088"/>
    <w:rsid w:val="3AFB1C0B"/>
    <w:rsid w:val="3AFF4A36"/>
    <w:rsid w:val="3B7F8230"/>
    <w:rsid w:val="3BDDA9E1"/>
    <w:rsid w:val="3BE7815A"/>
    <w:rsid w:val="3BFE1D5E"/>
    <w:rsid w:val="3C7F37CC"/>
    <w:rsid w:val="3DADCC69"/>
    <w:rsid w:val="3DAFCEFC"/>
    <w:rsid w:val="3DFD559E"/>
    <w:rsid w:val="3DFEA1BF"/>
    <w:rsid w:val="3DFF50BE"/>
    <w:rsid w:val="3DFF5669"/>
    <w:rsid w:val="3DFF7D4C"/>
    <w:rsid w:val="3E779D1E"/>
    <w:rsid w:val="3E77A20D"/>
    <w:rsid w:val="3E7D9BEA"/>
    <w:rsid w:val="3F189F05"/>
    <w:rsid w:val="3F5B1179"/>
    <w:rsid w:val="3F7F35B5"/>
    <w:rsid w:val="3F9B0C24"/>
    <w:rsid w:val="3FB7275C"/>
    <w:rsid w:val="3FB78E8A"/>
    <w:rsid w:val="3FB84DCE"/>
    <w:rsid w:val="3FD9BB72"/>
    <w:rsid w:val="3FDCA9AF"/>
    <w:rsid w:val="3FDD53C3"/>
    <w:rsid w:val="3FDFA30B"/>
    <w:rsid w:val="3FF64606"/>
    <w:rsid w:val="3FFC83D1"/>
    <w:rsid w:val="417BDB01"/>
    <w:rsid w:val="43DB87F2"/>
    <w:rsid w:val="43FE23B5"/>
    <w:rsid w:val="459B74E0"/>
    <w:rsid w:val="47FB79A5"/>
    <w:rsid w:val="47FD5D96"/>
    <w:rsid w:val="49F7ACC7"/>
    <w:rsid w:val="4B1FE8F0"/>
    <w:rsid w:val="4C7B9279"/>
    <w:rsid w:val="4DF9FFC9"/>
    <w:rsid w:val="4F7D30CE"/>
    <w:rsid w:val="4FD811DF"/>
    <w:rsid w:val="4FDE3ED2"/>
    <w:rsid w:val="4FF27947"/>
    <w:rsid w:val="4FF9F72A"/>
    <w:rsid w:val="4FFD785D"/>
    <w:rsid w:val="4FFFB96F"/>
    <w:rsid w:val="537BF756"/>
    <w:rsid w:val="53BF7535"/>
    <w:rsid w:val="53FB5C57"/>
    <w:rsid w:val="55AF75D2"/>
    <w:rsid w:val="55FE5E06"/>
    <w:rsid w:val="56BB0A12"/>
    <w:rsid w:val="56ED83D2"/>
    <w:rsid w:val="576FAC26"/>
    <w:rsid w:val="57769D9F"/>
    <w:rsid w:val="577F574C"/>
    <w:rsid w:val="57B64D23"/>
    <w:rsid w:val="57EFAC4E"/>
    <w:rsid w:val="57FB3A81"/>
    <w:rsid w:val="59EE458D"/>
    <w:rsid w:val="59FD1F37"/>
    <w:rsid w:val="5AB7C9DF"/>
    <w:rsid w:val="5ADAD9BA"/>
    <w:rsid w:val="5BBB796D"/>
    <w:rsid w:val="5BCD0095"/>
    <w:rsid w:val="5C278EBE"/>
    <w:rsid w:val="5CDFA9F8"/>
    <w:rsid w:val="5D47F81C"/>
    <w:rsid w:val="5DBC227D"/>
    <w:rsid w:val="5E7F6641"/>
    <w:rsid w:val="5E7FA9AC"/>
    <w:rsid w:val="5E9D3646"/>
    <w:rsid w:val="5EB3DBF3"/>
    <w:rsid w:val="5EB9DAE5"/>
    <w:rsid w:val="5EFF9D6C"/>
    <w:rsid w:val="5EFFFFCD"/>
    <w:rsid w:val="5F18410A"/>
    <w:rsid w:val="5F77896D"/>
    <w:rsid w:val="5F7BB8F2"/>
    <w:rsid w:val="5F7BCB2A"/>
    <w:rsid w:val="5F7D092C"/>
    <w:rsid w:val="5F7F4E0D"/>
    <w:rsid w:val="5F9586ED"/>
    <w:rsid w:val="5FAC5A29"/>
    <w:rsid w:val="5FF7A75F"/>
    <w:rsid w:val="5FFAD3A2"/>
    <w:rsid w:val="5FFB206B"/>
    <w:rsid w:val="5FFCAE1E"/>
    <w:rsid w:val="637F3791"/>
    <w:rsid w:val="64A1F26A"/>
    <w:rsid w:val="66EF8F2A"/>
    <w:rsid w:val="66FBF38E"/>
    <w:rsid w:val="677FA71D"/>
    <w:rsid w:val="67DF7695"/>
    <w:rsid w:val="67EFDEB9"/>
    <w:rsid w:val="67FA8E44"/>
    <w:rsid w:val="69BB7E9C"/>
    <w:rsid w:val="69DFB186"/>
    <w:rsid w:val="69F350EA"/>
    <w:rsid w:val="6B58F3F3"/>
    <w:rsid w:val="6B7724C2"/>
    <w:rsid w:val="6C4BC04D"/>
    <w:rsid w:val="6D3BFE28"/>
    <w:rsid w:val="6D7D9192"/>
    <w:rsid w:val="6D7FF016"/>
    <w:rsid w:val="6DE6CAF0"/>
    <w:rsid w:val="6EEB6152"/>
    <w:rsid w:val="6EF1E592"/>
    <w:rsid w:val="6EFE30EA"/>
    <w:rsid w:val="6EFE74A5"/>
    <w:rsid w:val="6EFFD40A"/>
    <w:rsid w:val="6EFFD437"/>
    <w:rsid w:val="6F54FEE5"/>
    <w:rsid w:val="6FB83110"/>
    <w:rsid w:val="6FDABC78"/>
    <w:rsid w:val="6FDD1364"/>
    <w:rsid w:val="6FEF0947"/>
    <w:rsid w:val="6FEF2F87"/>
    <w:rsid w:val="6FFE34DC"/>
    <w:rsid w:val="6FFF56BB"/>
    <w:rsid w:val="6FFF90DA"/>
    <w:rsid w:val="71473232"/>
    <w:rsid w:val="71AF4C59"/>
    <w:rsid w:val="71FF52FC"/>
    <w:rsid w:val="73A74DA3"/>
    <w:rsid w:val="73EF598D"/>
    <w:rsid w:val="755FFE05"/>
    <w:rsid w:val="759FA413"/>
    <w:rsid w:val="75D733DB"/>
    <w:rsid w:val="75DBBA75"/>
    <w:rsid w:val="75FDD6C9"/>
    <w:rsid w:val="767F946B"/>
    <w:rsid w:val="76B9BF31"/>
    <w:rsid w:val="76BBE8B9"/>
    <w:rsid w:val="76D7941E"/>
    <w:rsid w:val="76DE5CEA"/>
    <w:rsid w:val="76F6EF09"/>
    <w:rsid w:val="76FF1BF0"/>
    <w:rsid w:val="77AF12D0"/>
    <w:rsid w:val="77BF94A3"/>
    <w:rsid w:val="77F77514"/>
    <w:rsid w:val="77FDE841"/>
    <w:rsid w:val="77FEC972"/>
    <w:rsid w:val="77FFCDEF"/>
    <w:rsid w:val="77FFE5ED"/>
    <w:rsid w:val="77FFE601"/>
    <w:rsid w:val="77FFED60"/>
    <w:rsid w:val="78D7F6F8"/>
    <w:rsid w:val="78FF38F4"/>
    <w:rsid w:val="793FD7AB"/>
    <w:rsid w:val="79B4018F"/>
    <w:rsid w:val="79D71551"/>
    <w:rsid w:val="79EFB758"/>
    <w:rsid w:val="79FF4857"/>
    <w:rsid w:val="7A6D251B"/>
    <w:rsid w:val="7AECD60D"/>
    <w:rsid w:val="7AF370C3"/>
    <w:rsid w:val="7AF37914"/>
    <w:rsid w:val="7AFF02CB"/>
    <w:rsid w:val="7AFFBA78"/>
    <w:rsid w:val="7AFFC31F"/>
    <w:rsid w:val="7B184F1A"/>
    <w:rsid w:val="7B5DF2CF"/>
    <w:rsid w:val="7B6A7C27"/>
    <w:rsid w:val="7B9D3ED6"/>
    <w:rsid w:val="7BB4B174"/>
    <w:rsid w:val="7BBEB5B7"/>
    <w:rsid w:val="7BCFB5D0"/>
    <w:rsid w:val="7BDFC99D"/>
    <w:rsid w:val="7BF59269"/>
    <w:rsid w:val="7BF70CE0"/>
    <w:rsid w:val="7BF7941B"/>
    <w:rsid w:val="7BFEBB86"/>
    <w:rsid w:val="7BFF0214"/>
    <w:rsid w:val="7BFF7F4B"/>
    <w:rsid w:val="7BFFCCFB"/>
    <w:rsid w:val="7CCE8F9C"/>
    <w:rsid w:val="7CF7BC28"/>
    <w:rsid w:val="7D73B117"/>
    <w:rsid w:val="7D7FD8CC"/>
    <w:rsid w:val="7DAE9C6B"/>
    <w:rsid w:val="7DCBAD1D"/>
    <w:rsid w:val="7DCD3423"/>
    <w:rsid w:val="7DEF1983"/>
    <w:rsid w:val="7DF69EDC"/>
    <w:rsid w:val="7DFF0DCD"/>
    <w:rsid w:val="7E391529"/>
    <w:rsid w:val="7E5DA179"/>
    <w:rsid w:val="7E75B1FD"/>
    <w:rsid w:val="7E7F1F83"/>
    <w:rsid w:val="7E978D5F"/>
    <w:rsid w:val="7EB3A25C"/>
    <w:rsid w:val="7EBD1E6C"/>
    <w:rsid w:val="7EBD30DE"/>
    <w:rsid w:val="7EBF1CA2"/>
    <w:rsid w:val="7EC78F6D"/>
    <w:rsid w:val="7EDF05ED"/>
    <w:rsid w:val="7EFBE41C"/>
    <w:rsid w:val="7EFFB12E"/>
    <w:rsid w:val="7F258145"/>
    <w:rsid w:val="7F2B9FE8"/>
    <w:rsid w:val="7F3FB2F6"/>
    <w:rsid w:val="7F468E6C"/>
    <w:rsid w:val="7F4DCA2C"/>
    <w:rsid w:val="7F5B7F83"/>
    <w:rsid w:val="7F5DF5F4"/>
    <w:rsid w:val="7F66F4B3"/>
    <w:rsid w:val="7F6E808C"/>
    <w:rsid w:val="7F6F8C94"/>
    <w:rsid w:val="7F760233"/>
    <w:rsid w:val="7F76B2E9"/>
    <w:rsid w:val="7F7D3568"/>
    <w:rsid w:val="7F7D42CC"/>
    <w:rsid w:val="7F7F948B"/>
    <w:rsid w:val="7FA6C1A9"/>
    <w:rsid w:val="7FAF03DA"/>
    <w:rsid w:val="7FAFD99F"/>
    <w:rsid w:val="7FB53B5C"/>
    <w:rsid w:val="7FB53DD3"/>
    <w:rsid w:val="7FB939C2"/>
    <w:rsid w:val="7FBD0AF1"/>
    <w:rsid w:val="7FBEDA49"/>
    <w:rsid w:val="7FBF5EB7"/>
    <w:rsid w:val="7FD7C80E"/>
    <w:rsid w:val="7FDB2D96"/>
    <w:rsid w:val="7FDE289F"/>
    <w:rsid w:val="7FDEEA21"/>
    <w:rsid w:val="7FDF9EF6"/>
    <w:rsid w:val="7FDFE347"/>
    <w:rsid w:val="7FE5596A"/>
    <w:rsid w:val="7FEB8D57"/>
    <w:rsid w:val="7FF67443"/>
    <w:rsid w:val="7FFBB37A"/>
    <w:rsid w:val="7FFD5B59"/>
    <w:rsid w:val="7FFDD2D0"/>
    <w:rsid w:val="7FFEB58D"/>
    <w:rsid w:val="7FFF4C31"/>
    <w:rsid w:val="7FFF4C54"/>
    <w:rsid w:val="7FFF5C1F"/>
    <w:rsid w:val="7FFF8970"/>
    <w:rsid w:val="7FFFA662"/>
    <w:rsid w:val="877D9360"/>
    <w:rsid w:val="8FEE67CC"/>
    <w:rsid w:val="8FFB5F0A"/>
    <w:rsid w:val="8FFD3399"/>
    <w:rsid w:val="935FA47B"/>
    <w:rsid w:val="97BFFED6"/>
    <w:rsid w:val="9D33B46A"/>
    <w:rsid w:val="9E6A3C1D"/>
    <w:rsid w:val="9ECF78F3"/>
    <w:rsid w:val="9EFB07E2"/>
    <w:rsid w:val="9FD7C6E0"/>
    <w:rsid w:val="9FDF2C88"/>
    <w:rsid w:val="9FF32108"/>
    <w:rsid w:val="9FF799E5"/>
    <w:rsid w:val="A3FD5852"/>
    <w:rsid w:val="A9DD6D5F"/>
    <w:rsid w:val="AB76C934"/>
    <w:rsid w:val="ABE7110A"/>
    <w:rsid w:val="ABF763A4"/>
    <w:rsid w:val="ADEBE23F"/>
    <w:rsid w:val="AE7DB8CD"/>
    <w:rsid w:val="AEFE3252"/>
    <w:rsid w:val="AFBDCB6A"/>
    <w:rsid w:val="AFBDCC54"/>
    <w:rsid w:val="AFBFCC54"/>
    <w:rsid w:val="AFDDF207"/>
    <w:rsid w:val="AFFD3856"/>
    <w:rsid w:val="B1FF27E3"/>
    <w:rsid w:val="B2FFEA59"/>
    <w:rsid w:val="B55EF836"/>
    <w:rsid w:val="B58DA163"/>
    <w:rsid w:val="B6FBEE2C"/>
    <w:rsid w:val="B72635A7"/>
    <w:rsid w:val="B79B2AB8"/>
    <w:rsid w:val="B7BBEE66"/>
    <w:rsid w:val="B7CB18E6"/>
    <w:rsid w:val="B7DD625C"/>
    <w:rsid w:val="B7E9265D"/>
    <w:rsid w:val="B7FF7BFF"/>
    <w:rsid w:val="BB8EB0FD"/>
    <w:rsid w:val="BBA7577C"/>
    <w:rsid w:val="BBE90DC3"/>
    <w:rsid w:val="BBFB0AB3"/>
    <w:rsid w:val="BC6E72CB"/>
    <w:rsid w:val="BC79B428"/>
    <w:rsid w:val="BDDF5D94"/>
    <w:rsid w:val="BDFE466D"/>
    <w:rsid w:val="BE3BFD9A"/>
    <w:rsid w:val="BEFF6B78"/>
    <w:rsid w:val="BEFFEDC7"/>
    <w:rsid w:val="BEFFF662"/>
    <w:rsid w:val="BF5F0C97"/>
    <w:rsid w:val="BF778A63"/>
    <w:rsid w:val="BF7D3BFE"/>
    <w:rsid w:val="BFB40B6F"/>
    <w:rsid w:val="BFB69456"/>
    <w:rsid w:val="BFBF3EA8"/>
    <w:rsid w:val="BFF3FCC7"/>
    <w:rsid w:val="BFFBFE1B"/>
    <w:rsid w:val="C25FB870"/>
    <w:rsid w:val="C57DAC7B"/>
    <w:rsid w:val="C6F04235"/>
    <w:rsid w:val="C7FF2078"/>
    <w:rsid w:val="CBD7B8CD"/>
    <w:rsid w:val="CBEF9F64"/>
    <w:rsid w:val="CBF2BC14"/>
    <w:rsid w:val="CDF7F0F6"/>
    <w:rsid w:val="CEFFA237"/>
    <w:rsid w:val="CF5C505C"/>
    <w:rsid w:val="CFBFBF2E"/>
    <w:rsid w:val="CFCF0A3B"/>
    <w:rsid w:val="CFDFEF3E"/>
    <w:rsid w:val="CFEBBF6A"/>
    <w:rsid w:val="CFFF4DF0"/>
    <w:rsid w:val="D1EF4997"/>
    <w:rsid w:val="D3EFB1FD"/>
    <w:rsid w:val="D6DF57F2"/>
    <w:rsid w:val="D6F98435"/>
    <w:rsid w:val="D7B64D3C"/>
    <w:rsid w:val="D7FA2CEE"/>
    <w:rsid w:val="D97F80A9"/>
    <w:rsid w:val="D9BD44FF"/>
    <w:rsid w:val="D9F67B1C"/>
    <w:rsid w:val="DADA5135"/>
    <w:rsid w:val="DB6FE670"/>
    <w:rsid w:val="DB7374EA"/>
    <w:rsid w:val="DB7DF883"/>
    <w:rsid w:val="DBBF823A"/>
    <w:rsid w:val="DCD718AC"/>
    <w:rsid w:val="DD6DDB46"/>
    <w:rsid w:val="DDE96792"/>
    <w:rsid w:val="DDED8BB4"/>
    <w:rsid w:val="DDFCA5BE"/>
    <w:rsid w:val="DDFE9868"/>
    <w:rsid w:val="DDFFEB40"/>
    <w:rsid w:val="DE952369"/>
    <w:rsid w:val="DEDE8A1E"/>
    <w:rsid w:val="DEFC29BB"/>
    <w:rsid w:val="DF33954C"/>
    <w:rsid w:val="DF3E5458"/>
    <w:rsid w:val="DF3F0BA6"/>
    <w:rsid w:val="DF7EE5E7"/>
    <w:rsid w:val="DFAB8BF2"/>
    <w:rsid w:val="DFB3054C"/>
    <w:rsid w:val="DFBD725B"/>
    <w:rsid w:val="DFBF4DBC"/>
    <w:rsid w:val="DFC00234"/>
    <w:rsid w:val="DFC7E4F9"/>
    <w:rsid w:val="DFCD7006"/>
    <w:rsid w:val="DFDFFCD0"/>
    <w:rsid w:val="DFE6D48A"/>
    <w:rsid w:val="DFE7E408"/>
    <w:rsid w:val="DFF7BD8E"/>
    <w:rsid w:val="DFFA381C"/>
    <w:rsid w:val="DFFE91DF"/>
    <w:rsid w:val="E31F42A7"/>
    <w:rsid w:val="E57D6D6F"/>
    <w:rsid w:val="E5FFB92F"/>
    <w:rsid w:val="E63F47FB"/>
    <w:rsid w:val="E6BF587A"/>
    <w:rsid w:val="E72FAFB2"/>
    <w:rsid w:val="E7B79FE2"/>
    <w:rsid w:val="E7BB44E3"/>
    <w:rsid w:val="E7BE114C"/>
    <w:rsid w:val="E7D5CB3F"/>
    <w:rsid w:val="E7EBF6B5"/>
    <w:rsid w:val="E7F39031"/>
    <w:rsid w:val="E7FE72DF"/>
    <w:rsid w:val="E7FF98EF"/>
    <w:rsid w:val="E7FFE1B2"/>
    <w:rsid w:val="EAF7EFD5"/>
    <w:rsid w:val="EBBF5D4E"/>
    <w:rsid w:val="EBEB9159"/>
    <w:rsid w:val="EC6F1A48"/>
    <w:rsid w:val="ECFBF657"/>
    <w:rsid w:val="ED7F9BBD"/>
    <w:rsid w:val="EDA7B8D9"/>
    <w:rsid w:val="EDAB06F4"/>
    <w:rsid w:val="EDBB5FBD"/>
    <w:rsid w:val="EDDE363D"/>
    <w:rsid w:val="EDFD4D0E"/>
    <w:rsid w:val="EDFEBD3C"/>
    <w:rsid w:val="EECE6AED"/>
    <w:rsid w:val="EEE7F49E"/>
    <w:rsid w:val="EEF64568"/>
    <w:rsid w:val="EF1DFAD5"/>
    <w:rsid w:val="EF7EFF09"/>
    <w:rsid w:val="EFBD8818"/>
    <w:rsid w:val="EFD9E24E"/>
    <w:rsid w:val="EFF3A52F"/>
    <w:rsid w:val="EFF70F0C"/>
    <w:rsid w:val="EFF7F2A7"/>
    <w:rsid w:val="EFFD2539"/>
    <w:rsid w:val="EFFE0F60"/>
    <w:rsid w:val="EFFF6428"/>
    <w:rsid w:val="F1F2BE29"/>
    <w:rsid w:val="F35F286F"/>
    <w:rsid w:val="F4DF8AA2"/>
    <w:rsid w:val="F51DEAFA"/>
    <w:rsid w:val="F57767DC"/>
    <w:rsid w:val="F66E95BE"/>
    <w:rsid w:val="F6D734D1"/>
    <w:rsid w:val="F755C643"/>
    <w:rsid w:val="F767C27E"/>
    <w:rsid w:val="F76DADFD"/>
    <w:rsid w:val="F79A51CA"/>
    <w:rsid w:val="F7BAAB05"/>
    <w:rsid w:val="F7C7577B"/>
    <w:rsid w:val="F7DDF842"/>
    <w:rsid w:val="F7DFA71A"/>
    <w:rsid w:val="F7E8E45D"/>
    <w:rsid w:val="F7EEEE8B"/>
    <w:rsid w:val="F7F3AC31"/>
    <w:rsid w:val="F7F84DDB"/>
    <w:rsid w:val="F7FEABED"/>
    <w:rsid w:val="F7FFF8FE"/>
    <w:rsid w:val="F89FC36E"/>
    <w:rsid w:val="F977E4B2"/>
    <w:rsid w:val="F9F7882B"/>
    <w:rsid w:val="FA7DDE37"/>
    <w:rsid w:val="FACDEB6F"/>
    <w:rsid w:val="FAED61FB"/>
    <w:rsid w:val="FAF33562"/>
    <w:rsid w:val="FAFCAFB1"/>
    <w:rsid w:val="FB3E6C53"/>
    <w:rsid w:val="FB7F703C"/>
    <w:rsid w:val="FBB31644"/>
    <w:rsid w:val="FBB78346"/>
    <w:rsid w:val="FBBF3AC2"/>
    <w:rsid w:val="FBBFE4E2"/>
    <w:rsid w:val="FBBFFF0D"/>
    <w:rsid w:val="FBDBFD9A"/>
    <w:rsid w:val="FBF6E426"/>
    <w:rsid w:val="FBF988DA"/>
    <w:rsid w:val="FBFB56B5"/>
    <w:rsid w:val="FBFF2ABB"/>
    <w:rsid w:val="FC7BC497"/>
    <w:rsid w:val="FCBD66D0"/>
    <w:rsid w:val="FCCC2002"/>
    <w:rsid w:val="FCF78F38"/>
    <w:rsid w:val="FD8F4EFD"/>
    <w:rsid w:val="FDBF3AC3"/>
    <w:rsid w:val="FDBF8288"/>
    <w:rsid w:val="FDD5141A"/>
    <w:rsid w:val="FDDD93D6"/>
    <w:rsid w:val="FDE75713"/>
    <w:rsid w:val="FDE7F95F"/>
    <w:rsid w:val="FDEFDA7B"/>
    <w:rsid w:val="FDF4BE8A"/>
    <w:rsid w:val="FDFF27FA"/>
    <w:rsid w:val="FDFF3436"/>
    <w:rsid w:val="FDFFB694"/>
    <w:rsid w:val="FE9FBEA7"/>
    <w:rsid w:val="FED75D85"/>
    <w:rsid w:val="FEDADAB6"/>
    <w:rsid w:val="FEEB3D46"/>
    <w:rsid w:val="FEF73575"/>
    <w:rsid w:val="FEF76F5F"/>
    <w:rsid w:val="FEFB0701"/>
    <w:rsid w:val="FEFF16C7"/>
    <w:rsid w:val="FF0BCC2A"/>
    <w:rsid w:val="FF3D905C"/>
    <w:rsid w:val="FF3F1A44"/>
    <w:rsid w:val="FF4DB839"/>
    <w:rsid w:val="FF53487E"/>
    <w:rsid w:val="FF6C257E"/>
    <w:rsid w:val="FF6E4BAF"/>
    <w:rsid w:val="FF8F4A34"/>
    <w:rsid w:val="FF9AEC1A"/>
    <w:rsid w:val="FF9E3D23"/>
    <w:rsid w:val="FFAE108A"/>
    <w:rsid w:val="FFBD37FD"/>
    <w:rsid w:val="FFBF646C"/>
    <w:rsid w:val="FFBF7475"/>
    <w:rsid w:val="FFBFA996"/>
    <w:rsid w:val="FFBFED6E"/>
    <w:rsid w:val="FFCDD6F5"/>
    <w:rsid w:val="FFCF81F4"/>
    <w:rsid w:val="FFDB14F9"/>
    <w:rsid w:val="FFDDE7F1"/>
    <w:rsid w:val="FFDEA5C3"/>
    <w:rsid w:val="FFDF6287"/>
    <w:rsid w:val="FFEB3A3B"/>
    <w:rsid w:val="FFEB3F09"/>
    <w:rsid w:val="FFEF350D"/>
    <w:rsid w:val="FFEF90E6"/>
    <w:rsid w:val="FFF77965"/>
    <w:rsid w:val="FFF90AAB"/>
    <w:rsid w:val="FFF97FBE"/>
    <w:rsid w:val="FFFB4D67"/>
    <w:rsid w:val="FFFBFA74"/>
    <w:rsid w:val="FFFD9254"/>
    <w:rsid w:val="FFFEF210"/>
    <w:rsid w:val="FFFF18CF"/>
    <w:rsid w:val="FFFF4C4B"/>
    <w:rsid w:val="FFFF697D"/>
    <w:rsid w:val="FFFFC83E"/>
    <w:rsid w:val="FFFFCA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420" w:firstLineChars="200"/>
      <w:jc w:val="left"/>
    </w:pPr>
    <w:rPr>
      <w:rFonts w:ascii="Times New Roman" w:hAnsi="Times New Roman" w:eastAsia="Songti SC"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ind w:firstLine="0" w:firstLineChars="0"/>
      <w:outlineLvl w:val="0"/>
    </w:pPr>
    <w:rPr>
      <w:rFonts w:eastAsia="Heiti SC Medium" w:asciiTheme="minorHAnsi" w:hAnsiTheme="minorHAnsi"/>
      <w:b/>
      <w:kern w:val="44"/>
      <w:sz w:val="36"/>
    </w:rPr>
  </w:style>
  <w:style w:type="paragraph" w:styleId="3">
    <w:name w:val="heading 2"/>
    <w:basedOn w:val="1"/>
    <w:next w:val="1"/>
    <w:unhideWhenUsed/>
    <w:qFormat/>
    <w:uiPriority w:val="0"/>
    <w:pPr>
      <w:keepNext/>
      <w:keepLines/>
      <w:spacing w:before="260" w:after="260" w:line="360" w:lineRule="auto"/>
      <w:ind w:firstLine="0" w:firstLineChars="0"/>
      <w:jc w:val="left"/>
      <w:outlineLvl w:val="1"/>
    </w:pPr>
    <w:rPr>
      <w:rFonts w:ascii="Arial" w:hAnsi="Arial" w:eastAsia="黑体"/>
      <w:b/>
      <w:sz w:val="28"/>
    </w:rPr>
  </w:style>
  <w:style w:type="paragraph" w:styleId="4">
    <w:name w:val="heading 3"/>
    <w:basedOn w:val="1"/>
    <w:next w:val="1"/>
    <w:unhideWhenUsed/>
    <w:qFormat/>
    <w:uiPriority w:val="0"/>
    <w:pPr>
      <w:keepNext/>
      <w:keepLines/>
      <w:ind w:firstLine="0" w:firstLineChars="0"/>
      <w:jc w:val="left"/>
      <w:outlineLvl w:val="2"/>
    </w:pPr>
    <w:rPr>
      <w:rFonts w:eastAsia="STKaiti" w:cs="Times New Roman (正文 CS 字体)" w:asciiTheme="minorAscii" w:hAnsiTheme="minorAscii"/>
      <w:sz w:val="24"/>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8">
    <w:name w:val="footnote text"/>
    <w:basedOn w:val="1"/>
    <w:uiPriority w:val="0"/>
    <w:pPr>
      <w:snapToGrid w:val="0"/>
      <w:jc w:val="left"/>
    </w:pPr>
    <w:rPr>
      <w:sz w:val="18"/>
    </w:rPr>
  </w:style>
  <w:style w:type="character" w:styleId="11">
    <w:name w:val="footnote reference"/>
    <w:basedOn w:val="10"/>
    <w:uiPriority w:val="0"/>
    <w:rPr>
      <w:vertAlign w:val="superscript"/>
    </w:rPr>
  </w:style>
  <w:style w:type="paragraph" w:customStyle="1" w:styleId="12">
    <w:name w:val="Revision"/>
    <w:hidden/>
    <w:unhideWhenUsed/>
    <w:uiPriority w:val="99"/>
    <w:rPr>
      <w:rFonts w:ascii="Times New Roman" w:hAnsi="Times New Roman" w:eastAsiaTheme="minorEastAsia" w:cstheme="minorBidi"/>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2267</Words>
  <Characters>12925</Characters>
  <Lines>107</Lines>
  <Paragraphs>30</Paragraphs>
  <TotalTime>72</TotalTime>
  <ScaleCrop>false</ScaleCrop>
  <LinksUpToDate>false</LinksUpToDate>
  <CharactersWithSpaces>15162</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2024-11-25T17:45:00Z</dcterms:created>
  <dc:creator>郭健杰</dc:creator>
  <cp:lastModifiedBy>郭健杰</cp:lastModifiedBy>
  <dcterms:modified xsi:type="dcterms:W3CDTF">2025-04-17T16:48:44Z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4324897751A0844D80177A67A87AC540_43</vt:lpwstr>
  </property>
</Properties>
</file>