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50775">
      <w:pPr>
        <w:pStyle w:val="4"/>
        <w:spacing w:line="240" w:lineRule="auto"/>
        <w:ind w:firstLine="0" w:firstLineChars="0"/>
        <w:jc w:val="center"/>
        <w:rPr>
          <w:rFonts w:eastAsia="黑体"/>
          <w:sz w:val="32"/>
        </w:rPr>
      </w:pPr>
      <w:r>
        <w:rPr>
          <w:rFonts w:eastAsia="黑体"/>
          <w:sz w:val="32"/>
        </w:rPr>
        <w:t>抵押物禁止转让约定的规范冲突与体系协调——以《民法典》第406条与担保制度司法解释第43条为中心</w:t>
      </w:r>
    </w:p>
    <w:p w14:paraId="5E8BF1C3">
      <w:pPr>
        <w:pStyle w:val="4"/>
        <w:jc w:val="center"/>
      </w:pPr>
    </w:p>
    <w:p w14:paraId="39C6B303">
      <w:pPr>
        <w:pStyle w:val="4"/>
        <w:spacing w:line="240" w:lineRule="auto"/>
        <w:ind w:firstLine="420"/>
      </w:pPr>
      <w:r>
        <w:rPr>
          <w:rFonts w:hint="eastAsia" w:eastAsia="华文仿宋"/>
          <w:b/>
          <w:sz w:val="21"/>
        </w:rPr>
        <w:t xml:space="preserve">【摘 </w:t>
      </w:r>
      <w:r>
        <w:rPr>
          <w:rFonts w:eastAsia="华文仿宋"/>
          <w:b/>
          <w:sz w:val="21"/>
        </w:rPr>
        <w:t xml:space="preserve"> </w:t>
      </w:r>
      <w:r>
        <w:rPr>
          <w:rFonts w:hint="eastAsia" w:eastAsia="华文仿宋"/>
          <w:b/>
          <w:sz w:val="21"/>
        </w:rPr>
        <w:t>要】：</w:t>
      </w:r>
      <w:r>
        <w:rPr>
          <w:rFonts w:eastAsia="华文仿宋"/>
          <w:sz w:val="21"/>
        </w:rPr>
        <w:t>《民法典》第406条与担保制度司法解释第43条集中体现了“物之流通”与“抵押权保护”的价值张力。</w:t>
      </w:r>
      <w:r>
        <w:rPr>
          <w:rFonts w:hint="eastAsia" w:eastAsia="华文仿宋"/>
          <w:sz w:val="21"/>
        </w:rPr>
        <w:t>《民法典》第4</w:t>
      </w:r>
      <w:r>
        <w:rPr>
          <w:rFonts w:eastAsia="华文仿宋"/>
          <w:sz w:val="21"/>
        </w:rPr>
        <w:t>06</w:t>
      </w:r>
      <w:r>
        <w:rPr>
          <w:rFonts w:hint="eastAsia" w:eastAsia="华文仿宋"/>
          <w:sz w:val="21"/>
        </w:rPr>
        <w:t>条存在如下缺陷：不动产抵押物转让场合，虽受让人自受抵押权之负担，但其对抵押物不当或非法使用，且债务人无法及时清偿时，抵押权人难以获得有力保护。动产抵押物转让场合，除存在受让人不当使用风险外，转让本身亦可能损害抵押权，抵押权人受保护不足。司</w:t>
      </w:r>
      <w:r>
        <w:rPr>
          <w:rFonts w:eastAsia="华文仿宋"/>
          <w:sz w:val="21"/>
        </w:rPr>
        <w:t>法解释第43条具有“缺陷弥补功能”，但应</w:t>
      </w:r>
      <w:r>
        <w:rPr>
          <w:rFonts w:hint="eastAsia" w:eastAsia="华文仿宋"/>
          <w:sz w:val="21"/>
        </w:rPr>
        <w:t>以“防止损害抵押权”为核心，</w:t>
      </w:r>
      <w:r>
        <w:rPr>
          <w:rFonts w:eastAsia="华文仿宋"/>
          <w:sz w:val="21"/>
        </w:rPr>
        <w:t>严格限缩</w:t>
      </w:r>
      <w:r>
        <w:rPr>
          <w:rFonts w:hint="eastAsia" w:eastAsia="华文仿宋"/>
          <w:sz w:val="21"/>
        </w:rPr>
        <w:t>其适用</w:t>
      </w:r>
      <w:r>
        <w:rPr>
          <w:rFonts w:eastAsia="华文仿宋"/>
          <w:sz w:val="21"/>
        </w:rPr>
        <w:t>：仅当受让人存在隐匿、恶意再转让或实质减损抵押物价值等行为，且债务人清偿不能时，方可否定转让效力。同时，</w:t>
      </w:r>
      <w:r>
        <w:rPr>
          <w:rFonts w:hint="eastAsia" w:eastAsia="华文仿宋"/>
          <w:sz w:val="21"/>
        </w:rPr>
        <w:t>体系上</w:t>
      </w:r>
      <w:r>
        <w:rPr>
          <w:rFonts w:eastAsia="华文仿宋"/>
          <w:sz w:val="21"/>
        </w:rPr>
        <w:t>需协调司法解释第43条与正常经营买受人规则的关系，商事主体应承担更高查询义务，民事交易则侧重保护善意受让人。</w:t>
      </w:r>
      <w:r>
        <w:rPr>
          <w:rFonts w:hint="eastAsia" w:eastAsia="华文仿宋"/>
          <w:sz w:val="21"/>
        </w:rPr>
        <w:t>抵押物禁</w:t>
      </w:r>
      <w:r>
        <w:rPr>
          <w:rFonts w:eastAsia="华文仿宋"/>
          <w:sz w:val="21"/>
        </w:rPr>
        <w:t>转特约效力</w:t>
      </w:r>
      <w:r>
        <w:rPr>
          <w:rFonts w:hint="eastAsia" w:eastAsia="华文仿宋"/>
          <w:sz w:val="21"/>
        </w:rPr>
        <w:t>可作如下</w:t>
      </w:r>
      <w:r>
        <w:rPr>
          <w:rFonts w:eastAsia="华文仿宋"/>
          <w:sz w:val="21"/>
        </w:rPr>
        <w:t>类型化</w:t>
      </w:r>
      <w:r>
        <w:rPr>
          <w:rFonts w:hint="eastAsia" w:eastAsia="华文仿宋"/>
          <w:sz w:val="21"/>
        </w:rPr>
        <w:t>，即</w:t>
      </w:r>
      <w:r>
        <w:rPr>
          <w:rFonts w:eastAsia="华文仿宋"/>
          <w:sz w:val="21"/>
        </w:rPr>
        <w:t>有效型、无效型及效力软化型</w:t>
      </w:r>
      <w:r>
        <w:rPr>
          <w:rFonts w:hint="eastAsia" w:eastAsia="华文仿宋"/>
          <w:sz w:val="21"/>
        </w:rPr>
        <w:t>。</w:t>
      </w:r>
    </w:p>
    <w:p w14:paraId="16CE4685">
      <w:pPr>
        <w:pStyle w:val="4"/>
        <w:spacing w:line="240" w:lineRule="auto"/>
        <w:ind w:firstLine="420"/>
      </w:pPr>
      <w:r>
        <w:rPr>
          <w:rFonts w:hint="eastAsia" w:eastAsia="华文仿宋"/>
          <w:b/>
          <w:sz w:val="21"/>
        </w:rPr>
        <w:t>【关键词】</w:t>
      </w:r>
      <w:r>
        <w:rPr>
          <w:rFonts w:hint="eastAsia" w:eastAsia="华文仿宋"/>
          <w:sz w:val="21"/>
        </w:rPr>
        <w:t>抵押物禁止转让约定 抵押权保护 交易安全 体系协调</w:t>
      </w:r>
    </w:p>
    <w:p w14:paraId="3B211E50">
      <w:pPr>
        <w:pStyle w:val="2"/>
        <w:spacing w:line="240" w:lineRule="auto"/>
        <w:rPr>
          <w:rFonts w:ascii="黑体" w:eastAsia="黑体" w:cs="Times New Roman (正文 CS 字体)"/>
          <w:b w:val="0"/>
          <w:sz w:val="28"/>
        </w:rPr>
      </w:pPr>
      <w:r>
        <w:rPr>
          <w:rFonts w:hint="eastAsia" w:ascii="黑体" w:eastAsia="黑体" w:cs="Times New Roman (正文 CS 字体)"/>
          <w:b w:val="0"/>
          <w:sz w:val="28"/>
        </w:rPr>
        <w:t>一、问题的提出</w:t>
      </w:r>
    </w:p>
    <w:p w14:paraId="0094BAF6">
      <w:pPr>
        <w:pStyle w:val="25"/>
      </w:pPr>
      <w:r>
        <w:t>《</w:t>
      </w:r>
      <w:r>
        <w:rPr>
          <w:rFonts w:hint="eastAsia"/>
        </w:rPr>
        <w:t>中华人民共和国</w:t>
      </w:r>
      <w:r>
        <w:t>民法典》</w:t>
      </w:r>
      <w:r>
        <w:rPr>
          <w:rFonts w:hint="eastAsia"/>
        </w:rPr>
        <w:t>（以下简称《民法典》）</w:t>
      </w:r>
      <w:r>
        <w:t>第406条第1款确立了抵押财产自由转让的</w:t>
      </w:r>
      <w:r>
        <w:rPr>
          <w:rFonts w:hint="eastAsia"/>
        </w:rPr>
        <w:t>原则</w:t>
      </w:r>
      <w:r>
        <w:t>，</w:t>
      </w:r>
      <w:r>
        <w:rPr>
          <w:rStyle w:val="11"/>
        </w:rPr>
        <w:footnoteReference w:id="0"/>
      </w:r>
      <w:r>
        <w:t>其</w:t>
      </w:r>
      <w:r>
        <w:rPr>
          <w:rFonts w:hint="eastAsia"/>
        </w:rPr>
        <w:t>规范</w:t>
      </w:r>
      <w:r>
        <w:t>意旨在于促进物的流通与高效利用</w:t>
      </w:r>
      <w:r>
        <w:rPr>
          <w:rFonts w:hint="eastAsia"/>
        </w:rPr>
        <w:t>。</w:t>
      </w:r>
      <w:r>
        <w:rPr>
          <w:rStyle w:val="11"/>
        </w:rPr>
        <w:footnoteReference w:id="1"/>
      </w:r>
      <w:r>
        <w:t>而</w:t>
      </w:r>
      <w:r>
        <w:rPr>
          <w:rFonts w:hint="eastAsia"/>
        </w:rPr>
        <w:t>《最高人民法院关于适用〈中华人民共和国民法典〉有关</w:t>
      </w:r>
      <w:r>
        <w:t>担保制度</w:t>
      </w:r>
      <w:r>
        <w:rPr>
          <w:rFonts w:hint="eastAsia"/>
        </w:rPr>
        <w:t>的</w:t>
      </w:r>
      <w:r>
        <w:t>解释</w:t>
      </w:r>
      <w:r>
        <w:rPr>
          <w:rFonts w:hint="eastAsia"/>
        </w:rPr>
        <w:t>》（以下简称“司法解释”）</w:t>
      </w:r>
      <w:r>
        <w:t>第43条</w:t>
      </w:r>
      <w:r>
        <w:rPr>
          <w:rFonts w:hint="eastAsia"/>
        </w:rPr>
        <w:t>却</w:t>
      </w:r>
      <w:r>
        <w:t>允许当事人通过约定禁止或限制抵押物转让，</w:t>
      </w:r>
      <w:r>
        <w:rPr>
          <w:rFonts w:hint="eastAsia"/>
        </w:rPr>
        <w:t>其效果烈度可达至否定抵押人与受让人转让之物权效力</w:t>
      </w:r>
      <w:r>
        <w:t>。</w:t>
      </w:r>
      <w:r>
        <w:rPr>
          <w:rStyle w:val="11"/>
        </w:rPr>
        <w:footnoteReference w:id="2"/>
      </w:r>
      <w:r>
        <w:rPr>
          <w:rFonts w:hint="eastAsia"/>
        </w:rPr>
        <w:t>从规范导向观察，《民法典》第4</w:t>
      </w:r>
      <w:r>
        <w:t>06</w:t>
      </w:r>
      <w:r>
        <w:rPr>
          <w:rFonts w:hint="eastAsia"/>
        </w:rPr>
        <w:t>条和司法解释第4</w:t>
      </w:r>
      <w:r>
        <w:t>3</w:t>
      </w:r>
      <w:r>
        <w:rPr>
          <w:rFonts w:hint="eastAsia"/>
        </w:rPr>
        <w:t>条</w:t>
      </w:r>
      <w:r>
        <w:t>存在明显张力：前者</w:t>
      </w:r>
      <w:r>
        <w:rPr>
          <w:rFonts w:hint="eastAsia"/>
        </w:rPr>
        <w:t>意在</w:t>
      </w:r>
      <w:r>
        <w:t>保护交易安全</w:t>
      </w:r>
      <w:r>
        <w:rPr>
          <w:rFonts w:hint="eastAsia"/>
        </w:rPr>
        <w:t>，注重抵押人和受让人的利益</w:t>
      </w:r>
      <w:r>
        <w:t>，后者则强化对抵押权的保护</w:t>
      </w:r>
      <w:r>
        <w:rPr>
          <w:rFonts w:hint="eastAsia"/>
        </w:rPr>
        <w:t>，体现对抵押权人的特殊关切。</w:t>
      </w:r>
      <w:r>
        <w:t>在不动产</w:t>
      </w:r>
      <w:r>
        <w:rPr>
          <w:rFonts w:hint="eastAsia"/>
        </w:rPr>
        <w:t>抵押</w:t>
      </w:r>
      <w:r>
        <w:t>与动产抵押的差异化场景下，如何</w:t>
      </w:r>
      <w:r>
        <w:rPr>
          <w:rFonts w:hint="eastAsia"/>
        </w:rPr>
        <w:t>调和抵</w:t>
      </w:r>
      <w:r>
        <w:t>押权保护与交易安全的价值冲突</w:t>
      </w:r>
      <w:r>
        <w:rPr>
          <w:rFonts w:hint="eastAsia"/>
        </w:rPr>
        <w:t>，亟需民法教义学回应。</w:t>
      </w:r>
      <w:r>
        <w:rPr>
          <w:rStyle w:val="11"/>
        </w:rPr>
        <w:footnoteReference w:id="3"/>
      </w:r>
      <w:r>
        <w:t xml:space="preserve"> </w:t>
      </w:r>
    </w:p>
    <w:p w14:paraId="64D515F4">
      <w:pPr>
        <w:pStyle w:val="25"/>
      </w:pPr>
      <w:r>
        <w:rPr>
          <w:rFonts w:hint="eastAsia"/>
        </w:rPr>
        <w:t>司法解释第4</w:t>
      </w:r>
      <w:r>
        <w:t>3</w:t>
      </w:r>
      <w:r>
        <w:rPr>
          <w:rFonts w:hint="eastAsia"/>
        </w:rPr>
        <w:t>条在实际适用上或有如下隐忧：本条但书条款的直接适用既不利于物之顺畅流转以及抵押人获取融资，又对抵押权之保护实无明显增益。如在不动产抵押场合，抵押人出于融资需要，虽其与抵押权人间存在抵押物禁、限转特约，仍将抵押物转让予第三人，第三人受让后并无损害抵押物价值的不当之举，但抵押权人据司法解释第4</w:t>
      </w:r>
      <w:r>
        <w:t>3</w:t>
      </w:r>
      <w:r>
        <w:rPr>
          <w:rFonts w:hint="eastAsia"/>
        </w:rPr>
        <w:t>条的但书规定，请求确认抵押物转让不发生物权效力，若径行适用前述规范，则第三人须将抵押物返还予抵押人，抵押人无法融资，而抵押权人亦投入诉讼成本，且其对抵押财产价值的控制力几无变化；又如在动产抵押场合，抵押人虽让与抵押物，但及时将抵押物的流转去向通知抵押权人，受让人知抵押当事人间的禁、限转特约或该特约之登记，对受让的抵押物无继续流转之意，且妥善使用；抑或受让人虽欲再次流转，但将交易信息及时通知抵押权人。此时若肯认抵押权人对司法解释第4</w:t>
      </w:r>
      <w:r>
        <w:t>3</w:t>
      </w:r>
      <w:r>
        <w:rPr>
          <w:rFonts w:hint="eastAsia"/>
        </w:rPr>
        <w:t>条但书规定的适用，则受让人须返还抵押物，甚至有陷于无权处分的风险，抵押人无法保有融资款，其后续的交易安排或受窒碍，而抵押权人空涉诉讼，抵押权的实现可能性几无差异。要言之，抵押物转让规范在教义学上应如何构造，方可防止实际适用时对抵押权人的保护恣意震荡交易安全，亦有疑问。</w:t>
      </w:r>
    </w:p>
    <w:p w14:paraId="7BBF46BC">
      <w:pPr>
        <w:pStyle w:val="25"/>
      </w:pPr>
      <w:r>
        <w:rPr>
          <w:rFonts w:hint="eastAsia"/>
        </w:rPr>
        <w:t>本文首先就抵押物转让规范的体系矛盾试做调和，以证成禁、限转特约的正当性，并根据其规范意旨提出适用方案。其次对司法解释第4</w:t>
      </w:r>
      <w:r>
        <w:t>3</w:t>
      </w:r>
      <w:r>
        <w:rPr>
          <w:rFonts w:hint="eastAsia"/>
        </w:rPr>
        <w:t>条体系效应予以分析。最后基于“防止损害抵押权”的规范核心，对抵押当事人的禁、限转特约的效力予以类型化</w:t>
      </w:r>
      <w:r>
        <w:t>。</w:t>
      </w:r>
    </w:p>
    <w:p w14:paraId="74099327">
      <w:pPr>
        <w:pStyle w:val="26"/>
      </w:pPr>
      <w:commentRangeStart w:id="0"/>
      <w:r>
        <w:rPr>
          <w:rFonts w:hint="eastAsia"/>
        </w:rPr>
        <w:t>二、抵押物禁、限转特约的正当性证成</w:t>
      </w:r>
      <w:commentRangeEnd w:id="0"/>
      <w:r>
        <w:commentReference w:id="0"/>
      </w:r>
    </w:p>
    <w:p w14:paraId="2E5F3EEC">
      <w:pPr>
        <w:pStyle w:val="25"/>
      </w:pPr>
      <w:r>
        <w:rPr>
          <w:rFonts w:hint="eastAsia"/>
        </w:rPr>
        <w:t>对于本问题的关键概念“抵押物”似不可一概而论，作为抵押物的不动产和动产，因其自身固有的物理属性和权利特点，在交易场景中会呈现出不同的流转样态，对抵押交易亦有不同影响。下文将立足不动产抵押物和动产抵押物各自的特殊性，首先分析《民法典》第4</w:t>
      </w:r>
      <w:r>
        <w:t>06</w:t>
      </w:r>
      <w:r>
        <w:rPr>
          <w:rFonts w:hint="eastAsia"/>
        </w:rPr>
        <w:t>条对二者的适用性，其次分析交易流转中可能出现的难解问题，最后探究抵押物禁止转让规则对前述问题的回应功能和制度理念。</w:t>
      </w:r>
    </w:p>
    <w:p w14:paraId="16FDB20A">
      <w:pPr>
        <w:pStyle w:val="3"/>
        <w:spacing w:line="240" w:lineRule="auto"/>
        <w:ind w:firstLine="482" w:firstLineChars="0"/>
        <w:rPr>
          <w:rFonts w:eastAsia="华文楷体"/>
        </w:rPr>
      </w:pPr>
      <w:r>
        <w:rPr>
          <w:rFonts w:hint="eastAsia" w:eastAsia="华文楷体"/>
        </w:rPr>
        <w:t>（一）不动产与动产抵押区分逻辑下的保护缺漏</w:t>
      </w:r>
    </w:p>
    <w:p w14:paraId="1DA3D5FE">
      <w:pPr>
        <w:pStyle w:val="27"/>
        <w:outlineLvl w:val="2"/>
      </w:pPr>
      <w:r>
        <w:t>1.</w:t>
      </w:r>
      <w:r>
        <w:rPr>
          <w:rFonts w:hint="eastAsia"/>
        </w:rPr>
        <w:t>不动产抵押的隐藏漏洞</w:t>
      </w:r>
    </w:p>
    <w:p w14:paraId="31553922">
      <w:pPr>
        <w:pStyle w:val="25"/>
      </w:pPr>
      <w:r>
        <w:rPr>
          <w:rFonts w:hint="eastAsia"/>
        </w:rPr>
        <w:t>关于《民法典》第4</w:t>
      </w:r>
      <w:r>
        <w:t>06</w:t>
      </w:r>
      <w:r>
        <w:rPr>
          <w:rFonts w:hint="eastAsia"/>
        </w:rPr>
        <w:t>条第1款的适用范围问题，理论界存在不同观点：有观点认为，抵押物自由转让和追及效力，应仅针对不动产抵押。</w:t>
      </w:r>
      <w:r>
        <w:rPr>
          <w:rStyle w:val="11"/>
        </w:rPr>
        <w:footnoteReference w:id="4"/>
      </w:r>
      <w:r>
        <w:rPr>
          <w:rFonts w:hint="eastAsia"/>
        </w:rPr>
        <w:t>该结论系由不动产的自然特点和不动产抵押的交易特性所推导出。具言之，不动产自身不会发生空间位移，其上抵押权亦因登记而设立，该不动产的受让人在取得该不动产时，必然面临登记簿上的抵押权登记，则自然会负担其上的抵押权。</w:t>
      </w:r>
      <w:r>
        <w:rPr>
          <w:rStyle w:val="11"/>
        </w:rPr>
        <w:footnoteReference w:id="5"/>
      </w:r>
      <w:r>
        <w:rPr>
          <w:rFonts w:hint="eastAsia"/>
        </w:rPr>
        <w:t>其相较于动产抵押而言，不动产抵押权人无需担心在行权时抵押物不知所踪；不动产抵押物因其物理固定性和登记透明性，使得不动产抵押的行权风险总体可控。或言之，仅就交易视角观察，不动产成为抵押财产后，其转让似不会损害抵押权；前述特点意味着不动产抵押权的主张、追及成本较低，且因在不动产上作出处分必然经由登记机关之登记予以实现，抵押人再行处分不动产抵押财产仍无害于抵押权利之安全。</w:t>
      </w:r>
      <w:r>
        <w:rPr>
          <w:rStyle w:val="11"/>
        </w:rPr>
        <w:footnoteReference w:id="6"/>
      </w:r>
    </w:p>
    <w:p w14:paraId="2D7D883F">
      <w:pPr>
        <w:pStyle w:val="25"/>
      </w:pPr>
      <w:r>
        <w:rPr>
          <w:rFonts w:hint="eastAsia"/>
        </w:rPr>
        <w:t>但从交易后视角看，不动产抵押权并非“坚如磐石”，如第三人在受让抵押财产后，可能对抵押财产为不当使用或用于非法用途，该类行为不仅可能有损于不动产之完整性，更对不动产所指向的担保价值产生巨大的减损威胁。</w:t>
      </w:r>
      <w:r>
        <w:rPr>
          <w:rStyle w:val="11"/>
        </w:rPr>
        <w:footnoteReference w:id="7"/>
      </w:r>
      <w:r>
        <w:rPr>
          <w:rFonts w:hint="eastAsia"/>
        </w:rPr>
        <w:t>例如，受让人将抵押的住房改为经营性住房、普通厂房改建为危化品仓库、滥砍乱伐抵押的林场上的林木，又或者受让人不具备维护抵押物的专业能力，</w:t>
      </w:r>
      <w:r>
        <w:rPr>
          <w:rStyle w:val="11"/>
        </w:rPr>
        <w:footnoteReference w:id="8"/>
      </w:r>
      <w:r>
        <w:rPr>
          <w:rFonts w:hint="eastAsia"/>
        </w:rPr>
        <w:t>抑或者改建破坏抵押房屋的承重结构等这些行为将直接对抵押物的价值产生减损，威胁到抵押权的完满实现。抵押权人虽可据《民法典》第4</w:t>
      </w:r>
      <w:r>
        <w:t>08</w:t>
      </w:r>
      <w:r>
        <w:rPr>
          <w:rFonts w:hint="eastAsia"/>
        </w:rPr>
        <w:t>条主张保全权，但一般认为，该权利并无强制执行力，</w:t>
      </w:r>
      <w:r>
        <w:rPr>
          <w:vertAlign w:val="superscript"/>
        </w:rPr>
        <w:footnoteReference w:id="9"/>
      </w:r>
      <w:r>
        <w:rPr>
          <w:rFonts w:hint="eastAsia"/>
        </w:rPr>
        <w:t>受让人不满足抵押权人保全请求的，由债务人承担提前清偿等不利后果。但若债务人难以提前清偿债务，此时抵押权利即面临实无保护的尴尬困境。亦有观点认为此时抵押权人可向受让人主张违约责任或者侵权责任，但这无疑忽略了问题的重点——即须重新恢复抵押权人对抵押价值的掌握与框定——无论主张前述何种责任，均无异于令抵押权人自降身份，从对特定财产的优先受偿地位，降至一般债权人地位，《民法典》第4</w:t>
      </w:r>
      <w:r>
        <w:t>08</w:t>
      </w:r>
      <w:r>
        <w:rPr>
          <w:rFonts w:hint="eastAsia"/>
        </w:rPr>
        <w:t>条对抵押权人的保护疲乏，在此种情形下暴露无遗，要言之，抵押权作为居于担保物权核心位置的权利，在权利保护层面，常会处于“丧失物权属性”并向债权性保护手段逃避的怪异局面，其权利指向亦会在此时由原本的指向“特定财产”变为指向抵押人或受让人的一般责任财产，该种“自断其臂”的规范学说使得在前文情形中对抵押权人保护极不周全。</w:t>
      </w:r>
      <w:commentRangeStart w:id="1"/>
      <w:r>
        <w:rPr>
          <w:rFonts w:hint="eastAsia"/>
        </w:rPr>
        <w:t>故法秩序须针对前述境况，对不动产抵押权予以补强，令抵押权人可以排除受让人对抵押物的进一步干预，固定与保全抵押价值，以填补不动产抵押领域的隐藏漏洞。</w:t>
      </w:r>
      <w:commentRangeEnd w:id="1"/>
      <w:r>
        <w:commentReference w:id="1"/>
      </w:r>
    </w:p>
    <w:p w14:paraId="43E0A9E2">
      <w:pPr>
        <w:pStyle w:val="27"/>
        <w:outlineLvl w:val="2"/>
      </w:pPr>
      <w:r>
        <w:t>2.</w:t>
      </w:r>
      <w:r>
        <w:rPr>
          <w:rFonts w:hint="eastAsia"/>
        </w:rPr>
        <w:t>动产抵押的特殊风险与保护需求</w:t>
      </w:r>
    </w:p>
    <w:p w14:paraId="1CE22A81">
      <w:pPr>
        <w:pStyle w:val="25"/>
      </w:pPr>
      <w:r>
        <w:rPr>
          <w:rFonts w:hint="eastAsia"/>
        </w:rPr>
        <w:t>动产抵押则不同，动产本身具有高度可流转性，且往往较之于不动产，其自身交易频次更高。一旦抵押财产脱离抵押人控制范围，则抵押权人意欲行权时会遭遇抵押物“不知所踪”的境况。</w:t>
      </w:r>
      <w:r>
        <w:rPr>
          <w:rStyle w:val="11"/>
        </w:rPr>
        <w:footnoteReference w:id="10"/>
      </w:r>
      <w:r>
        <w:rPr>
          <w:rFonts w:hint="eastAsia"/>
        </w:rPr>
        <w:t>有观点指出，动产因普遍具有流通性高、易损耗和被隐匿的特点，追及效力有时无法保障抵押权人对抵押财产的价值控制。</w:t>
      </w:r>
      <w:r>
        <w:rPr>
          <w:rStyle w:val="11"/>
        </w:rPr>
        <w:footnoteReference w:id="11"/>
      </w:r>
      <w:r>
        <w:rPr>
          <w:rFonts w:hint="eastAsia"/>
        </w:rPr>
        <w:t>简言之，动产抵押的抵押权实现成本较高且行权成功率不稳定。</w:t>
      </w:r>
      <w:r>
        <w:rPr>
          <w:rStyle w:val="11"/>
        </w:rPr>
        <w:footnoteReference w:id="12"/>
      </w:r>
      <w:r>
        <w:rPr>
          <w:rFonts w:hint="eastAsia"/>
        </w:rPr>
        <w:t>若动产抵押想切实发挥担保功能，除必要制度建设外，有学者指出，在抵押合同当事人间建构限制抵押物转让的规则实有必要，要言之，对动产抵押，禁止、限制抵押物转让为动产抵押本有之义。</w:t>
      </w:r>
      <w:r>
        <w:rPr>
          <w:rStyle w:val="11"/>
        </w:rPr>
        <w:footnoteReference w:id="13"/>
      </w:r>
      <w:r>
        <w:rPr>
          <w:rFonts w:hint="eastAsia"/>
        </w:rPr>
        <w:t>这一论断在实践中亦有印证，动产抵押场景下，一般在合同设计上都会写明限制或禁止抵押人就抵押财产再行处分。</w:t>
      </w:r>
      <w:r>
        <w:rPr>
          <w:rStyle w:val="11"/>
        </w:rPr>
        <w:footnoteReference w:id="14"/>
      </w:r>
    </w:p>
    <w:p w14:paraId="2B8563D1">
      <w:pPr>
        <w:pStyle w:val="25"/>
      </w:pPr>
      <w:r>
        <w:rPr>
          <w:rFonts w:hint="eastAsia"/>
        </w:rPr>
        <w:t>有学者基于前述观点，认为《民法典》第4</w:t>
      </w:r>
      <w:r>
        <w:t>06</w:t>
      </w:r>
      <w:r>
        <w:rPr>
          <w:rFonts w:hint="eastAsia"/>
        </w:rPr>
        <w:t>条，即抵押物自由转让和追及效力，应适用于不动产抵押，对动产抵押则不适用。而另有观点认为，第4</w:t>
      </w:r>
      <w:r>
        <w:t>06</w:t>
      </w:r>
      <w:r>
        <w:rPr>
          <w:rFonts w:hint="eastAsia"/>
        </w:rPr>
        <w:t>条第1款并无必要采取“仅适用于不动产抵押”的解释方案，因从本条文义观之，并不能解读出动产抵押之特殊性。且联系第4</w:t>
      </w:r>
      <w:r>
        <w:t>03</w:t>
      </w:r>
      <w:r>
        <w:rPr>
          <w:rFonts w:hint="eastAsia"/>
        </w:rPr>
        <w:t>条、第4</w:t>
      </w:r>
      <w:r>
        <w:t>04</w:t>
      </w:r>
      <w:r>
        <w:rPr>
          <w:rFonts w:hint="eastAsia"/>
        </w:rPr>
        <w:t>条，难言法秩序有禁止、限制动产抵押物转让之倾向。学界亦有学者指出，抵押人在设定抵押权后对抵押物继续占有，这决定了对动产抵押物，抵押人可将其继续出让和出租。</w:t>
      </w:r>
      <w:r>
        <w:rPr>
          <w:rStyle w:val="11"/>
        </w:rPr>
        <w:footnoteReference w:id="15"/>
      </w:r>
    </w:p>
    <w:p w14:paraId="3753114F">
      <w:pPr>
        <w:pStyle w:val="25"/>
      </w:pPr>
      <w:r>
        <w:rPr>
          <w:rFonts w:hint="eastAsia"/>
        </w:rPr>
        <w:t>前者观点敏锐地察觉到不动产抵押和动产抵押虽名归于抵押之下，但实则差别甚巨；关键在于，动产因其自身高度流动性，确实使得动产抵押权的行权难度骤然提高；</w:t>
      </w:r>
      <w:r>
        <w:rPr>
          <w:rStyle w:val="11"/>
        </w:rPr>
        <w:footnoteReference w:id="16"/>
      </w:r>
      <w:r>
        <w:rPr>
          <w:rFonts w:hint="eastAsia"/>
        </w:rPr>
        <w:t>而不动产因其固定性，故行权难度较小。</w:t>
      </w:r>
      <w:r>
        <w:rPr>
          <w:rStyle w:val="11"/>
        </w:rPr>
        <w:footnoteReference w:id="17"/>
      </w:r>
      <w:r>
        <w:rPr>
          <w:rFonts w:hint="eastAsia"/>
        </w:rPr>
        <w:t>持前者观点者同样认识到，对动产抵押物的限制，本质上系为了减缩动产抵押权的行权成本，降低行权难度，质言之，即保护动产抵押权人。但正如后者观点所言，法条文义并未展现出区分对待的倾向。</w:t>
      </w:r>
      <w:r>
        <w:rPr>
          <w:rStyle w:val="11"/>
        </w:rPr>
        <w:footnoteReference w:id="18"/>
      </w:r>
      <w:r>
        <w:rPr>
          <w:rFonts w:hint="eastAsia"/>
        </w:rPr>
        <w:t>并且，若采取“第4</w:t>
      </w:r>
      <w:r>
        <w:t>06</w:t>
      </w:r>
      <w:r>
        <w:rPr>
          <w:rFonts w:hint="eastAsia"/>
        </w:rPr>
        <w:t>条不适用于动产”这一解释论方案，则会面临与司法解释第4</w:t>
      </w:r>
      <w:r>
        <w:t>3</w:t>
      </w:r>
      <w:r>
        <w:rPr>
          <w:rFonts w:hint="eastAsia"/>
        </w:rPr>
        <w:t>条冲突。具言之，若认为动产抵押天然地具有“禁止、限制抵押物转让”的倾向，则对抵押物的禁止或限制转让应为动产抵押的默认规则、动产抵押合同当事人的应有合意，当事人无须另外约定；而司法解释第4</w:t>
      </w:r>
      <w:r>
        <w:t>3</w:t>
      </w:r>
      <w:r>
        <w:rPr>
          <w:rFonts w:hint="eastAsia"/>
        </w:rPr>
        <w:t>条使用的是“当事人约定”，也即当事人对于禁转、限转约定需要明确另有约定，这与前述“禁、限转抵押物为当事人应有合意”的解释论方案似有矛盾。</w:t>
      </w:r>
    </w:p>
    <w:p w14:paraId="08CBC903">
      <w:pPr>
        <w:pStyle w:val="25"/>
      </w:pPr>
      <w:r>
        <w:rPr>
          <w:rFonts w:hint="eastAsia"/>
        </w:rPr>
        <w:t>此外，从物权法之意旨观察，其主张“物尽其用，物畅其流”，而禁止或限制抵押物转让的动产抵押显然与该意旨相去甚远；另言之，若动产抵押亦以禁转、限转为底色，则其与动产质押究有几多真正不同，亦有疑问，也即在体系角度观察，既然法秩序区分了动产抵押和动产质押，则二者自不得名异而实同。并且，从一般意义上，动产抵押权人虽会有行权难度大的风险，但抵押物之转让未曾不为债权人之债权满足作出贡献——或言之，抵押物虽负担抵押权，但仍可为抵押人自由支配，投入至交易流转中，为抵押人获得更多融资，其未尝不为抵押人创造收益，以增大其债务清偿之可能。故似只得认为，动产抵押物一经转让便会触发的较大行权难度，是动产抵押权之“固有特点”，在交易活动中选择该制度，享其利，自应受其可能之不利。</w:t>
      </w:r>
    </w:p>
    <w:p w14:paraId="0CEB2C3E">
      <w:pPr>
        <w:pStyle w:val="25"/>
      </w:pPr>
      <w:r>
        <w:rPr>
          <w:rFonts w:hint="eastAsia"/>
        </w:rPr>
        <w:t>该不利亦非毫无缓解之策，《民法典》第4</w:t>
      </w:r>
      <w:r>
        <w:t>06</w:t>
      </w:r>
      <w:r>
        <w:rPr>
          <w:rFonts w:hint="eastAsia"/>
        </w:rPr>
        <w:t>条第2款规定，抵押人转让抵押财产需告知抵押权人，若无通知则有可能受“提前清偿债务”或者“提存转让所得”之不利益，并须承担违约责任。在该规则模式下，第4</w:t>
      </w:r>
      <w:r>
        <w:t>06</w:t>
      </w:r>
      <w:r>
        <w:rPr>
          <w:rFonts w:hint="eastAsia"/>
        </w:rPr>
        <w:t>条第2款有较大可能激励抵押人积极通知抵押权人，以免受前述可能之不利，同时也会降低抵押权人行使抵押权的调查成本。</w:t>
      </w:r>
    </w:p>
    <w:p w14:paraId="504C87BD">
      <w:pPr>
        <w:pStyle w:val="25"/>
      </w:pPr>
      <w:r>
        <w:rPr>
          <w:rFonts w:hint="eastAsia"/>
        </w:rPr>
        <w:t>不过，前述缓解之策在复杂的现实交易中，对抵押权的保护恐仍力有不逮。其规范设计漏洞在于，边缘情形下，抵押人已暗自将抵押财产转让，连同转让财产所得在内的抵押人资产亦消耗殆尽，</w:t>
      </w:r>
      <w:r>
        <w:rPr>
          <w:rStyle w:val="11"/>
        </w:rPr>
        <w:footnoteReference w:id="19"/>
      </w:r>
      <w:r>
        <w:rPr>
          <w:rFonts w:hint="eastAsia"/>
        </w:rPr>
        <w:t>此时追究抵押人违约责任意义甚微，抵押权之“优先受偿”的物权性权利优势，在前述语境下骤然减损，与普通债权几无差异。</w:t>
      </w:r>
      <w:r>
        <w:rPr>
          <w:rStyle w:val="11"/>
        </w:rPr>
        <w:footnoteReference w:id="20"/>
      </w:r>
      <w:r>
        <w:rPr>
          <w:rFonts w:hint="eastAsia"/>
        </w:rPr>
        <w:t>质言之，单依靠第4</w:t>
      </w:r>
      <w:r>
        <w:t>06</w:t>
      </w:r>
      <w:r>
        <w:rPr>
          <w:rFonts w:hint="eastAsia"/>
        </w:rPr>
        <w:t>条第2款难以完成对抵押权人的完满保护，该种不完满的规范设计将对现实交易中潜在的动产抵押权人产生负面激励，同时也不利于动产担保制度的广泛应用与发展。故在规范供给层面，需要对抵押权保护强度更高的条款，其在抵押权人法律地位岌岌可危时始被触发，以重新赋予抵押权人对抵押财产担保价值的掌控力。</w:t>
      </w:r>
    </w:p>
    <w:p w14:paraId="23002F42">
      <w:pPr>
        <w:pStyle w:val="27"/>
      </w:pPr>
      <w:r>
        <w:rPr>
          <w:rFonts w:hint="eastAsia"/>
        </w:rPr>
        <w:t>（二）抵押物禁止转让特约的缺陷弥补功能与自治品格</w:t>
      </w:r>
    </w:p>
    <w:p w14:paraId="5921C965">
      <w:pPr>
        <w:pStyle w:val="25"/>
      </w:pPr>
      <w:r>
        <w:rPr>
          <w:rFonts w:hint="eastAsia"/>
        </w:rPr>
        <w:t>如上所述，不动产抵押因其本有的交易特性，自流转角度较为安全，但恐在债务人无清偿可能时，抵押权人对损害抵押财产的受让人仍束手无策；动产抵押因其高度的可流转性与频繁的交易频次，纵有第4</w:t>
      </w:r>
      <w:r>
        <w:t>06</w:t>
      </w:r>
      <w:r>
        <w:rPr>
          <w:rFonts w:hint="eastAsia"/>
        </w:rPr>
        <w:t>条第2款加持，在现实交易中亦有保护无力之处。</w:t>
      </w:r>
      <w:r>
        <w:rPr>
          <w:rStyle w:val="11"/>
        </w:rPr>
        <w:footnoteReference w:id="21"/>
      </w:r>
      <w:r>
        <w:rPr>
          <w:rFonts w:hint="eastAsia"/>
        </w:rPr>
        <w:t>《民法典》第4</w:t>
      </w:r>
      <w:r>
        <w:t>06</w:t>
      </w:r>
      <w:r>
        <w:rPr>
          <w:rFonts w:hint="eastAsia"/>
        </w:rPr>
        <w:t>条和司法解释第</w:t>
      </w:r>
      <w:r>
        <w:t>43</w:t>
      </w:r>
      <w:r>
        <w:rPr>
          <w:rFonts w:hint="eastAsia"/>
        </w:rPr>
        <w:t>条的关系，虽自表面看，存在着由两种完全相反的规范意旨产生的价值张力，但自具体观察，两者并非冲突，而是补充与被补充的关系。第4</w:t>
      </w:r>
      <w:r>
        <w:t>06</w:t>
      </w:r>
      <w:r>
        <w:rPr>
          <w:rFonts w:hint="eastAsia"/>
        </w:rPr>
        <w:t>条在确定抵押物自由流转的方向时，也留下了对抵押权人保护不周的制度缺口。质言之，抵押权人并不实际控制抵押财产，自然对担保价值的掌控力较弱，</w:t>
      </w:r>
      <w:r>
        <w:rPr>
          <w:rStyle w:val="11"/>
        </w:rPr>
        <w:footnoteReference w:id="22"/>
      </w:r>
      <w:r>
        <w:rPr>
          <w:rFonts w:hint="eastAsia"/>
        </w:rPr>
        <w:t>面对与自身利益并不相同的受让人，抵押权人无法在担保价值流失时对其予以固定。</w:t>
      </w:r>
      <w:r>
        <w:rPr>
          <w:rStyle w:val="11"/>
        </w:rPr>
        <w:footnoteReference w:id="23"/>
      </w:r>
    </w:p>
    <w:p w14:paraId="00382068">
      <w:pPr>
        <w:pStyle w:val="25"/>
      </w:pPr>
      <w:commentRangeStart w:id="2"/>
      <w:r>
        <w:rPr>
          <w:rFonts w:hint="eastAsia"/>
        </w:rPr>
        <w:t>前述缺口，可从司法解释第4</w:t>
      </w:r>
      <w:r>
        <w:t>3</w:t>
      </w:r>
      <w:r>
        <w:rPr>
          <w:rFonts w:hint="eastAsia"/>
        </w:rPr>
        <w:t>条与第4</w:t>
      </w:r>
      <w:r>
        <w:t>06</w:t>
      </w:r>
      <w:r>
        <w:rPr>
          <w:rFonts w:hint="eastAsia"/>
        </w:rPr>
        <w:t>条的联动效应中获得弥补。《民法典》第4</w:t>
      </w:r>
      <w:r>
        <w:t>06</w:t>
      </w:r>
      <w:r>
        <w:rPr>
          <w:rFonts w:hint="eastAsia"/>
        </w:rPr>
        <w:t>条第1款第2句“当事人另有约定的，按照其约定”，为抵押权人与抵押人订定禁、限转特约提供了法理依据与制度窗口，而司法解释第4</w:t>
      </w:r>
      <w:r>
        <w:t>3</w:t>
      </w:r>
      <w:r>
        <w:rPr>
          <w:rFonts w:hint="eastAsia"/>
        </w:rPr>
        <w:t>条具体化了抵押财产禁、限转特约的法效果。特约未登记但受让人知道，以及特约登记时，抵押财产转让的物权效力将被否定，由此受让人须返还抵押财产，抵押权人可借此固定担保价值，重新实现对担保价值的掌控，增加抵押权获完满实现的概率。或言之，法秩序对当事人为禁转、限转特约以及其产生涉他效力的容许，其目的在于降低在原有法秩序下抵押权人的行权成本与难度，保障抵押权利的完满实现，具有“缺陷弥补功能”。</w:t>
      </w:r>
      <w:commentRangeEnd w:id="2"/>
      <w:r>
        <w:commentReference w:id="2"/>
      </w:r>
      <w:r>
        <w:rPr>
          <w:rStyle w:val="11"/>
        </w:rPr>
        <w:footnoteReference w:id="24"/>
      </w:r>
    </w:p>
    <w:p w14:paraId="043FDACD">
      <w:pPr>
        <w:pStyle w:val="25"/>
      </w:pPr>
      <w:r>
        <w:rPr>
          <w:rFonts w:hint="eastAsia"/>
        </w:rPr>
        <w:t>在功能性视角外，抵押物禁转特约通过《民法典》第</w:t>
      </w:r>
      <w:r>
        <w:t>406</w:t>
      </w:r>
      <w:r>
        <w:rPr>
          <w:rFonts w:hint="eastAsia"/>
        </w:rPr>
        <w:t>条和司法解释第4</w:t>
      </w:r>
      <w:r>
        <w:t>3</w:t>
      </w:r>
      <w:r>
        <w:rPr>
          <w:rFonts w:hint="eastAsia"/>
        </w:rPr>
        <w:t>条的规范联动，展现了法秩序对私主体间契约自由的关切，该种关切也延伸到了法秩序对抵押权内容的扩展。要言之，抵押权系意定担保权，其本质为通过当事人的合意形成针对特定财产优先受偿的财产拘束关系；法秩序允许抵押权人与抵押人通过约定对抵押物转让进行限制，是对抵押权“意定”要素的确认与重申，亦为对私法自治原则的呼应——当事人基于风险评估与利益衡量，通过合意对物的流转自由施加合理限制，就抵押权可实现性与交易安全的潜在冲突作出自主安排。</w:t>
      </w:r>
      <w:commentRangeStart w:id="3"/>
      <w:r>
        <w:rPr>
          <w:rFonts w:hint="eastAsia"/>
        </w:rPr>
        <w:t>申言之，《民法典》第</w:t>
      </w:r>
      <w:r>
        <w:t>406</w:t>
      </w:r>
      <w:r>
        <w:rPr>
          <w:rFonts w:hint="eastAsia"/>
        </w:rPr>
        <w:t>条的“另有约定”和司法解释第</w:t>
      </w:r>
      <w:r>
        <w:t>43</w:t>
      </w:r>
      <w:r>
        <w:rPr>
          <w:rFonts w:hint="eastAsia"/>
        </w:rPr>
        <w:t>条的具体法效果，为抵押当事人创设了风险分配的自我决定空间，抵押当事人可通过禁、限转特约软化物权法定的固定框架，以自治方式重构抵押物处分权的边界。</w:t>
      </w:r>
      <w:commentRangeEnd w:id="3"/>
      <w:r>
        <w:commentReference w:id="3"/>
      </w:r>
      <w:r>
        <w:rPr>
          <w:rFonts w:hint="eastAsia"/>
        </w:rPr>
        <w:t>抵押权人通过该特约，可在事前作出权利保护的特殊安排并设置触发条件，从而更为主动地锁定担保价值，完成抵押权保护。法秩序的该种规范设计，彰显了抵押权作为意定担保权利的应有自治品格，并折射出法秩序对担保交易主体进行自主安排的信任与鼓励态度。</w:t>
      </w:r>
    </w:p>
    <w:p w14:paraId="20B9939D">
      <w:pPr>
        <w:pStyle w:val="4"/>
      </w:pPr>
    </w:p>
    <w:p w14:paraId="0A60A52C">
      <w:pPr>
        <w:pStyle w:val="26"/>
      </w:pPr>
      <w:r>
        <w:rPr>
          <w:rFonts w:hint="eastAsia"/>
        </w:rPr>
        <w:t>三、抵押物禁止转让特约的基本限缩方向与体系协调</w:t>
      </w:r>
    </w:p>
    <w:p w14:paraId="38AD3FF2">
      <w:pPr>
        <w:pStyle w:val="27"/>
      </w:pPr>
      <w:r>
        <w:rPr>
          <w:rFonts w:hint="eastAsia"/>
        </w:rPr>
        <w:t>（一）抵押物禁止转让特约的基本限缩方向</w:t>
      </w:r>
    </w:p>
    <w:p w14:paraId="697AF686">
      <w:pPr>
        <w:pStyle w:val="25"/>
      </w:pPr>
      <w:r>
        <w:rPr>
          <w:rFonts w:hint="eastAsia"/>
        </w:rPr>
        <w:t>司法解释的任务系“更好的适用法律”，而司法解释本身可能亦须解释方得适用。如前所述，司法解释第4</w:t>
      </w:r>
      <w:r>
        <w:t>3</w:t>
      </w:r>
      <w:r>
        <w:rPr>
          <w:rFonts w:hint="eastAsia"/>
        </w:rPr>
        <w:t>条具有“缺陷弥补功能”，作为《民法典》第4</w:t>
      </w:r>
      <w:r>
        <w:t>06</w:t>
      </w:r>
      <w:r>
        <w:rPr>
          <w:rFonts w:hint="eastAsia"/>
        </w:rPr>
        <w:t>条对抵押权保护不足处的“补丁”，其与第4</w:t>
      </w:r>
      <w:r>
        <w:t>06</w:t>
      </w:r>
      <w:r>
        <w:rPr>
          <w:rFonts w:hint="eastAsia"/>
        </w:rPr>
        <w:t>条的适用关系，以及二规范背后的价值判断</w:t>
      </w:r>
      <w:r>
        <w:rPr>
          <w:rStyle w:val="11"/>
        </w:rPr>
        <w:footnoteReference w:id="25"/>
      </w:r>
      <w:r>
        <w:rPr>
          <w:rFonts w:hint="eastAsia"/>
        </w:rPr>
        <w:t>，必然存在着主次之分。《民法典》第</w:t>
      </w:r>
      <w:r>
        <w:t>406</w:t>
      </w:r>
      <w:r>
        <w:rPr>
          <w:rFonts w:hint="eastAsia"/>
        </w:rPr>
        <w:t>条透露出法秩序对“物尽其用，物畅其流”原则的根本性确认，这也奠定了《民法典》第</w:t>
      </w:r>
      <w:r>
        <w:t>406</w:t>
      </w:r>
      <w:r>
        <w:rPr>
          <w:rFonts w:hint="eastAsia"/>
        </w:rPr>
        <w:t>条和司法解释第4</w:t>
      </w:r>
      <w:r>
        <w:t>3</w:t>
      </w:r>
      <w:r>
        <w:rPr>
          <w:rFonts w:hint="eastAsia"/>
        </w:rPr>
        <w:t>条的解释论方向，在坚守“物尽其用，物畅其流”的效率原则基础上，为了保护抵押权和抵押制度，增进潜在担保权利人对抵押制度的信心，应当有限制地容许当事人的禁转、限转特约的涉他效力之存在。</w:t>
      </w:r>
      <w:r>
        <w:rPr>
          <w:rStyle w:val="11"/>
        </w:rPr>
        <w:footnoteReference w:id="26"/>
      </w:r>
      <w:r>
        <w:rPr>
          <w:rFonts w:hint="eastAsia"/>
        </w:rPr>
        <w:t>换言之，较之物权法时代，</w:t>
      </w:r>
      <w:r>
        <w:rPr>
          <w:rStyle w:val="11"/>
        </w:rPr>
        <w:footnoteReference w:id="27"/>
      </w:r>
      <w:r>
        <w:rPr>
          <w:rFonts w:hint="eastAsia"/>
        </w:rPr>
        <w:t>法秩序对抵押物转让规则的设计理念已发生根本性转向，《民法典》第4</w:t>
      </w:r>
      <w:r>
        <w:t>06</w:t>
      </w:r>
      <w:r>
        <w:rPr>
          <w:rFonts w:hint="eastAsia"/>
        </w:rPr>
        <w:t>条已将加速抵押财产流转，充分发挥物之效用，促进交易便捷作为其首要目标。</w:t>
      </w:r>
      <w:r>
        <w:rPr>
          <w:rStyle w:val="11"/>
        </w:rPr>
        <w:footnoteReference w:id="28"/>
      </w:r>
      <w:r>
        <w:rPr>
          <w:rFonts w:hint="eastAsia"/>
        </w:rPr>
        <w:t>在解释论作业上，须对司法解释第4</w:t>
      </w:r>
      <w:r>
        <w:t>3</w:t>
      </w:r>
      <w:r>
        <w:rPr>
          <w:rFonts w:hint="eastAsia"/>
        </w:rPr>
        <w:t>条作目的性限缩，</w:t>
      </w:r>
      <w:r>
        <w:rPr>
          <w:rStyle w:val="11"/>
        </w:rPr>
        <w:footnoteReference w:id="29"/>
      </w:r>
      <w:commentRangeStart w:id="4"/>
      <w:r>
        <w:rPr>
          <w:rFonts w:hint="eastAsia"/>
        </w:rPr>
        <w:t>唯在损害抵押权情形下，方得适用该规范。要言之，司法解释第4</w:t>
      </w:r>
      <w:r>
        <w:t>3</w:t>
      </w:r>
      <w:r>
        <w:rPr>
          <w:rFonts w:hint="eastAsia"/>
        </w:rPr>
        <w:t>条的两个条款均存在文义过于宽泛的问题，而若径行适用，则可能导致抵押财产之转让动辄被否定，这无异于本处于次位保护的抵押权“僭越”处于优位保护的物之流转自由。</w:t>
      </w:r>
      <w:commentRangeEnd w:id="4"/>
      <w:r>
        <w:commentReference w:id="4"/>
      </w:r>
      <w:r>
        <w:rPr>
          <w:rStyle w:val="11"/>
        </w:rPr>
        <w:footnoteReference w:id="30"/>
      </w:r>
    </w:p>
    <w:p w14:paraId="2D505F7A">
      <w:pPr>
        <w:pStyle w:val="27"/>
        <w:outlineLvl w:val="2"/>
      </w:pPr>
      <w:r>
        <w:rPr>
          <w:rFonts w:hint="eastAsia"/>
        </w:rPr>
        <w:t>1</w:t>
      </w:r>
      <w:r>
        <w:t>.</w:t>
      </w:r>
      <w:r>
        <w:rPr>
          <w:rFonts w:hint="eastAsia"/>
        </w:rPr>
        <w:t>抵押权无法自债务人处获得完满实现</w:t>
      </w:r>
    </w:p>
    <w:p w14:paraId="7F6B9B44">
      <w:pPr>
        <w:pStyle w:val="25"/>
      </w:pPr>
      <w:r>
        <w:rPr>
          <w:rFonts w:hint="eastAsia"/>
        </w:rPr>
        <w:t>目的性限缩需要基于规范目的和体系要求，可为当下法规范的适用增加构成要件。</w:t>
      </w:r>
      <w:r>
        <w:rPr>
          <w:rStyle w:val="11"/>
        </w:rPr>
        <w:footnoteReference w:id="31"/>
      </w:r>
      <w:r>
        <w:rPr>
          <w:rFonts w:hint="eastAsia"/>
        </w:rPr>
        <w:t>首先需厘清的是《民法典》第4</w:t>
      </w:r>
      <w:r>
        <w:t>06</w:t>
      </w:r>
      <w:r>
        <w:rPr>
          <w:rFonts w:hint="eastAsia"/>
        </w:rPr>
        <w:t>条和司法解释第4</w:t>
      </w:r>
      <w:r>
        <w:t>3</w:t>
      </w:r>
      <w:r>
        <w:rPr>
          <w:rFonts w:hint="eastAsia"/>
        </w:rPr>
        <w:t>条的适用关系。两个条文在规范目的上相同，均旨在保护抵押权。但自保护强度观察，第4</w:t>
      </w:r>
      <w:r>
        <w:t>06</w:t>
      </w:r>
      <w:r>
        <w:rPr>
          <w:rFonts w:hint="eastAsia"/>
        </w:rPr>
        <w:t>条的保护强度弱于司法解释第4</w:t>
      </w:r>
      <w:r>
        <w:t>3</w:t>
      </w:r>
      <w:r>
        <w:rPr>
          <w:rFonts w:hint="eastAsia"/>
        </w:rPr>
        <w:t>条，</w:t>
      </w:r>
      <w:commentRangeStart w:id="5"/>
      <w:r>
        <w:rPr>
          <w:rFonts w:hint="eastAsia"/>
        </w:rPr>
        <w:t>另言之，第4</w:t>
      </w:r>
      <w:r>
        <w:t>06</w:t>
      </w:r>
      <w:r>
        <w:rPr>
          <w:rFonts w:hint="eastAsia"/>
        </w:rPr>
        <w:t>条对抵押权的保护强度较弱，意味着对受让人一侧交易安全的侵入较弱；反之，司法解释第4</w:t>
      </w:r>
      <w:r>
        <w:t>3</w:t>
      </w:r>
      <w:r>
        <w:rPr>
          <w:rFonts w:hint="eastAsia"/>
        </w:rPr>
        <w:t>条以“否定抵押财产转让之物权行为效力”彰显其对抵押权保护之强硬，但反射至受让人一侧，也即意味着其交易安全将受巨大动荡。</w:t>
      </w:r>
      <w:commentRangeEnd w:id="5"/>
      <w:r>
        <w:commentReference w:id="5"/>
      </w:r>
      <w:r>
        <w:rPr>
          <w:rFonts w:hint="eastAsia"/>
        </w:rPr>
        <w:t>从对抵押权的保护强度和对受让人一侧交易安全的影响烈度观察，因法秩序的价值判断应以保护物之交易流转为先，故在适用关系上，第4</w:t>
      </w:r>
      <w:r>
        <w:t>06</w:t>
      </w:r>
      <w:r>
        <w:rPr>
          <w:rFonts w:hint="eastAsia"/>
        </w:rPr>
        <w:t>条应先于司法解释第4</w:t>
      </w:r>
      <w:r>
        <w:t>3</w:t>
      </w:r>
      <w:r>
        <w:rPr>
          <w:rFonts w:hint="eastAsia"/>
        </w:rPr>
        <w:t>条适用。</w:t>
      </w:r>
    </w:p>
    <w:p w14:paraId="5E3078A3">
      <w:pPr>
        <w:pStyle w:val="25"/>
      </w:pPr>
      <w:r>
        <w:rPr>
          <w:rFonts w:hint="eastAsia"/>
        </w:rPr>
        <w:t>勾连到具体的解释学作业上，有观点指出，第4</w:t>
      </w:r>
      <w:r>
        <w:t>06</w:t>
      </w:r>
      <w:r>
        <w:rPr>
          <w:rFonts w:hint="eastAsia"/>
        </w:rPr>
        <w:t>条第2款的价金物上代位权和追及权系非此即彼的关系，</w:t>
      </w:r>
      <w:r>
        <w:rPr>
          <w:rStyle w:val="11"/>
        </w:rPr>
        <w:footnoteReference w:id="32"/>
      </w:r>
      <w:r>
        <w:rPr>
          <w:rFonts w:hint="eastAsia"/>
        </w:rPr>
        <w:t>则问题的关键在于担保债权额度与抵押财产转让价金的对比，以及抵押权人的债权满足情况，这也与现实交易情况所契合，若转让价金大于或等于担保债权额，抵押权人行权而使其债权或完满清偿，自无动机与必要再对抵押财产转让之物权行为予以质疑。反言之，若转让价金小于担保债权额或转让价金虽大于担保债权额但抵押权人欲行权时早已所剩无几，则第4</w:t>
      </w:r>
      <w:r>
        <w:t>06</w:t>
      </w:r>
      <w:r>
        <w:rPr>
          <w:rFonts w:hint="eastAsia"/>
        </w:rPr>
        <w:t>条所提供的救济渠道对抵押权人之保护自是不足。</w:t>
      </w:r>
      <w:r>
        <w:rPr>
          <w:rStyle w:val="11"/>
        </w:rPr>
        <w:footnoteReference w:id="33"/>
      </w:r>
    </w:p>
    <w:p w14:paraId="0490E5A7">
      <w:pPr>
        <w:pStyle w:val="25"/>
      </w:pPr>
      <w:r>
        <w:rPr>
          <w:rFonts w:hint="eastAsia"/>
        </w:rPr>
        <w:t>不过，这对进入司法解释第4</w:t>
      </w:r>
      <w:r>
        <w:t>3</w:t>
      </w:r>
      <w:r>
        <w:rPr>
          <w:rFonts w:hint="eastAsia"/>
        </w:rPr>
        <w:t>条的适用轨道仍为时尚早，因为抵押权人自可不选择行使价金物上代位权，</w:t>
      </w:r>
      <w:r>
        <w:rPr>
          <w:rStyle w:val="11"/>
        </w:rPr>
        <w:footnoteReference w:id="34"/>
      </w:r>
      <w:r>
        <w:rPr>
          <w:rFonts w:hint="eastAsia"/>
        </w:rPr>
        <w:t>而仍依抵押权而行使追及权，若行权成功，也无必要否定抵押财产转让之物权效力。进言之，若欲触发司法解释第4</w:t>
      </w:r>
      <w:r>
        <w:t>3</w:t>
      </w:r>
      <w:r>
        <w:rPr>
          <w:rFonts w:hint="eastAsia"/>
        </w:rPr>
        <w:t>条的适用，则需在前文基础上，再加入“损害抵押权”之判断标准。</w:t>
      </w:r>
    </w:p>
    <w:p w14:paraId="45C6E261">
      <w:pPr>
        <w:pStyle w:val="27"/>
        <w:outlineLvl w:val="2"/>
      </w:pPr>
      <w:commentRangeStart w:id="6"/>
      <w:r>
        <w:rPr>
          <w:rFonts w:hint="eastAsia"/>
        </w:rPr>
        <w:t>2</w:t>
      </w:r>
      <w:r>
        <w:t>.</w:t>
      </w:r>
      <w:r>
        <w:rPr>
          <w:rFonts w:hint="eastAsia"/>
        </w:rPr>
        <w:t>存在损害抵押权的行为</w:t>
      </w:r>
    </w:p>
    <w:p w14:paraId="79E76B3E">
      <w:pPr>
        <w:pStyle w:val="25"/>
      </w:pPr>
      <w:r>
        <w:rPr>
          <w:rFonts w:hint="eastAsia"/>
        </w:rPr>
        <w:t>不动产抵押场合，因不动产转让需经登记，则抵押权人通常可以追及，如前文所述，该场合关注之焦点，系受让人可能会不当使用抵押财产或将其用于非法用途等，具言之，例如，受让人对抵押物为破坏性改造，改变抵押财产的原有用途（如将作为抵押财产的工业厂房用于存放危化品）或对其疏于维护；或者受让人利用抵押房屋从事洗钱、非法存储管制物品，有可能导致抵押房屋存在被扣押的风险。</w:t>
      </w:r>
    </w:p>
    <w:p w14:paraId="3E0A18B8">
      <w:pPr>
        <w:pStyle w:val="25"/>
      </w:pPr>
      <w:r>
        <w:rPr>
          <w:rFonts w:hint="eastAsia"/>
        </w:rPr>
        <w:t>动产抵押场合，因其流转无需经登记，除受让人对抵押财产不当使用、非法使用外，</w:t>
      </w:r>
      <w:r>
        <w:rPr>
          <w:rStyle w:val="11"/>
        </w:rPr>
        <w:footnoteReference w:id="35"/>
      </w:r>
      <w:r>
        <w:rPr>
          <w:rFonts w:hint="eastAsia"/>
        </w:rPr>
        <w:t>受让人存在隐匿抵押财产或跨境转让等骤然提高抵押权人行权成本的行为，亦可认定为“损害抵押权”。具言之，例如，动产抵押物的受让人拒不透露抵押物转让去向，受让人将抵押设备转让予境外次受让人等。但有疑问者，为受让人将抵押财产转让予以售卖抵押财产所属物之种类为业的出售商时，是否亦属于“损害抵押权”，该疑问将在后文回应。</w:t>
      </w:r>
      <w:commentRangeEnd w:id="6"/>
      <w:r>
        <w:commentReference w:id="6"/>
      </w:r>
    </w:p>
    <w:p w14:paraId="2463139A">
      <w:pPr>
        <w:pStyle w:val="4"/>
      </w:pPr>
      <w:r>
        <w:tab/>
      </w:r>
    </w:p>
    <w:p w14:paraId="07F3BCBC">
      <w:pPr>
        <w:pStyle w:val="27"/>
      </w:pPr>
      <w:r>
        <w:rPr>
          <w:rFonts w:hint="eastAsia"/>
        </w:rPr>
        <w:t>（二）抵押物禁转特约规则的体系协调</w:t>
      </w:r>
    </w:p>
    <w:p w14:paraId="2C9C3E35">
      <w:pPr>
        <w:pStyle w:val="27"/>
        <w:outlineLvl w:val="2"/>
      </w:pPr>
      <w:r>
        <w:t>1.</w:t>
      </w:r>
      <w:bookmarkStart w:id="0" w:name="OLE_LINK12"/>
      <w:r>
        <w:rPr>
          <w:rFonts w:hint="eastAsia"/>
        </w:rPr>
        <w:t>抵押物禁转特约规则与正常经营买受人规则的联动及协调</w:t>
      </w:r>
      <w:bookmarkEnd w:id="0"/>
    </w:p>
    <w:p w14:paraId="0E3AB282">
      <w:pPr>
        <w:pStyle w:val="25"/>
      </w:pPr>
      <w:commentRangeStart w:id="7"/>
      <w:r>
        <w:rPr>
          <w:rFonts w:hint="eastAsia"/>
        </w:rPr>
        <w:t>司法解释第4</w:t>
      </w:r>
      <w:r>
        <w:t>3</w:t>
      </w:r>
      <w:r>
        <w:rPr>
          <w:rFonts w:hint="eastAsia"/>
        </w:rPr>
        <w:t>条在体系上与正常经营买受人规则联动后，将产生如下体系效应：受让人若欲主张自己系正常经营买受人，则意味着其已查询动产抵押登记，并且该受让动产上无禁、限转特约。</w:t>
      </w:r>
      <w:commentRangeEnd w:id="7"/>
      <w:r>
        <w:commentReference w:id="7"/>
      </w:r>
      <w:r>
        <w:rPr>
          <w:rFonts w:hint="eastAsia"/>
        </w:rPr>
        <w:t>司法解释第4</w:t>
      </w:r>
      <w:r>
        <w:t>3</w:t>
      </w:r>
      <w:r>
        <w:rPr>
          <w:rFonts w:hint="eastAsia"/>
        </w:rPr>
        <w:t>条确认了抵押物禁转、限转特约的登记能力</w:t>
      </w:r>
      <w:r>
        <w:rPr>
          <w:rStyle w:val="11"/>
        </w:rPr>
        <w:footnoteReference w:id="36"/>
      </w:r>
      <w:r>
        <w:rPr>
          <w:rFonts w:hint="eastAsia"/>
        </w:rPr>
        <w:t>和对抗效力。其意味着登记簿可征表抵押权人不容许该物再行让与的特别态度。这将勾连到《民法典》第4</w:t>
      </w:r>
      <w:r>
        <w:t>04</w:t>
      </w:r>
      <w:r>
        <w:rPr>
          <w:rFonts w:hint="eastAsia"/>
        </w:rPr>
        <w:t>条的规范适用。</w:t>
      </w:r>
    </w:p>
    <w:p w14:paraId="010B3CCB">
      <w:pPr>
        <w:pStyle w:val="25"/>
      </w:pPr>
      <w:r>
        <w:rPr>
          <w:rFonts w:hint="eastAsia"/>
        </w:rPr>
        <w:t>对于第4</w:t>
      </w:r>
      <w:r>
        <w:t>04</w:t>
      </w:r>
      <w:r>
        <w:rPr>
          <w:rFonts w:hint="eastAsia"/>
        </w:rPr>
        <w:t>条的正当性基础，可采观点如下，即正常经营买受人规则并不旨在免除抵押动产受让人的查询义务，而是为保护其合理信赖——即该规则切断抵押权追及的正当性，在于保护买受人在纵使待让与动产存在抵押权的情况下，抵押权人仍会同意抵押人在正常经营活动中无负担处分抵押物的信赖。</w:t>
      </w:r>
      <w:r>
        <w:rPr>
          <w:rStyle w:val="11"/>
        </w:rPr>
        <w:footnoteReference w:id="37"/>
      </w:r>
      <w:r>
        <w:rPr>
          <w:rFonts w:hint="eastAsia"/>
        </w:rPr>
        <w:t>在司法解释明确赋予抵押物禁转特约的登记能力后，抵押动产的受让人若欲依据第4</w:t>
      </w:r>
      <w:r>
        <w:t>04</w:t>
      </w:r>
      <w:r>
        <w:rPr>
          <w:rFonts w:hint="eastAsia"/>
        </w:rPr>
        <w:t>条主张免于抵押权的追及效力，则需主张自己存在对“抵押权人同意抵押人对抵押物为无负担处分”的合理信赖，而该合理信赖可由抵押权人通过举证禁、限转特约已登记或受让人知道存在禁、限转特约而推翻。</w:t>
      </w:r>
      <w:r>
        <w:rPr>
          <w:rStyle w:val="11"/>
        </w:rPr>
        <w:footnoteReference w:id="38"/>
      </w:r>
      <w:r>
        <w:rPr>
          <w:rFonts w:hint="eastAsia"/>
        </w:rPr>
        <w:t>当然，受让人可继续举证虽查询并获知禁转、限转特约，但抵押权人同意本次无负担让与。对于禁转特约的查询义务，可于担保制度司法解释第</w:t>
      </w:r>
      <w:r>
        <w:t>56</w:t>
      </w:r>
      <w:r>
        <w:rPr>
          <w:rFonts w:hint="eastAsia"/>
        </w:rPr>
        <w:t>条第1款第5项，即“买受人应当查询抵押登记而未查询的其他情形”寻得容身之所。</w:t>
      </w:r>
    </w:p>
    <w:p w14:paraId="2727DA71">
      <w:pPr>
        <w:pStyle w:val="25"/>
      </w:pPr>
      <w:r>
        <w:rPr>
          <w:rFonts w:hint="eastAsia"/>
        </w:rPr>
        <w:t>但前述结论似会面对“查询义务的配置将滞碍高频次的动产商事交易”的诘问，因其无异于要求动产商事交易主体在每一次受让动产时均须查询登记簿，以避免受到禁约登记的限制，从而无法适用第4</w:t>
      </w:r>
      <w:r>
        <w:t>04</w:t>
      </w:r>
      <w:r>
        <w:rPr>
          <w:rFonts w:hint="eastAsia"/>
        </w:rPr>
        <w:t>条，并承担返还该物的风险，如此似会持续增长交易成本。</w:t>
      </w:r>
      <w:r>
        <w:rPr>
          <w:rStyle w:val="11"/>
        </w:rPr>
        <w:footnoteReference w:id="39"/>
      </w:r>
      <w:r>
        <w:rPr>
          <w:rFonts w:hint="eastAsia"/>
        </w:rPr>
        <w:t>诚言之，前述担忧确然存在。但本文认为，其一，该种针对交易成本渐增的忧虑，可以在目前动产担保制度不断进步、完善的背景下逐渐消解，</w:t>
      </w:r>
      <w:r>
        <w:rPr>
          <w:rStyle w:val="11"/>
        </w:rPr>
        <w:footnoteReference w:id="40"/>
      </w:r>
      <w:r>
        <w:rPr>
          <w:rFonts w:hint="eastAsia"/>
        </w:rPr>
        <w:t>也即随着技术进步，买受人获知禁转、限转特约的方式将不断便捷化，其查询成本可被缩减至较低水平。</w:t>
      </w:r>
      <w:r>
        <w:rPr>
          <w:rStyle w:val="11"/>
        </w:rPr>
        <w:footnoteReference w:id="41"/>
      </w:r>
      <w:r>
        <w:rPr>
          <w:rFonts w:hint="eastAsia"/>
        </w:rPr>
        <w:t>其二，查询是否存在禁转、限转特约，并未超出存在于目前法秩序下的交易主体的预期，进言之，受正常经营买受人规则规范的潜在交易主体，因其从事动产交易，应当也大概率知晓相关的法律规范，</w:t>
      </w:r>
      <w:r>
        <w:rPr>
          <w:rStyle w:val="11"/>
        </w:rPr>
        <w:footnoteReference w:id="42"/>
      </w:r>
      <w:r>
        <w:rPr>
          <w:rFonts w:hint="eastAsia"/>
        </w:rPr>
        <w:t>则其从司法解释第5</w:t>
      </w:r>
      <w:r>
        <w:t>6</w:t>
      </w:r>
      <w:r>
        <w:rPr>
          <w:rFonts w:hint="eastAsia"/>
        </w:rPr>
        <w:t>条第1款第5项的规定即可获知，并非因《民法典》第4</w:t>
      </w:r>
      <w:r>
        <w:t>04</w:t>
      </w:r>
      <w:r>
        <w:rPr>
          <w:rFonts w:hint="eastAsia"/>
        </w:rPr>
        <w:t>条即可免除己方在动产交易的所有查询义务——反言之，潜在交易主体本就有负担“查询义务”的预期。</w:t>
      </w:r>
      <w:r>
        <w:rPr>
          <w:rStyle w:val="11"/>
        </w:rPr>
        <w:footnoteReference w:id="43"/>
      </w:r>
      <w:r>
        <w:rPr>
          <w:rFonts w:hint="eastAsia"/>
        </w:rPr>
        <w:t>这就意味着该种设计并不会令潜在交易主体产生“交易环节繁复”的不良心理预期，进而并不会令其对动产抵押本身产生厌恶，反而会廓清原本模糊的“应当查询”的制度内涵，进一步明晰交易主体的应有预期内容。</w:t>
      </w:r>
    </w:p>
    <w:p w14:paraId="3EF3D859">
      <w:pPr>
        <w:pStyle w:val="27"/>
        <w:outlineLvl w:val="2"/>
      </w:pPr>
      <w:commentRangeStart w:id="8"/>
      <w:r>
        <w:rPr>
          <w:rFonts w:hint="eastAsia"/>
        </w:rPr>
        <w:t>2</w:t>
      </w:r>
      <w:r>
        <w:t xml:space="preserve">. </w:t>
      </w:r>
      <w:bookmarkStart w:id="1" w:name="OLE_LINK13"/>
      <w:r>
        <w:rPr>
          <w:rFonts w:hint="eastAsia"/>
        </w:rPr>
        <w:t>未登记型禁转特约效力的体系冲突调和</w:t>
      </w:r>
      <w:bookmarkEnd w:id="1"/>
      <w:commentRangeEnd w:id="8"/>
      <w:r>
        <w:commentReference w:id="8"/>
      </w:r>
    </w:p>
    <w:p w14:paraId="2BBFB59F">
      <w:pPr>
        <w:pStyle w:val="25"/>
      </w:pPr>
      <w:commentRangeStart w:id="9"/>
      <w:r>
        <w:rPr>
          <w:rFonts w:hint="eastAsia"/>
        </w:rPr>
        <w:t>自司法解释第4</w:t>
      </w:r>
      <w:r>
        <w:t>3</w:t>
      </w:r>
      <w:r>
        <w:rPr>
          <w:rFonts w:hint="eastAsia"/>
        </w:rPr>
        <w:t>条第1款但书条款观之，未经登记的禁、限转特约可依受让人知道而对受让人产生控制效力，这显然冲击了“合同具有相对性”的私法原理与体系基础。</w:t>
      </w:r>
      <w:commentRangeEnd w:id="9"/>
      <w:r>
        <w:commentReference w:id="9"/>
      </w:r>
      <w:r>
        <w:rPr>
          <w:rFonts w:hint="eastAsia"/>
        </w:rPr>
        <w:t>需额外的合理化依据予以补强其正当性，消解该但书条款与现有法秩序体系判断的冲突。</w:t>
      </w:r>
    </w:p>
    <w:p w14:paraId="74A76A7A">
      <w:pPr>
        <w:pStyle w:val="25"/>
      </w:pPr>
      <w:r>
        <w:rPr>
          <w:rFonts w:hint="eastAsia"/>
        </w:rPr>
        <w:t>在我国实证法体系上，可予以辅助观察者为《民法典》第</w:t>
      </w:r>
      <w:r>
        <w:t>545</w:t>
      </w:r>
      <w:r>
        <w:rPr>
          <w:rFonts w:hint="eastAsia"/>
        </w:rPr>
        <w:t>条。金钱债权转让对债务人并无实质影响，故在规范设计上，对金钱债权流通性的保护绝对优先于对债务人的保护，所以债权不得转让的约定对善意、恶意受让人均没有约束力。但抵押权则有不同，不动产抵押权和动产抵押权的实现并非绝对安全的，也即抵押人转让的行为并非对抵押权之实现毫无妨害。所有权人的更换对债权人而言，至少是一个不稳定因素——新的所有权人或许不会像原所有权人那样妥善管理、经营抵押财产。</w:t>
      </w:r>
      <w:r>
        <w:rPr>
          <w:rStyle w:val="11"/>
        </w:rPr>
        <w:footnoteReference w:id="44"/>
      </w:r>
      <w:r>
        <w:rPr>
          <w:rFonts w:hint="eastAsia"/>
        </w:rPr>
        <w:t>质言之，司法解释第4</w:t>
      </w:r>
      <w:r>
        <w:t>3</w:t>
      </w:r>
      <w:r>
        <w:rPr>
          <w:rFonts w:hint="eastAsia"/>
        </w:rPr>
        <w:t>条第1款虽显“突破性”——因其确然背离了当事人“私的约定”通常不影响财产流通性的惯常观念</w:t>
      </w:r>
      <w:r>
        <w:rPr>
          <w:vertAlign w:val="superscript"/>
        </w:rPr>
        <w:footnoteReference w:id="45"/>
      </w:r>
      <w:r>
        <w:rPr>
          <w:rFonts w:hint="eastAsia"/>
        </w:rPr>
        <w:t>——但其并非毫无意义。</w:t>
      </w:r>
    </w:p>
    <w:p w14:paraId="55ACC2BB">
      <w:pPr>
        <w:pStyle w:val="25"/>
      </w:pPr>
      <w:r>
        <w:rPr>
          <w:rFonts w:hint="eastAsia"/>
        </w:rPr>
        <w:t>质言之，司法解释第4</w:t>
      </w:r>
      <w:r>
        <w:t>3</w:t>
      </w:r>
      <w:r>
        <w:rPr>
          <w:rFonts w:hint="eastAsia"/>
        </w:rPr>
        <w:t>条第1款但书规定的“问题指向”，是如下的极端情形——受让人有损害抵押权的行为，且《民法典》第4</w:t>
      </w:r>
      <w:r>
        <w:t>06</w:t>
      </w:r>
      <w:r>
        <w:rPr>
          <w:rFonts w:hint="eastAsia"/>
        </w:rPr>
        <w:t>条第2款和第4</w:t>
      </w:r>
      <w:r>
        <w:t>08</w:t>
      </w:r>
      <w:r>
        <w:rPr>
          <w:rFonts w:hint="eastAsia"/>
        </w:rPr>
        <w:t>条均无法保护抵押权人，且抵押权人确有证据证明受让人知道禁、限转特约——此种情形下，法秩序基于保护抵押权的规范目的，</w:t>
      </w:r>
      <w:commentRangeStart w:id="10"/>
      <w:r>
        <w:rPr>
          <w:rFonts w:hint="eastAsia"/>
        </w:rPr>
        <w:t>例外地将未登记的，原应无涉他效力的私主体间的约定强化至有涉他效力；该种法教义为抵押权语境下的所有权让与注入了新的限制性内容，并以司法解释的存在形式被确定于法律文本中，这并未严重冲击物权法定原则，相反，这更似为法秩序随交易实践的发展而对物权内容予以必要的更新。</w:t>
      </w:r>
      <w:commentRangeEnd w:id="10"/>
      <w:r>
        <w:commentReference w:id="10"/>
      </w:r>
    </w:p>
    <w:p w14:paraId="5FB755E0">
      <w:pPr>
        <w:pStyle w:val="25"/>
      </w:pPr>
      <w:commentRangeStart w:id="11"/>
      <w:r>
        <w:rPr>
          <w:rFonts w:hint="eastAsia"/>
        </w:rPr>
        <w:t>该种对物权内容的更新，亦可以从意思自治角度予以理解。无论抵押物为动产抑或不动产，当事人依合意为禁止或限制转让的约定，实质上是抵押权人依靠意思自治，在私法领域表达了一种私人意志——只不过该意志被法秩序肯认并赋予了物权性效力——这是一种当事人为抵押权的完满实现，为确保自己可对担保价值予以必要控制，在抵押权受到侵害时可触发涉及并影响第三人权利取得的私主体间的约定。要言之，抵押当事人间的禁、限转特约的约定目的，决定着该特约天然地内嵌着一个特定的触发条件，即第三人的行为损害抵押权，足以影响抵押权的完满实现。而这一目的也反向地引出了该特约的另一个当然存在的潜藏内容：如果第三人的行为未影响到抵押权的完满实现，影响第三人的效力便不会发生。从利益衡量角度，前述特约内容的合法性也可自第三人角度得到阐述，对一个知道禁、限转特约的第三人——其同样理解抵押当事人间禁、限转特约的实质目的——只可能有两种行为模式，其一，第三人的行为有害于抵押权；其二，第三人的行为并无害于抵押权。就前者而言，一个明知会损害他人物权却仍然作出相应行为的私主体，很难找出保护该主体的理由；就后者来说，其行为无害抵押权，便不会触发物权性的不利法效果，这符合抵押当事人的意思，同样也符合一个理解禁、限转特约合同目的的第三人的预期。</w:t>
      </w:r>
      <w:commentRangeEnd w:id="11"/>
      <w:r>
        <w:commentReference w:id="11"/>
      </w:r>
    </w:p>
    <w:p w14:paraId="17665954">
      <w:pPr>
        <w:pStyle w:val="25"/>
      </w:pPr>
      <w:r>
        <w:rPr>
          <w:rFonts w:hint="eastAsia"/>
        </w:rPr>
        <w:t>此外，从意思自治——或许是思想实验意义上——的层面观察，只有潜在的，广泛的，随时可能处于任意交易身份的交易主体，并不存在前述分析中固定的三方主体；具言之，每一个交易主体都是潜在的抵押权人或者抵押物的受让人，若模拟他们对规范设计的设想与商谈，则较为可能的结果是，潜在的抵押权人会意识到——作为随时会变为抵押物受让人的他们——对于纯粹的抵押人间的禁、限转约定，将其涉他效力的触发值设定在“仅知道约定”或许过于苛刻：在一个信息密度和暴露率均极高的现代社会（更不必说为交易紧密接触的双方当事人），仅因知道受让物的前手当事人的特殊交易安排，就导致当下交易处于失败边缘，显然令人难以忍受；同样潜在的受让人——作为随时会成为抵押权人的私主体，似亦会怀疑“仅知道约定”就可重新令转让抵押物回到自己的管制下——这样的设计是否适切，因为若抵押人确需融资，受让人对抵押物亦无不当使用和管理，此时抵押权实现可能性处于可控状态，并无必要多此一举，耗费诉讼成本破坏抵押人与受让人的交易；质言之，这样的利益状况——抵押人无法获得融资并负担违约责任，抵押权人亦无明显获益——首先不会被一个理性的抵押权人所期望，该交易策略并无效率可言；</w:t>
      </w:r>
      <w:commentRangeStart w:id="12"/>
      <w:r>
        <w:rPr>
          <w:rFonts w:hint="eastAsia"/>
        </w:rPr>
        <w:t>其次，抵押权人行权，未给自身增加显著利益，但却为抵押人造成重大负担，似有违诚实信用，构成权利滥用。</w:t>
      </w:r>
      <w:commentRangeEnd w:id="12"/>
      <w:r>
        <w:commentReference w:id="12"/>
      </w:r>
      <w:r>
        <w:rPr>
          <w:rStyle w:val="11"/>
        </w:rPr>
        <w:footnoteReference w:id="46"/>
      </w:r>
    </w:p>
    <w:p w14:paraId="4C7DB505">
      <w:pPr>
        <w:pStyle w:val="25"/>
      </w:pPr>
      <w:r>
        <w:rPr>
          <w:rFonts w:hint="eastAsia"/>
        </w:rPr>
        <w:t>是故，未登记型抵押物禁转特约的涉他效力，自表层观之，似是法秩序基于“鼓励交易流转为先，必要时保护抵押权”的法政策理念所作出的规范调整；就实质而言，该效力亦为当事人意思自治的推导结果，符合抵押权人、抵押人、受让人三方主体的预期。</w:t>
      </w:r>
    </w:p>
    <w:p w14:paraId="0D9661ED">
      <w:pPr>
        <w:pStyle w:val="27"/>
        <w:outlineLvl w:val="2"/>
      </w:pPr>
      <w:r>
        <w:t>3.</w:t>
      </w:r>
      <w:r>
        <w:rPr>
          <w:rFonts w:hint="eastAsia"/>
        </w:rPr>
        <w:t xml:space="preserve"> </w:t>
      </w:r>
      <w:bookmarkStart w:id="2" w:name="OLE_LINK14"/>
      <w:r>
        <w:rPr>
          <w:rFonts w:hint="eastAsia"/>
        </w:rPr>
        <w:t>登记型抵押物禁转特约的登记效力与适用分析</w:t>
      </w:r>
      <w:bookmarkEnd w:id="2"/>
    </w:p>
    <w:p w14:paraId="5D378428">
      <w:pPr>
        <w:pStyle w:val="25"/>
      </w:pPr>
      <w:r>
        <w:rPr>
          <w:rFonts w:hint="eastAsia"/>
        </w:rPr>
        <w:t>在不动产抵押语境下，较值得关注的前端问题，系已登记的禁、限转特约的登记效力如何？即在禁、限转特约被登记的场合，若抵押人欲将抵押财产向受让人予以转让，此时登记机关应如何操作？</w:t>
      </w:r>
      <w:r>
        <w:rPr>
          <w:rStyle w:val="11"/>
        </w:rPr>
        <w:footnoteReference w:id="47"/>
      </w:r>
      <w:r>
        <w:rPr>
          <w:rFonts w:hint="eastAsia"/>
        </w:rPr>
        <w:t>或言之，在实际操作时，登记机关应基于禁、限转特约而拒绝办理所有权移转登记或须先征求抵押权人同意，还是仍可为受让人办理登记，但需及时通知抵押权人，提供转让信息以便其后续与受让人、抵押人交涉。</w:t>
      </w:r>
      <w:r>
        <w:rPr>
          <w:rStyle w:val="11"/>
        </w:rPr>
        <w:footnoteReference w:id="48"/>
      </w:r>
    </w:p>
    <w:p w14:paraId="35D5E22D">
      <w:pPr>
        <w:pStyle w:val="25"/>
      </w:pPr>
      <w:r>
        <w:rPr>
          <w:rFonts w:hint="eastAsia"/>
        </w:rPr>
        <w:t>本文认为，纵使当事人之间已将约定登记，并不妨碍抵押财产的受让人为后续物权变动登记。</w:t>
      </w:r>
      <w:r>
        <w:rPr>
          <w:rStyle w:val="11"/>
        </w:rPr>
        <w:footnoteReference w:id="49"/>
      </w:r>
      <w:r>
        <w:rPr>
          <w:rFonts w:hint="eastAsia"/>
        </w:rPr>
        <w:t>理由如下。</w:t>
      </w:r>
      <w:commentRangeStart w:id="13"/>
      <w:r>
        <w:rPr>
          <w:rFonts w:hint="eastAsia"/>
        </w:rPr>
        <w:t>其一，从司法解释原文出发，如果禁、限转特约登记将限制后续物权变动登记，何来第4</w:t>
      </w:r>
      <w:r>
        <w:t>3</w:t>
      </w:r>
      <w:r>
        <w:rPr>
          <w:rFonts w:hint="eastAsia"/>
        </w:rPr>
        <w:t>条第1款和第2款中的“抵押财产已经交付或者登记”？</w:t>
      </w:r>
      <w:commentRangeEnd w:id="13"/>
      <w:r>
        <w:commentReference w:id="13"/>
      </w:r>
      <w:r>
        <w:rPr>
          <w:rFonts w:hint="eastAsia"/>
        </w:rPr>
        <w:t>其二，</w:t>
      </w:r>
      <w:commentRangeStart w:id="14"/>
      <w:r>
        <w:rPr>
          <w:rFonts w:hint="eastAsia"/>
        </w:rPr>
        <w:t>在交易实践中，因抵押人往往急于获得融资，其天然地与抵押权人处在不平等的谈判局面，此时抵押权人出于自利动机，往往在抵押合同中加入禁、限转特约，并将其登记，若凡办理转让登记必先征求抵押权人同意，则最终禁、限转特约登记对抵押物转让的控制效果恐将泛化——盖因对抵押权人而言，抵押人再行融资始终有融资风险，且受让人是否会妥善管理抵押财产亦实属未知，不如采取最为“安全”的策略，即将抵押物始终停滞在抵押人处，确保抵押权人对担保价值的掌握——抵押权人锁定抵押物过甚，其将对抵押财产之流转造成严重窒碍，并严重背离法秩序的价值判断。</w:t>
      </w:r>
      <w:commentRangeEnd w:id="14"/>
      <w:r>
        <w:commentReference w:id="14"/>
      </w:r>
      <w:r>
        <w:rPr>
          <w:rStyle w:val="11"/>
        </w:rPr>
        <w:footnoteReference w:id="50"/>
      </w:r>
      <w:r>
        <w:rPr>
          <w:rFonts w:hint="eastAsia"/>
        </w:rPr>
        <w:t>其三，</w:t>
      </w:r>
      <w:commentRangeStart w:id="15"/>
      <w:r>
        <w:rPr>
          <w:rFonts w:hint="eastAsia"/>
        </w:rPr>
        <w:t>若从“促进财货流动为主，兼以保护抵押权利”的法政策判断出发，登记机关亦应采取第二种操作。</w:t>
      </w:r>
      <w:commentRangeEnd w:id="15"/>
      <w:r>
        <w:commentReference w:id="15"/>
      </w:r>
    </w:p>
    <w:p w14:paraId="6952A48C">
      <w:pPr>
        <w:pStyle w:val="25"/>
      </w:pPr>
      <w:r>
        <w:rPr>
          <w:rFonts w:hint="eastAsia"/>
        </w:rPr>
        <w:t>就第一种操作而言，抵押权人始终有不同意转让的可能，也即抵押人在本环节仍有概率因不能顺利让与不动产所有权，而存有难以获得进一步融资的风险。纵使受让人此时仍有交易意向，与抵押权人谈判，但仍有谈判失败而转让不成功之风险。这种推演结果对抵押权人保护似过于偏惠，而且抵押人据转让不动产而获得融资的失败概率较高。相比之下，第二种操作在转让登记阶段并不存有障碍，抵押人可顺利获得融资，登记机关仅需通知抵押权人相关的转让信息，令抵押权人自己作出相应的交易判断。</w:t>
      </w:r>
      <w:commentRangeStart w:id="16"/>
      <w:r>
        <w:rPr>
          <w:rFonts w:hint="eastAsia"/>
        </w:rPr>
        <w:t>唯在极端情形下，也即抵押人转让所得已亏耗一空，而受让人又对抵押财产有不当的、有损其受偿价值之举，请求停止无果后，自应容许抵押权人确认物权行为无效而返还抵押财产，以保证其抵押权利实现无虞。</w:t>
      </w:r>
      <w:commentRangeEnd w:id="16"/>
      <w:r>
        <w:commentReference w:id="16"/>
      </w:r>
      <w:r>
        <w:rPr>
          <w:rFonts w:hint="eastAsia"/>
        </w:rPr>
        <w:t>第二种操作较之第一种操作在于，并未妨碍抵押财产的再次流动，保留了后续的融资空间，并给予抵押权人与抵押人或受让人谈判的窗口。并且，该种操作模式对抵押权的保护始终处于较为克制的态度，仅在交易安全保护之需要明显弱于对抵押权的保护时，方才触发第4</w:t>
      </w:r>
      <w:r>
        <w:t>3</w:t>
      </w:r>
      <w:r>
        <w:rPr>
          <w:rFonts w:hint="eastAsia"/>
        </w:rPr>
        <w:t>条第2款之适用。该种秩序构造也不会对潜在的交易主体造成不安，反而创造了“不得为有害于抵押权之行为”的积极激励。</w:t>
      </w:r>
      <w:commentRangeStart w:id="17"/>
      <w:r>
        <w:rPr>
          <w:rFonts w:hint="eastAsia"/>
        </w:rPr>
        <w:t>殊值肯定。</w:t>
      </w:r>
      <w:commentRangeEnd w:id="17"/>
      <w:r>
        <w:commentReference w:id="17"/>
      </w:r>
    </w:p>
    <w:p w14:paraId="227F84A6">
      <w:pPr>
        <w:pStyle w:val="25"/>
      </w:pPr>
      <w:r>
        <w:rPr>
          <w:rFonts w:hint="eastAsia"/>
        </w:rPr>
        <w:t>对动产抵押而言，不同于物权信息记入不动产登记簿的不动产交易场合，动产交易中因大多数场合并无查询动产抵押登记的交易习惯，所以动产抵押登记或处分性限制的登记，不能等同于未登记时的受让人之“知道”。 “禁、限转特约”的登记以及其在司法解释中被赋予的效果，似并非解释学上的推导结果，更似为诉讼证明上的软化规则，也即相较于较难证明的受让人对禁、限转特约之“知”，对动产抵押财产作禁、限转特约的登记将大幅减轻诉讼上的证明负担，增加其诉讼优势。这种证明难度的减轻传达出的法政策讯号是，法秩序似在以缓和的方式来呼应和推动动产担保制度的发展，以及克制地加强对动产抵押权人的保护。</w:t>
      </w:r>
      <w:r>
        <w:rPr>
          <w:rStyle w:val="11"/>
        </w:rPr>
        <w:footnoteReference w:id="51"/>
      </w:r>
      <w:r>
        <w:rPr>
          <w:rFonts w:hint="eastAsia"/>
        </w:rPr>
        <w:t>在动产抵押并且抵押物禁、限转特约已登记的场合，前文中触发“否定转让行为的物权效力”的构成要件仍然可以适用。也即，若受让人存在损害抵押权的行为，经抵押权人请求停止损害无果，并且无法通过债务人侧获得提前清偿时，方得适用司法解释第</w:t>
      </w:r>
      <w:r>
        <w:t>43</w:t>
      </w:r>
      <w:r>
        <w:rPr>
          <w:rFonts w:hint="eastAsia"/>
        </w:rPr>
        <w:t>条第2款。</w:t>
      </w:r>
    </w:p>
    <w:p w14:paraId="11109C77">
      <w:pPr>
        <w:pStyle w:val="25"/>
      </w:pPr>
      <w:r>
        <w:rPr>
          <w:rFonts w:hint="eastAsia"/>
        </w:rPr>
        <w:t>殊值注意者，系“损害抵押权”要件，因动产不同于不动产，其转让无需经登记，故而流动可能性和频次更高，进而显著增加动产抵押权行使时的追踪难度，所以殊值讨论的问题是，若受让人已将该抵押财产予以转让，或受让人售卖范围包含抵押财产，具有较高的再行转让的可能性，则该情形是否属于“损害抵押权”？</w:t>
      </w:r>
    </w:p>
    <w:p w14:paraId="454F31A2">
      <w:pPr>
        <w:pStyle w:val="25"/>
      </w:pPr>
      <w:r>
        <w:rPr>
          <w:rFonts w:hint="eastAsia"/>
        </w:rPr>
        <w:t>本文认为，从法秩序的既定价值判断出发，仍应以保护物之流转通畅为先，在前者限度内对抵押权人进行保护，故不应对物之转让作出限制，认定其为“损害抵押权”。</w:t>
      </w:r>
      <w:r>
        <w:rPr>
          <w:rStyle w:val="11"/>
        </w:rPr>
        <w:footnoteReference w:id="52"/>
      </w:r>
      <w:r>
        <w:rPr>
          <w:rFonts w:hint="eastAsia"/>
        </w:rPr>
        <w:t>具言之，首先，动产抵押自身天然具有交易频次高，追及难度大的特点，若就其本有特点认定为“损害抵押权”，则司法解释第</w:t>
      </w:r>
      <w:r>
        <w:t>43</w:t>
      </w:r>
      <w:r>
        <w:rPr>
          <w:rFonts w:hint="eastAsia"/>
        </w:rPr>
        <w:t>条第2款但书规定的适用恐将不当泛化，动产抵押权人将动辄否定抵押物的转让效力，或会出现交易成本骤增，交易安全震荡的弊病。其次，转让动产抵押物未必必然构成“损害抵押权”，因为动产转让所增加的追踪难度——具体而言例如交易相对人不明、抵押物目前位置不明等——均可以通过抵押人（包括后来的受让人）转让时的“及时通知”而显著降低，使抵押权人可及时把握抵押物的受让人、现时所在地等信息，方便其做追踪调查。如是观之，在抵押权人实时了解、把握抵押物的交易信息的情况下，抵押权人对担保价值的把握处于较高水平，难谓“抵押权受损”。另言之，“及时通知”在动产抵押物转让的语境下，基于降低动产抵押权的追踪难度、保护抵押权的目的，应增强其义务强度。换言之，若动产抵押人或受让人未及时通知、怠于通知或拒绝通知，令抵押权人无法及时、准确把控抵押物的位置，进而无法实现抵押权，即可认为损害抵押权。此外，需要注意的是，尽管流动频次高为动产交易的固有特点，但若转让之处过于偏远（如将动产转移至境外），是为追踪难度异常升高，应例外地认为此时构成“损害抵押权”。</w:t>
      </w:r>
    </w:p>
    <w:p w14:paraId="0A2FFABB">
      <w:pPr>
        <w:pStyle w:val="25"/>
      </w:pPr>
      <w:r>
        <w:rPr>
          <w:rFonts w:hint="eastAsia"/>
        </w:rPr>
        <w:t>需要补充的是，通知义务或许亦可出现在抵押权人与受让人的后续交易安排中：前段的“通知义务”降低了动产抵押权的追踪难度，但抵押权人亦有需求获知抵押物在现受让人</w:t>
      </w:r>
      <w:r>
        <w:rPr>
          <w:rFonts w:hint="eastAsia" w:cs="Cambria"/>
        </w:rPr>
        <w:t>处的保存、维护、使用情况。抵押权人和受让人可约定定期反馈前述情形，以便抵押权人保持对担保价值稳定程度的信息获取。反言之，若受让人拒绝反馈、怠于反馈，或可推定其存在损害抵押权的行为，受让人须举证抵押物并未受损以推翻前述推定。</w:t>
      </w:r>
    </w:p>
    <w:p w14:paraId="6DB29A78">
      <w:pPr>
        <w:pStyle w:val="25"/>
      </w:pPr>
      <w:r>
        <w:rPr>
          <w:rFonts w:hint="eastAsia"/>
        </w:rPr>
        <w:t>司法解释第4</w:t>
      </w:r>
      <w:r>
        <w:t>3</w:t>
      </w:r>
      <w:r>
        <w:rPr>
          <w:rFonts w:hint="eastAsia"/>
        </w:rPr>
        <w:t>条第2款之但书条款在动产抵押场合需要进一步限缩其使用，如前所述，在大多数交易场景下，交易主体并无查询动产担保登记簿的习惯，若罔顾现状一并适用，似过于激进——例如对于日常交易场合，买受人自可恣意使用自购之物，但若适用司法解释第4</w:t>
      </w:r>
      <w:r>
        <w:t>3</w:t>
      </w:r>
      <w:r>
        <w:rPr>
          <w:rFonts w:hint="eastAsia"/>
        </w:rPr>
        <w:t>条第2款，极有可能认为其使用构成“损害抵押权”，加之亦存在禁转特约登记，该日常交易中的买受人竟需返还所得物——这无疑是对交易安全的巨大冲击，故不妨作如下区分：对于普通交易中的动产，司法解释第4</w:t>
      </w:r>
      <w:r>
        <w:t>3</w:t>
      </w:r>
      <w:r>
        <w:rPr>
          <w:rFonts w:hint="eastAsia"/>
        </w:rPr>
        <w:t>条第2款不应适用，盖因对普通动产标识费用高昂，且若适用，则无异于法秩序强制买受人查询登记，至少在目前还待发展、完善的动产担保制度下，适用第4</w:t>
      </w:r>
      <w:r>
        <w:t>3</w:t>
      </w:r>
      <w:r>
        <w:rPr>
          <w:rFonts w:hint="eastAsia"/>
        </w:rPr>
        <w:t>条第2款的规范将极大拉升交易的不安全性。而对于商事交易中的动产，司法解释第4</w:t>
      </w:r>
      <w:r>
        <w:t>3</w:t>
      </w:r>
      <w:r>
        <w:rPr>
          <w:rFonts w:hint="eastAsia"/>
        </w:rPr>
        <w:t>条第2款应得适用，因为商事交易主体有更强的信息查询力和抵押登记的查询预期，这一点亦可自《民法典》第4</w:t>
      </w:r>
      <w:r>
        <w:t>04</w:t>
      </w:r>
      <w:r>
        <w:rPr>
          <w:rFonts w:hint="eastAsia"/>
        </w:rPr>
        <w:t>条和司法解释第5</w:t>
      </w:r>
      <w:r>
        <w:t>6</w:t>
      </w:r>
      <w:r>
        <w:rPr>
          <w:rFonts w:hint="eastAsia"/>
        </w:rPr>
        <w:t>条第</w:t>
      </w:r>
      <w:r>
        <w:t>1</w:t>
      </w:r>
      <w:r>
        <w:rPr>
          <w:rFonts w:hint="eastAsia"/>
        </w:rPr>
        <w:t>款第5项的联动得到印证。</w:t>
      </w:r>
    </w:p>
    <w:p w14:paraId="77DCD2D2">
      <w:pPr>
        <w:pStyle w:val="25"/>
      </w:pPr>
      <w:r>
        <w:rPr>
          <w:rFonts w:hint="eastAsia"/>
        </w:rPr>
        <w:t>并且，司法解释第4</w:t>
      </w:r>
      <w:r>
        <w:t>3</w:t>
      </w:r>
      <w:r>
        <w:rPr>
          <w:rFonts w:hint="eastAsia"/>
        </w:rPr>
        <w:t>条第2款对抵押权在商事交易中的保护并非没有边界，在边缘案型中，假设受让人复将抵押财产转让给次受让人，抵押权人欲行权之际，抵押人和受让人转让所得均废耗无余，根据司法解释第</w:t>
      </w:r>
      <w:r>
        <w:t>43</w:t>
      </w:r>
      <w:r>
        <w:rPr>
          <w:rFonts w:hint="eastAsia"/>
        </w:rPr>
        <w:t>条第2款，抵押权人需先行证明次受让人目前存在损害抵押权的行为，若证明成功，亦仅能否定抵押人与受让人间物权行为之效力，受让人对次受让人的再行转让系无权处分，将会进入该转让是否会发生善意取得的判断：若是，则利益格局自为交易安全重于对抵押权人之保护，符合本条文解释的基本立场；若否，则次受让人和抵押权人还有一次关于“是否由次受让人为第三人清偿”的谈判机会，若次受让人非善意取得且不愿清偿以消除抵押权，则实无继续保护之必要，可令抵押财产返还至受让人，随后至抵押人处。次受让人此时承担受让人的破产风险，并未溢出其选择交易对象时的风险承担意愿；且次受让人——其作为商事交易主体自应有查询抵押登记之意思——在受让抵押财产时，也承担了受禁、限转特约涉他效力而产生的返还风险。</w:t>
      </w:r>
    </w:p>
    <w:p w14:paraId="6D90AB69">
      <w:pPr>
        <w:pStyle w:val="4"/>
        <w:ind w:firstLine="0" w:firstLineChars="0"/>
      </w:pPr>
    </w:p>
    <w:p w14:paraId="620CD55A">
      <w:pPr>
        <w:pStyle w:val="26"/>
      </w:pPr>
      <w:commentRangeStart w:id="18"/>
      <w:r>
        <w:rPr>
          <w:rFonts w:hint="eastAsia"/>
        </w:rPr>
        <w:t>四、特约限缩适用的类型化核心：抵押权人利益</w:t>
      </w:r>
      <w:commentRangeEnd w:id="18"/>
      <w:r>
        <w:commentReference w:id="18"/>
      </w:r>
    </w:p>
    <w:p w14:paraId="2161C16D">
      <w:pPr>
        <w:pStyle w:val="27"/>
      </w:pPr>
      <w:r>
        <w:rPr>
          <w:rFonts w:hint="eastAsia"/>
        </w:rPr>
        <w:t>（一）有效型：转让有损抵押权人利益</w:t>
      </w:r>
    </w:p>
    <w:p w14:paraId="3E46435F">
      <w:pPr>
        <w:pStyle w:val="27"/>
        <w:outlineLvl w:val="2"/>
      </w:pPr>
      <w:r>
        <w:t>1.</w:t>
      </w:r>
      <w:r>
        <w:rPr>
          <w:rFonts w:hint="eastAsia"/>
        </w:rPr>
        <w:t>特约未登记时受让人明知</w:t>
      </w:r>
    </w:p>
    <w:p w14:paraId="28936602">
      <w:pPr>
        <w:pStyle w:val="4"/>
        <w:spacing w:line="240" w:lineRule="auto"/>
        <w:ind w:firstLine="482" w:firstLineChars="0"/>
        <w:rPr>
          <w:sz w:val="21"/>
        </w:rPr>
      </w:pPr>
      <w:r>
        <w:rPr>
          <w:rFonts w:hint="eastAsia"/>
          <w:sz w:val="21"/>
        </w:rPr>
        <w:t>在动产抵押场合，受让人知道抵押权人与抵押人间存在关于抵押财产的禁、限转特约，并且存在损害抵押权的行为。虽然知道抵押权的存在可令受让人受抵押权之追及，但如前文所述，抵押权在动产场合保护并不周全，针对已经转让的抵押财产，受让人会存在两种交易选择——继续将其转让或不再将其转让，但就后者而言，只要抵押财产处于受让人的控制范围，其便一直存在被转让的可能性，故若受让人复将抵押财产转让，且怠于告知、拒绝告知抵押权人次受让人，</w:t>
      </w:r>
      <w:r>
        <w:rPr>
          <w:rStyle w:val="11"/>
          <w:sz w:val="21"/>
        </w:rPr>
        <w:footnoteReference w:id="53"/>
      </w:r>
      <w:r>
        <w:rPr>
          <w:rFonts w:hint="eastAsia"/>
          <w:sz w:val="21"/>
        </w:rPr>
        <w:t>或受让人将抵押财产转让予境外次受让人——此举将显著提高抵押权的行权难度，</w:t>
      </w:r>
      <w:r>
        <w:rPr>
          <w:rStyle w:val="11"/>
          <w:sz w:val="21"/>
        </w:rPr>
        <w:footnoteReference w:id="54"/>
      </w:r>
      <w:r>
        <w:rPr>
          <w:rFonts w:hint="eastAsia"/>
          <w:sz w:val="21"/>
        </w:rPr>
        <w:t>自应容许司法解释第4</w:t>
      </w:r>
      <w:r>
        <w:rPr>
          <w:sz w:val="21"/>
        </w:rPr>
        <w:t>3</w:t>
      </w:r>
      <w:r>
        <w:rPr>
          <w:rFonts w:hint="eastAsia"/>
          <w:sz w:val="21"/>
        </w:rPr>
        <w:t>条第1款的适用。以及，若将抵押财产供己使用，则受让人明知禁、限转特约而不当或非法使用抵押财产时，亦可适用本条。就前者而言，受让人将抵押财产转让给次受让人，损害抵押权的行为亦将表现为，该次受让人系处于境外，或受让人拒绝告知抵押权人次受让人。</w:t>
      </w:r>
    </w:p>
    <w:p w14:paraId="39BD340B">
      <w:pPr>
        <w:pStyle w:val="4"/>
        <w:spacing w:line="240" w:lineRule="auto"/>
        <w:ind w:firstLine="482" w:firstLineChars="0"/>
        <w:rPr>
          <w:sz w:val="21"/>
        </w:rPr>
      </w:pPr>
      <w:r>
        <w:rPr>
          <w:rFonts w:hint="eastAsia"/>
          <w:sz w:val="21"/>
        </w:rPr>
        <w:t>在不动产抵押场合，若受让人明知禁、限转特约，仍将该抵押财产转让给有可能不当使用、非法使用抵押财产的次受让人；或受让人明知禁、限转特约，仍不当或非法使用抵押财产的，可适用本条。</w:t>
      </w:r>
    </w:p>
    <w:p w14:paraId="2A825141">
      <w:pPr>
        <w:pStyle w:val="27"/>
        <w:outlineLvl w:val="2"/>
      </w:pPr>
      <w:r>
        <w:t>2.</w:t>
      </w:r>
      <w:r>
        <w:rPr>
          <w:rFonts w:hint="eastAsia"/>
        </w:rPr>
        <w:t>特约已登记</w:t>
      </w:r>
    </w:p>
    <w:p w14:paraId="6473FA7C">
      <w:pPr>
        <w:pStyle w:val="4"/>
        <w:spacing w:line="240" w:lineRule="auto"/>
        <w:ind w:firstLine="482" w:firstLineChars="0"/>
        <w:rPr>
          <w:sz w:val="21"/>
        </w:rPr>
      </w:pPr>
      <w:r>
        <w:rPr>
          <w:rFonts w:hint="eastAsia"/>
          <w:sz w:val="21"/>
        </w:rPr>
        <w:t>在动产抵押场合，非商事交易语境下，因不能对普通的交易者课以查询动产抵押登记的义务与习惯，所以仍需“受让人明知”的要件。若受让人明知存在禁、限转特约，仍然作出损害抵押权的行为，如不当使用、非法使用、向境外转移等，可适用本条。而在商事交易语境下，作为商事交易参与者，其应有意识查询、了解所受让财产的权利状态，若存在禁、限转特约登记，受让人仍有损害抵押权之行为，可适用本条。</w:t>
      </w:r>
    </w:p>
    <w:p w14:paraId="505D5903">
      <w:pPr>
        <w:pStyle w:val="4"/>
        <w:spacing w:line="240" w:lineRule="auto"/>
        <w:ind w:firstLine="482" w:firstLineChars="0"/>
        <w:rPr>
          <w:sz w:val="21"/>
        </w:rPr>
      </w:pPr>
      <w:r>
        <w:rPr>
          <w:rFonts w:hint="eastAsia"/>
          <w:sz w:val="21"/>
        </w:rPr>
        <w:t>在不动产抵押场合，因不动产登记簿对权利负担、限制记载较为完全，受制于其公示公信效力，受让人除获得抵押权人同意外，若为损害抵押权的行为（但因不动产的性质，不会发生如动产中向境外转移进而提升追及难度的等情形）——如受让人对抵押财产不当使用、非法使用等，可适用本条。</w:t>
      </w:r>
    </w:p>
    <w:p w14:paraId="282CAC7F">
      <w:pPr>
        <w:pStyle w:val="27"/>
      </w:pPr>
      <w:r>
        <w:rPr>
          <w:rFonts w:hint="eastAsia"/>
        </w:rPr>
        <w:t>（二）无效型：转让无害抵押权人利益</w:t>
      </w:r>
    </w:p>
    <w:p w14:paraId="54E246E6">
      <w:pPr>
        <w:pStyle w:val="27"/>
        <w:outlineLvl w:val="2"/>
      </w:pPr>
      <w:r>
        <w:t>1.</w:t>
      </w:r>
      <w:r>
        <w:rPr>
          <w:rFonts w:hint="eastAsia"/>
        </w:rPr>
        <w:t>特约未登记，受让人明知但无损害行为</w:t>
      </w:r>
    </w:p>
    <w:p w14:paraId="07C6B954">
      <w:pPr>
        <w:pStyle w:val="4"/>
        <w:spacing w:line="240" w:lineRule="auto"/>
        <w:ind w:firstLine="482" w:firstLineChars="0"/>
        <w:rPr>
          <w:sz w:val="21"/>
        </w:rPr>
      </w:pPr>
      <w:r>
        <w:rPr>
          <w:rFonts w:hint="eastAsia"/>
          <w:sz w:val="21"/>
        </w:rPr>
        <w:t>受让人仅仅对抵押人与抵押权人间的禁、限转特约明知尚不足以触发司法解释第4</w:t>
      </w:r>
      <w:r>
        <w:rPr>
          <w:sz w:val="21"/>
        </w:rPr>
        <w:t>3</w:t>
      </w:r>
      <w:r>
        <w:rPr>
          <w:rFonts w:hint="eastAsia"/>
          <w:sz w:val="21"/>
        </w:rPr>
        <w:t>条的适用，这实质上并未超出前述当事人约定的自治意旨，因禁、限转特约本质在于重新控制担保价值，防止其流失减损而导致抵押权无法获得实现。但若虽受让人明知，但其明确表示并不会复将抵押财产转让至高追及难度的次受让人，或其实际并无不当、非法使用抵押财产之行为，或其并无放任抵押财产受侵害等——简言之，受让人并无加损抵押权之行为，此时抵押财产所指向的抵押价值并未因受让人之行为而减损，自应对禁、限转特约的效力作出否定评价。</w:t>
      </w:r>
    </w:p>
    <w:p w14:paraId="6DC081D6">
      <w:pPr>
        <w:pStyle w:val="27"/>
        <w:outlineLvl w:val="2"/>
      </w:pPr>
      <w:r>
        <w:t>2.</w:t>
      </w:r>
      <w:r>
        <w:rPr>
          <w:rFonts w:hint="eastAsia"/>
        </w:rPr>
        <w:t>特约已登记，受让人无损害行为</w:t>
      </w:r>
    </w:p>
    <w:p w14:paraId="0D41E309">
      <w:pPr>
        <w:pStyle w:val="4"/>
        <w:spacing w:line="240" w:lineRule="auto"/>
        <w:ind w:firstLine="482" w:firstLineChars="0"/>
        <w:rPr>
          <w:sz w:val="21"/>
        </w:rPr>
      </w:pPr>
      <w:r>
        <w:rPr>
          <w:rFonts w:hint="eastAsia"/>
          <w:sz w:val="21"/>
        </w:rPr>
        <w:t>如前所述，虽特约已登记，但受让人若无实质上损害抵押权的行为，自然无需肯认禁、限转特约的涉他效力。</w:t>
      </w:r>
      <w:r>
        <w:rPr>
          <w:rStyle w:val="11"/>
          <w:sz w:val="21"/>
        </w:rPr>
        <w:footnoteReference w:id="55"/>
      </w:r>
      <w:r>
        <w:rPr>
          <w:rFonts w:hint="eastAsia"/>
          <w:sz w:val="21"/>
        </w:rPr>
        <w:t>但此时并不意味着特约的登记系登记错误，如前文所述，该登记在不动产、动产抵押领域均有着减轻证明负担之功能和宣示性功能，后者旨在严肃化特约的涉他效力，亦为抵押权人在潜在诉讼中储藏优势，若受让人其后复对抵押财产实施损害行为，则抵押权人可借由司法解释第4</w:t>
      </w:r>
      <w:r>
        <w:rPr>
          <w:sz w:val="21"/>
        </w:rPr>
        <w:t>3</w:t>
      </w:r>
      <w:r>
        <w:rPr>
          <w:rFonts w:hint="eastAsia"/>
          <w:sz w:val="21"/>
        </w:rPr>
        <w:t>条第2款否定转让的物权效力，这在保护抵押权的同时，为抵押权人和受让人创造了谈判空间，受让人可选择依据司法解释第4</w:t>
      </w:r>
      <w:r>
        <w:rPr>
          <w:sz w:val="21"/>
        </w:rPr>
        <w:t>3</w:t>
      </w:r>
      <w:r>
        <w:rPr>
          <w:rFonts w:hint="eastAsia"/>
          <w:sz w:val="21"/>
        </w:rPr>
        <w:t>条第2款但书规定，代替清偿债务以消灭抵押权，这对抵押权人亦然有利。也即通过法律对当事人使用涤除权消灭债务的鼓励，实现了债权人利益和整体社会成本之间的平衡。</w:t>
      </w:r>
      <w:r>
        <w:rPr>
          <w:rStyle w:val="11"/>
          <w:sz w:val="21"/>
        </w:rPr>
        <w:footnoteReference w:id="56"/>
      </w:r>
    </w:p>
    <w:p w14:paraId="33AF8026">
      <w:pPr>
        <w:pStyle w:val="27"/>
      </w:pPr>
      <w:r>
        <w:rPr>
          <w:rFonts w:hint="eastAsia"/>
        </w:rPr>
        <w:t>（三）效力软化：抵押权人的事后同意</w:t>
      </w:r>
    </w:p>
    <w:p w14:paraId="6ED40E43">
      <w:pPr>
        <w:pStyle w:val="4"/>
        <w:spacing w:line="240" w:lineRule="auto"/>
        <w:ind w:firstLine="482" w:firstLineChars="0"/>
        <w:rPr>
          <w:sz w:val="21"/>
        </w:rPr>
      </w:pPr>
      <w:r>
        <w:rPr>
          <w:rFonts w:hint="eastAsia"/>
          <w:sz w:val="21"/>
        </w:rPr>
        <w:t>一般情形下，抵押权人作出禁、限转的决定也仅为暂时的商业判断和交易策略，并非一经决定而无再行变化之可能，换言之，抵押权人可能由于交易需要而例外地容许抵押人转让抵押财产予当下受让人。</w:t>
      </w:r>
      <w:r>
        <w:rPr>
          <w:rStyle w:val="11"/>
          <w:sz w:val="21"/>
        </w:rPr>
        <w:footnoteReference w:id="57"/>
      </w:r>
      <w:r>
        <w:rPr>
          <w:rFonts w:hint="eastAsia"/>
          <w:sz w:val="21"/>
        </w:rPr>
        <w:t>不过，须注意的是，与抵押权人基于临时的、暂时的判断为抵押财产的转让设置禁止或限制条件一样，抵押权人对抵押财产转让的容许往往也仅粘着于本次抵押财产的交易，抵押权人事后同意的法效果，系将原有禁、限转特约的主体变更为“抵押权人”和“受让人”。</w:t>
      </w:r>
    </w:p>
    <w:p w14:paraId="58342616">
      <w:pPr>
        <w:pStyle w:val="4"/>
      </w:pPr>
    </w:p>
    <w:p w14:paraId="63A5FCAC">
      <w:pPr>
        <w:pStyle w:val="26"/>
      </w:pPr>
      <w:r>
        <w:rPr>
          <w:rFonts w:hint="eastAsia"/>
        </w:rPr>
        <w:t>结论</w:t>
      </w:r>
    </w:p>
    <w:p w14:paraId="71DB34CA">
      <w:pPr>
        <w:pStyle w:val="4"/>
        <w:spacing w:line="240" w:lineRule="auto"/>
        <w:ind w:firstLine="482" w:firstLineChars="0"/>
        <w:rPr>
          <w:sz w:val="21"/>
        </w:rPr>
      </w:pPr>
      <w:r>
        <w:rPr>
          <w:rFonts w:hint="eastAsia"/>
          <w:sz w:val="21"/>
        </w:rPr>
        <w:t>本文主张在“保护物之流转通畅”为主、有限制地增强对抵押权的保护的基本理念下，以“损害抵押权”为要旨，限缩司法解释第4</w:t>
      </w:r>
      <w:r>
        <w:rPr>
          <w:sz w:val="21"/>
        </w:rPr>
        <w:t>3</w:t>
      </w:r>
      <w:r>
        <w:rPr>
          <w:rFonts w:hint="eastAsia"/>
          <w:sz w:val="21"/>
        </w:rPr>
        <w:t>条的适用，以明晰《民法典》第4</w:t>
      </w:r>
      <w:r>
        <w:rPr>
          <w:sz w:val="21"/>
        </w:rPr>
        <w:t>06</w:t>
      </w:r>
      <w:r>
        <w:rPr>
          <w:rFonts w:hint="eastAsia"/>
          <w:sz w:val="21"/>
        </w:rPr>
        <w:t>条与司法解释第4</w:t>
      </w:r>
      <w:r>
        <w:rPr>
          <w:sz w:val="21"/>
        </w:rPr>
        <w:t>3</w:t>
      </w:r>
      <w:r>
        <w:rPr>
          <w:rFonts w:hint="eastAsia"/>
          <w:sz w:val="21"/>
        </w:rPr>
        <w:t>条的规范构造，避免二者的价值冲突。本文亦在类型化上对禁、限转特约不同效力的各类案型作出梳理。司法解释第4</w:t>
      </w:r>
      <w:r>
        <w:rPr>
          <w:sz w:val="21"/>
        </w:rPr>
        <w:t>3</w:t>
      </w:r>
      <w:r>
        <w:rPr>
          <w:rFonts w:hint="eastAsia"/>
          <w:sz w:val="21"/>
        </w:rPr>
        <w:t>条体现了立法者基于实践需要而作出的特别价值判断，在保护抵押权人的同时，也在缓和地呼应、促进实践中担保制度的发展。随着交易的日渐频繁和技术的不断发展，对担保制度总会有着新的期冀，这必然意味着关于担保法的教义学也将持续自我革新，许多现在的问题、法教义，在未</w:t>
      </w:r>
      <w:bookmarkStart w:id="4" w:name="_GoBack"/>
      <w:bookmarkEnd w:id="4"/>
      <w:r>
        <w:rPr>
          <w:rFonts w:hint="eastAsia"/>
          <w:sz w:val="21"/>
        </w:rPr>
        <w:t>来或将被更切合届时的交易实践的问题和法教义取代，但在变中自有不变之处，在“交易安全”和“保护抵押权”之间，侧重何者，并如何在规范层面予以构造、解释、适用，使其更有效率，更有利于担保制度的维系与发展，这个问题始终在等待答案。</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09-14T14:53:37Z" w:initials="">
    <w:p w14:paraId="734D0129">
      <w:pPr>
        <w:pStyle w:val="5"/>
        <w:rPr>
          <w:rFonts w:hint="default" w:eastAsia="DengXian"/>
          <w:lang w:val="en-US" w:eastAsia="zh-CN"/>
        </w:rPr>
      </w:pPr>
      <w:r>
        <w:rPr>
          <w:rFonts w:hint="eastAsia"/>
          <w:lang w:val="en-US" w:eastAsia="zh-CN"/>
        </w:rPr>
        <w:t>民法典立法前后，已有大量文献讨论，是否还需要证成正当性？</w:t>
      </w:r>
    </w:p>
  </w:comment>
  <w:comment w:id="1" w:author="csn" w:date="2025-09-14T10:12:27Z" w:initials="">
    <w:p w14:paraId="5DF4EC22">
      <w:pPr>
        <w:pStyle w:val="5"/>
        <w:rPr>
          <w:rFonts w:hint="default" w:eastAsia="DengXian"/>
          <w:lang w:val="en-US" w:eastAsia="zh-CN"/>
        </w:rPr>
      </w:pPr>
      <w:r>
        <w:rPr>
          <w:rFonts w:hint="eastAsia"/>
          <w:lang w:val="en-US" w:eastAsia="zh-CN"/>
        </w:rPr>
        <w:t>是否存在漏洞？物上请求权能够满足规范目的。</w:t>
      </w:r>
    </w:p>
  </w:comment>
  <w:comment w:id="2" w:author="csn" w:date="2025-09-14T10:18:38Z" w:initials="">
    <w:p w14:paraId="31508C68">
      <w:pPr>
        <w:pStyle w:val="5"/>
        <w:rPr>
          <w:rFonts w:hint="default" w:eastAsia="DengXian"/>
          <w:lang w:val="en-US" w:eastAsia="zh-CN"/>
        </w:rPr>
      </w:pPr>
      <w:r>
        <w:rPr>
          <w:rFonts w:hint="eastAsia"/>
          <w:lang w:val="en-US" w:eastAsia="zh-CN"/>
        </w:rPr>
        <w:t>缺陷弥补，论述比较奇怪</w:t>
      </w:r>
    </w:p>
  </w:comment>
  <w:comment w:id="3" w:author="csn" w:date="2025-09-14T14:59:54Z" w:initials="">
    <w:p w14:paraId="37CC3022">
      <w:pPr>
        <w:pStyle w:val="5"/>
        <w:rPr>
          <w:rFonts w:hint="default" w:eastAsia="DengXian"/>
          <w:lang w:val="en-US" w:eastAsia="zh-CN"/>
        </w:rPr>
      </w:pPr>
      <w:r>
        <w:rPr>
          <w:rFonts w:hint="eastAsia"/>
          <w:lang w:val="en-US" w:eastAsia="zh-CN"/>
        </w:rPr>
        <w:t>似乎“软化物权法定”具有天然的正当性。何以得出？</w:t>
      </w:r>
    </w:p>
  </w:comment>
  <w:comment w:id="4" w:author="csn" w:date="2025-09-14T10:20:46Z" w:initials="">
    <w:p w14:paraId="04621EDF">
      <w:pPr>
        <w:pStyle w:val="5"/>
        <w:rPr>
          <w:rFonts w:hint="default" w:eastAsia="DengXian"/>
          <w:lang w:val="en-US" w:eastAsia="zh-CN"/>
        </w:rPr>
      </w:pPr>
      <w:r>
        <w:rPr>
          <w:rFonts w:hint="eastAsia"/>
          <w:lang w:val="en-US" w:eastAsia="zh-CN"/>
        </w:rPr>
        <w:t>缺少论证</w:t>
      </w:r>
    </w:p>
  </w:comment>
  <w:comment w:id="5" w:author="csn" w:date="2025-09-14T15:02:29Z" w:initials="">
    <w:p w14:paraId="427A9F94">
      <w:pPr>
        <w:pStyle w:val="5"/>
        <w:rPr>
          <w:rFonts w:hint="default" w:eastAsia="DengXian"/>
          <w:lang w:val="en-US" w:eastAsia="zh-CN"/>
        </w:rPr>
      </w:pPr>
      <w:r>
        <w:rPr>
          <w:rFonts w:hint="eastAsia"/>
          <w:lang w:val="en-US" w:eastAsia="zh-CN"/>
        </w:rPr>
        <w:t>套话可删除</w:t>
      </w:r>
    </w:p>
  </w:comment>
  <w:comment w:id="6" w:author="csn" w:date="2025-09-14T15:03:40Z" w:initials="">
    <w:p w14:paraId="39BE61D1">
      <w:pPr>
        <w:pStyle w:val="5"/>
        <w:rPr>
          <w:rFonts w:hint="default" w:eastAsia="DengXian"/>
          <w:lang w:val="en-US" w:eastAsia="zh-CN"/>
        </w:rPr>
      </w:pPr>
      <w:r>
        <w:rPr>
          <w:rFonts w:hint="eastAsia"/>
          <w:lang w:val="en-US" w:eastAsia="zh-CN"/>
        </w:rPr>
        <w:t>重点内容，论证显得单薄</w:t>
      </w:r>
    </w:p>
  </w:comment>
  <w:comment w:id="7" w:author="csn" w:date="2025-09-14T15:10:00Z" w:initials="">
    <w:p w14:paraId="24B2A2B6">
      <w:pPr>
        <w:pStyle w:val="5"/>
        <w:rPr>
          <w:rFonts w:hint="default" w:eastAsia="DengXian"/>
          <w:lang w:val="en-US" w:eastAsia="zh-CN"/>
        </w:rPr>
      </w:pPr>
      <w:r>
        <w:rPr>
          <w:rFonts w:hint="eastAsia"/>
          <w:lang w:val="en-US" w:eastAsia="zh-CN"/>
        </w:rPr>
        <w:t>论证问题是否是个真问题？有稻草人谬误之嫌。参见龙俊论文第89页。</w:t>
      </w:r>
    </w:p>
  </w:comment>
  <w:comment w:id="8" w:author="csn" w:date="2025-09-14T15:08:44Z" w:initials="">
    <w:p w14:paraId="45B12A91">
      <w:pPr>
        <w:pStyle w:val="5"/>
        <w:rPr>
          <w:rFonts w:hint="default" w:eastAsia="DengXian"/>
          <w:lang w:val="en-US" w:eastAsia="zh-CN"/>
        </w:rPr>
      </w:pPr>
      <w:r>
        <w:rPr>
          <w:rFonts w:hint="eastAsia"/>
          <w:lang w:val="en-US" w:eastAsia="zh-CN"/>
        </w:rPr>
        <w:t>这一段在论证正当性，不过是否需要存疑。</w:t>
      </w:r>
    </w:p>
  </w:comment>
  <w:comment w:id="9" w:author="csn" w:date="2025-09-14T15:07:27Z" w:initials="">
    <w:p w14:paraId="14EF9953">
      <w:pPr>
        <w:pStyle w:val="5"/>
        <w:rPr>
          <w:rFonts w:hint="default" w:eastAsia="DengXian"/>
          <w:lang w:val="en-US" w:eastAsia="zh-CN"/>
        </w:rPr>
      </w:pPr>
      <w:r>
        <w:rPr>
          <w:rFonts w:hint="eastAsia"/>
          <w:lang w:val="en-US" w:eastAsia="zh-CN"/>
        </w:rPr>
        <w:t>未经登记，不得对抗善意第三人，为何冲击了私法原理？</w:t>
      </w:r>
    </w:p>
  </w:comment>
  <w:comment w:id="10" w:author="csn" w:date="2025-09-14T15:12:26Z" w:initials="">
    <w:p w14:paraId="1F30E903">
      <w:pPr>
        <w:pStyle w:val="5"/>
        <w:rPr>
          <w:rFonts w:hint="default" w:eastAsia="DengXian"/>
          <w:lang w:val="en-US" w:eastAsia="zh-CN"/>
        </w:rPr>
      </w:pPr>
      <w:r>
        <w:rPr>
          <w:rFonts w:hint="eastAsia"/>
          <w:lang w:val="en-US" w:eastAsia="zh-CN"/>
        </w:rPr>
        <w:t>为何并未严重冲击物权法定原则，缺少论证</w:t>
      </w:r>
    </w:p>
  </w:comment>
  <w:comment w:id="11" w:author="csn" w:date="2025-09-14T15:13:26Z" w:initials="">
    <w:p w14:paraId="41E260A5">
      <w:pPr>
        <w:pStyle w:val="5"/>
        <w:rPr>
          <w:rFonts w:hint="default" w:eastAsia="DengXian"/>
          <w:lang w:val="en-US" w:eastAsia="zh-CN"/>
        </w:rPr>
      </w:pPr>
      <w:r>
        <w:rPr>
          <w:rFonts w:hint="eastAsia"/>
          <w:lang w:val="en-US" w:eastAsia="zh-CN"/>
        </w:rPr>
        <w:t>仍然是以意思自治证成正当性，但问题在于，物权法的问题并非意思自治能一言以蔽之，意思自治亦有限度，此处论证说服力不强。</w:t>
      </w:r>
    </w:p>
  </w:comment>
  <w:comment w:id="12" w:author="csn" w:date="2025-09-14T15:18:21Z" w:initials="">
    <w:p w14:paraId="353202EB">
      <w:pPr>
        <w:pStyle w:val="5"/>
        <w:rPr>
          <w:rFonts w:hint="default" w:eastAsia="DengXian"/>
          <w:lang w:val="en-US" w:eastAsia="zh-CN"/>
        </w:rPr>
      </w:pPr>
      <w:r>
        <w:rPr>
          <w:rFonts w:hint="eastAsia"/>
          <w:lang w:val="en-US" w:eastAsia="zh-CN"/>
        </w:rPr>
        <w:t>此处是否为我国通说，需进一步论证。脚注也可引用中译本。</w:t>
      </w:r>
    </w:p>
  </w:comment>
  <w:comment w:id="13" w:author="csn" w:date="2025-09-14T15:23:58Z" w:initials="">
    <w:p w14:paraId="5041C78A">
      <w:pPr>
        <w:pStyle w:val="5"/>
        <w:rPr>
          <w:rFonts w:hint="default" w:eastAsia="DengXian"/>
          <w:lang w:val="en-US" w:eastAsia="zh-CN"/>
        </w:rPr>
      </w:pPr>
      <w:r>
        <w:rPr>
          <w:rFonts w:hint="eastAsia"/>
          <w:lang w:val="en-US" w:eastAsia="zh-CN"/>
        </w:rPr>
        <w:t>伪造同意，或者贿赂工作人员，不就可以吗？</w:t>
      </w:r>
    </w:p>
  </w:comment>
  <w:comment w:id="14" w:author="csn" w:date="2025-09-14T15:26:00Z" w:initials="">
    <w:p w14:paraId="07DAC2D4">
      <w:pPr>
        <w:pStyle w:val="5"/>
        <w:rPr>
          <w:rFonts w:hint="default" w:eastAsia="DengXian"/>
          <w:lang w:val="en-US" w:eastAsia="zh-CN"/>
        </w:rPr>
      </w:pPr>
      <w:r>
        <w:rPr>
          <w:rFonts w:hint="eastAsia"/>
          <w:lang w:val="en-US" w:eastAsia="zh-CN"/>
        </w:rPr>
        <w:t>为何只考虑（同情）抵押人的利益？此外，此处论证比较简略，多有想象的因素。</w:t>
      </w:r>
    </w:p>
  </w:comment>
  <w:comment w:id="15" w:author="csn" w:date="2025-09-14T15:20:27Z" w:initials="">
    <w:p w14:paraId="7E7DD30E">
      <w:pPr>
        <w:pStyle w:val="5"/>
        <w:rPr>
          <w:rFonts w:hint="default" w:eastAsia="DengXian"/>
          <w:lang w:val="en-US" w:eastAsia="zh-CN"/>
        </w:rPr>
      </w:pPr>
      <w:r>
        <w:rPr>
          <w:rFonts w:hint="eastAsia"/>
          <w:lang w:val="en-US" w:eastAsia="zh-CN"/>
        </w:rPr>
        <w:t>法政策判断从何得出。此外，行政机关如何登记，似乎不仅是民法学上的解释问题，也需要考虑中国行政体制的特点。</w:t>
      </w:r>
    </w:p>
  </w:comment>
  <w:comment w:id="16" w:author="csn" w:date="2025-09-14T15:30:43Z" w:initials="">
    <w:p w14:paraId="18B8C365">
      <w:pPr>
        <w:pStyle w:val="5"/>
        <w:rPr>
          <w:rFonts w:hint="default" w:eastAsia="DengXian"/>
          <w:lang w:val="en-US" w:eastAsia="zh-CN"/>
        </w:rPr>
      </w:pPr>
      <w:r>
        <w:rPr>
          <w:rFonts w:hint="eastAsia"/>
          <w:lang w:val="en-US" w:eastAsia="zh-CN"/>
        </w:rPr>
        <w:t>为什么？缺少论证</w:t>
      </w:r>
    </w:p>
  </w:comment>
  <w:comment w:id="17" w:author="csn" w:date="2025-09-14T15:30:57Z" w:initials="">
    <w:p w14:paraId="1336D4EC">
      <w:pPr>
        <w:pStyle w:val="5"/>
        <w:rPr>
          <w:rFonts w:hint="default" w:eastAsia="DengXian"/>
          <w:lang w:val="en-US" w:eastAsia="zh-CN"/>
        </w:rPr>
      </w:pPr>
      <w:r>
        <w:rPr>
          <w:rFonts w:hint="eastAsia"/>
          <w:lang w:val="en-US" w:eastAsia="zh-CN"/>
        </w:rPr>
        <w:t>自己肯定自己？</w:t>
      </w:r>
    </w:p>
  </w:comment>
  <w:comment w:id="18" w:author="csn" w:date="2025-09-14T15:36:42Z" w:initials="">
    <w:p w14:paraId="3E5A2D64">
      <w:pPr>
        <w:pStyle w:val="5"/>
        <w:rPr>
          <w:rFonts w:hint="default" w:eastAsia="DengXian"/>
          <w:lang w:val="en-US" w:eastAsia="zh-CN"/>
        </w:rPr>
      </w:pPr>
      <w:r>
        <w:rPr>
          <w:rFonts w:hint="eastAsia"/>
          <w:lang w:val="en-US" w:eastAsia="zh-CN"/>
        </w:rPr>
        <w:t>标题不太适合，本身与核心（目的）无关，也是一种类型化的展示。本章内容完全可以放在前述解释论之中，乃解释论的逻辑展开，似乎没有独立成章的必要性。</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34D0129" w15:done="0"/>
  <w15:commentEx w15:paraId="5DF4EC22" w15:done="0"/>
  <w15:commentEx w15:paraId="31508C68" w15:done="0"/>
  <w15:commentEx w15:paraId="37CC3022" w15:done="0"/>
  <w15:commentEx w15:paraId="04621EDF" w15:done="0"/>
  <w15:commentEx w15:paraId="427A9F94" w15:done="0"/>
  <w15:commentEx w15:paraId="39BE61D1" w15:done="0"/>
  <w15:commentEx w15:paraId="24B2A2B6" w15:done="0"/>
  <w15:commentEx w15:paraId="45B12A91" w15:done="0"/>
  <w15:commentEx w15:paraId="14EF9953" w15:done="0"/>
  <w15:commentEx w15:paraId="1F30E903" w15:done="0"/>
  <w15:commentEx w15:paraId="41E260A5" w15:done="0"/>
  <w15:commentEx w15:paraId="353202EB" w15:done="0"/>
  <w15:commentEx w15:paraId="5041C78A" w15:done="0"/>
  <w15:commentEx w15:paraId="07DAC2D4" w15:done="0"/>
  <w15:commentEx w15:paraId="7E7DD30E" w15:done="0"/>
  <w15:commentEx w15:paraId="18B8C365" w15:done="0"/>
  <w15:commentEx w15:paraId="1336D4EC" w15:done="0"/>
  <w15:commentEx w15:paraId="3E5A2D6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Times New Roman (正文 CS 字体)">
    <w:altName w:val="Times New Roman"/>
    <w:panose1 w:val="020B0604020202020204"/>
    <w:charset w:val="86"/>
    <w:family w:val="roman"/>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AppleExternalUIFontSimplifiedCh">
    <w:altName w:val="苹方-简"/>
    <w:panose1 w:val="020B0604020202020204"/>
    <w:charset w:val="86"/>
    <w:family w:val="auto"/>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华文楷体">
    <w:altName w:val="汉仪楷体简"/>
    <w:panose1 w:val="02010600040101010101"/>
    <w:charset w:val="86"/>
    <w:family w:val="auto"/>
    <w:pitch w:val="default"/>
    <w:sig w:usb0="00000000" w:usb1="00000000"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ambria">
    <w:altName w:val="苹方-简"/>
    <w:panose1 w:val="02040503050406030204"/>
    <w:charset w:val="00"/>
    <w:family w:val="roman"/>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16">
    <w:p>
      <w:r>
        <w:separator/>
      </w:r>
    </w:p>
  </w:footnote>
  <w:footnote w:type="continuationSeparator" w:id="117">
    <w:p>
      <w:r>
        <w:continuationSeparator/>
      </w:r>
    </w:p>
  </w:footnote>
  <w:footnote w:id="0">
    <w:p w14:paraId="36514901">
      <w:pPr>
        <w:pStyle w:val="12"/>
        <w:ind w:firstLine="360" w:firstLineChars="200"/>
        <w:rPr>
          <w:rFonts w:eastAsia="仿宋"/>
        </w:rPr>
      </w:pPr>
      <w:r>
        <w:rPr>
          <w:rStyle w:val="11"/>
          <w:rFonts w:eastAsia="仿宋"/>
        </w:rPr>
        <w:footnoteRef/>
      </w:r>
      <w:r>
        <w:rPr>
          <w:rFonts w:eastAsia="仿宋"/>
        </w:rPr>
        <w:t xml:space="preserve"> </w:t>
      </w:r>
      <w:r>
        <w:rPr>
          <w:rFonts w:hint="eastAsia" w:eastAsia="仿宋"/>
        </w:rPr>
        <w:t>该种规范设计与传统民法基本原理相合，也即抵押物所有人仍可将抵押财产让予他人，其仍为有权处分，原抵押权亦不受影响，其仍可追及至抵押物之所在。</w:t>
      </w:r>
      <w:r>
        <w:rPr>
          <w:rFonts w:eastAsia="仿宋"/>
        </w:rPr>
        <w:t>翟云岭</w:t>
      </w:r>
      <w:r>
        <w:rPr>
          <w:rFonts w:hint="eastAsia" w:eastAsia="仿宋"/>
        </w:rPr>
        <w:t>，</w:t>
      </w:r>
      <w:r>
        <w:rPr>
          <w:rFonts w:eastAsia="仿宋"/>
        </w:rPr>
        <w:t>刘耀东</w:t>
      </w:r>
      <w:r>
        <w:rPr>
          <w:rFonts w:hint="eastAsia" w:eastAsia="仿宋"/>
        </w:rPr>
        <w:t>：《</w:t>
      </w:r>
      <w:r>
        <w:rPr>
          <w:rFonts w:eastAsia="仿宋"/>
        </w:rPr>
        <w:t>论物权性强制性规范与债权合同的效力</w:t>
      </w:r>
      <w:r>
        <w:rPr>
          <w:rFonts w:hint="eastAsia" w:eastAsia="仿宋"/>
        </w:rPr>
        <w:t>——以抵押人擅自转让抵押物为视角》，载《现代法学》2</w:t>
      </w:r>
      <w:r>
        <w:rPr>
          <w:rFonts w:eastAsia="仿宋"/>
        </w:rPr>
        <w:t>012</w:t>
      </w:r>
      <w:r>
        <w:rPr>
          <w:rFonts w:hint="eastAsia" w:eastAsia="仿宋"/>
        </w:rPr>
        <w:t>年第3期。高圣平：《</w:t>
      </w:r>
      <w:r>
        <w:rPr>
          <w:rFonts w:eastAsia="仿宋"/>
        </w:rPr>
        <w:t>民法典担保物权制度修正研究</w:t>
      </w:r>
      <w:r>
        <w:rPr>
          <w:rFonts w:hint="eastAsia" w:eastAsia="仿宋"/>
        </w:rPr>
        <w:t>——以〈民法典各分编（草案）〉为分析对象》，载《江西社会科学》2</w:t>
      </w:r>
      <w:r>
        <w:rPr>
          <w:rFonts w:eastAsia="仿宋"/>
        </w:rPr>
        <w:t>018</w:t>
      </w:r>
      <w:r>
        <w:rPr>
          <w:rFonts w:hint="eastAsia" w:eastAsia="仿宋"/>
        </w:rPr>
        <w:t>年第1</w:t>
      </w:r>
      <w:r>
        <w:rPr>
          <w:rFonts w:eastAsia="仿宋"/>
        </w:rPr>
        <w:t>0</w:t>
      </w:r>
      <w:r>
        <w:rPr>
          <w:rFonts w:hint="eastAsia" w:eastAsia="仿宋"/>
        </w:rPr>
        <w:t>期。该观点在司法实践中亦得到确认。余某诉中山市某某房地产开发有限公司破产纠纷案，广东省高级人民法院（2023）粤民终4238号民事判决书；江西万载某某股份有限公司诉高某祥、杨某强等执行异议之诉案，江西省宜春市中级人民法院（2024）赣09民终2438号民事判决书；胡作春诉宜昌市合众航运有限公司等船舶买卖合同纠纷案，湖北省高级人民法院（2022）鄂民终829号民事判决书。</w:t>
      </w:r>
    </w:p>
  </w:footnote>
  <w:footnote w:id="1">
    <w:p w14:paraId="676A7EE8">
      <w:pPr>
        <w:pStyle w:val="28"/>
      </w:pPr>
      <w:r>
        <w:rPr>
          <w:rStyle w:val="11"/>
        </w:rPr>
        <w:footnoteRef/>
      </w:r>
      <w:r>
        <w:t xml:space="preserve"> </w:t>
      </w:r>
      <w:r>
        <w:rPr>
          <w:rFonts w:hint="eastAsia"/>
        </w:rPr>
        <w:t>刘家安：《</w:t>
      </w:r>
      <w:r>
        <w:t>〈</w:t>
      </w:r>
      <w:r>
        <w:rPr>
          <w:rFonts w:hint="eastAsia"/>
        </w:rPr>
        <w:t>民法典</w:t>
      </w:r>
      <w:r>
        <w:t>〉</w:t>
      </w:r>
      <w:r>
        <w:rPr>
          <w:rFonts w:hint="eastAsia"/>
        </w:rPr>
        <w:t>抵押物转让规则的体系解读——以第4</w:t>
      </w:r>
      <w:r>
        <w:t>06</w:t>
      </w:r>
      <w:r>
        <w:rPr>
          <w:rFonts w:hint="eastAsia"/>
        </w:rPr>
        <w:t>条为中心》，载《山东大学学报（哲学社会科学版）》2</w:t>
      </w:r>
      <w:r>
        <w:t>020</w:t>
      </w:r>
      <w:r>
        <w:rPr>
          <w:rFonts w:hint="eastAsia"/>
        </w:rPr>
        <w:t>年第6期。谢鸿飞：《</w:t>
      </w:r>
      <w:r>
        <w:t>〈</w:t>
      </w:r>
      <w:r>
        <w:rPr>
          <w:rFonts w:hint="eastAsia"/>
        </w:rPr>
        <w:t>民法典</w:t>
      </w:r>
      <w:r>
        <w:t>〉</w:t>
      </w:r>
      <w:r>
        <w:rPr>
          <w:rFonts w:hint="eastAsia"/>
        </w:rPr>
        <w:t>担保制度内在体系的变迁》，载《东南学术》2</w:t>
      </w:r>
      <w:r>
        <w:t>021</w:t>
      </w:r>
      <w:r>
        <w:rPr>
          <w:rFonts w:hint="eastAsia"/>
        </w:rPr>
        <w:t>年第5期。实际上，容许抵押物自由转让亦为多数国家或地区之通例。刘贵祥、吴光荣：《</w:t>
      </w:r>
      <w:r>
        <w:t>论未经抵押权人同意之抵押物转让的效力</w:t>
      </w:r>
      <w:r>
        <w:rPr>
          <w:rFonts w:hint="eastAsia"/>
        </w:rPr>
        <w:t>》，载《比较法研究》2</w:t>
      </w:r>
      <w:r>
        <w:t>013</w:t>
      </w:r>
      <w:r>
        <w:rPr>
          <w:rFonts w:hint="eastAsia"/>
        </w:rPr>
        <w:t>年第5期。</w:t>
      </w:r>
    </w:p>
  </w:footnote>
  <w:footnote w:id="2">
    <w:p w14:paraId="7B93786C">
      <w:pPr>
        <w:pStyle w:val="28"/>
      </w:pPr>
      <w:r>
        <w:rPr>
          <w:rStyle w:val="11"/>
        </w:rPr>
        <w:footnoteRef/>
      </w:r>
      <w:r>
        <w:t xml:space="preserve"> </w:t>
      </w:r>
      <w:r>
        <w:rPr>
          <w:rFonts w:hint="eastAsia"/>
        </w:rPr>
        <w:t>谢鸿飞：《</w:t>
      </w:r>
      <w:r>
        <w:t>〈</w:t>
      </w:r>
      <w:r>
        <w:rPr>
          <w:rFonts w:hint="eastAsia"/>
        </w:rPr>
        <w:t>民法典</w:t>
      </w:r>
      <w:r>
        <w:t>〉</w:t>
      </w:r>
      <w:r>
        <w:rPr>
          <w:rFonts w:hint="eastAsia"/>
        </w:rPr>
        <w:t>担保制度内在体系的变迁》，载《东南学术》2</w:t>
      </w:r>
      <w:r>
        <w:t>021</w:t>
      </w:r>
      <w:r>
        <w:rPr>
          <w:rFonts w:hint="eastAsia"/>
        </w:rPr>
        <w:t>年第5期。</w:t>
      </w:r>
    </w:p>
  </w:footnote>
  <w:footnote w:id="3">
    <w:p w14:paraId="637FC7E2">
      <w:pPr>
        <w:pStyle w:val="28"/>
      </w:pPr>
      <w:r>
        <w:rPr>
          <w:rStyle w:val="11"/>
        </w:rPr>
        <w:footnoteRef/>
      </w:r>
      <w:r>
        <w:t xml:space="preserve"> </w:t>
      </w:r>
      <w:r>
        <w:rPr>
          <w:rFonts w:hint="eastAsia"/>
        </w:rPr>
        <w:t>谢鸿飞教授指出，目前学界对各国担保法改革的共同目标的总结中，包含如下关切，即担保制度应促进合同自由，满足交易灵活性；也要提高担保交易和担保权实现的效率，亦应平衡担保交易双方和第三人的利益。谢鸿飞：《</w:t>
      </w:r>
      <w:r>
        <w:t>〈</w:t>
      </w:r>
      <w:r>
        <w:rPr>
          <w:rFonts w:hint="eastAsia"/>
        </w:rPr>
        <w:t>民法典</w:t>
      </w:r>
      <w:r>
        <w:t>〉</w:t>
      </w:r>
      <w:r>
        <w:rPr>
          <w:rFonts w:hint="eastAsia"/>
        </w:rPr>
        <w:t>担保制度内在体系的变迁》，载《东南学术》2</w:t>
      </w:r>
      <w:r>
        <w:t>021</w:t>
      </w:r>
      <w:r>
        <w:rPr>
          <w:rFonts w:hint="eastAsia"/>
        </w:rPr>
        <w:t>年第5期。</w:t>
      </w:r>
    </w:p>
  </w:footnote>
  <w:footnote w:id="4">
    <w:p w14:paraId="382424A9">
      <w:pPr>
        <w:pStyle w:val="28"/>
      </w:pPr>
      <w:r>
        <w:rPr>
          <w:rStyle w:val="11"/>
        </w:rPr>
        <w:footnoteRef/>
      </w:r>
      <w:r>
        <w:t xml:space="preserve"> </w:t>
      </w:r>
      <w:r>
        <w:rPr>
          <w:rFonts w:hint="eastAsia"/>
        </w:rPr>
        <w:t>从裁判观点亦可看出，人民法院对不动产抵押物的转让持肯定态度：其认为不动产抵押财产的转让或可实现保值增值，有利于抵押权人。加之抵押权人对抵押物转让的价款亦享有控制权和求偿权，对抵押权的完满实现较为有利。国家开发银行诉宋艳君等申请执行人执行异议之诉案，最高人民法院（2022）最高法民终15号民事判决书。相似观点，另可见国家开发银行诉林艳姝等案外人执行异议之诉案，最高人民法院（2021）最高法民终1212号民事判决书；李明诉柴林杰房屋买卖合同纠纷案，河南省安阳市中级人民法院（2022）豫05民终3093号民事判决书。</w:t>
      </w:r>
    </w:p>
  </w:footnote>
  <w:footnote w:id="5">
    <w:p w14:paraId="5D9F2F06">
      <w:pPr>
        <w:pStyle w:val="28"/>
      </w:pPr>
      <w:r>
        <w:rPr>
          <w:rStyle w:val="11"/>
        </w:rPr>
        <w:footnoteRef/>
      </w:r>
      <w:r>
        <w:t xml:space="preserve"> </w:t>
      </w:r>
      <w:r>
        <w:rPr>
          <w:rFonts w:hint="eastAsia"/>
        </w:rPr>
        <w:t>叶锋：《</w:t>
      </w:r>
      <w:r>
        <w:t>不动产抵押物转让规则之检讨与构建——以</w:t>
      </w:r>
      <w:r>
        <w:rPr>
          <w:rFonts w:hint="eastAsia"/>
        </w:rPr>
        <w:t>〈</w:t>
      </w:r>
      <w:r>
        <w:t>物权法</w:t>
      </w:r>
      <w:r>
        <w:rPr>
          <w:rFonts w:hint="eastAsia"/>
        </w:rPr>
        <w:t>〉</w:t>
      </w:r>
      <w:r>
        <w:t>第191条为中心的考察</w:t>
      </w:r>
      <w:r>
        <w:rPr>
          <w:rFonts w:hint="eastAsia"/>
        </w:rPr>
        <w:t>》，载《上海政法学院学报》2</w:t>
      </w:r>
      <w:r>
        <w:t>015</w:t>
      </w:r>
      <w:r>
        <w:rPr>
          <w:rFonts w:hint="eastAsia"/>
        </w:rPr>
        <w:t>年第2期。刘家安：《</w:t>
      </w:r>
      <w:r>
        <w:t>〈</w:t>
      </w:r>
      <w:r>
        <w:rPr>
          <w:rFonts w:hint="eastAsia"/>
        </w:rPr>
        <w:t>民法典</w:t>
      </w:r>
      <w:r>
        <w:t>〉</w:t>
      </w:r>
      <w:r>
        <w:rPr>
          <w:rFonts w:hint="eastAsia"/>
        </w:rPr>
        <w:t>抵押物转让规则的体系解读——以第4</w:t>
      </w:r>
      <w:r>
        <w:t>06</w:t>
      </w:r>
      <w:r>
        <w:rPr>
          <w:rFonts w:hint="eastAsia"/>
        </w:rPr>
        <w:t>条为中心》，载《山东大学学报（哲学社会科学版）》2</w:t>
      </w:r>
      <w:r>
        <w:t>020</w:t>
      </w:r>
      <w:r>
        <w:rPr>
          <w:rFonts w:hint="eastAsia"/>
        </w:rPr>
        <w:t>年第6期；袁鹏：《</w:t>
      </w:r>
      <w:r>
        <w:t>不动产抵押物转让规则新诠</w:t>
      </w:r>
      <w:r>
        <w:rPr>
          <w:rFonts w:hint="eastAsia"/>
        </w:rPr>
        <w:t>》，载《法学评论》2</w:t>
      </w:r>
      <w:r>
        <w:t>016</w:t>
      </w:r>
      <w:r>
        <w:rPr>
          <w:rFonts w:hint="eastAsia"/>
        </w:rPr>
        <w:t>年第3期。不过，纵对于目前观之争议较小的不动产抵押物转让，在立法史上也经历了一个纠结的“立法的轮回”，有学者指出，对于不动产抵押物之转让，我国立法经历了“严格限制”到“放松管制”，再到“严格限制”的纠结反复的过程。叶锋：《</w:t>
      </w:r>
      <w:r>
        <w:t>不动产抵押物转让规则之检讨与构建——以</w:t>
      </w:r>
      <w:r>
        <w:rPr>
          <w:rFonts w:hint="eastAsia"/>
        </w:rPr>
        <w:t>〈</w:t>
      </w:r>
      <w:r>
        <w:t>物权法</w:t>
      </w:r>
      <w:r>
        <w:rPr>
          <w:rFonts w:hint="eastAsia"/>
        </w:rPr>
        <w:t>〉</w:t>
      </w:r>
      <w:r>
        <w:t>第191条为中心的考察</w:t>
      </w:r>
      <w:r>
        <w:rPr>
          <w:rFonts w:hint="eastAsia"/>
        </w:rPr>
        <w:t>》，载《上海政法学院学报》2</w:t>
      </w:r>
      <w:r>
        <w:t>015</w:t>
      </w:r>
      <w:r>
        <w:rPr>
          <w:rFonts w:hint="eastAsia"/>
        </w:rPr>
        <w:t>年第2期。亦可见麻锐：《抵押财产转让规则的模式选择——我国</w:t>
      </w:r>
      <w:r>
        <w:t>〈</w:t>
      </w:r>
      <w:r>
        <w:rPr>
          <w:rFonts w:hint="eastAsia"/>
        </w:rPr>
        <w:t>物权法</w:t>
      </w:r>
      <w:r>
        <w:t>〉</w:t>
      </w:r>
      <w:r>
        <w:rPr>
          <w:rFonts w:hint="eastAsia"/>
        </w:rPr>
        <w:t>第1</w:t>
      </w:r>
      <w:r>
        <w:t>91</w:t>
      </w:r>
      <w:r>
        <w:rPr>
          <w:rFonts w:hint="eastAsia"/>
        </w:rPr>
        <w:t>条抵押物限制转让模式的解释论证成》。载《政治与法律》2</w:t>
      </w:r>
      <w:r>
        <w:t>017</w:t>
      </w:r>
      <w:r>
        <w:rPr>
          <w:rFonts w:hint="eastAsia"/>
        </w:rPr>
        <w:t>年第1</w:t>
      </w:r>
      <w:r>
        <w:t>2</w:t>
      </w:r>
      <w:r>
        <w:rPr>
          <w:rFonts w:hint="eastAsia"/>
        </w:rPr>
        <w:t>期。</w:t>
      </w:r>
    </w:p>
  </w:footnote>
  <w:footnote w:id="6">
    <w:p w14:paraId="3EDBEBE5">
      <w:pPr>
        <w:pStyle w:val="28"/>
      </w:pPr>
      <w:r>
        <w:rPr>
          <w:rStyle w:val="11"/>
        </w:rPr>
        <w:footnoteRef/>
      </w:r>
      <w:r>
        <w:t xml:space="preserve"> </w:t>
      </w:r>
      <w:r>
        <w:rPr>
          <w:rFonts w:hint="eastAsia"/>
        </w:rPr>
        <w:t>刘家安：《</w:t>
      </w:r>
      <w:r>
        <w:t>〈</w:t>
      </w:r>
      <w:r>
        <w:rPr>
          <w:rFonts w:hint="eastAsia"/>
        </w:rPr>
        <w:t>民法典</w:t>
      </w:r>
      <w:r>
        <w:t>〉</w:t>
      </w:r>
      <w:r>
        <w:rPr>
          <w:rFonts w:hint="eastAsia"/>
        </w:rPr>
        <w:t>抵押物转让规则的体系解读——以第4</w:t>
      </w:r>
      <w:r>
        <w:t>06</w:t>
      </w:r>
      <w:r>
        <w:rPr>
          <w:rFonts w:hint="eastAsia"/>
        </w:rPr>
        <w:t>条为中心》，载《山东大学学报（哲学社会科学版）》2</w:t>
      </w:r>
      <w:r>
        <w:t>020</w:t>
      </w:r>
      <w:r>
        <w:rPr>
          <w:rFonts w:hint="eastAsia"/>
        </w:rPr>
        <w:t>年第6期。有学者亦指出，容许不动产抵押物的流转，既可最大限度“物尽其用”，也符合社会经济发展对流通的需求。袁鹏：《</w:t>
      </w:r>
      <w:r>
        <w:t>不动产抵押物转让规则新诠</w:t>
      </w:r>
      <w:r>
        <w:rPr>
          <w:rFonts w:hint="eastAsia"/>
        </w:rPr>
        <w:t>》，载《法学评论》2</w:t>
      </w:r>
      <w:r>
        <w:t>016</w:t>
      </w:r>
      <w:r>
        <w:rPr>
          <w:rFonts w:hint="eastAsia"/>
        </w:rPr>
        <w:t>年第3期。</w:t>
      </w:r>
    </w:p>
  </w:footnote>
  <w:footnote w:id="7">
    <w:p w14:paraId="15F58D8E">
      <w:pPr>
        <w:pStyle w:val="28"/>
      </w:pPr>
      <w:r>
        <w:rPr>
          <w:rStyle w:val="11"/>
        </w:rPr>
        <w:footnoteRef/>
      </w:r>
      <w:r>
        <w:t xml:space="preserve"> </w:t>
      </w:r>
      <w:r>
        <w:rPr>
          <w:rFonts w:hint="eastAsia"/>
        </w:rPr>
        <w:t>龙俊：《</w:t>
      </w:r>
      <w:r>
        <w:t>论抵押物转让规则改革</w:t>
      </w:r>
      <w:r>
        <w:rPr>
          <w:rFonts w:hint="eastAsia"/>
        </w:rPr>
        <w:t>——基于</w:t>
      </w:r>
      <w:r>
        <w:t>〈</w:t>
      </w:r>
      <w:r>
        <w:rPr>
          <w:rFonts w:hint="eastAsia"/>
        </w:rPr>
        <w:t>民法典</w:t>
      </w:r>
      <w:r>
        <w:t>〉</w:t>
      </w:r>
      <w:r>
        <w:rPr>
          <w:rFonts w:hint="eastAsia"/>
        </w:rPr>
        <w:t>与</w:t>
      </w:r>
      <w:r>
        <w:t>〈</w:t>
      </w:r>
      <w:r>
        <w:rPr>
          <w:rFonts w:hint="eastAsia"/>
        </w:rPr>
        <w:t>担保制度司法解释</w:t>
      </w:r>
      <w:r>
        <w:t>〉</w:t>
      </w:r>
      <w:r>
        <w:rPr>
          <w:rFonts w:hint="eastAsia"/>
        </w:rPr>
        <w:t>的融贯性思考》，载《南京社会科学》2</w:t>
      </w:r>
      <w:r>
        <w:t>024</w:t>
      </w:r>
      <w:r>
        <w:rPr>
          <w:rFonts w:hint="eastAsia"/>
        </w:rPr>
        <w:t>年第1</w:t>
      </w:r>
      <w:r>
        <w:t>1</w:t>
      </w:r>
      <w:r>
        <w:rPr>
          <w:rFonts w:hint="eastAsia"/>
        </w:rPr>
        <w:t>期。</w:t>
      </w:r>
    </w:p>
  </w:footnote>
  <w:footnote w:id="8">
    <w:p w14:paraId="08444081">
      <w:pPr>
        <w:pStyle w:val="28"/>
      </w:pPr>
      <w:r>
        <w:rPr>
          <w:rStyle w:val="11"/>
        </w:rPr>
        <w:footnoteRef/>
      </w:r>
      <w:r>
        <w:t xml:space="preserve"> </w:t>
      </w:r>
      <w:r>
        <w:rPr>
          <w:rFonts w:hint="eastAsia"/>
        </w:rPr>
        <w:t>景光强：《</w:t>
      </w:r>
      <w:r>
        <w:t>抵押物转让新规则释论</w:t>
      </w:r>
      <w:r>
        <w:rPr>
          <w:rFonts w:hint="eastAsia"/>
        </w:rPr>
        <w:t>》，载《山东法官培训学院学报》2</w:t>
      </w:r>
      <w:r>
        <w:t>021</w:t>
      </w:r>
      <w:r>
        <w:rPr>
          <w:rFonts w:hint="eastAsia"/>
        </w:rPr>
        <w:t>年第5期。</w:t>
      </w:r>
    </w:p>
  </w:footnote>
  <w:footnote w:id="9">
    <w:p w14:paraId="3D6B4604">
      <w:pPr>
        <w:pStyle w:val="28"/>
      </w:pPr>
      <w:r>
        <w:rPr>
          <w:rStyle w:val="11"/>
        </w:rPr>
        <w:footnoteRef/>
      </w:r>
      <w:r>
        <w:t xml:space="preserve"> </w:t>
      </w:r>
      <w:r>
        <w:rPr>
          <w:rFonts w:hint="eastAsia"/>
        </w:rPr>
        <w:t>杨代雄主编：《袖珍民法典评注》，中国民主法制出版社2</w:t>
      </w:r>
      <w:r>
        <w:t>022</w:t>
      </w:r>
      <w:r>
        <w:rPr>
          <w:rFonts w:hint="eastAsia"/>
        </w:rPr>
        <w:t>年版，第</w:t>
      </w:r>
      <w:r>
        <w:t>315</w:t>
      </w:r>
      <w:r>
        <w:rPr>
          <w:rFonts w:hint="eastAsia"/>
        </w:rPr>
        <w:t>页一第3</w:t>
      </w:r>
      <w:r>
        <w:t>16</w:t>
      </w:r>
      <w:r>
        <w:rPr>
          <w:rFonts w:hint="eastAsia"/>
        </w:rPr>
        <w:t>页。</w:t>
      </w:r>
    </w:p>
  </w:footnote>
  <w:footnote w:id="10">
    <w:p w14:paraId="5769E749">
      <w:pPr>
        <w:pStyle w:val="28"/>
      </w:pPr>
      <w:r>
        <w:rPr>
          <w:rStyle w:val="11"/>
        </w:rPr>
        <w:footnoteRef/>
      </w:r>
      <w:r>
        <w:t xml:space="preserve"> </w:t>
      </w:r>
      <w:r>
        <w:rPr>
          <w:rFonts w:hint="eastAsia"/>
        </w:rPr>
        <w:t>刘家安：《</w:t>
      </w:r>
      <w:r>
        <w:t>〈</w:t>
      </w:r>
      <w:r>
        <w:rPr>
          <w:rFonts w:hint="eastAsia"/>
        </w:rPr>
        <w:t>民法典</w:t>
      </w:r>
      <w:r>
        <w:t>〉</w:t>
      </w:r>
      <w:r>
        <w:rPr>
          <w:rFonts w:hint="eastAsia"/>
        </w:rPr>
        <w:t>抵押物转让规则的体系解读——以第4</w:t>
      </w:r>
      <w:r>
        <w:t>06</w:t>
      </w:r>
      <w:r>
        <w:rPr>
          <w:rFonts w:hint="eastAsia"/>
        </w:rPr>
        <w:t>条为中心》，载《山东大学学报（哲学社会科学版）》2</w:t>
      </w:r>
      <w:r>
        <w:t>020</w:t>
      </w:r>
      <w:r>
        <w:rPr>
          <w:rFonts w:hint="eastAsia"/>
        </w:rPr>
        <w:t>年第6期。</w:t>
      </w:r>
    </w:p>
  </w:footnote>
  <w:footnote w:id="11">
    <w:p w14:paraId="14DAC193">
      <w:pPr>
        <w:pStyle w:val="28"/>
        <w:rPr>
          <w:rFonts w:ascii="宋体" w:hAnsi="宋体" w:cs="宋体"/>
          <w:kern w:val="0"/>
          <w:sz w:val="24"/>
        </w:rPr>
      </w:pPr>
      <w:r>
        <w:rPr>
          <w:rStyle w:val="11"/>
        </w:rPr>
        <w:footnoteRef/>
      </w:r>
      <w:r>
        <w:t xml:space="preserve"> </w:t>
      </w:r>
      <w:r>
        <w:rPr>
          <w:rFonts w:hint="eastAsia"/>
        </w:rPr>
        <w:t>余书林：《</w:t>
      </w:r>
      <w:r>
        <w:t>论抵押物限制转让特约登记规则</w:t>
      </w:r>
      <w:r>
        <w:rPr>
          <w:rFonts w:hint="eastAsia"/>
        </w:rPr>
        <w:t>》，载李楠主编：《中财法律评论》第1</w:t>
      </w:r>
      <w:r>
        <w:t>6</w:t>
      </w:r>
      <w:r>
        <w:rPr>
          <w:rFonts w:hint="eastAsia"/>
        </w:rPr>
        <w:t>卷，当代中国出版社2</w:t>
      </w:r>
      <w:r>
        <w:t>024</w:t>
      </w:r>
      <w:r>
        <w:rPr>
          <w:rFonts w:hint="eastAsia"/>
        </w:rPr>
        <w:t>年版，第1</w:t>
      </w:r>
      <w:r>
        <w:t>05</w:t>
      </w:r>
      <w:r>
        <w:rPr>
          <w:rFonts w:hint="eastAsia"/>
        </w:rPr>
        <w:t>页。</w:t>
      </w:r>
    </w:p>
  </w:footnote>
  <w:footnote w:id="12">
    <w:p w14:paraId="2740E704">
      <w:pPr>
        <w:pStyle w:val="28"/>
      </w:pPr>
      <w:r>
        <w:rPr>
          <w:rStyle w:val="11"/>
        </w:rPr>
        <w:footnoteRef/>
      </w:r>
      <w:r>
        <w:t xml:space="preserve"> </w:t>
      </w:r>
      <w:r>
        <w:rPr>
          <w:rFonts w:hint="eastAsia"/>
        </w:rPr>
        <w:t>袁鹏：《</w:t>
      </w:r>
      <w:r>
        <w:t>不动产抵押物转让规则新诠</w:t>
      </w:r>
      <w:r>
        <w:rPr>
          <w:rFonts w:hint="eastAsia"/>
        </w:rPr>
        <w:t>》，载《法学评论》2</w:t>
      </w:r>
      <w:r>
        <w:t>016</w:t>
      </w:r>
      <w:r>
        <w:rPr>
          <w:rFonts w:hint="eastAsia"/>
        </w:rPr>
        <w:t>年第3期。</w:t>
      </w:r>
    </w:p>
  </w:footnote>
  <w:footnote w:id="13">
    <w:p w14:paraId="7FEB4A48">
      <w:pPr>
        <w:pStyle w:val="28"/>
      </w:pPr>
      <w:r>
        <w:rPr>
          <w:rStyle w:val="11"/>
        </w:rPr>
        <w:footnoteRef/>
      </w:r>
      <w:r>
        <w:t xml:space="preserve"> </w:t>
      </w:r>
      <w:r>
        <w:rPr>
          <w:rFonts w:hint="eastAsia"/>
        </w:rPr>
        <w:t>刘家安：《</w:t>
      </w:r>
      <w:r>
        <w:t>〈</w:t>
      </w:r>
      <w:r>
        <w:rPr>
          <w:rFonts w:hint="eastAsia"/>
        </w:rPr>
        <w:t>民法典</w:t>
      </w:r>
      <w:r>
        <w:t>〉</w:t>
      </w:r>
      <w:r>
        <w:rPr>
          <w:rFonts w:hint="eastAsia"/>
        </w:rPr>
        <w:t>抵押物转让规则的体系解读——以第4</w:t>
      </w:r>
      <w:r>
        <w:t>06</w:t>
      </w:r>
      <w:r>
        <w:rPr>
          <w:rFonts w:hint="eastAsia"/>
        </w:rPr>
        <w:t>条为中心》，载《山东大学学报（哲学社会科学版）》2</w:t>
      </w:r>
      <w:r>
        <w:t>020</w:t>
      </w:r>
      <w:r>
        <w:rPr>
          <w:rFonts w:hint="eastAsia"/>
        </w:rPr>
        <w:t>年第6期。</w:t>
      </w:r>
    </w:p>
  </w:footnote>
  <w:footnote w:id="14">
    <w:p w14:paraId="008DB774">
      <w:pPr>
        <w:pStyle w:val="28"/>
      </w:pPr>
      <w:r>
        <w:rPr>
          <w:rStyle w:val="11"/>
        </w:rPr>
        <w:footnoteRef/>
      </w:r>
      <w:r>
        <w:t xml:space="preserve"> </w:t>
      </w:r>
      <w:r>
        <w:rPr>
          <w:rFonts w:hint="eastAsia"/>
        </w:rPr>
        <w:t>当然，在不动产抵押的场合，当事人有时亦会在抵押合同中约定限制或者禁止转让的条款。可见韩某洋诉某某银行股份有限公司郑州分行案外人执行异议之诉案，河南省郑州市中级人民法院（2024）豫01民终10756号民事判决书；某某公司诉汪某债权转让合同纠纷案，青海省海东市中级人民法院（2024）青02民终108号民事判决书。</w:t>
      </w:r>
    </w:p>
  </w:footnote>
  <w:footnote w:id="15">
    <w:p w14:paraId="57C38407">
      <w:pPr>
        <w:pStyle w:val="28"/>
      </w:pPr>
      <w:r>
        <w:rPr>
          <w:rStyle w:val="11"/>
        </w:rPr>
        <w:footnoteRef/>
      </w:r>
      <w:r>
        <w:t xml:space="preserve"> </w:t>
      </w:r>
      <w:r>
        <w:rPr>
          <w:rFonts w:hint="eastAsia"/>
        </w:rPr>
        <w:t>谢鸿飞：《</w:t>
      </w:r>
      <w:r>
        <w:t>〈</w:t>
      </w:r>
      <w:r>
        <w:rPr>
          <w:rFonts w:hint="eastAsia"/>
        </w:rPr>
        <w:t>民法典</w:t>
      </w:r>
      <w:r>
        <w:t>〉</w:t>
      </w:r>
      <w:r>
        <w:rPr>
          <w:rFonts w:hint="eastAsia"/>
        </w:rPr>
        <w:t>担保制度内在体系的变迁》，载《东南学术》2</w:t>
      </w:r>
      <w:r>
        <w:t>021</w:t>
      </w:r>
      <w:r>
        <w:rPr>
          <w:rFonts w:hint="eastAsia"/>
        </w:rPr>
        <w:t>年第5期。</w:t>
      </w:r>
    </w:p>
  </w:footnote>
  <w:footnote w:id="16">
    <w:p w14:paraId="02ACE4CD">
      <w:pPr>
        <w:pStyle w:val="28"/>
      </w:pPr>
      <w:r>
        <w:rPr>
          <w:rStyle w:val="11"/>
        </w:rPr>
        <w:footnoteRef/>
      </w:r>
      <w:r>
        <w:t xml:space="preserve"> </w:t>
      </w:r>
      <w:r>
        <w:rPr>
          <w:rFonts w:hint="eastAsia"/>
        </w:rPr>
        <w:t>此外，加之目前动产担保登记簿的“人的编成主义”，其不可能记载动产的实时位置，亦增加了动产抵押权人的追及难度。高圣平，叶冬影：《</w:t>
      </w:r>
      <w:r>
        <w:t>民法典动产抵押物转让规则的解释论</w:t>
      </w:r>
      <w:r>
        <w:rPr>
          <w:rFonts w:hint="eastAsia"/>
        </w:rPr>
        <w:t>》，载《比较法研究》2</w:t>
      </w:r>
      <w:r>
        <w:t>020</w:t>
      </w:r>
      <w:r>
        <w:rPr>
          <w:rFonts w:hint="eastAsia"/>
        </w:rPr>
        <w:t>年第4期。</w:t>
      </w:r>
    </w:p>
  </w:footnote>
  <w:footnote w:id="17">
    <w:p w14:paraId="3DD24CC3">
      <w:pPr>
        <w:pStyle w:val="28"/>
      </w:pPr>
      <w:r>
        <w:rPr>
          <w:rStyle w:val="11"/>
        </w:rPr>
        <w:footnoteRef/>
      </w:r>
      <w:r>
        <w:t xml:space="preserve"> </w:t>
      </w:r>
      <w:r>
        <w:rPr>
          <w:rFonts w:hint="eastAsia"/>
        </w:rPr>
        <w:t>为分析精准，将不动产抵押与动产抵押分别论述实为必要。常鹏翱：《</w:t>
      </w:r>
      <w:r>
        <w:t>限制抵押财产转让约定的法律效果</w:t>
      </w:r>
      <w:r>
        <w:rPr>
          <w:rFonts w:hint="eastAsia"/>
        </w:rPr>
        <w:t>》，载《中外法学》2</w:t>
      </w:r>
      <w:r>
        <w:t>021</w:t>
      </w:r>
      <w:r>
        <w:rPr>
          <w:rFonts w:hint="eastAsia"/>
        </w:rPr>
        <w:t>年第3期。</w:t>
      </w:r>
    </w:p>
  </w:footnote>
  <w:footnote w:id="18">
    <w:p w14:paraId="47D7A8D6">
      <w:pPr>
        <w:pStyle w:val="28"/>
      </w:pPr>
      <w:r>
        <w:rPr>
          <w:rStyle w:val="11"/>
        </w:rPr>
        <w:footnoteRef/>
      </w:r>
      <w:r>
        <w:t xml:space="preserve"> </w:t>
      </w:r>
      <w:r>
        <w:rPr>
          <w:rFonts w:hint="eastAsia"/>
        </w:rPr>
        <w:t>在司法实践中，已有判例明确指出，对于动产抵押物的转让，纵未经抵押权人同意，仍不影响所有权人对抵押物的处分权，其处分仍为有权处分。李某、倪某诉徐某、杨某买卖合同纠纷案，陕西省延安市中级人民法院（2023）陕06民终2468号民事判决书。</w:t>
      </w:r>
    </w:p>
  </w:footnote>
  <w:footnote w:id="19">
    <w:p w14:paraId="3774FBF9">
      <w:pPr>
        <w:pStyle w:val="28"/>
      </w:pPr>
      <w:r>
        <w:rPr>
          <w:rStyle w:val="11"/>
        </w:rPr>
        <w:footnoteRef/>
      </w:r>
      <w:r>
        <w:t xml:space="preserve"> </w:t>
      </w:r>
      <w:r>
        <w:rPr>
          <w:rFonts w:hint="eastAsia"/>
        </w:rPr>
        <w:t>王洪亮教授指出，抵押权人丧失了比较有保障的物上抵押权，获得的则是对价金请求权的优先受偿权。并且对价金请求权的优先受偿权，担保法上亦无有效的保障制度。王洪亮：《</w:t>
      </w:r>
      <w:r>
        <w:t>不动产抵押物转让规则新解</w:t>
      </w:r>
      <w:r>
        <w:rPr>
          <w:rFonts w:hint="eastAsia"/>
        </w:rPr>
        <w:t>》，载《财经法学》2</w:t>
      </w:r>
      <w:r>
        <w:t>015</w:t>
      </w:r>
      <w:r>
        <w:rPr>
          <w:rFonts w:hint="eastAsia"/>
        </w:rPr>
        <w:t>年第2期。</w:t>
      </w:r>
    </w:p>
  </w:footnote>
  <w:footnote w:id="20">
    <w:p w14:paraId="1DF35E52">
      <w:pPr>
        <w:pStyle w:val="28"/>
      </w:pPr>
      <w:r>
        <w:rPr>
          <w:rStyle w:val="11"/>
        </w:rPr>
        <w:footnoteRef/>
      </w:r>
      <w:r>
        <w:t xml:space="preserve"> </w:t>
      </w:r>
      <w:r>
        <w:rPr>
          <w:rFonts w:hint="eastAsia"/>
        </w:rPr>
        <w:t>王利明：《</w:t>
      </w:r>
      <w:r>
        <w:t>〈</w:t>
      </w:r>
      <w:r>
        <w:rPr>
          <w:rFonts w:hint="eastAsia"/>
        </w:rPr>
        <w:t>民法典〉抵押物转让规则新解——兼评</w:t>
      </w:r>
      <w:r>
        <w:t>〈</w:t>
      </w:r>
      <w:r>
        <w:rPr>
          <w:rFonts w:hint="eastAsia"/>
        </w:rPr>
        <w:t>民法典</w:t>
      </w:r>
      <w:r>
        <w:t>〉</w:t>
      </w:r>
      <w:r>
        <w:rPr>
          <w:rFonts w:hint="eastAsia"/>
        </w:rPr>
        <w:t>第4</w:t>
      </w:r>
      <w:r>
        <w:t>06</w:t>
      </w:r>
      <w:r>
        <w:rPr>
          <w:rFonts w:hint="eastAsia"/>
        </w:rPr>
        <w:t>条》，载《法律科学（西北政法大学学报）》2</w:t>
      </w:r>
      <w:r>
        <w:t>021</w:t>
      </w:r>
      <w:r>
        <w:rPr>
          <w:rFonts w:hint="eastAsia"/>
        </w:rPr>
        <w:t>年第1期。</w:t>
      </w:r>
    </w:p>
  </w:footnote>
  <w:footnote w:id="21">
    <w:p w14:paraId="1C76219E">
      <w:pPr>
        <w:pStyle w:val="28"/>
      </w:pPr>
      <w:r>
        <w:rPr>
          <w:rStyle w:val="11"/>
        </w:rPr>
        <w:footnoteRef/>
      </w:r>
      <w:r>
        <w:t xml:space="preserve"> </w:t>
      </w:r>
      <w:r>
        <w:rPr>
          <w:rFonts w:hint="eastAsia"/>
        </w:rPr>
        <w:t>实际上，如果仅令当事人间的禁、限转特约停滞在相对效力，而无法产生物权效力，则抵押权人期望通过特别约定以禁止或限制抵押财产转让的预期必将落空。张尧：《</w:t>
      </w:r>
      <w:r>
        <w:t>抵押财产转让规则的适用</w:t>
      </w:r>
      <w:r>
        <w:rPr>
          <w:rFonts w:hint="eastAsia"/>
        </w:rPr>
        <w:t>》，载《政治与法律》2</w:t>
      </w:r>
      <w:r>
        <w:t>021</w:t>
      </w:r>
      <w:r>
        <w:rPr>
          <w:rFonts w:hint="eastAsia"/>
        </w:rPr>
        <w:t>年第8期。</w:t>
      </w:r>
    </w:p>
  </w:footnote>
  <w:footnote w:id="22">
    <w:p w14:paraId="7AF47C38">
      <w:pPr>
        <w:pStyle w:val="28"/>
        <w:rPr>
          <w:rFonts w:ascii="宋体" w:hAnsi="宋体" w:cs="宋体"/>
          <w:kern w:val="0"/>
          <w:sz w:val="24"/>
        </w:rPr>
      </w:pPr>
      <w:r>
        <w:rPr>
          <w:rStyle w:val="11"/>
        </w:rPr>
        <w:footnoteRef/>
      </w:r>
      <w:r>
        <w:t xml:space="preserve"> </w:t>
      </w:r>
      <w:r>
        <w:rPr>
          <w:rFonts w:hint="eastAsia"/>
        </w:rPr>
        <w:t>在实践中，常会出现抵押人在转让抵押物后，躲避抵押权人对转让所得价金的资金监管，进而损害抵押权人对担保价值的控制地位。浙江省某某资产管理股份有限公司诉荣某美申请执行人执行异议之诉案，山东省高级人民法院（2024）鲁民终120号民事判决书。</w:t>
      </w:r>
    </w:p>
  </w:footnote>
  <w:footnote w:id="23">
    <w:p w14:paraId="104E57AC">
      <w:pPr>
        <w:pStyle w:val="28"/>
      </w:pPr>
      <w:r>
        <w:rPr>
          <w:rStyle w:val="11"/>
        </w:rPr>
        <w:footnoteRef/>
      </w:r>
      <w:r>
        <w:t xml:space="preserve"> </w:t>
      </w:r>
      <w:r>
        <w:rPr>
          <w:rFonts w:hint="eastAsia"/>
        </w:rPr>
        <w:t>换言之，正因抵押权具有不移转抵押财产占有的特点，法秩序需要借助多种规则和制度安排以确保抵押权人对抵押财产价值的控制。有学者指出，</w:t>
      </w:r>
      <w:r>
        <w:t>抵押权的物上代位性、抵押权的不可分性、抵押财产的转让等规则的产生</w:t>
      </w:r>
      <w:r>
        <w:rPr>
          <w:rFonts w:hint="eastAsia"/>
        </w:rPr>
        <w:t>均指向增强抵押权人对抵押财产价值控制的制度目标。程啸：《论抵押财产的转让：“</w:t>
      </w:r>
      <w:r>
        <w:t>重庆索特盐化股份有限公司与重庆新万基房地产开发有限公司土地使用权转让合同纠纷案”评释</w:t>
      </w:r>
      <w:r>
        <w:rPr>
          <w:rFonts w:hint="eastAsia"/>
        </w:rPr>
        <w:t>》，载《中外法学》2</w:t>
      </w:r>
      <w:r>
        <w:t>014</w:t>
      </w:r>
      <w:r>
        <w:rPr>
          <w:rFonts w:hint="eastAsia"/>
        </w:rPr>
        <w:t>年第5期。</w:t>
      </w:r>
    </w:p>
  </w:footnote>
  <w:footnote w:id="24">
    <w:p w14:paraId="2886278B">
      <w:pPr>
        <w:pStyle w:val="28"/>
      </w:pPr>
      <w:r>
        <w:rPr>
          <w:rStyle w:val="11"/>
        </w:rPr>
        <w:footnoteRef/>
      </w:r>
      <w:r>
        <w:t xml:space="preserve"> </w:t>
      </w:r>
      <w:r>
        <w:rPr>
          <w:rFonts w:hint="eastAsia"/>
        </w:rPr>
        <w:t>王利明：《</w:t>
      </w:r>
      <w:r>
        <w:t>〈</w:t>
      </w:r>
      <w:r>
        <w:rPr>
          <w:rFonts w:hint="eastAsia"/>
        </w:rPr>
        <w:t>民法典〉抵押物转让规则新解——兼评</w:t>
      </w:r>
      <w:r>
        <w:t>〈</w:t>
      </w:r>
      <w:r>
        <w:rPr>
          <w:rFonts w:hint="eastAsia"/>
        </w:rPr>
        <w:t>民法典</w:t>
      </w:r>
      <w:r>
        <w:t>〉</w:t>
      </w:r>
      <w:r>
        <w:rPr>
          <w:rFonts w:hint="eastAsia"/>
        </w:rPr>
        <w:t>第4</w:t>
      </w:r>
      <w:r>
        <w:t>06</w:t>
      </w:r>
      <w:r>
        <w:rPr>
          <w:rFonts w:hint="eastAsia"/>
        </w:rPr>
        <w:t>条》，载《法律科学（西北政法大学学报）》2</w:t>
      </w:r>
      <w:r>
        <w:t>021</w:t>
      </w:r>
      <w:r>
        <w:rPr>
          <w:rFonts w:hint="eastAsia"/>
        </w:rPr>
        <w:t>年第1期。</w:t>
      </w:r>
    </w:p>
  </w:footnote>
  <w:footnote w:id="25">
    <w:p w14:paraId="3DA7D2F7">
      <w:pPr>
        <w:pStyle w:val="28"/>
      </w:pPr>
      <w:r>
        <w:rPr>
          <w:rStyle w:val="11"/>
        </w:rPr>
        <w:footnoteRef/>
      </w:r>
      <w:r>
        <w:t xml:space="preserve"> </w:t>
      </w:r>
      <w:r>
        <w:rPr>
          <w:rFonts w:hint="eastAsia"/>
        </w:rPr>
        <w:t>实际上，关于抵押物能否转让的问题以及相应的教义学说，自担保法至物权法再至今日《民法典》，可谓几经流变，这自然也反映着法秩序与理论界对当时担保交易的判断与关切。如在物权法时代，关于《物权法》第1</w:t>
      </w:r>
      <w:r>
        <w:t>91</w:t>
      </w:r>
      <w:r>
        <w:rPr>
          <w:rFonts w:hint="eastAsia"/>
        </w:rPr>
        <w:t>条的主流观点，即为“禁止转让说”，但该学说亦遭到学者的批判，如王洪亮教授指出，抵押物转让需要抵押权人同意的规则是对抵押物自由流转的限制，对经济发展不利，同时亦违背所有权自由原则。王洪亮：《</w:t>
      </w:r>
      <w:r>
        <w:t>不动产抵押物转让规则新解</w:t>
      </w:r>
      <w:r>
        <w:rPr>
          <w:rFonts w:hint="eastAsia"/>
        </w:rPr>
        <w:t>》，载《财经法学》2</w:t>
      </w:r>
      <w:r>
        <w:t>015</w:t>
      </w:r>
      <w:r>
        <w:rPr>
          <w:rFonts w:hint="eastAsia"/>
        </w:rPr>
        <w:t>年第2期。关于各种模式的介绍，亦可见袁鹏：《</w:t>
      </w:r>
      <w:r>
        <w:t>不动产抵押物转让规则新诠</w:t>
      </w:r>
      <w:r>
        <w:rPr>
          <w:rFonts w:hint="eastAsia"/>
        </w:rPr>
        <w:t>》，载《法学评论》2</w:t>
      </w:r>
      <w:r>
        <w:t>016</w:t>
      </w:r>
      <w:r>
        <w:rPr>
          <w:rFonts w:hint="eastAsia"/>
        </w:rPr>
        <w:t>年第3期；冉克平：《</w:t>
      </w:r>
      <w:r>
        <w:t>论抵押不动产转让的法律效果</w:t>
      </w:r>
      <w:r>
        <w:rPr>
          <w:rFonts w:hint="eastAsia"/>
        </w:rPr>
        <w:t>——〈物权法</w:t>
      </w:r>
      <w:r>
        <w:t>〉</w:t>
      </w:r>
      <w:r>
        <w:rPr>
          <w:rFonts w:hint="eastAsia"/>
        </w:rPr>
        <w:t>第1</w:t>
      </w:r>
      <w:r>
        <w:t>91</w:t>
      </w:r>
      <w:r>
        <w:rPr>
          <w:rFonts w:hint="eastAsia"/>
        </w:rPr>
        <w:t>条释论》，载《当代法学》2</w:t>
      </w:r>
      <w:r>
        <w:t>015</w:t>
      </w:r>
      <w:r>
        <w:rPr>
          <w:rFonts w:hint="eastAsia"/>
        </w:rPr>
        <w:t>年第5期。</w:t>
      </w:r>
    </w:p>
  </w:footnote>
  <w:footnote w:id="26">
    <w:p w14:paraId="6A5534E8">
      <w:pPr>
        <w:pStyle w:val="28"/>
        <w:rPr>
          <w:rFonts w:ascii="宋体" w:hAnsi="宋体" w:cs="宋体"/>
          <w:kern w:val="0"/>
          <w:sz w:val="24"/>
        </w:rPr>
      </w:pPr>
      <w:r>
        <w:rPr>
          <w:rStyle w:val="11"/>
        </w:rPr>
        <w:footnoteRef/>
      </w:r>
      <w:r>
        <w:t xml:space="preserve"> </w:t>
      </w:r>
      <w:r>
        <w:rPr>
          <w:rFonts w:hint="eastAsia"/>
        </w:rPr>
        <w:t>这种价值的优先性判断源于法秩序对交易现实的观察与考量，有学者指出，在物权法时代，在设计抵押物转让的规则时，第一层次的利益保护实以抵押权人的利益保护为主，而对“物尽其用，物畅其流”的保护则要退居其次。袁鹏：《</w:t>
      </w:r>
      <w:r>
        <w:t>不动产抵押物转让规则新诠</w:t>
      </w:r>
      <w:r>
        <w:rPr>
          <w:rFonts w:hint="eastAsia"/>
        </w:rPr>
        <w:t>》，载《法学评论》2</w:t>
      </w:r>
      <w:r>
        <w:t>016</w:t>
      </w:r>
      <w:r>
        <w:rPr>
          <w:rFonts w:hint="eastAsia"/>
        </w:rPr>
        <w:t>年第3期。叶锋：《</w:t>
      </w:r>
      <w:r>
        <w:t>不动产抵押物转让规则之检讨与构建——以</w:t>
      </w:r>
      <w:r>
        <w:rPr>
          <w:rFonts w:hint="eastAsia"/>
        </w:rPr>
        <w:t>〈</w:t>
      </w:r>
      <w:r>
        <w:t>物权法</w:t>
      </w:r>
      <w:r>
        <w:rPr>
          <w:rFonts w:hint="eastAsia"/>
        </w:rPr>
        <w:t>〉</w:t>
      </w:r>
      <w:r>
        <w:t>第191条为中心的考察</w:t>
      </w:r>
      <w:r>
        <w:rPr>
          <w:rFonts w:hint="eastAsia"/>
        </w:rPr>
        <w:t>》，载《上海政法学院学报》2</w:t>
      </w:r>
      <w:r>
        <w:t>015</w:t>
      </w:r>
      <w:r>
        <w:rPr>
          <w:rFonts w:hint="eastAsia"/>
        </w:rPr>
        <w:t>年第2期；郑倩：《法律解释视角下抵押物转让的效力——对</w:t>
      </w:r>
      <w:r>
        <w:t>〈</w:t>
      </w:r>
      <w:r>
        <w:rPr>
          <w:rFonts w:hint="eastAsia"/>
        </w:rPr>
        <w:t>物权法〉第1</w:t>
      </w:r>
      <w:r>
        <w:t>91</w:t>
      </w:r>
      <w:r>
        <w:rPr>
          <w:rFonts w:hint="eastAsia"/>
        </w:rPr>
        <w:t>条的新诠释》，载《山东社会科学》2</w:t>
      </w:r>
      <w:r>
        <w:t>015</w:t>
      </w:r>
      <w:r>
        <w:rPr>
          <w:rFonts w:hint="eastAsia"/>
        </w:rPr>
        <w:t>年第5期。该种观点在实践中亦有呼应，在适用《物权法》的案件中，法官在裁判说理中尽管会提到“物尽其用”以及保护抵押物的流转畅通，但主要仍指向对抵押权人的侧重保护。国家开发银行诉李付玲等案外人执行异议之诉案，最高人民法院（2021）最高法民终1227号民事判决书；国家开发银行诉何晓光等案外人执行异议之诉案，最高人民法院（2021）最高法民终1216号民事判决书。</w:t>
      </w:r>
    </w:p>
  </w:footnote>
  <w:footnote w:id="27">
    <w:p w14:paraId="61DB86B0">
      <w:pPr>
        <w:pStyle w:val="28"/>
      </w:pPr>
      <w:r>
        <w:rPr>
          <w:rStyle w:val="11"/>
        </w:rPr>
        <w:footnoteRef/>
      </w:r>
      <w:r>
        <w:t xml:space="preserve"> </w:t>
      </w:r>
      <w:r>
        <w:rPr>
          <w:rFonts w:hint="eastAsia"/>
        </w:rPr>
        <w:t>有学者明确指出，物权法时代司法实务中“限制抵押物转让”的立场，旨在进一步强化对抵押权人的利益保护，但是并没有考虑如何兼顾抵押人或抵押物取得人的利益。邹海林：《论抵押权的追及效力及其缓和——兼论</w:t>
      </w:r>
      <w:r>
        <w:t>〈</w:t>
      </w:r>
      <w:r>
        <w:rPr>
          <w:rFonts w:hint="eastAsia"/>
        </w:rPr>
        <w:t>物权法</w:t>
      </w:r>
      <w:r>
        <w:t>〉</w:t>
      </w:r>
      <w:r>
        <w:rPr>
          <w:rFonts w:hint="eastAsia"/>
        </w:rPr>
        <w:t>第1</w:t>
      </w:r>
      <w:r>
        <w:t>91</w:t>
      </w:r>
      <w:r>
        <w:rPr>
          <w:rFonts w:hint="eastAsia"/>
        </w:rPr>
        <w:t>条的制度逻辑和修正》，载《法学家》2</w:t>
      </w:r>
      <w:r>
        <w:t>018</w:t>
      </w:r>
      <w:r>
        <w:rPr>
          <w:rFonts w:hint="eastAsia"/>
        </w:rPr>
        <w:t>年第1期。</w:t>
      </w:r>
    </w:p>
  </w:footnote>
  <w:footnote w:id="28">
    <w:p w14:paraId="3DCB090C">
      <w:pPr>
        <w:pStyle w:val="28"/>
      </w:pPr>
      <w:r>
        <w:rPr>
          <w:rStyle w:val="11"/>
        </w:rPr>
        <w:footnoteRef/>
      </w:r>
      <w:r>
        <w:t xml:space="preserve"> </w:t>
      </w:r>
      <w:r>
        <w:rPr>
          <w:rFonts w:hint="eastAsia"/>
        </w:rPr>
        <w:t>张尧：《</w:t>
      </w:r>
      <w:r>
        <w:t>抵押财产转让规则的适用</w:t>
      </w:r>
      <w:r>
        <w:rPr>
          <w:rFonts w:hint="eastAsia"/>
        </w:rPr>
        <w:t>》，载《政治与法律》2</w:t>
      </w:r>
      <w:r>
        <w:t>021</w:t>
      </w:r>
      <w:r>
        <w:rPr>
          <w:rFonts w:hint="eastAsia"/>
        </w:rPr>
        <w:t>年第8期。</w:t>
      </w:r>
    </w:p>
  </w:footnote>
  <w:footnote w:id="29">
    <w:p w14:paraId="3126D58C">
      <w:pPr>
        <w:pStyle w:val="28"/>
      </w:pPr>
      <w:r>
        <w:rPr>
          <w:rStyle w:val="11"/>
        </w:rPr>
        <w:footnoteRef/>
      </w:r>
      <w:r>
        <w:t xml:space="preserve"> </w:t>
      </w:r>
      <w:r>
        <w:rPr>
          <w:rFonts w:hint="eastAsia"/>
        </w:rPr>
        <w:t>辜明安，李欢欢：《限制抵押财产转让约定之效力论——以经济分析和法教义学为双重进路》，载《河北法学》2</w:t>
      </w:r>
      <w:r>
        <w:t>024</w:t>
      </w:r>
      <w:r>
        <w:rPr>
          <w:rFonts w:hint="eastAsia"/>
        </w:rPr>
        <w:t>年第7期。</w:t>
      </w:r>
    </w:p>
  </w:footnote>
  <w:footnote w:id="30">
    <w:p w14:paraId="39DB1A93">
      <w:pPr>
        <w:pStyle w:val="28"/>
      </w:pPr>
      <w:r>
        <w:rPr>
          <w:rStyle w:val="11"/>
        </w:rPr>
        <w:footnoteRef/>
      </w:r>
      <w:r>
        <w:t xml:space="preserve"> </w:t>
      </w:r>
      <w:r>
        <w:rPr>
          <w:rFonts w:hint="eastAsia"/>
        </w:rPr>
        <w:t>相似观点，可见张尧：《</w:t>
      </w:r>
      <w:r>
        <w:t>抵押财产转让规则的适用</w:t>
      </w:r>
      <w:r>
        <w:rPr>
          <w:rFonts w:hint="eastAsia"/>
        </w:rPr>
        <w:t>》，载《政治与法律》2</w:t>
      </w:r>
      <w:r>
        <w:t>021</w:t>
      </w:r>
      <w:r>
        <w:rPr>
          <w:rFonts w:hint="eastAsia"/>
        </w:rPr>
        <w:t>年第8期；张永：《抵押权追及力的确认及空洞化——〈民法典担保制度解释</w:t>
      </w:r>
      <w:r>
        <w:t>〉</w:t>
      </w:r>
      <w:r>
        <w:rPr>
          <w:rFonts w:hint="eastAsia"/>
        </w:rPr>
        <w:t>第4</w:t>
      </w:r>
      <w:r>
        <w:t>3</w:t>
      </w:r>
      <w:r>
        <w:rPr>
          <w:rFonts w:hint="eastAsia"/>
        </w:rPr>
        <w:t>条第2款的效力检讨》，载《北方法学》2</w:t>
      </w:r>
      <w:r>
        <w:t>023</w:t>
      </w:r>
      <w:r>
        <w:rPr>
          <w:rFonts w:hint="eastAsia"/>
        </w:rPr>
        <w:t>年第2期。</w:t>
      </w:r>
    </w:p>
  </w:footnote>
  <w:footnote w:id="31">
    <w:p w14:paraId="25975484">
      <w:pPr>
        <w:pStyle w:val="28"/>
      </w:pPr>
      <w:r>
        <w:rPr>
          <w:rStyle w:val="11"/>
        </w:rPr>
        <w:footnoteRef/>
      </w:r>
      <w:r>
        <w:t xml:space="preserve"> </w:t>
      </w:r>
      <w:r>
        <w:rPr>
          <w:rFonts w:hint="eastAsia"/>
        </w:rPr>
        <w:t>辜明安，李欢欢：《限制抵押财产转让约定之效力论——以经济分析和法教义学为双重进路》，载《河北法学》2</w:t>
      </w:r>
      <w:r>
        <w:t>024</w:t>
      </w:r>
      <w:r>
        <w:rPr>
          <w:rFonts w:hint="eastAsia"/>
        </w:rPr>
        <w:t>年第7期。</w:t>
      </w:r>
    </w:p>
  </w:footnote>
  <w:footnote w:id="32">
    <w:p w14:paraId="399220FF">
      <w:pPr>
        <w:pStyle w:val="28"/>
      </w:pPr>
      <w:r>
        <w:rPr>
          <w:rStyle w:val="11"/>
        </w:rPr>
        <w:footnoteRef/>
      </w:r>
      <w:r>
        <w:t xml:space="preserve"> </w:t>
      </w:r>
      <w:r>
        <w:rPr>
          <w:rFonts w:hint="eastAsia"/>
        </w:rPr>
        <w:t>高圣平，叶冬影：《</w:t>
      </w:r>
      <w:r>
        <w:t>民法典动产抵押物转让规则的解释论</w:t>
      </w:r>
      <w:r>
        <w:rPr>
          <w:rFonts w:hint="eastAsia"/>
        </w:rPr>
        <w:t>》，载《比较法研究》2</w:t>
      </w:r>
      <w:r>
        <w:t>020</w:t>
      </w:r>
      <w:r>
        <w:rPr>
          <w:rFonts w:hint="eastAsia"/>
        </w:rPr>
        <w:t>年第4期。在动产抵押语境中，纪海龙教授指出，因动产抵押权追及难度较大，不妨在追及力尚且存在的情形下，仍然在另一方面保留抵押权对转让价款请求权或实际获得之转让价款的延伸效力，以加强对动产抵押权人的保护。纪海龙：《</w:t>
      </w:r>
      <w:r>
        <w:t>世行营商环境调查背景下的中国动产担保交易法</w:t>
      </w:r>
      <w:r>
        <w:rPr>
          <w:rFonts w:hint="eastAsia"/>
        </w:rPr>
        <w:t>》，载《法学杂志》2</w:t>
      </w:r>
      <w:r>
        <w:t>020</w:t>
      </w:r>
      <w:r>
        <w:rPr>
          <w:rFonts w:hint="eastAsia"/>
        </w:rPr>
        <w:t>年第2期。</w:t>
      </w:r>
    </w:p>
  </w:footnote>
  <w:footnote w:id="33">
    <w:p w14:paraId="3608B6B2">
      <w:pPr>
        <w:pStyle w:val="28"/>
      </w:pPr>
      <w:r>
        <w:rPr>
          <w:rStyle w:val="11"/>
        </w:rPr>
        <w:footnoteRef/>
      </w:r>
      <w:r>
        <w:t xml:space="preserve"> </w:t>
      </w:r>
      <w:r>
        <w:rPr>
          <w:rFonts w:hint="eastAsia"/>
        </w:rPr>
        <w:t>例如，抵押人若与受让人相互串通低价转让或无偿让与抵押物，将直接导致抵押权人无法通过价金令其债权获完满实现。并且在转让价金小于债权金额，而抵押物——若在抵押权正常实现时——价格上涨的情形下，抵押权人也有受损危险。王洪亮：《</w:t>
      </w:r>
      <w:r>
        <w:t>不动产抵押物转让规则新解</w:t>
      </w:r>
      <w:r>
        <w:rPr>
          <w:rFonts w:hint="eastAsia"/>
        </w:rPr>
        <w:t>》，载《财经法学》2</w:t>
      </w:r>
      <w:r>
        <w:t>015</w:t>
      </w:r>
      <w:r>
        <w:rPr>
          <w:rFonts w:hint="eastAsia"/>
        </w:rPr>
        <w:t>年第2期。</w:t>
      </w:r>
    </w:p>
  </w:footnote>
  <w:footnote w:id="34">
    <w:p w14:paraId="07559F43">
      <w:pPr>
        <w:pStyle w:val="28"/>
      </w:pPr>
      <w:r>
        <w:rPr>
          <w:rStyle w:val="11"/>
        </w:rPr>
        <w:footnoteRef/>
      </w:r>
      <w:r>
        <w:t xml:space="preserve"> </w:t>
      </w:r>
      <w:r>
        <w:rPr>
          <w:rFonts w:hint="eastAsia"/>
        </w:rPr>
        <w:t>当然，价金物上代位权目前在学界仍有讨论，相应观点，可见徐聪：《</w:t>
      </w:r>
      <w:r>
        <w:t>购置价款抵押权的规则展开及法律适用</w:t>
      </w:r>
      <w:r>
        <w:rPr>
          <w:rFonts w:hint="eastAsia"/>
        </w:rPr>
        <w:t>》，载《甘肃政法大学学报》2</w:t>
      </w:r>
      <w:r>
        <w:t>023</w:t>
      </w:r>
      <w:r>
        <w:rPr>
          <w:rFonts w:hint="eastAsia"/>
        </w:rPr>
        <w:t>年第5期。不过，理论上是否将物上代位权延伸至转让所得价款的问题，在实践中并未对民事主体产生困扰，在其商业交往中，</w:t>
      </w:r>
      <w:r>
        <w:t>抵押权人在签订抵押合同时</w:t>
      </w:r>
      <w:r>
        <w:rPr>
          <w:rFonts w:hint="eastAsia"/>
        </w:rPr>
        <w:t>，往往</w:t>
      </w:r>
      <w:r>
        <w:t>同时就抵押物的未来价金收益设立应收账款质权</w:t>
      </w:r>
      <w:r>
        <w:rPr>
          <w:rFonts w:hint="eastAsia"/>
        </w:rPr>
        <w:t>，</w:t>
      </w:r>
      <w:r>
        <w:t>并通过控制抵押人的银行账户等手段</w:t>
      </w:r>
      <w:r>
        <w:rPr>
          <w:rFonts w:hint="eastAsia"/>
        </w:rPr>
        <w:t>，</w:t>
      </w:r>
      <w:r>
        <w:t>强化对自身价款优先受偿权的保障</w:t>
      </w:r>
      <w:r>
        <w:rPr>
          <w:rFonts w:hint="eastAsia"/>
        </w:rPr>
        <w:t>。张玉涛：《</w:t>
      </w:r>
      <w:r>
        <w:t>购置款抵押权的竞存对抗规则研究</w:t>
      </w:r>
      <w:r>
        <w:rPr>
          <w:rFonts w:hint="eastAsia"/>
        </w:rPr>
        <w:t>》，载《西南政法大学学报》2</w:t>
      </w:r>
      <w:r>
        <w:t>022</w:t>
      </w:r>
      <w:r>
        <w:rPr>
          <w:rFonts w:hint="eastAsia"/>
        </w:rPr>
        <w:t>年第1期。</w:t>
      </w:r>
    </w:p>
  </w:footnote>
  <w:footnote w:id="35">
    <w:p w14:paraId="7ACB8396">
      <w:pPr>
        <w:pStyle w:val="28"/>
      </w:pPr>
      <w:r>
        <w:rPr>
          <w:rStyle w:val="11"/>
        </w:rPr>
        <w:footnoteRef/>
      </w:r>
      <w:r>
        <w:t xml:space="preserve"> </w:t>
      </w:r>
      <w:r>
        <w:rPr>
          <w:rFonts w:hint="eastAsia"/>
        </w:rPr>
        <w:t>例如受让人将作为抵押财产的客运汽车用于运输货物，极有可能增加汽车的损耗，导致其提前报废，进而影响抵押权的实现。王利明：《</w:t>
      </w:r>
      <w:r>
        <w:t>〈</w:t>
      </w:r>
      <w:r>
        <w:rPr>
          <w:rFonts w:hint="eastAsia"/>
        </w:rPr>
        <w:t>民法典〉抵押物转让规则新解——兼评</w:t>
      </w:r>
      <w:r>
        <w:t>〈</w:t>
      </w:r>
      <w:r>
        <w:rPr>
          <w:rFonts w:hint="eastAsia"/>
        </w:rPr>
        <w:t>民法典</w:t>
      </w:r>
      <w:r>
        <w:t>〉</w:t>
      </w:r>
      <w:r>
        <w:rPr>
          <w:rFonts w:hint="eastAsia"/>
        </w:rPr>
        <w:t>第4</w:t>
      </w:r>
      <w:r>
        <w:t>06</w:t>
      </w:r>
      <w:r>
        <w:rPr>
          <w:rFonts w:hint="eastAsia"/>
        </w:rPr>
        <w:t>条》，载《法律科学（西北政法大学学报）》2</w:t>
      </w:r>
      <w:r>
        <w:t>021</w:t>
      </w:r>
      <w:r>
        <w:rPr>
          <w:rFonts w:hint="eastAsia"/>
        </w:rPr>
        <w:t>年第1期。</w:t>
      </w:r>
    </w:p>
  </w:footnote>
  <w:footnote w:id="36">
    <w:p w14:paraId="6C83FECF">
      <w:pPr>
        <w:pStyle w:val="28"/>
      </w:pPr>
      <w:r>
        <w:rPr>
          <w:rStyle w:val="11"/>
        </w:rPr>
        <w:footnoteRef/>
      </w:r>
      <w:r>
        <w:t xml:space="preserve"> </w:t>
      </w:r>
      <w:r>
        <w:rPr>
          <w:rFonts w:hint="eastAsia"/>
        </w:rPr>
        <w:t>有观点指出，禁、限转特约登记能力的确认，并不违背物权法定原则，亦有其必要性，同时也并未增加过多登记成本，殊值肯定。余书林：《</w:t>
      </w:r>
      <w:r>
        <w:t>论抵押物限制转让特约登记规则</w:t>
      </w:r>
      <w:r>
        <w:rPr>
          <w:rFonts w:hint="eastAsia"/>
        </w:rPr>
        <w:t>》，载李楠主编：《中财法律评论》第1</w:t>
      </w:r>
      <w:r>
        <w:t>6</w:t>
      </w:r>
      <w:r>
        <w:rPr>
          <w:rFonts w:hint="eastAsia"/>
        </w:rPr>
        <w:t>卷，当代中国出版社2</w:t>
      </w:r>
      <w:r>
        <w:t>024</w:t>
      </w:r>
      <w:r>
        <w:rPr>
          <w:rFonts w:hint="eastAsia"/>
        </w:rPr>
        <w:t>年版，第1</w:t>
      </w:r>
      <w:r>
        <w:t>16</w:t>
      </w:r>
      <w:r>
        <w:rPr>
          <w:rFonts w:hint="eastAsia"/>
        </w:rPr>
        <w:t>页一第1</w:t>
      </w:r>
      <w:r>
        <w:t>19</w:t>
      </w:r>
      <w:r>
        <w:rPr>
          <w:rFonts w:hint="eastAsia"/>
        </w:rPr>
        <w:t>页。</w:t>
      </w:r>
    </w:p>
  </w:footnote>
  <w:footnote w:id="37">
    <w:p w14:paraId="1ED34C01">
      <w:pPr>
        <w:pStyle w:val="28"/>
      </w:pPr>
      <w:r>
        <w:rPr>
          <w:rStyle w:val="11"/>
        </w:rPr>
        <w:footnoteRef/>
      </w:r>
      <w:r>
        <w:t xml:space="preserve"> </w:t>
      </w:r>
      <w:r>
        <w:rPr>
          <w:rFonts w:hint="eastAsia"/>
        </w:rPr>
        <w:t>纪海龙：《</w:t>
      </w:r>
      <w:r>
        <w:t>〈</w:t>
      </w:r>
      <w:r>
        <w:rPr>
          <w:rFonts w:hint="eastAsia"/>
        </w:rPr>
        <w:t>民法典</w:t>
      </w:r>
      <w:r>
        <w:t>〉</w:t>
      </w:r>
      <w:r>
        <w:rPr>
          <w:rFonts w:hint="eastAsia"/>
        </w:rPr>
        <w:t>第4</w:t>
      </w:r>
      <w:r>
        <w:t>04</w:t>
      </w:r>
      <w:r>
        <w:rPr>
          <w:rFonts w:hint="eastAsia"/>
        </w:rPr>
        <w:t>条（正常经营买受人规则）评注》，载《清华法学》2</w:t>
      </w:r>
      <w:r>
        <w:t>023</w:t>
      </w:r>
      <w:r>
        <w:rPr>
          <w:rFonts w:hint="eastAsia"/>
        </w:rPr>
        <w:t>年第4期。</w:t>
      </w:r>
    </w:p>
  </w:footnote>
  <w:footnote w:id="38">
    <w:p w14:paraId="2B177F22">
      <w:pPr>
        <w:pStyle w:val="28"/>
      </w:pPr>
      <w:r>
        <w:rPr>
          <w:rStyle w:val="11"/>
        </w:rPr>
        <w:footnoteRef/>
      </w:r>
      <w:r>
        <w:t xml:space="preserve"> </w:t>
      </w:r>
      <w:r>
        <w:rPr>
          <w:rFonts w:hint="eastAsia"/>
        </w:rPr>
        <w:t>纪海龙：《</w:t>
      </w:r>
      <w:r>
        <w:t>〈</w:t>
      </w:r>
      <w:r>
        <w:rPr>
          <w:rFonts w:hint="eastAsia"/>
        </w:rPr>
        <w:t>民法典</w:t>
      </w:r>
      <w:r>
        <w:t>〉</w:t>
      </w:r>
      <w:r>
        <w:rPr>
          <w:rFonts w:hint="eastAsia"/>
        </w:rPr>
        <w:t>第4</w:t>
      </w:r>
      <w:r>
        <w:t>04</w:t>
      </w:r>
      <w:r>
        <w:rPr>
          <w:rFonts w:hint="eastAsia"/>
        </w:rPr>
        <w:t>条（正常经营买受人规则）评注》，载《清华法学》2</w:t>
      </w:r>
      <w:r>
        <w:t>023</w:t>
      </w:r>
      <w:r>
        <w:rPr>
          <w:rFonts w:hint="eastAsia"/>
        </w:rPr>
        <w:t>年第4期。</w:t>
      </w:r>
    </w:p>
  </w:footnote>
  <w:footnote w:id="39">
    <w:p w14:paraId="3F74FABE">
      <w:pPr>
        <w:pStyle w:val="28"/>
      </w:pPr>
      <w:r>
        <w:rPr>
          <w:rStyle w:val="11"/>
        </w:rPr>
        <w:footnoteRef/>
      </w:r>
      <w:r>
        <w:t xml:space="preserve"> 林文学、杨永清、麻锦亮、吴光荣:《〈关于适用民法典有关担保制度的解释〉的理解和适用》，载 《人民司法》2021年第4期</w:t>
      </w:r>
      <w:r>
        <w:rPr>
          <w:rFonts w:hint="eastAsia"/>
        </w:rPr>
        <w:t>。</w:t>
      </w:r>
    </w:p>
  </w:footnote>
  <w:footnote w:id="40">
    <w:p w14:paraId="05C41821">
      <w:pPr>
        <w:pStyle w:val="28"/>
      </w:pPr>
      <w:r>
        <w:rPr>
          <w:rStyle w:val="11"/>
        </w:rPr>
        <w:footnoteRef/>
      </w:r>
      <w:r>
        <w:t xml:space="preserve"> </w:t>
      </w:r>
      <w:r>
        <w:rPr>
          <w:rFonts w:hint="eastAsia"/>
        </w:rPr>
        <w:t>从技术层面来看，目前担保领域的某些问题——比如登记能力和制度成本——往往会随着登记系统的完善和健全而逐步被简化和消解。龙俊：《</w:t>
      </w:r>
      <w:r>
        <w:t>论抵押物转让规则改革</w:t>
      </w:r>
      <w:r>
        <w:rPr>
          <w:rFonts w:hint="eastAsia"/>
        </w:rPr>
        <w:t>——基于</w:t>
      </w:r>
      <w:r>
        <w:t>〈</w:t>
      </w:r>
      <w:r>
        <w:rPr>
          <w:rFonts w:hint="eastAsia"/>
        </w:rPr>
        <w:t>民法典</w:t>
      </w:r>
      <w:r>
        <w:t>〉</w:t>
      </w:r>
      <w:r>
        <w:rPr>
          <w:rFonts w:hint="eastAsia"/>
        </w:rPr>
        <w:t>与</w:t>
      </w:r>
      <w:r>
        <w:t>〈</w:t>
      </w:r>
      <w:r>
        <w:rPr>
          <w:rFonts w:hint="eastAsia"/>
        </w:rPr>
        <w:t>担保制度司法解释</w:t>
      </w:r>
      <w:r>
        <w:t>〉</w:t>
      </w:r>
      <w:r>
        <w:rPr>
          <w:rFonts w:hint="eastAsia"/>
        </w:rPr>
        <w:t>的融贯性思考》，载《南京社会科学》2</w:t>
      </w:r>
      <w:r>
        <w:t>024</w:t>
      </w:r>
      <w:r>
        <w:rPr>
          <w:rFonts w:hint="eastAsia"/>
        </w:rPr>
        <w:t>年第1</w:t>
      </w:r>
      <w:r>
        <w:t>1</w:t>
      </w:r>
      <w:r>
        <w:rPr>
          <w:rFonts w:hint="eastAsia"/>
        </w:rPr>
        <w:t>期。</w:t>
      </w:r>
    </w:p>
  </w:footnote>
  <w:footnote w:id="41">
    <w:p w14:paraId="4EDE59F1">
      <w:pPr>
        <w:pStyle w:val="28"/>
      </w:pPr>
      <w:r>
        <w:rPr>
          <w:rStyle w:val="11"/>
        </w:rPr>
        <w:footnoteRef/>
      </w:r>
      <w:r>
        <w:t xml:space="preserve"> </w:t>
      </w:r>
      <w:r>
        <w:rPr>
          <w:rFonts w:hint="eastAsia"/>
        </w:rPr>
        <w:t>如国务院所发布的《关于实施动产和权利担保统一登记的决定》，是为我国不断完善、发展动产登记制度的体现。统一登记制度大大降低了权属调查成本。谢鸿飞：《</w:t>
      </w:r>
      <w:r>
        <w:t>〈</w:t>
      </w:r>
      <w:r>
        <w:rPr>
          <w:rFonts w:hint="eastAsia"/>
        </w:rPr>
        <w:t>民法典</w:t>
      </w:r>
      <w:r>
        <w:t>〉</w:t>
      </w:r>
      <w:r>
        <w:rPr>
          <w:rFonts w:hint="eastAsia"/>
        </w:rPr>
        <w:t>担保制度内在体系的变迁》，载《东南学术》2</w:t>
      </w:r>
      <w:r>
        <w:t>021</w:t>
      </w:r>
      <w:r>
        <w:rPr>
          <w:rFonts w:hint="eastAsia"/>
        </w:rPr>
        <w:t>年第5期。</w:t>
      </w:r>
    </w:p>
  </w:footnote>
  <w:footnote w:id="42">
    <w:p w14:paraId="432D55FB">
      <w:pPr>
        <w:pStyle w:val="28"/>
      </w:pPr>
      <w:r>
        <w:rPr>
          <w:rStyle w:val="11"/>
        </w:rPr>
        <w:footnoteRef/>
      </w:r>
      <w:r>
        <w:t xml:space="preserve"> </w:t>
      </w:r>
      <w:r>
        <w:rPr>
          <w:rFonts w:hint="eastAsia"/>
        </w:rPr>
        <w:t>另言之，基于司法解释本身所具有的“法律的公示效力”，人们亦有义务注意并遵守法律的有关要求。崔建远：《</w:t>
      </w:r>
      <w:r>
        <w:t>担保制度司法解释的制度创新与难点释疑</w:t>
      </w:r>
      <w:r>
        <w:rPr>
          <w:rFonts w:hint="eastAsia"/>
        </w:rPr>
        <w:t>》，载《财经法学》2</w:t>
      </w:r>
      <w:r>
        <w:t>021</w:t>
      </w:r>
      <w:r>
        <w:rPr>
          <w:rFonts w:hint="eastAsia"/>
        </w:rPr>
        <w:t>年第4期。</w:t>
      </w:r>
    </w:p>
  </w:footnote>
  <w:footnote w:id="43">
    <w:p w14:paraId="3D485972">
      <w:pPr>
        <w:pStyle w:val="28"/>
      </w:pPr>
      <w:r>
        <w:rPr>
          <w:rStyle w:val="11"/>
        </w:rPr>
        <w:footnoteRef/>
      </w:r>
      <w:r>
        <w:t xml:space="preserve"> </w:t>
      </w:r>
      <w:r>
        <w:rPr>
          <w:rFonts w:hint="eastAsia"/>
        </w:rPr>
        <w:t>当然，该预期需要结合特定的行业惯例、交易习惯予以确定。较为适切阐述，可见纪海龙：《</w:t>
      </w:r>
      <w:r>
        <w:t>〈</w:t>
      </w:r>
      <w:r>
        <w:rPr>
          <w:rFonts w:hint="eastAsia"/>
        </w:rPr>
        <w:t>民法典</w:t>
      </w:r>
      <w:r>
        <w:t>〉</w:t>
      </w:r>
      <w:r>
        <w:rPr>
          <w:rFonts w:hint="eastAsia"/>
        </w:rPr>
        <w:t>第4</w:t>
      </w:r>
      <w:r>
        <w:t>04</w:t>
      </w:r>
      <w:r>
        <w:rPr>
          <w:rFonts w:hint="eastAsia"/>
        </w:rPr>
        <w:t>条（正常经营买受人规则）评注》，载《清华法学》2</w:t>
      </w:r>
      <w:r>
        <w:t>023</w:t>
      </w:r>
      <w:r>
        <w:rPr>
          <w:rFonts w:hint="eastAsia"/>
        </w:rPr>
        <w:t>年第4期。</w:t>
      </w:r>
    </w:p>
  </w:footnote>
  <w:footnote w:id="44">
    <w:p w14:paraId="1B9C4D66">
      <w:pPr>
        <w:pStyle w:val="28"/>
      </w:pPr>
      <w:r>
        <w:rPr>
          <w:rStyle w:val="11"/>
        </w:rPr>
        <w:footnoteRef/>
      </w:r>
      <w:r>
        <w:t xml:space="preserve"> </w:t>
      </w:r>
      <w:r>
        <w:rPr>
          <w:rFonts w:hint="eastAsia"/>
        </w:rPr>
        <w:t>王洪亮：《</w:t>
      </w:r>
      <w:r>
        <w:t>不动产抵押物转让规则新解</w:t>
      </w:r>
      <w:r>
        <w:rPr>
          <w:rFonts w:hint="eastAsia"/>
        </w:rPr>
        <w:t>》，载《财经法学》2</w:t>
      </w:r>
      <w:r>
        <w:t>015</w:t>
      </w:r>
      <w:r>
        <w:rPr>
          <w:rFonts w:hint="eastAsia"/>
        </w:rPr>
        <w:t>年第2期。</w:t>
      </w:r>
    </w:p>
  </w:footnote>
  <w:footnote w:id="45">
    <w:p w14:paraId="5651F382">
      <w:pPr>
        <w:pStyle w:val="28"/>
      </w:pPr>
      <w:r>
        <w:rPr>
          <w:rStyle w:val="11"/>
        </w:rPr>
        <w:footnoteRef/>
      </w:r>
      <w:r>
        <w:t xml:space="preserve"> </w:t>
      </w:r>
      <w:r>
        <w:rPr>
          <w:rFonts w:hint="eastAsia"/>
        </w:rPr>
        <w:t>常鹏翱：《</w:t>
      </w:r>
      <w:r>
        <w:t>限制抵押财产转让约定的法律效果</w:t>
      </w:r>
      <w:r>
        <w:rPr>
          <w:rFonts w:hint="eastAsia"/>
        </w:rPr>
        <w:t>》，载《中外法学》2</w:t>
      </w:r>
      <w:r>
        <w:t>021</w:t>
      </w:r>
      <w:r>
        <w:rPr>
          <w:rFonts w:hint="eastAsia"/>
        </w:rPr>
        <w:t>年第3期。</w:t>
      </w:r>
    </w:p>
  </w:footnote>
  <w:footnote w:id="46">
    <w:p w14:paraId="20F79792">
      <w:pPr>
        <w:pStyle w:val="28"/>
        <w:rPr>
          <w:lang w:val="de-DE"/>
        </w:rPr>
      </w:pPr>
      <w:r>
        <w:rPr>
          <w:rStyle w:val="11"/>
        </w:rPr>
        <w:footnoteRef/>
      </w:r>
      <w:r>
        <w:rPr>
          <w:lang w:val="de-DE"/>
        </w:rPr>
        <w:t xml:space="preserve"> </w:t>
      </w:r>
      <w:r>
        <w:rPr>
          <w:rFonts w:ascii="仿宋" w:hAnsi="仿宋"/>
          <w:lang w:val="de-DE"/>
        </w:rPr>
        <w:t>Vgl. Dirk Looschelders, Schuldrecht Allgemeiner Teil, 19. Aufl.,</w:t>
      </w:r>
      <w:r>
        <w:rPr>
          <w:rFonts w:hint="eastAsia" w:ascii="仿宋" w:hAnsi="仿宋"/>
          <w:lang w:val="de-DE"/>
        </w:rPr>
        <w:t>Verlag Franz Vahlen</w:t>
      </w:r>
      <w:r>
        <w:rPr>
          <w:rFonts w:ascii="仿宋" w:hAnsi="仿宋"/>
          <w:lang w:val="de-DE"/>
        </w:rPr>
        <w:t>, 2021, S36.</w:t>
      </w:r>
    </w:p>
  </w:footnote>
  <w:footnote w:id="47">
    <w:p w14:paraId="557E919B">
      <w:pPr>
        <w:pStyle w:val="28"/>
        <w:rPr>
          <w:rFonts w:ascii="宋体" w:hAnsi="宋体" w:cs="宋体"/>
          <w:kern w:val="0"/>
          <w:sz w:val="24"/>
        </w:rPr>
      </w:pPr>
      <w:r>
        <w:rPr>
          <w:rStyle w:val="11"/>
        </w:rPr>
        <w:footnoteRef/>
      </w:r>
      <w:r>
        <w:t xml:space="preserve"> </w:t>
      </w:r>
      <w:r>
        <w:rPr>
          <w:rFonts w:hint="eastAsia"/>
        </w:rPr>
        <w:t>该问题的关键似在于，如何在法政策上把握融资获取的难度，实践中对于该问题有不同看法，例如有行政机关认为需先征得抵押权人同意后方可办理转移登记。可见陈某某诉秀山某某物流有限公司房屋买卖合同纠纷案，重庆市第四中级人民法院（2024）渝04民终1097号民事判决书。但亦有判例认为，抵押物（不动产）转让无需征询他人同意。陈某诉周某等案外人执行异议之诉案，海南省海口市中级人民法院（2024）琼01民终4763号民事判决书。</w:t>
      </w:r>
    </w:p>
  </w:footnote>
  <w:footnote w:id="48">
    <w:p w14:paraId="73A4D1C7">
      <w:pPr>
        <w:pStyle w:val="28"/>
      </w:pPr>
      <w:r>
        <w:rPr>
          <w:rStyle w:val="11"/>
        </w:rPr>
        <w:footnoteRef/>
      </w:r>
      <w:r>
        <w:t xml:space="preserve"> </w:t>
      </w:r>
      <w:bookmarkStart w:id="3" w:name="OLE_LINK11"/>
      <w:r>
        <w:rPr>
          <w:rFonts w:hint="eastAsia"/>
        </w:rPr>
        <w:t>有观点指出</w:t>
      </w:r>
      <w:bookmarkEnd w:id="3"/>
      <w:r>
        <w:rPr>
          <w:rFonts w:hint="eastAsia"/>
        </w:rPr>
        <w:t>，如何协调《民法典》第4</w:t>
      </w:r>
      <w:r>
        <w:t>06</w:t>
      </w:r>
      <w:r>
        <w:rPr>
          <w:rFonts w:hint="eastAsia"/>
        </w:rPr>
        <w:t>条和《担保制度司法解释》第4</w:t>
      </w:r>
      <w:r>
        <w:t>3</w:t>
      </w:r>
      <w:r>
        <w:rPr>
          <w:rFonts w:hint="eastAsia"/>
        </w:rPr>
        <w:t>条第2款，该问题实为涉及交易秩序及交易安全的重要课题。张永：《抵押权追及力的确认及空洞化——〈民法典担保制度解释</w:t>
      </w:r>
      <w:r>
        <w:t>〉</w:t>
      </w:r>
      <w:r>
        <w:rPr>
          <w:rFonts w:hint="eastAsia"/>
        </w:rPr>
        <w:t>第4</w:t>
      </w:r>
      <w:r>
        <w:t>3</w:t>
      </w:r>
      <w:r>
        <w:rPr>
          <w:rFonts w:hint="eastAsia"/>
        </w:rPr>
        <w:t>条第2款的效力检讨》，载《北方法学》2</w:t>
      </w:r>
      <w:r>
        <w:t>023</w:t>
      </w:r>
      <w:r>
        <w:rPr>
          <w:rFonts w:hint="eastAsia"/>
        </w:rPr>
        <w:t>年第2期。</w:t>
      </w:r>
    </w:p>
  </w:footnote>
  <w:footnote w:id="49">
    <w:p w14:paraId="1510C3C5">
      <w:pPr>
        <w:pStyle w:val="28"/>
      </w:pPr>
      <w:r>
        <w:rPr>
          <w:rStyle w:val="11"/>
        </w:rPr>
        <w:footnoteRef/>
      </w:r>
      <w:r>
        <w:t xml:space="preserve"> </w:t>
      </w:r>
      <w:r>
        <w:rPr>
          <w:rFonts w:hint="eastAsia"/>
        </w:rPr>
        <w:t>张尧：《</w:t>
      </w:r>
      <w:r>
        <w:t>抵押财产转让规则的适用</w:t>
      </w:r>
      <w:r>
        <w:rPr>
          <w:rFonts w:hint="eastAsia"/>
        </w:rPr>
        <w:t>》，载《政治与法律》2</w:t>
      </w:r>
      <w:r>
        <w:t>021</w:t>
      </w:r>
      <w:r>
        <w:rPr>
          <w:rFonts w:hint="eastAsia"/>
        </w:rPr>
        <w:t>年第8期。</w:t>
      </w:r>
    </w:p>
  </w:footnote>
  <w:footnote w:id="50">
    <w:p w14:paraId="3F331570">
      <w:pPr>
        <w:pStyle w:val="28"/>
      </w:pPr>
      <w:r>
        <w:rPr>
          <w:rStyle w:val="11"/>
        </w:rPr>
        <w:footnoteRef/>
      </w:r>
      <w:r>
        <w:t xml:space="preserve"> </w:t>
      </w:r>
      <w:r>
        <w:rPr>
          <w:rFonts w:hint="eastAsia"/>
        </w:rPr>
        <w:t>有学者指出，该种规范设计思路，将会导致《民法典》第4</w:t>
      </w:r>
      <w:r>
        <w:t>06</w:t>
      </w:r>
      <w:r>
        <w:rPr>
          <w:rFonts w:hint="eastAsia"/>
        </w:rPr>
        <w:t>条重新回归至《物权法》第1</w:t>
      </w:r>
      <w:r>
        <w:t>91</w:t>
      </w:r>
      <w:r>
        <w:rPr>
          <w:rFonts w:hint="eastAsia"/>
        </w:rPr>
        <w:t>条的陈旧格局。张尧：《</w:t>
      </w:r>
      <w:r>
        <w:t>抵押财产转让规则的适用</w:t>
      </w:r>
      <w:r>
        <w:rPr>
          <w:rFonts w:hint="eastAsia"/>
        </w:rPr>
        <w:t>》，载《政治与法律》2</w:t>
      </w:r>
      <w:r>
        <w:t>021</w:t>
      </w:r>
      <w:r>
        <w:rPr>
          <w:rFonts w:hint="eastAsia"/>
        </w:rPr>
        <w:t>年第8期。</w:t>
      </w:r>
    </w:p>
  </w:footnote>
  <w:footnote w:id="51">
    <w:p w14:paraId="25CA3E5C">
      <w:pPr>
        <w:pStyle w:val="28"/>
      </w:pPr>
      <w:r>
        <w:rPr>
          <w:rStyle w:val="11"/>
        </w:rPr>
        <w:footnoteRef/>
      </w:r>
      <w:r>
        <w:t xml:space="preserve"> </w:t>
      </w:r>
      <w:r>
        <w:rPr>
          <w:rFonts w:hint="eastAsia"/>
        </w:rPr>
        <w:t>这折射出在规范设计层面抵押物转让规则自身的复杂性。景光强博士指出，《民法典》第4</w:t>
      </w:r>
      <w:r>
        <w:t>06</w:t>
      </w:r>
      <w:r>
        <w:rPr>
          <w:rFonts w:hint="eastAsia"/>
        </w:rPr>
        <w:t>条展现了一种“折衷式、渐进式的立法模式”，体现出立法者在平衡各种利益时的艰难抉择，同时也侧面展现了该问题的复杂程度。景光强：《</w:t>
      </w:r>
      <w:r>
        <w:t>抵押物转让新规则释论</w:t>
      </w:r>
      <w:r>
        <w:rPr>
          <w:rFonts w:hint="eastAsia"/>
        </w:rPr>
        <w:t>》，载《山东法官培训学院学报》2</w:t>
      </w:r>
      <w:r>
        <w:t>021</w:t>
      </w:r>
      <w:r>
        <w:rPr>
          <w:rFonts w:hint="eastAsia"/>
        </w:rPr>
        <w:t>年第5期。</w:t>
      </w:r>
    </w:p>
  </w:footnote>
  <w:footnote w:id="52">
    <w:p w14:paraId="5AC70CA3">
      <w:pPr>
        <w:pStyle w:val="28"/>
      </w:pPr>
      <w:r>
        <w:rPr>
          <w:rStyle w:val="11"/>
        </w:rPr>
        <w:footnoteRef/>
      </w:r>
      <w:r>
        <w:t xml:space="preserve"> </w:t>
      </w:r>
      <w:r>
        <w:rPr>
          <w:rFonts w:hint="eastAsia"/>
        </w:rPr>
        <w:t>也有观点认为，《民法典》第4</w:t>
      </w:r>
      <w:r>
        <w:t>06</w:t>
      </w:r>
      <w:r>
        <w:rPr>
          <w:rFonts w:hint="eastAsia"/>
        </w:rPr>
        <w:t>条所确定的抵押权追及力，其自身决定了在目前法秩序中，转让（已登记的）抵押财产并不会有损于抵押权，因为第三人原则上取得的就是附带抵押负担的财产。黄清新：《</w:t>
      </w:r>
      <w:r>
        <w:t>论抵押物转让时抵押权损害风险之认定</w:t>
      </w:r>
      <w:r>
        <w:rPr>
          <w:rFonts w:hint="eastAsia"/>
        </w:rPr>
        <w:t>》，载《北京理工大学学报（社会科学版）》，2</w:t>
      </w:r>
      <w:r>
        <w:t>023</w:t>
      </w:r>
      <w:r>
        <w:rPr>
          <w:rFonts w:hint="eastAsia"/>
        </w:rPr>
        <w:t>年第5期。</w:t>
      </w:r>
    </w:p>
  </w:footnote>
  <w:footnote w:id="53">
    <w:p w14:paraId="213CB26B">
      <w:pPr>
        <w:pStyle w:val="28"/>
      </w:pPr>
      <w:r>
        <w:rPr>
          <w:rStyle w:val="11"/>
        </w:rPr>
        <w:footnoteRef/>
      </w:r>
      <w:r>
        <w:t xml:space="preserve"> </w:t>
      </w:r>
      <w:r>
        <w:rPr>
          <w:rFonts w:hint="eastAsia"/>
        </w:rPr>
        <w:t>要言之，《民法典》第4</w:t>
      </w:r>
      <w:r>
        <w:t>06</w:t>
      </w:r>
      <w:r>
        <w:rPr>
          <w:rFonts w:hint="eastAsia"/>
        </w:rPr>
        <w:t>条中的通知似不应仅停留在“倡导性要求”或者“附随义务”，对于追及难度普遍较大的动产抵押财产交易中，通知抵押权人应为抵押人的主要义务，抵押人之通知可令抵押权人及时了解抵押物在交易中的流向，并促成抵押登记变更或及时告知受让人抵押负担的存在，对确保抵押权追及力的实现大有裨益。郑永宽：《</w:t>
      </w:r>
      <w:r>
        <w:t>论动产抵押权追及困境及其应对</w:t>
      </w:r>
      <w:r>
        <w:rPr>
          <w:rFonts w:hint="eastAsia"/>
        </w:rPr>
        <w:t>》，载《海峡法学》2</w:t>
      </w:r>
      <w:r>
        <w:t>024</w:t>
      </w:r>
      <w:r>
        <w:rPr>
          <w:rFonts w:hint="eastAsia"/>
        </w:rPr>
        <w:t>年第4期。</w:t>
      </w:r>
    </w:p>
  </w:footnote>
  <w:footnote w:id="54">
    <w:p w14:paraId="3095673F">
      <w:pPr>
        <w:pStyle w:val="28"/>
      </w:pPr>
      <w:r>
        <w:rPr>
          <w:rStyle w:val="11"/>
        </w:rPr>
        <w:footnoteRef/>
      </w:r>
      <w:r>
        <w:t xml:space="preserve"> </w:t>
      </w:r>
      <w:r>
        <w:rPr>
          <w:rFonts w:hint="eastAsia"/>
        </w:rPr>
        <w:t>王利明：《</w:t>
      </w:r>
      <w:r>
        <w:t>〈</w:t>
      </w:r>
      <w:r>
        <w:rPr>
          <w:rFonts w:hint="eastAsia"/>
        </w:rPr>
        <w:t>民法典〉抵押物转让规则新解——兼评</w:t>
      </w:r>
      <w:r>
        <w:t>〈</w:t>
      </w:r>
      <w:r>
        <w:rPr>
          <w:rFonts w:hint="eastAsia"/>
        </w:rPr>
        <w:t>民法典</w:t>
      </w:r>
      <w:r>
        <w:t>〉</w:t>
      </w:r>
      <w:r>
        <w:rPr>
          <w:rFonts w:hint="eastAsia"/>
        </w:rPr>
        <w:t>第4</w:t>
      </w:r>
      <w:r>
        <w:t>06</w:t>
      </w:r>
      <w:r>
        <w:rPr>
          <w:rFonts w:hint="eastAsia"/>
        </w:rPr>
        <w:t>条》，载《法律科学（西北政法大学学报）》2</w:t>
      </w:r>
      <w:r>
        <w:t>021</w:t>
      </w:r>
      <w:r>
        <w:rPr>
          <w:rFonts w:hint="eastAsia"/>
        </w:rPr>
        <w:t>年第1期。</w:t>
      </w:r>
    </w:p>
  </w:footnote>
  <w:footnote w:id="55">
    <w:p w14:paraId="6EA6B473">
      <w:pPr>
        <w:pStyle w:val="28"/>
      </w:pPr>
      <w:r>
        <w:rPr>
          <w:rStyle w:val="11"/>
        </w:rPr>
        <w:footnoteRef/>
      </w:r>
      <w:r>
        <w:t xml:space="preserve"> </w:t>
      </w:r>
      <w:r>
        <w:rPr>
          <w:rFonts w:hint="eastAsia"/>
        </w:rPr>
        <w:t>张尧：《</w:t>
      </w:r>
      <w:r>
        <w:t>抵押财产转让规则的适用</w:t>
      </w:r>
      <w:r>
        <w:rPr>
          <w:rFonts w:hint="eastAsia"/>
        </w:rPr>
        <w:t>》，载《政治与法律》2</w:t>
      </w:r>
      <w:r>
        <w:t>021</w:t>
      </w:r>
      <w:r>
        <w:rPr>
          <w:rFonts w:hint="eastAsia"/>
        </w:rPr>
        <w:t>年第8期。</w:t>
      </w:r>
    </w:p>
  </w:footnote>
  <w:footnote w:id="56">
    <w:p w14:paraId="0C659472">
      <w:pPr>
        <w:pStyle w:val="28"/>
      </w:pPr>
      <w:r>
        <w:rPr>
          <w:rStyle w:val="11"/>
        </w:rPr>
        <w:footnoteRef/>
      </w:r>
      <w:r>
        <w:t xml:space="preserve"> </w:t>
      </w:r>
      <w:r>
        <w:rPr>
          <w:rFonts w:hint="eastAsia"/>
        </w:rPr>
        <w:t>王利明：《</w:t>
      </w:r>
      <w:r>
        <w:t>〈</w:t>
      </w:r>
      <w:r>
        <w:rPr>
          <w:rFonts w:hint="eastAsia"/>
        </w:rPr>
        <w:t>民法典〉抵押物转让规则新解——兼评</w:t>
      </w:r>
      <w:r>
        <w:t>〈</w:t>
      </w:r>
      <w:r>
        <w:rPr>
          <w:rFonts w:hint="eastAsia"/>
        </w:rPr>
        <w:t>民法典</w:t>
      </w:r>
      <w:r>
        <w:t>〉</w:t>
      </w:r>
      <w:r>
        <w:rPr>
          <w:rFonts w:hint="eastAsia"/>
        </w:rPr>
        <w:t>第4</w:t>
      </w:r>
      <w:r>
        <w:t>06</w:t>
      </w:r>
      <w:r>
        <w:rPr>
          <w:rFonts w:hint="eastAsia"/>
        </w:rPr>
        <w:t>条》，载《法律科学（西北政法大学学报）》2</w:t>
      </w:r>
      <w:r>
        <w:t>021</w:t>
      </w:r>
      <w:r>
        <w:rPr>
          <w:rFonts w:hint="eastAsia"/>
        </w:rPr>
        <w:t>年第1期。</w:t>
      </w:r>
    </w:p>
  </w:footnote>
  <w:footnote w:id="57">
    <w:p w14:paraId="2FFC85D9">
      <w:pPr>
        <w:pStyle w:val="28"/>
      </w:pPr>
      <w:r>
        <w:rPr>
          <w:rStyle w:val="11"/>
        </w:rPr>
        <w:footnoteRef/>
      </w:r>
      <w:r>
        <w:t xml:space="preserve"> </w:t>
      </w:r>
      <w:r>
        <w:rPr>
          <w:rFonts w:hint="eastAsia"/>
        </w:rPr>
        <w:t>付荣：《论抵押可售规则——以从</w:t>
      </w:r>
      <w:r>
        <w:t>〈</w:t>
      </w:r>
      <w:r>
        <w:rPr>
          <w:rFonts w:hint="eastAsia"/>
        </w:rPr>
        <w:t>物权法〉走向</w:t>
      </w:r>
      <w:r>
        <w:t>〈</w:t>
      </w:r>
      <w:r>
        <w:rPr>
          <w:rFonts w:hint="eastAsia"/>
        </w:rPr>
        <w:t>民法典</w:t>
      </w:r>
      <w:r>
        <w:t>〉</w:t>
      </w:r>
      <w:r>
        <w:rPr>
          <w:rFonts w:hint="eastAsia"/>
        </w:rPr>
        <w:t>的转变为视角》，载《河北学刊》2</w:t>
      </w:r>
      <w:r>
        <w:t>024</w:t>
      </w:r>
      <w:r>
        <w:rPr>
          <w:rFonts w:hint="eastAsia"/>
        </w:rPr>
        <w:t>年第5期。</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2"/>
  <w:doNotDisplayPageBoundaries w:val="1"/>
  <w:bordersDoNotSurroundHeader w:val="1"/>
  <w:bordersDoNotSurroundFooter w:val="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16"/>
    <w:footnote w:id="117"/>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A0MjllZGYzNGEzZDdlZjBjZmNjZDZmZjJiMjlkYzEifQ=="/>
  </w:docVars>
  <w:rsids>
    <w:rsidRoot w:val="007D3582"/>
    <w:rsid w:val="0000136D"/>
    <w:rsid w:val="00001ACF"/>
    <w:rsid w:val="00005C61"/>
    <w:rsid w:val="0000718F"/>
    <w:rsid w:val="00011492"/>
    <w:rsid w:val="00025BB9"/>
    <w:rsid w:val="000269B3"/>
    <w:rsid w:val="00035BE1"/>
    <w:rsid w:val="00040516"/>
    <w:rsid w:val="00041C9D"/>
    <w:rsid w:val="00047B3B"/>
    <w:rsid w:val="000537F6"/>
    <w:rsid w:val="00054EC3"/>
    <w:rsid w:val="00067E83"/>
    <w:rsid w:val="00067F45"/>
    <w:rsid w:val="0007073A"/>
    <w:rsid w:val="00070AB4"/>
    <w:rsid w:val="00077A00"/>
    <w:rsid w:val="000828C2"/>
    <w:rsid w:val="00082FFA"/>
    <w:rsid w:val="000842C5"/>
    <w:rsid w:val="000842D1"/>
    <w:rsid w:val="0009335C"/>
    <w:rsid w:val="000B55F0"/>
    <w:rsid w:val="000C0CCC"/>
    <w:rsid w:val="000C2FB3"/>
    <w:rsid w:val="000C5794"/>
    <w:rsid w:val="000C6B5A"/>
    <w:rsid w:val="000D7EDF"/>
    <w:rsid w:val="000E4E06"/>
    <w:rsid w:val="000E5718"/>
    <w:rsid w:val="000E683B"/>
    <w:rsid w:val="000F3121"/>
    <w:rsid w:val="000F39D4"/>
    <w:rsid w:val="000F5C14"/>
    <w:rsid w:val="00101F3D"/>
    <w:rsid w:val="00102808"/>
    <w:rsid w:val="00106220"/>
    <w:rsid w:val="00117357"/>
    <w:rsid w:val="0012232A"/>
    <w:rsid w:val="00127DF6"/>
    <w:rsid w:val="0013366E"/>
    <w:rsid w:val="00144497"/>
    <w:rsid w:val="0015066F"/>
    <w:rsid w:val="0015191B"/>
    <w:rsid w:val="00157894"/>
    <w:rsid w:val="00157E67"/>
    <w:rsid w:val="00161685"/>
    <w:rsid w:val="00161F14"/>
    <w:rsid w:val="001704C4"/>
    <w:rsid w:val="00173C64"/>
    <w:rsid w:val="001767F4"/>
    <w:rsid w:val="00190025"/>
    <w:rsid w:val="001908F0"/>
    <w:rsid w:val="00191D77"/>
    <w:rsid w:val="00194772"/>
    <w:rsid w:val="001B1DA6"/>
    <w:rsid w:val="001B2622"/>
    <w:rsid w:val="001B54AD"/>
    <w:rsid w:val="001B6F8E"/>
    <w:rsid w:val="001C1AA4"/>
    <w:rsid w:val="001C2B7A"/>
    <w:rsid w:val="001C440D"/>
    <w:rsid w:val="001C4478"/>
    <w:rsid w:val="001C518C"/>
    <w:rsid w:val="001C5C82"/>
    <w:rsid w:val="001F09F3"/>
    <w:rsid w:val="001F5426"/>
    <w:rsid w:val="0021277A"/>
    <w:rsid w:val="00216D6A"/>
    <w:rsid w:val="00224589"/>
    <w:rsid w:val="00225593"/>
    <w:rsid w:val="002319DD"/>
    <w:rsid w:val="00242B5F"/>
    <w:rsid w:val="002502B2"/>
    <w:rsid w:val="002507BF"/>
    <w:rsid w:val="00250CBC"/>
    <w:rsid w:val="002519C8"/>
    <w:rsid w:val="002606A1"/>
    <w:rsid w:val="00261E26"/>
    <w:rsid w:val="00262A12"/>
    <w:rsid w:val="002656D5"/>
    <w:rsid w:val="002677FD"/>
    <w:rsid w:val="00270EA4"/>
    <w:rsid w:val="00272D61"/>
    <w:rsid w:val="0027336F"/>
    <w:rsid w:val="002734E3"/>
    <w:rsid w:val="00287C7D"/>
    <w:rsid w:val="00294FA5"/>
    <w:rsid w:val="002A2938"/>
    <w:rsid w:val="002A49D0"/>
    <w:rsid w:val="002A4B2B"/>
    <w:rsid w:val="002B3FC4"/>
    <w:rsid w:val="002C09B5"/>
    <w:rsid w:val="002C1658"/>
    <w:rsid w:val="002C7F6C"/>
    <w:rsid w:val="002E3099"/>
    <w:rsid w:val="002E700C"/>
    <w:rsid w:val="002E7420"/>
    <w:rsid w:val="002F530B"/>
    <w:rsid w:val="002F7E47"/>
    <w:rsid w:val="00300D54"/>
    <w:rsid w:val="003018EE"/>
    <w:rsid w:val="0030348D"/>
    <w:rsid w:val="003076BC"/>
    <w:rsid w:val="00311506"/>
    <w:rsid w:val="003132A6"/>
    <w:rsid w:val="00315947"/>
    <w:rsid w:val="003217F4"/>
    <w:rsid w:val="00323BCA"/>
    <w:rsid w:val="00324C90"/>
    <w:rsid w:val="00334789"/>
    <w:rsid w:val="0033560D"/>
    <w:rsid w:val="00343337"/>
    <w:rsid w:val="00350D5F"/>
    <w:rsid w:val="0035120F"/>
    <w:rsid w:val="00352F96"/>
    <w:rsid w:val="00353118"/>
    <w:rsid w:val="00353181"/>
    <w:rsid w:val="00362C17"/>
    <w:rsid w:val="00363342"/>
    <w:rsid w:val="00364A01"/>
    <w:rsid w:val="00372C40"/>
    <w:rsid w:val="00375482"/>
    <w:rsid w:val="0037644D"/>
    <w:rsid w:val="00381903"/>
    <w:rsid w:val="0038282F"/>
    <w:rsid w:val="003852BE"/>
    <w:rsid w:val="003A2530"/>
    <w:rsid w:val="003A2FEF"/>
    <w:rsid w:val="003A31B0"/>
    <w:rsid w:val="003A4F09"/>
    <w:rsid w:val="003A5415"/>
    <w:rsid w:val="003A741A"/>
    <w:rsid w:val="003B448D"/>
    <w:rsid w:val="003B695F"/>
    <w:rsid w:val="003C236A"/>
    <w:rsid w:val="003C5091"/>
    <w:rsid w:val="003C5BA4"/>
    <w:rsid w:val="003E136E"/>
    <w:rsid w:val="003E4E1F"/>
    <w:rsid w:val="00413697"/>
    <w:rsid w:val="00413F6D"/>
    <w:rsid w:val="00414AF9"/>
    <w:rsid w:val="00415BD2"/>
    <w:rsid w:val="004226C2"/>
    <w:rsid w:val="004254EC"/>
    <w:rsid w:val="00425728"/>
    <w:rsid w:val="004300A0"/>
    <w:rsid w:val="00431532"/>
    <w:rsid w:val="004323A5"/>
    <w:rsid w:val="00435A0F"/>
    <w:rsid w:val="004442D0"/>
    <w:rsid w:val="0045125E"/>
    <w:rsid w:val="00462232"/>
    <w:rsid w:val="00464A91"/>
    <w:rsid w:val="00466948"/>
    <w:rsid w:val="00474E0C"/>
    <w:rsid w:val="00475C06"/>
    <w:rsid w:val="004946BA"/>
    <w:rsid w:val="004A1B36"/>
    <w:rsid w:val="004A3FC7"/>
    <w:rsid w:val="004A4881"/>
    <w:rsid w:val="004B0045"/>
    <w:rsid w:val="004B1895"/>
    <w:rsid w:val="004C0A4E"/>
    <w:rsid w:val="004D3E76"/>
    <w:rsid w:val="004E186E"/>
    <w:rsid w:val="004E4568"/>
    <w:rsid w:val="004F09E3"/>
    <w:rsid w:val="00500FFB"/>
    <w:rsid w:val="00506E72"/>
    <w:rsid w:val="00507729"/>
    <w:rsid w:val="00511996"/>
    <w:rsid w:val="00511D45"/>
    <w:rsid w:val="00511D5D"/>
    <w:rsid w:val="00515250"/>
    <w:rsid w:val="00520A02"/>
    <w:rsid w:val="00521B5A"/>
    <w:rsid w:val="00530FF9"/>
    <w:rsid w:val="00537545"/>
    <w:rsid w:val="00547F3B"/>
    <w:rsid w:val="00555896"/>
    <w:rsid w:val="00557ABB"/>
    <w:rsid w:val="00564B31"/>
    <w:rsid w:val="0056672D"/>
    <w:rsid w:val="00573BF0"/>
    <w:rsid w:val="005755F4"/>
    <w:rsid w:val="00576909"/>
    <w:rsid w:val="0058446E"/>
    <w:rsid w:val="00586F5D"/>
    <w:rsid w:val="00591D70"/>
    <w:rsid w:val="005926FD"/>
    <w:rsid w:val="00594FA5"/>
    <w:rsid w:val="005950DE"/>
    <w:rsid w:val="0059681A"/>
    <w:rsid w:val="005A03F1"/>
    <w:rsid w:val="005A2529"/>
    <w:rsid w:val="005A4159"/>
    <w:rsid w:val="005B165B"/>
    <w:rsid w:val="005B2670"/>
    <w:rsid w:val="005B2D24"/>
    <w:rsid w:val="005B47C5"/>
    <w:rsid w:val="005C0278"/>
    <w:rsid w:val="005C3473"/>
    <w:rsid w:val="005C37EC"/>
    <w:rsid w:val="005D205D"/>
    <w:rsid w:val="005D6B44"/>
    <w:rsid w:val="005D715B"/>
    <w:rsid w:val="005E1CA4"/>
    <w:rsid w:val="005E611D"/>
    <w:rsid w:val="005F0263"/>
    <w:rsid w:val="005F1793"/>
    <w:rsid w:val="005F191E"/>
    <w:rsid w:val="005F44FD"/>
    <w:rsid w:val="005F5761"/>
    <w:rsid w:val="0060482B"/>
    <w:rsid w:val="006149F8"/>
    <w:rsid w:val="00615B2D"/>
    <w:rsid w:val="00615F48"/>
    <w:rsid w:val="006178AB"/>
    <w:rsid w:val="00627B3D"/>
    <w:rsid w:val="00630E07"/>
    <w:rsid w:val="00632C64"/>
    <w:rsid w:val="00634C55"/>
    <w:rsid w:val="00645275"/>
    <w:rsid w:val="00651B62"/>
    <w:rsid w:val="0065201C"/>
    <w:rsid w:val="00653D05"/>
    <w:rsid w:val="0065576D"/>
    <w:rsid w:val="006617F3"/>
    <w:rsid w:val="006727B7"/>
    <w:rsid w:val="00673F24"/>
    <w:rsid w:val="00684CE1"/>
    <w:rsid w:val="0068514C"/>
    <w:rsid w:val="00686A75"/>
    <w:rsid w:val="00687CE8"/>
    <w:rsid w:val="00692476"/>
    <w:rsid w:val="006953C3"/>
    <w:rsid w:val="006A3C58"/>
    <w:rsid w:val="006A408B"/>
    <w:rsid w:val="006B131E"/>
    <w:rsid w:val="006B4CCA"/>
    <w:rsid w:val="006B63EF"/>
    <w:rsid w:val="006B6F19"/>
    <w:rsid w:val="006C149B"/>
    <w:rsid w:val="006C2777"/>
    <w:rsid w:val="006D7211"/>
    <w:rsid w:val="006F1E98"/>
    <w:rsid w:val="006F4481"/>
    <w:rsid w:val="00702BB1"/>
    <w:rsid w:val="00704375"/>
    <w:rsid w:val="007065E7"/>
    <w:rsid w:val="007107AA"/>
    <w:rsid w:val="00712297"/>
    <w:rsid w:val="00713811"/>
    <w:rsid w:val="00713A55"/>
    <w:rsid w:val="007264F8"/>
    <w:rsid w:val="00726952"/>
    <w:rsid w:val="007308DB"/>
    <w:rsid w:val="00732B63"/>
    <w:rsid w:val="00734412"/>
    <w:rsid w:val="00743CE8"/>
    <w:rsid w:val="00747FBC"/>
    <w:rsid w:val="007510A4"/>
    <w:rsid w:val="00761D5E"/>
    <w:rsid w:val="00763692"/>
    <w:rsid w:val="00773C9A"/>
    <w:rsid w:val="007830A7"/>
    <w:rsid w:val="0078581C"/>
    <w:rsid w:val="00790151"/>
    <w:rsid w:val="00790E5C"/>
    <w:rsid w:val="007912CF"/>
    <w:rsid w:val="00792F82"/>
    <w:rsid w:val="007A7C3D"/>
    <w:rsid w:val="007B2988"/>
    <w:rsid w:val="007B657C"/>
    <w:rsid w:val="007B7257"/>
    <w:rsid w:val="007D3582"/>
    <w:rsid w:val="007D7D03"/>
    <w:rsid w:val="007E06F9"/>
    <w:rsid w:val="007E0CA6"/>
    <w:rsid w:val="007F0B65"/>
    <w:rsid w:val="007F344B"/>
    <w:rsid w:val="007F350B"/>
    <w:rsid w:val="007F3F1F"/>
    <w:rsid w:val="007F518D"/>
    <w:rsid w:val="00811DCF"/>
    <w:rsid w:val="00815117"/>
    <w:rsid w:val="008177B1"/>
    <w:rsid w:val="00821C45"/>
    <w:rsid w:val="008229B9"/>
    <w:rsid w:val="00825305"/>
    <w:rsid w:val="00831B1F"/>
    <w:rsid w:val="008362CF"/>
    <w:rsid w:val="00842D7D"/>
    <w:rsid w:val="00843B99"/>
    <w:rsid w:val="00843D76"/>
    <w:rsid w:val="00845206"/>
    <w:rsid w:val="00851E3A"/>
    <w:rsid w:val="008521D9"/>
    <w:rsid w:val="00857A7B"/>
    <w:rsid w:val="00861ACF"/>
    <w:rsid w:val="00865E8C"/>
    <w:rsid w:val="0086706D"/>
    <w:rsid w:val="00873667"/>
    <w:rsid w:val="00877A66"/>
    <w:rsid w:val="00877C76"/>
    <w:rsid w:val="00894BAB"/>
    <w:rsid w:val="0089518F"/>
    <w:rsid w:val="00897C34"/>
    <w:rsid w:val="008A4BE9"/>
    <w:rsid w:val="008C07CD"/>
    <w:rsid w:val="008C1F3B"/>
    <w:rsid w:val="008C497A"/>
    <w:rsid w:val="008C6782"/>
    <w:rsid w:val="008D0DC7"/>
    <w:rsid w:val="008D53CD"/>
    <w:rsid w:val="008D58C3"/>
    <w:rsid w:val="008D6E47"/>
    <w:rsid w:val="008E362E"/>
    <w:rsid w:val="008F452D"/>
    <w:rsid w:val="008F595E"/>
    <w:rsid w:val="008F616A"/>
    <w:rsid w:val="00914212"/>
    <w:rsid w:val="00917B7C"/>
    <w:rsid w:val="00920B23"/>
    <w:rsid w:val="009216F5"/>
    <w:rsid w:val="00921899"/>
    <w:rsid w:val="00922363"/>
    <w:rsid w:val="009250CC"/>
    <w:rsid w:val="00925910"/>
    <w:rsid w:val="0093011A"/>
    <w:rsid w:val="009330DB"/>
    <w:rsid w:val="009531E0"/>
    <w:rsid w:val="00967DD7"/>
    <w:rsid w:val="00973B6F"/>
    <w:rsid w:val="00983590"/>
    <w:rsid w:val="009923BF"/>
    <w:rsid w:val="00995B0F"/>
    <w:rsid w:val="009A3E8E"/>
    <w:rsid w:val="009A4E81"/>
    <w:rsid w:val="009A7489"/>
    <w:rsid w:val="009B4B7D"/>
    <w:rsid w:val="009B4C29"/>
    <w:rsid w:val="009B4E5F"/>
    <w:rsid w:val="009C1111"/>
    <w:rsid w:val="009C3C38"/>
    <w:rsid w:val="009C3EF3"/>
    <w:rsid w:val="009C5AF1"/>
    <w:rsid w:val="009D4AAD"/>
    <w:rsid w:val="009D6A42"/>
    <w:rsid w:val="009D75CF"/>
    <w:rsid w:val="009E03EB"/>
    <w:rsid w:val="009E276A"/>
    <w:rsid w:val="009E3737"/>
    <w:rsid w:val="009F43A7"/>
    <w:rsid w:val="009F7A97"/>
    <w:rsid w:val="009F7EDF"/>
    <w:rsid w:val="00A00D8D"/>
    <w:rsid w:val="00A07C3A"/>
    <w:rsid w:val="00A11676"/>
    <w:rsid w:val="00A21660"/>
    <w:rsid w:val="00A21A86"/>
    <w:rsid w:val="00A221BE"/>
    <w:rsid w:val="00A2352F"/>
    <w:rsid w:val="00A24514"/>
    <w:rsid w:val="00A33DE9"/>
    <w:rsid w:val="00A35A18"/>
    <w:rsid w:val="00A42C97"/>
    <w:rsid w:val="00A566A7"/>
    <w:rsid w:val="00A56A8E"/>
    <w:rsid w:val="00A602DE"/>
    <w:rsid w:val="00A62882"/>
    <w:rsid w:val="00A63C69"/>
    <w:rsid w:val="00A6468A"/>
    <w:rsid w:val="00A7095E"/>
    <w:rsid w:val="00A709E6"/>
    <w:rsid w:val="00A72E80"/>
    <w:rsid w:val="00A732E6"/>
    <w:rsid w:val="00A7435E"/>
    <w:rsid w:val="00A81CEA"/>
    <w:rsid w:val="00A82751"/>
    <w:rsid w:val="00A94D1E"/>
    <w:rsid w:val="00AA267F"/>
    <w:rsid w:val="00AA4FFB"/>
    <w:rsid w:val="00AA5335"/>
    <w:rsid w:val="00AB16AE"/>
    <w:rsid w:val="00AB37ED"/>
    <w:rsid w:val="00AB48D5"/>
    <w:rsid w:val="00AB6CD2"/>
    <w:rsid w:val="00AC232E"/>
    <w:rsid w:val="00AD0856"/>
    <w:rsid w:val="00AE1C28"/>
    <w:rsid w:val="00AE1E27"/>
    <w:rsid w:val="00AE5583"/>
    <w:rsid w:val="00AE5FAC"/>
    <w:rsid w:val="00AE647A"/>
    <w:rsid w:val="00AE696D"/>
    <w:rsid w:val="00AF23BC"/>
    <w:rsid w:val="00AF67AC"/>
    <w:rsid w:val="00B0010D"/>
    <w:rsid w:val="00B0162D"/>
    <w:rsid w:val="00B02EA5"/>
    <w:rsid w:val="00B04F1E"/>
    <w:rsid w:val="00B05E4C"/>
    <w:rsid w:val="00B136A7"/>
    <w:rsid w:val="00B15768"/>
    <w:rsid w:val="00B16225"/>
    <w:rsid w:val="00B250A2"/>
    <w:rsid w:val="00B27727"/>
    <w:rsid w:val="00B33C84"/>
    <w:rsid w:val="00B3595F"/>
    <w:rsid w:val="00B36D52"/>
    <w:rsid w:val="00B36E40"/>
    <w:rsid w:val="00B37DA2"/>
    <w:rsid w:val="00B451B5"/>
    <w:rsid w:val="00B46BB3"/>
    <w:rsid w:val="00B46CA3"/>
    <w:rsid w:val="00B51593"/>
    <w:rsid w:val="00B64A32"/>
    <w:rsid w:val="00B66F05"/>
    <w:rsid w:val="00B7260B"/>
    <w:rsid w:val="00B74433"/>
    <w:rsid w:val="00B74A40"/>
    <w:rsid w:val="00B84C14"/>
    <w:rsid w:val="00B9511C"/>
    <w:rsid w:val="00B961E8"/>
    <w:rsid w:val="00BA0901"/>
    <w:rsid w:val="00BA475A"/>
    <w:rsid w:val="00BC5013"/>
    <w:rsid w:val="00BC5406"/>
    <w:rsid w:val="00BC6565"/>
    <w:rsid w:val="00BD04FB"/>
    <w:rsid w:val="00BD0BDC"/>
    <w:rsid w:val="00BD3DF6"/>
    <w:rsid w:val="00BD7659"/>
    <w:rsid w:val="00BE7158"/>
    <w:rsid w:val="00BF54CB"/>
    <w:rsid w:val="00C01977"/>
    <w:rsid w:val="00C07738"/>
    <w:rsid w:val="00C10951"/>
    <w:rsid w:val="00C11398"/>
    <w:rsid w:val="00C121F1"/>
    <w:rsid w:val="00C1602C"/>
    <w:rsid w:val="00C2392F"/>
    <w:rsid w:val="00C4134A"/>
    <w:rsid w:val="00C47D89"/>
    <w:rsid w:val="00C536B8"/>
    <w:rsid w:val="00C55C17"/>
    <w:rsid w:val="00C57CD1"/>
    <w:rsid w:val="00C60706"/>
    <w:rsid w:val="00C660F5"/>
    <w:rsid w:val="00C7489D"/>
    <w:rsid w:val="00C76C85"/>
    <w:rsid w:val="00C81E7D"/>
    <w:rsid w:val="00C827A1"/>
    <w:rsid w:val="00C84212"/>
    <w:rsid w:val="00C87FB8"/>
    <w:rsid w:val="00C90BF8"/>
    <w:rsid w:val="00C94779"/>
    <w:rsid w:val="00C94A55"/>
    <w:rsid w:val="00CB466D"/>
    <w:rsid w:val="00CB7749"/>
    <w:rsid w:val="00CC04CA"/>
    <w:rsid w:val="00CC0880"/>
    <w:rsid w:val="00CC2C14"/>
    <w:rsid w:val="00CC37C9"/>
    <w:rsid w:val="00CC5AE3"/>
    <w:rsid w:val="00CD0C17"/>
    <w:rsid w:val="00CD11EA"/>
    <w:rsid w:val="00CD38F0"/>
    <w:rsid w:val="00CD3B6B"/>
    <w:rsid w:val="00CD7E98"/>
    <w:rsid w:val="00CE12BB"/>
    <w:rsid w:val="00CE2E89"/>
    <w:rsid w:val="00CF3DAD"/>
    <w:rsid w:val="00CF6DE2"/>
    <w:rsid w:val="00D06B21"/>
    <w:rsid w:val="00D07751"/>
    <w:rsid w:val="00D11A1F"/>
    <w:rsid w:val="00D135B4"/>
    <w:rsid w:val="00D1402E"/>
    <w:rsid w:val="00D14DDE"/>
    <w:rsid w:val="00D16038"/>
    <w:rsid w:val="00D20CBE"/>
    <w:rsid w:val="00D2632E"/>
    <w:rsid w:val="00D32BBB"/>
    <w:rsid w:val="00D35234"/>
    <w:rsid w:val="00D35FBD"/>
    <w:rsid w:val="00D37FC4"/>
    <w:rsid w:val="00D4170D"/>
    <w:rsid w:val="00D44BD5"/>
    <w:rsid w:val="00D50B08"/>
    <w:rsid w:val="00D57C55"/>
    <w:rsid w:val="00D6286A"/>
    <w:rsid w:val="00D6688D"/>
    <w:rsid w:val="00D6701A"/>
    <w:rsid w:val="00D7035E"/>
    <w:rsid w:val="00D70C71"/>
    <w:rsid w:val="00D756BB"/>
    <w:rsid w:val="00D76B54"/>
    <w:rsid w:val="00D84853"/>
    <w:rsid w:val="00D8564C"/>
    <w:rsid w:val="00D874C6"/>
    <w:rsid w:val="00D953E1"/>
    <w:rsid w:val="00D970D0"/>
    <w:rsid w:val="00D971AA"/>
    <w:rsid w:val="00DA4BC1"/>
    <w:rsid w:val="00DB2699"/>
    <w:rsid w:val="00DC0100"/>
    <w:rsid w:val="00DC07B6"/>
    <w:rsid w:val="00DC09B8"/>
    <w:rsid w:val="00DC3D03"/>
    <w:rsid w:val="00DC55DC"/>
    <w:rsid w:val="00DC7BC5"/>
    <w:rsid w:val="00DD1DEF"/>
    <w:rsid w:val="00DD34D1"/>
    <w:rsid w:val="00DD51A1"/>
    <w:rsid w:val="00DD55FF"/>
    <w:rsid w:val="00DE2DD7"/>
    <w:rsid w:val="00DE405B"/>
    <w:rsid w:val="00DE49D3"/>
    <w:rsid w:val="00DF216F"/>
    <w:rsid w:val="00DF26F4"/>
    <w:rsid w:val="00DF46ED"/>
    <w:rsid w:val="00E03753"/>
    <w:rsid w:val="00E03C3D"/>
    <w:rsid w:val="00E07097"/>
    <w:rsid w:val="00E10798"/>
    <w:rsid w:val="00E15F6F"/>
    <w:rsid w:val="00E2183E"/>
    <w:rsid w:val="00E25325"/>
    <w:rsid w:val="00E3636A"/>
    <w:rsid w:val="00E376DB"/>
    <w:rsid w:val="00E47B1F"/>
    <w:rsid w:val="00E57FEE"/>
    <w:rsid w:val="00E62726"/>
    <w:rsid w:val="00E746FD"/>
    <w:rsid w:val="00E94B90"/>
    <w:rsid w:val="00E95EC5"/>
    <w:rsid w:val="00EC1266"/>
    <w:rsid w:val="00EC3741"/>
    <w:rsid w:val="00ED48CA"/>
    <w:rsid w:val="00EE0643"/>
    <w:rsid w:val="00EE32E0"/>
    <w:rsid w:val="00EE4041"/>
    <w:rsid w:val="00EF74BB"/>
    <w:rsid w:val="00F03C87"/>
    <w:rsid w:val="00F149C8"/>
    <w:rsid w:val="00F20E9C"/>
    <w:rsid w:val="00F24532"/>
    <w:rsid w:val="00F24CEC"/>
    <w:rsid w:val="00F261BA"/>
    <w:rsid w:val="00F303F0"/>
    <w:rsid w:val="00F30C98"/>
    <w:rsid w:val="00F31F03"/>
    <w:rsid w:val="00F43963"/>
    <w:rsid w:val="00F4445E"/>
    <w:rsid w:val="00F530C5"/>
    <w:rsid w:val="00F5426B"/>
    <w:rsid w:val="00F604A7"/>
    <w:rsid w:val="00F6679E"/>
    <w:rsid w:val="00F8265D"/>
    <w:rsid w:val="00F87B53"/>
    <w:rsid w:val="00F91B47"/>
    <w:rsid w:val="00F927D1"/>
    <w:rsid w:val="00F96E78"/>
    <w:rsid w:val="00FB26D3"/>
    <w:rsid w:val="00FB55F9"/>
    <w:rsid w:val="00FC05A7"/>
    <w:rsid w:val="00FC07AF"/>
    <w:rsid w:val="00FC4A30"/>
    <w:rsid w:val="00FC7E42"/>
    <w:rsid w:val="00FD0696"/>
    <w:rsid w:val="00FD0E32"/>
    <w:rsid w:val="00FD5290"/>
    <w:rsid w:val="00FE4D32"/>
    <w:rsid w:val="00FE4FFC"/>
    <w:rsid w:val="00FF5797"/>
    <w:rsid w:val="060774EA"/>
    <w:rsid w:val="1ABC7D17"/>
    <w:rsid w:val="3C97266F"/>
    <w:rsid w:val="3CF96EA3"/>
    <w:rsid w:val="3F8BE14F"/>
    <w:rsid w:val="4EC27D01"/>
    <w:rsid w:val="56BED6E5"/>
    <w:rsid w:val="7BFF7C6E"/>
    <w:rsid w:val="7FF5E70A"/>
    <w:rsid w:val="7FF6F529"/>
    <w:rsid w:val="9B394D05"/>
    <w:rsid w:val="EF670D6A"/>
    <w:rsid w:val="F8F3926C"/>
    <w:rsid w:val="FF6B7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line="360" w:lineRule="auto"/>
      <w:outlineLvl w:val="0"/>
    </w:pPr>
    <w:rPr>
      <w:rFonts w:ascii="宋体" w:hAnsi="宋体" w:eastAsia="宋体"/>
      <w:b/>
      <w:bCs/>
      <w:kern w:val="44"/>
      <w:sz w:val="24"/>
    </w:rPr>
  </w:style>
  <w:style w:type="paragraph" w:styleId="3">
    <w:name w:val="heading 2"/>
    <w:basedOn w:val="4"/>
    <w:next w:val="1"/>
    <w:link w:val="22"/>
    <w:unhideWhenUsed/>
    <w:qFormat/>
    <w:uiPriority w:val="9"/>
    <w:pPr>
      <w:outlineLvl w:val="1"/>
    </w:p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4">
    <w:name w:val="公司法论文正文"/>
    <w:basedOn w:val="1"/>
    <w:qFormat/>
    <w:uiPriority w:val="0"/>
    <w:pPr>
      <w:spacing w:line="360" w:lineRule="auto"/>
      <w:ind w:firstLine="480" w:firstLineChars="200"/>
    </w:pPr>
    <w:rPr>
      <w:rFonts w:ascii="Times New Roman" w:hAnsi="Times New Roman" w:eastAsia="宋体" w:cs="Times New Roman (正文 CS 字体)"/>
      <w:sz w:val="24"/>
    </w:rPr>
  </w:style>
  <w:style w:type="paragraph" w:styleId="5">
    <w:name w:val="annotation text"/>
    <w:basedOn w:val="1"/>
    <w:link w:val="19"/>
    <w:unhideWhenUsed/>
    <w:qFormat/>
    <w:uiPriority w:val="99"/>
    <w:pPr>
      <w:jc w:val="left"/>
    </w:pPr>
    <w:rPr>
      <w:rFonts w:ascii="DengXian" w:hAnsi="DengXian" w:eastAsia="DengXian" w:cs="Times New Roman"/>
    </w:rPr>
  </w:style>
  <w:style w:type="paragraph" w:styleId="6">
    <w:name w:val="footnote text"/>
    <w:basedOn w:val="1"/>
    <w:link w:val="13"/>
    <w:semiHidden/>
    <w:unhideWhenUsed/>
    <w:qFormat/>
    <w:uiPriority w:val="99"/>
    <w:pPr>
      <w:snapToGrid w:val="0"/>
      <w:jc w:val="left"/>
    </w:pPr>
    <w:rPr>
      <w:sz w:val="18"/>
      <w:szCs w:val="18"/>
    </w:rPr>
  </w:style>
  <w:style w:type="paragraph" w:styleId="7">
    <w:name w:val="annotation subject"/>
    <w:basedOn w:val="5"/>
    <w:next w:val="5"/>
    <w:link w:val="23"/>
    <w:semiHidden/>
    <w:unhideWhenUsed/>
    <w:qFormat/>
    <w:uiPriority w:val="99"/>
    <w:rPr>
      <w:rFonts w:asciiTheme="minorHAnsi" w:hAnsiTheme="minorHAnsi" w:eastAsiaTheme="minorEastAsia" w:cstheme="minorBidi"/>
      <w:b/>
      <w:bCs/>
    </w:rPr>
  </w:style>
  <w:style w:type="character" w:styleId="10">
    <w:name w:val="annotation reference"/>
    <w:basedOn w:val="9"/>
    <w:semiHidden/>
    <w:unhideWhenUsed/>
    <w:qFormat/>
    <w:uiPriority w:val="99"/>
    <w:rPr>
      <w:sz w:val="21"/>
      <w:szCs w:val="21"/>
    </w:rPr>
  </w:style>
  <w:style w:type="character" w:styleId="11">
    <w:name w:val="footnote reference"/>
    <w:basedOn w:val="9"/>
    <w:unhideWhenUsed/>
    <w:qFormat/>
    <w:uiPriority w:val="99"/>
    <w:rPr>
      <w:vertAlign w:val="superscript"/>
    </w:rPr>
  </w:style>
  <w:style w:type="paragraph" w:customStyle="1" w:styleId="12">
    <w:name w:val="公司法脚注格式"/>
    <w:basedOn w:val="6"/>
    <w:qFormat/>
    <w:uiPriority w:val="0"/>
    <w:rPr>
      <w:rFonts w:ascii="Times New Roman" w:hAnsi="Times New Roman" w:eastAsia="宋体" w:cs="Times New Roman (正文 CS 字体)"/>
    </w:rPr>
  </w:style>
  <w:style w:type="character" w:customStyle="1" w:styleId="13">
    <w:name w:val="脚注文本 字符"/>
    <w:basedOn w:val="9"/>
    <w:link w:val="6"/>
    <w:semiHidden/>
    <w:qFormat/>
    <w:uiPriority w:val="99"/>
    <w:rPr>
      <w:sz w:val="18"/>
      <w:szCs w:val="18"/>
    </w:rPr>
  </w:style>
  <w:style w:type="paragraph" w:customStyle="1" w:styleId="14">
    <w:name w:val="项目标题格式"/>
    <w:basedOn w:val="1"/>
    <w:autoRedefine/>
    <w:qFormat/>
    <w:uiPriority w:val="0"/>
    <w:pPr>
      <w:jc w:val="center"/>
    </w:pPr>
    <w:rPr>
      <w:rFonts w:ascii="宋体" w:hAnsi="宋体" w:eastAsia="宋体"/>
      <w:sz w:val="32"/>
      <w:szCs w:val="32"/>
      <w:lang w:val="de-DE"/>
      <w14:ligatures w14:val="standardContextual"/>
    </w:rPr>
  </w:style>
  <w:style w:type="paragraph" w:customStyle="1" w:styleId="15">
    <w:name w:val="项目脚注"/>
    <w:basedOn w:val="1"/>
    <w:qFormat/>
    <w:uiPriority w:val="0"/>
    <w:pPr>
      <w:adjustRightInd w:val="0"/>
      <w:snapToGrid w:val="0"/>
    </w:pPr>
    <w:rPr>
      <w:rFonts w:ascii="Times New Roman" w:hAnsi="Times New Roman" w:eastAsia="宋体" w:cs="Times New Roman (正文 CS 字体)"/>
      <w:sz w:val="18"/>
      <w:szCs w:val="18"/>
      <w:lang w:val="de-DE"/>
      <w14:ligatures w14:val="standardContextual"/>
    </w:rPr>
  </w:style>
  <w:style w:type="paragraph" w:customStyle="1" w:styleId="16">
    <w:name w:val="项目正文"/>
    <w:basedOn w:val="1"/>
    <w:qFormat/>
    <w:uiPriority w:val="0"/>
    <w:pPr>
      <w:ind w:firstLine="420" w:firstLineChars="200"/>
    </w:pPr>
    <w:rPr>
      <w:rFonts w:ascii="Times New Roman" w:hAnsi="Times New Roman" w:eastAsia="宋体" w:cs="Times New Roman (正文 CS 字体)"/>
      <w:szCs w:val="22"/>
      <w:lang w:val="de-DE"/>
      <w14:ligatures w14:val="standardContextual"/>
    </w:rPr>
  </w:style>
  <w:style w:type="paragraph" w:customStyle="1" w:styleId="17">
    <w:name w:val="债法论文征文题目"/>
    <w:basedOn w:val="1"/>
    <w:qFormat/>
    <w:uiPriority w:val="0"/>
    <w:rPr>
      <w:rFonts w:ascii="Times New Roman" w:hAnsi="Times New Roman" w:eastAsia="宋体" w:cs="AppleExternalUIFontSimplifiedCh"/>
      <w:kern w:val="0"/>
      <w:szCs w:val="21"/>
      <w:lang w:val="de-DE"/>
    </w:rPr>
  </w:style>
  <w:style w:type="paragraph" w:customStyle="1" w:styleId="18">
    <w:name w:val="继承法-正文增补内容"/>
    <w:basedOn w:val="1"/>
    <w:qFormat/>
    <w:uiPriority w:val="0"/>
    <w:rPr>
      <w:rFonts w:ascii="楷体" w:hAnsi="楷体" w:eastAsia="楷体"/>
      <w:color w:val="2E75B6" w:themeColor="accent5" w:themeShade="BF"/>
    </w:rPr>
  </w:style>
  <w:style w:type="character" w:customStyle="1" w:styleId="19">
    <w:name w:val="批注文字 字符"/>
    <w:basedOn w:val="9"/>
    <w:link w:val="5"/>
    <w:qFormat/>
    <w:uiPriority w:val="99"/>
    <w:rPr>
      <w:rFonts w:ascii="DengXian" w:hAnsi="DengXian" w:eastAsia="DengXian" w:cs="Times New Roman"/>
    </w:rPr>
  </w:style>
  <w:style w:type="character" w:customStyle="1" w:styleId="20">
    <w:name w:val="text-ellipsis"/>
    <w:basedOn w:val="9"/>
    <w:qFormat/>
    <w:uiPriority w:val="0"/>
  </w:style>
  <w:style w:type="character" w:customStyle="1" w:styleId="21">
    <w:name w:val="标题 1 字符"/>
    <w:basedOn w:val="9"/>
    <w:link w:val="2"/>
    <w:qFormat/>
    <w:uiPriority w:val="9"/>
    <w:rPr>
      <w:rFonts w:ascii="宋体" w:hAnsi="宋体" w:eastAsia="宋体"/>
      <w:b/>
      <w:bCs/>
      <w:kern w:val="44"/>
      <w:sz w:val="24"/>
    </w:rPr>
  </w:style>
  <w:style w:type="character" w:customStyle="1" w:styleId="22">
    <w:name w:val="标题 2 字符"/>
    <w:basedOn w:val="9"/>
    <w:link w:val="3"/>
    <w:qFormat/>
    <w:uiPriority w:val="9"/>
    <w:rPr>
      <w:rFonts w:ascii="Times New Roman" w:hAnsi="Times New Roman" w:eastAsia="宋体" w:cs="Times New Roman (正文 CS 字体)"/>
      <w:sz w:val="24"/>
    </w:rPr>
  </w:style>
  <w:style w:type="character" w:customStyle="1" w:styleId="23">
    <w:name w:val="批注主题 字符"/>
    <w:basedOn w:val="19"/>
    <w:link w:val="7"/>
    <w:semiHidden/>
    <w:qFormat/>
    <w:uiPriority w:val="99"/>
    <w:rPr>
      <w:rFonts w:ascii="DengXian" w:hAnsi="DengXian" w:eastAsia="DengXian" w:cs="Times New Roman"/>
      <w:b/>
      <w:bCs/>
    </w:rPr>
  </w:style>
  <w:style w:type="paragraph" w:customStyle="1" w:styleId="24">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25">
    <w:name w:val="法大研究生学报正文"/>
    <w:basedOn w:val="4"/>
    <w:qFormat/>
    <w:uiPriority w:val="0"/>
    <w:pPr>
      <w:spacing w:line="240" w:lineRule="auto"/>
      <w:ind w:firstLine="482" w:firstLineChars="0"/>
    </w:pPr>
    <w:rPr>
      <w:sz w:val="21"/>
    </w:rPr>
  </w:style>
  <w:style w:type="paragraph" w:customStyle="1" w:styleId="26">
    <w:name w:val="法大研究生学报“一”"/>
    <w:basedOn w:val="2"/>
    <w:qFormat/>
    <w:uiPriority w:val="0"/>
    <w:pPr>
      <w:spacing w:line="240" w:lineRule="auto"/>
    </w:pPr>
    <w:rPr>
      <w:rFonts w:ascii="黑体" w:eastAsia="黑体" w:cs="Times New Roman (正文 CS 字体)"/>
      <w:b w:val="0"/>
      <w:sz w:val="28"/>
    </w:rPr>
  </w:style>
  <w:style w:type="paragraph" w:customStyle="1" w:styleId="27">
    <w:name w:val="法大研究生学报“（一）”"/>
    <w:basedOn w:val="3"/>
    <w:qFormat/>
    <w:uiPriority w:val="0"/>
    <w:pPr>
      <w:spacing w:line="240" w:lineRule="auto"/>
      <w:ind w:firstLine="482" w:firstLineChars="0"/>
    </w:pPr>
    <w:rPr>
      <w:rFonts w:eastAsia="华文楷体"/>
    </w:rPr>
  </w:style>
  <w:style w:type="paragraph" w:customStyle="1" w:styleId="28">
    <w:name w:val="法大研究生学报“脚注”"/>
    <w:basedOn w:val="12"/>
    <w:qFormat/>
    <w:uiPriority w:val="0"/>
    <w:pPr>
      <w:ind w:firstLine="360" w:firstLineChars="200"/>
    </w:pPr>
    <w:rPr>
      <w:rFonts w:eastAsia="仿宋"/>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2292</Words>
  <Characters>13071</Characters>
  <Lines>108</Lines>
  <Paragraphs>30</Paragraphs>
  <TotalTime>273</TotalTime>
  <ScaleCrop>false</ScaleCrop>
  <LinksUpToDate>false</LinksUpToDate>
  <CharactersWithSpaces>15333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2025-02-15T03:28:00Z</dcterms:created>
  <dc:creator>Microsoft Office User</dc:creator>
  <cp:lastModifiedBy>csn</cp:lastModifiedBy>
  <dcterms:modified xsi:type="dcterms:W3CDTF">2025-09-14T15:37:56Z</dcterms:modified>
  <cp:revision>510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3D0BE9AF961A04E2494DC967419D4BEC_42</vt:lpwstr>
  </property>
  <property fmtid="{D5CDD505-2E9C-101B-9397-08002B2CF9AE}" pid="4" name="KSOTemplateDocerSaveRecord">
    <vt:lpwstr>eyJoZGlkIjoiMmUwYWJiNDg5NWFkZWFlODI0YzRlZTgxMGZjMmEzYzUiLCJ1c2VySWQiOiIzNTgxODI5MjUifQ==</vt:lpwstr>
  </property>
</Properties>
</file>