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EAC8E">
      <w:pPr>
        <w:spacing w:line="240" w:lineRule="auto"/>
        <w:jc w:val="center"/>
        <w:outlineLvl w:val="9"/>
        <w:rPr>
          <w:rFonts w:hint="eastAsia" w:ascii="黑体" w:hAnsi="黑体" w:eastAsia="黑体"/>
          <w:b w:val="0"/>
          <w:bCs/>
          <w:sz w:val="32"/>
          <w:szCs w:val="32"/>
          <w:lang w:val="en-US" w:eastAsia="zh-CN"/>
        </w:rPr>
      </w:pPr>
      <w:bookmarkStart w:id="0" w:name="_Toc5626"/>
      <w:r>
        <w:rPr>
          <w:rFonts w:hint="eastAsia" w:ascii="黑体" w:hAnsi="黑体" w:eastAsia="黑体"/>
          <w:b w:val="0"/>
          <w:bCs/>
          <w:sz w:val="32"/>
          <w:szCs w:val="32"/>
          <w:lang w:val="en-US" w:eastAsia="zh-CN"/>
        </w:rPr>
        <w:t>数字时代《公司法》的适应与变革：AI董事对公司独立董事角色的冲击与职能再塑</w:t>
      </w:r>
    </w:p>
    <w:p w14:paraId="39844E07">
      <w:pPr>
        <w:spacing w:line="240" w:lineRule="auto"/>
        <w:jc w:val="center"/>
        <w:outlineLvl w:val="9"/>
        <w:rPr>
          <w:rFonts w:hint="default"/>
          <w:b/>
          <w:bCs/>
          <w:sz w:val="32"/>
          <w:szCs w:val="32"/>
          <w:lang w:val="en-US" w:eastAsia="zh-CN"/>
        </w:rPr>
      </w:pPr>
      <w:r>
        <w:rPr>
          <w:rFonts w:hint="eastAsia" w:ascii="楷体" w:hAnsi="楷体" w:eastAsia="楷体" w:cs="Times New Roman"/>
          <w:bCs/>
          <w:sz w:val="24"/>
          <w:szCs w:val="24"/>
          <w:lang w:val="en-US" w:eastAsia="zh-CN"/>
        </w:rPr>
        <w:t>赵世博、罗昕璇</w:t>
      </w:r>
    </w:p>
    <w:p w14:paraId="1F2CCE45">
      <w:pPr>
        <w:spacing w:line="360" w:lineRule="auto"/>
        <w:ind w:firstLine="420" w:firstLineChars="200"/>
        <w:outlineLvl w:val="0"/>
        <w:rPr>
          <w:rFonts w:hint="eastAsia"/>
          <w:lang w:val="en-US" w:eastAsia="zh-CN"/>
        </w:rPr>
      </w:pPr>
      <w:r>
        <w:rPr>
          <w:rFonts w:hint="eastAsia" w:ascii="华文仿宋" w:hAnsi="华文仿宋" w:eastAsia="华文仿宋" w:cs="Times New Roman"/>
          <w:bCs/>
          <w:sz w:val="21"/>
          <w:szCs w:val="22"/>
        </w:rPr>
        <w:t>【摘  要】</w:t>
      </w:r>
      <w:r>
        <w:rPr>
          <w:rFonts w:hint="eastAsia" w:ascii="华文仿宋" w:hAnsi="华文仿宋" w:eastAsia="华文仿宋" w:cs="Times New Roman"/>
          <w:bCs/>
          <w:sz w:val="21"/>
          <w:szCs w:val="22"/>
        </w:rPr>
        <w:t>独立董事制度在我国上市公司治理中长期面临“独而不立、形存实缺”的制度困境，即身份依赖、大股东控制、激励失衡与责任失衡并存。随着大数据、区块链与生成式人工智能的快速演进，算法治理正为公司法提供新的技术可能。</w:t>
      </w:r>
      <w:r>
        <w:rPr>
          <w:rFonts w:hint="eastAsia" w:ascii="华文仿宋" w:hAnsi="华文仿宋" w:eastAsia="华文仿宋" w:cs="Times New Roman"/>
          <w:bCs/>
          <w:sz w:val="21"/>
          <w:szCs w:val="22"/>
          <w:lang w:val="en-US" w:eastAsia="zh-CN"/>
        </w:rPr>
        <w:t>研究</w:t>
      </w:r>
      <w:r>
        <w:rPr>
          <w:rFonts w:hint="eastAsia" w:ascii="华文仿宋" w:hAnsi="华文仿宋" w:eastAsia="华文仿宋" w:cs="Times New Roman"/>
          <w:bCs/>
          <w:sz w:val="21"/>
          <w:szCs w:val="22"/>
        </w:rPr>
        <w:t>以AI董事为研究对象，通过VITAL、ChatGPT-CEO等实践案例论证了人工智能已具备参与核心决策的技术可行性；继而从董事任职资格、忠实与勤勉义务、独立性要求等维度检视现行《公司法》，指出我国法律并未排斥非自然人董事，AI董事可在法人化路径下获得主体资格并承担信托责任。</w:t>
      </w:r>
      <w:r>
        <w:rPr>
          <w:rFonts w:hint="eastAsia" w:ascii="华文仿宋" w:hAnsi="华文仿宋" w:eastAsia="华文仿宋" w:cs="Times New Roman"/>
          <w:bCs/>
          <w:sz w:val="21"/>
          <w:szCs w:val="22"/>
          <w:lang w:val="en-US" w:eastAsia="zh-CN"/>
        </w:rPr>
        <w:t>研究</w:t>
      </w:r>
      <w:r>
        <w:rPr>
          <w:rFonts w:hint="eastAsia" w:ascii="华文仿宋" w:hAnsi="华文仿宋" w:eastAsia="华文仿宋" w:cs="Times New Roman"/>
          <w:bCs/>
          <w:sz w:val="21"/>
          <w:szCs w:val="22"/>
        </w:rPr>
        <w:t>进一步比较AI董事与传统独立董事在身份独立、薪酬独立和履职独立上的差异，</w:t>
      </w:r>
      <w:r>
        <w:rPr>
          <w:rFonts w:hint="eastAsia" w:ascii="华文仿宋" w:hAnsi="华文仿宋" w:eastAsia="华文仿宋" w:cs="Times New Roman"/>
          <w:bCs/>
          <w:sz w:val="21"/>
          <w:szCs w:val="22"/>
          <w:lang w:val="en-US" w:eastAsia="zh-CN"/>
        </w:rPr>
        <w:t>主张</w:t>
      </w:r>
      <w:r>
        <w:rPr>
          <w:rFonts w:hint="eastAsia" w:ascii="华文仿宋" w:hAnsi="华文仿宋" w:eastAsia="华文仿宋" w:cs="Times New Roman"/>
          <w:bCs/>
          <w:sz w:val="21"/>
          <w:szCs w:val="22"/>
        </w:rPr>
        <w:t>算法化监督可显著降低代理成本、提高实时监控与风险预警能力，对独立董事角色形成实质性冲击。</w:t>
      </w:r>
      <w:r>
        <w:rPr>
          <w:rFonts w:hint="eastAsia" w:ascii="华文仿宋" w:hAnsi="华文仿宋" w:eastAsia="华文仿宋" w:cs="Times New Roman"/>
          <w:bCs/>
          <w:sz w:val="21"/>
          <w:szCs w:val="22"/>
        </w:rPr>
        <w:t>但应当以技术架构他律＋登记公示制度＋分类归责机制三位一体的监管方案</w:t>
      </w:r>
      <w:r>
        <w:rPr>
          <w:rFonts w:hint="eastAsia" w:ascii="华文仿宋" w:hAnsi="华文仿宋" w:eastAsia="华文仿宋" w:cs="Times New Roman"/>
          <w:bCs/>
          <w:sz w:val="21"/>
          <w:szCs w:val="22"/>
          <w:lang w:eastAsia="zh-CN"/>
        </w:rPr>
        <w:t>，</w:t>
      </w:r>
      <w:r>
        <w:rPr>
          <w:rFonts w:hint="eastAsia" w:ascii="华文仿宋" w:hAnsi="华文仿宋" w:eastAsia="华文仿宋" w:cs="Times New Roman"/>
          <w:bCs/>
          <w:sz w:val="21"/>
          <w:szCs w:val="22"/>
        </w:rPr>
        <w:t>建立监管设定底线、市场多元供给的算法候选池以确保身份与运行独立；增设算法治理登记簿提升信息公信力；通过区分算法缺陷、运行失灵与正常商业判断失误的责任边界，辅以开发者担保、强制职业责任保险与系统风险准备金落实赔偿责任，实现数字时代公司治理的功能再塑。</w:t>
      </w:r>
    </w:p>
    <w:p w14:paraId="127001F5">
      <w:pPr>
        <w:spacing w:line="360" w:lineRule="auto"/>
        <w:ind w:firstLine="420" w:firstLineChars="200"/>
        <w:outlineLvl w:val="0"/>
        <w:rPr>
          <w:rFonts w:hint="eastAsia" w:ascii="华文仿宋" w:hAnsi="华文仿宋" w:eastAsia="华文仿宋" w:cs="Times New Roman"/>
          <w:bCs/>
          <w:sz w:val="21"/>
          <w:szCs w:val="22"/>
          <w:lang w:val="en-US" w:eastAsia="zh-CN"/>
        </w:rPr>
      </w:pPr>
      <w:r>
        <w:rPr>
          <w:rFonts w:hint="eastAsia" w:ascii="华文仿宋" w:hAnsi="华文仿宋" w:eastAsia="华文仿宋" w:cs="Times New Roman"/>
          <w:b w:val="0"/>
          <w:bCs/>
          <w:sz w:val="21"/>
          <w:szCs w:val="22"/>
          <w:lang w:val="en-US" w:eastAsia="zh-CN"/>
        </w:rPr>
        <w:t>【关键词】</w:t>
      </w:r>
      <w:r>
        <w:rPr>
          <w:rFonts w:hint="eastAsia" w:ascii="华文仿宋" w:hAnsi="华文仿宋" w:eastAsia="华文仿宋"/>
          <w:bCs/>
          <w:sz w:val="21"/>
          <w:szCs w:val="22"/>
          <w:lang w:val="en-US" w:eastAsia="zh-CN"/>
        </w:rPr>
        <w:t>独立董事；AI董事；</w:t>
      </w:r>
      <w:r>
        <w:rPr>
          <w:rFonts w:hint="eastAsia" w:ascii="华文仿宋" w:hAnsi="华文仿宋" w:eastAsia="华文仿宋"/>
          <w:bCs/>
          <w:sz w:val="21"/>
          <w:szCs w:val="22"/>
          <w:lang w:val="en-US" w:eastAsia="zh-CN"/>
        </w:rPr>
        <w:fldChar w:fldCharType="begin"/>
      </w:r>
      <w:r>
        <w:rPr>
          <w:rFonts w:hint="eastAsia" w:ascii="华文仿宋" w:hAnsi="华文仿宋" w:eastAsia="华文仿宋"/>
          <w:bCs/>
          <w:sz w:val="21"/>
          <w:szCs w:val="22"/>
          <w:lang w:val="en-US" w:eastAsia="zh-CN"/>
        </w:rPr>
        <w:instrText xml:space="preserve"> HYPERLINK "http://kns-cnki-net-s.vpn.dufe.edu.cn:8118/kcms2/keyword/detail?v=4QAaWarC2DS6SQmp-YgpKqGAhmWlpJDWwoF-EY1cCYeejQ8XJOZQF97ydPOuxxZokoB0KKCNS140FV4Jb77A99KCDhsmzmS2V7B63-S_4Nr--_C-CMgu1A==&amp;uniplatform=NZKPT&amp;language=CHS" \t "http://kns-cnki-net-s.vpn.dufe.edu.cn:8118/kcms2/article/_blank" </w:instrText>
      </w:r>
      <w:r>
        <w:rPr>
          <w:rFonts w:hint="eastAsia" w:ascii="华文仿宋" w:hAnsi="华文仿宋" w:eastAsia="华文仿宋"/>
          <w:bCs/>
          <w:sz w:val="21"/>
          <w:szCs w:val="22"/>
          <w:lang w:val="en-US" w:eastAsia="zh-CN"/>
        </w:rPr>
        <w:fldChar w:fldCharType="separate"/>
      </w:r>
      <w:r>
        <w:rPr>
          <w:rFonts w:hint="eastAsia" w:ascii="华文仿宋" w:hAnsi="华文仿宋" w:eastAsia="华文仿宋"/>
          <w:bCs/>
          <w:sz w:val="21"/>
          <w:szCs w:val="22"/>
          <w:lang w:val="en-US" w:eastAsia="zh-CN"/>
        </w:rPr>
        <w:t>人工智能；</w:t>
      </w:r>
      <w:r>
        <w:rPr>
          <w:rFonts w:hint="eastAsia" w:ascii="华文仿宋" w:hAnsi="华文仿宋" w:eastAsia="华文仿宋"/>
          <w:bCs/>
          <w:sz w:val="21"/>
          <w:szCs w:val="22"/>
          <w:lang w:val="en-US" w:eastAsia="zh-CN"/>
        </w:rPr>
        <w:fldChar w:fldCharType="end"/>
      </w:r>
      <w:r>
        <w:rPr>
          <w:rFonts w:hint="eastAsia" w:ascii="华文仿宋" w:hAnsi="华文仿宋" w:eastAsia="华文仿宋"/>
          <w:bCs/>
          <w:sz w:val="21"/>
          <w:szCs w:val="22"/>
          <w:lang w:val="en-US" w:eastAsia="zh-CN"/>
        </w:rPr>
        <w:t>公司法；公司治理</w:t>
      </w:r>
    </w:p>
    <w:p w14:paraId="58F5FDC1">
      <w:pPr>
        <w:spacing w:line="360" w:lineRule="auto"/>
        <w:ind w:firstLine="420" w:firstLineChars="200"/>
        <w:outlineLvl w:val="0"/>
        <w:rPr>
          <w:rFonts w:hint="eastAsia"/>
        </w:rPr>
      </w:pPr>
      <w:r>
        <w:rPr>
          <w:rFonts w:hint="eastAsia" w:ascii="华文仿宋" w:hAnsi="华文仿宋" w:eastAsia="华文仿宋" w:cs="Times New Roman"/>
          <w:b w:val="0"/>
          <w:bCs/>
          <w:sz w:val="21"/>
          <w:szCs w:val="22"/>
          <w:lang w:val="en-US" w:eastAsia="zh-CN"/>
        </w:rPr>
        <w:t>【作者信息】赵世博，东北财经大学法学院2023级硕士研究生；罗昕璇东北财经大学法学院2023级硕士研究生</w:t>
      </w:r>
    </w:p>
    <w:p w14:paraId="0D7B086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黑体" w:hAnsi="黑体" w:eastAsia="黑体" w:cstheme="minorBidi"/>
          <w:sz w:val="28"/>
          <w:szCs w:val="28"/>
          <w:lang w:val="en-US" w:eastAsia="zh-CN"/>
        </w:rPr>
      </w:pPr>
      <w:r>
        <w:rPr>
          <w:rFonts w:hint="eastAsia" w:ascii="黑体" w:hAnsi="黑体" w:eastAsia="黑体" w:cstheme="minorBidi"/>
          <w:sz w:val="28"/>
          <w:szCs w:val="28"/>
          <w:lang w:val="en-US" w:eastAsia="zh-CN"/>
        </w:rPr>
        <w:t>引言</w:t>
      </w:r>
    </w:p>
    <w:p w14:paraId="040D66B9">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rPr>
      </w:pPr>
      <w:r>
        <w:rPr>
          <w:rFonts w:hint="eastAsia" w:ascii="宋体" w:hAnsi="宋体" w:eastAsia="宋体"/>
          <w:sz w:val="21"/>
          <w:szCs w:val="21"/>
          <w:lang w:val="en-US" w:eastAsia="zh-CN"/>
        </w:rPr>
        <w:t>独立董事制度长期以来作为上市公司治理结构的重要一环。2023年4月份，国务院办公厅印发《关于上市公司独立董事制度改革的意见》，旨在促使独董从“形式独立”到“实质独立”转变，推动形成更加科学的独董制度体系，提升独董独立履职能力。此后，2023年8月4日，证监会配套发布《上市公司独立董事管理办法》，进一步完善独董相关配套规则，细化独董制度各环节具体要求。紧随其后的，中国上市公司协会发布独董职业道德规范、履职指引，建立独董信息库，创设独董履职评价指标体系。2025年3月，为贯彻落实新公司法，证监会修订《上市公司章程指引》新增专节规定独立董事，要求公司在章程中明确独立董事的定位、独立性及任职条件、基本职责及特别职权等事项，完善独立董事专门会议制度。但长期以来，关于如何提升独立董事履职积极性与监督效能的话题备受热议。正如有学者指出，大部分中国上市公司仅是为了满足董事会席位中至少三分之一是独立董事的监管要求而聘请独立董事，公司实控人更是掌握有独立董事的任免权，其更倾向于便于合作的人选，反倒是积极履行监管职责的独董履遭孤立、排斥</w:t>
      </w:r>
      <w:r>
        <w:rPr>
          <w:rStyle w:val="19"/>
          <w:rFonts w:hint="eastAsia" w:ascii="宋体" w:hAnsi="宋体" w:eastAsia="宋体" w:cs="Times New Roman"/>
          <w:sz w:val="21"/>
          <w:szCs w:val="21"/>
          <w:lang w:val="en-US" w:eastAsia="zh-CN"/>
        </w:rPr>
        <w:footnoteReference w:id="0"/>
      </w:r>
      <w:r>
        <w:rPr>
          <w:rFonts w:hint="eastAsia" w:ascii="宋体" w:hAnsi="宋体" w:eastAsia="宋体"/>
          <w:sz w:val="21"/>
          <w:szCs w:val="21"/>
          <w:lang w:val="en-US" w:eastAsia="zh-CN"/>
        </w:rPr>
        <w:t>。</w:t>
      </w:r>
      <w:r>
        <w:rPr>
          <w:rFonts w:hint="eastAsia" w:ascii="宋体" w:hAnsi="宋体" w:eastAsia="宋体"/>
          <w:sz w:val="21"/>
          <w:szCs w:val="21"/>
          <w:vertAlign w:val="baseline"/>
          <w:lang w:val="en-US"/>
        </w:rPr>
        <w:fldChar w:fldCharType="begin"/>
      </w:r>
      <w:r>
        <w:rPr>
          <w:rFonts w:hint="eastAsia" w:ascii="宋体" w:hAnsi="宋体" w:eastAsia="宋体"/>
          <w:sz w:val="21"/>
          <w:szCs w:val="21"/>
        </w:rPr>
        <w:instrText xml:space="preserve"> REF _Ref11467 \r \h  \* MERGEFORMAT</w:instrText>
      </w:r>
      <w:r>
        <w:rPr>
          <w:rFonts w:hint="eastAsia" w:ascii="宋体" w:hAnsi="宋体" w:eastAsia="宋体"/>
          <w:sz w:val="21"/>
          <w:szCs w:val="21"/>
          <w:vertAlign w:val="baseline"/>
          <w:lang w:val="en-US"/>
        </w:rPr>
        <w:fldChar w:fldCharType="separate"/>
      </w:r>
      <w:r>
        <w:rPr>
          <w:rFonts w:hint="eastAsia" w:ascii="宋体" w:hAnsi="宋体" w:eastAsia="宋体"/>
          <w:sz w:val="21"/>
          <w:szCs w:val="21"/>
          <w:vertAlign w:val="baseline"/>
          <w:lang w:val="en-US"/>
        </w:rPr>
        <w:fldChar w:fldCharType="end"/>
      </w:r>
    </w:p>
    <w:p w14:paraId="2BAF0912">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因此，关于独立董事角色与职能的发挥存在两方论争：一方意见主张，独立董事通过对管理层行为发表意见，制约管理层盈余管理行为，能够降低公司代理成本</w:t>
      </w:r>
      <w:r>
        <w:rPr>
          <w:rFonts w:hint="eastAsia" w:ascii="宋体" w:hAnsi="宋体" w:eastAsia="宋体"/>
          <w:sz w:val="21"/>
          <w:szCs w:val="21"/>
          <w:lang w:val="en-US"/>
        </w:rPr>
        <w:fldChar w:fldCharType="begin"/>
      </w:r>
      <w:r>
        <w:rPr>
          <w:rFonts w:hint="eastAsia" w:ascii="宋体" w:hAnsi="宋体" w:eastAsia="宋体"/>
          <w:sz w:val="21"/>
          <w:szCs w:val="21"/>
        </w:rPr>
        <w:instrText xml:space="preserve"> REF _Ref11490 \r \h  \* MERGEFORMAT</w:instrText>
      </w:r>
      <w:r>
        <w:rPr>
          <w:rFonts w:hint="eastAsia" w:ascii="宋体" w:hAnsi="宋体" w:eastAsia="宋体"/>
          <w:sz w:val="21"/>
          <w:szCs w:val="21"/>
          <w:lang w:val="en-US"/>
        </w:rPr>
        <w:fldChar w:fldCharType="separate"/>
      </w:r>
      <w:r>
        <w:rPr>
          <w:rStyle w:val="19"/>
          <w:rFonts w:hint="eastAsia" w:ascii="宋体" w:hAnsi="宋体" w:eastAsia="宋体" w:cs="Times New Roman"/>
          <w:sz w:val="21"/>
          <w:szCs w:val="21"/>
          <w:lang w:val="en-US"/>
        </w:rPr>
        <w:footnoteReference w:id="1"/>
      </w:r>
      <w:r>
        <w:rPr>
          <w:rFonts w:hint="eastAsia" w:ascii="宋体" w:hAnsi="宋体" w:eastAsia="宋体"/>
          <w:sz w:val="21"/>
          <w:szCs w:val="21"/>
          <w:lang w:val="en-US"/>
        </w:rPr>
        <w:fldChar w:fldCharType="end"/>
      </w:r>
      <w:r>
        <w:rPr>
          <w:rFonts w:hint="eastAsia" w:ascii="宋体" w:hAnsi="宋体" w:eastAsia="宋体"/>
          <w:sz w:val="21"/>
          <w:szCs w:val="21"/>
          <w:lang w:eastAsia="zh-CN"/>
        </w:rPr>
        <w:t>；</w:t>
      </w:r>
      <w:r>
        <w:rPr>
          <w:rFonts w:hint="eastAsia" w:ascii="宋体" w:hAnsi="宋体" w:eastAsia="宋体"/>
          <w:sz w:val="21"/>
          <w:szCs w:val="21"/>
          <w:lang w:val="en-US" w:eastAsia="zh-CN"/>
        </w:rPr>
        <w:t>另一方意见认为，独立董事不能提高公司的会计信息质量或降低公司违规行为，更在公司治理的过程中难以发掘独立董事制度有效性的经验证据。</w:t>
      </w:r>
      <w:r>
        <w:rPr>
          <w:rFonts w:hint="eastAsia" w:ascii="宋体" w:hAnsi="宋体" w:eastAsia="宋体" w:cs="Times New Roman"/>
          <w:sz w:val="21"/>
          <w:szCs w:val="21"/>
          <w:vertAlign w:val="baseline"/>
          <w:lang w:val="en-US" w:eastAsia="zh-CN"/>
        </w:rPr>
        <w:fldChar w:fldCharType="begin"/>
      </w:r>
      <w:r>
        <w:rPr>
          <w:rFonts w:hint="eastAsia" w:ascii="宋体" w:hAnsi="宋体" w:eastAsia="宋体"/>
          <w:sz w:val="21"/>
          <w:szCs w:val="21"/>
        </w:rPr>
        <w:instrText xml:space="preserve"> REF _Ref11509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2"/>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对此，各家学说众说纷纭。有学者从考察首席独立董事与公司违规行为之间的关系出发，主张首席独立董事降低公司收益波动性和违约风险，提升企业价值。</w:t>
      </w:r>
      <w:r>
        <w:rPr>
          <w:rStyle w:val="19"/>
          <w:rFonts w:hint="eastAsia" w:ascii="宋体" w:hAnsi="宋体" w:eastAsia="宋体" w:cs="Times New Roman"/>
          <w:sz w:val="21"/>
          <w:szCs w:val="21"/>
          <w:lang w:val="en-US" w:eastAsia="zh-CN"/>
        </w:rPr>
        <w:footnoteReference w:id="3"/>
      </w:r>
      <w:r>
        <w:rPr>
          <w:rFonts w:hint="eastAsia" w:ascii="宋体" w:hAnsi="宋体" w:eastAsia="宋体" w:cs="Times New Roman"/>
          <w:sz w:val="21"/>
          <w:szCs w:val="21"/>
          <w:vertAlign w:val="baseline"/>
          <w:lang w:val="en-US" w:eastAsia="zh-CN"/>
        </w:rPr>
        <w:fldChar w:fldCharType="begin"/>
      </w:r>
      <w:r>
        <w:rPr>
          <w:rFonts w:hint="eastAsia" w:ascii="宋体" w:hAnsi="宋体" w:eastAsia="宋体"/>
          <w:sz w:val="21"/>
          <w:szCs w:val="21"/>
        </w:rPr>
        <w:instrText xml:space="preserve"> REF _Ref11536 \r \h  \* MERGEFORMAT</w:instrText>
      </w:r>
      <w:r>
        <w:rPr>
          <w:rFonts w:hint="eastAsia" w:ascii="宋体" w:hAnsi="宋体" w:eastAsia="宋体" w:cs="Times New Roman"/>
          <w:sz w:val="21"/>
          <w:szCs w:val="21"/>
          <w:vertAlign w:val="baseline"/>
          <w:lang w:val="en-US" w:eastAsia="zh-CN"/>
        </w:rPr>
        <w:fldChar w:fldCharType="separate"/>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亦有学者主张，独立董事从社会网络中获取的资源可以帮助企业缓解信息不对称，缓解企业融资约束，更好地监督公司经营。</w:t>
      </w:r>
      <w:r>
        <w:rPr>
          <w:rFonts w:hint="eastAsia" w:ascii="宋体" w:hAnsi="宋体" w:eastAsia="宋体" w:cs="Times New Roman"/>
          <w:sz w:val="21"/>
          <w:szCs w:val="21"/>
          <w:vertAlign w:val="baseline"/>
          <w:lang w:val="en-US" w:eastAsia="zh-CN"/>
        </w:rPr>
        <w:fldChar w:fldCharType="begin"/>
      </w:r>
      <w:r>
        <w:rPr>
          <w:rFonts w:hint="eastAsia" w:ascii="宋体" w:hAnsi="宋体" w:eastAsia="宋体"/>
          <w:sz w:val="21"/>
          <w:szCs w:val="21"/>
        </w:rPr>
        <w:instrText xml:space="preserve"> REF _Ref11549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4"/>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亦有意见认为，独立董事能够识别公司的财务舞弊风险并发挥监督作用，进而降低公司未来发生财务舞弊的概率。</w:t>
      </w:r>
      <w:r>
        <w:rPr>
          <w:rFonts w:hint="eastAsia" w:ascii="宋体" w:hAnsi="宋体" w:eastAsia="宋体"/>
          <w:sz w:val="21"/>
          <w:szCs w:val="21"/>
          <w:vertAlign w:val="baseline"/>
          <w:lang w:val="en-US" w:eastAsia="zh-CN"/>
        </w:rPr>
        <w:fldChar w:fldCharType="begin"/>
      </w:r>
      <w:r>
        <w:rPr>
          <w:rFonts w:hint="eastAsia" w:ascii="宋体" w:hAnsi="宋体" w:eastAsia="宋体"/>
          <w:sz w:val="21"/>
          <w:szCs w:val="21"/>
        </w:rPr>
        <w:instrText xml:space="preserve"> REF _Ref11624 \r \h  \* MERGEFORMAT</w:instrText>
      </w:r>
      <w:r>
        <w:rPr>
          <w:rFonts w:hint="eastAsia" w:ascii="宋体" w:hAnsi="宋体" w:eastAsia="宋体"/>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5"/>
      </w:r>
      <w:r>
        <w:rPr>
          <w:rFonts w:hint="eastAsia" w:ascii="宋体" w:hAnsi="宋体" w:eastAsia="宋体"/>
          <w:sz w:val="21"/>
          <w:szCs w:val="21"/>
          <w:vertAlign w:val="baseline"/>
          <w:lang w:val="en-US" w:eastAsia="zh-CN"/>
        </w:rPr>
        <w:fldChar w:fldCharType="end"/>
      </w:r>
      <w:r>
        <w:rPr>
          <w:rFonts w:hint="eastAsia" w:ascii="宋体" w:hAnsi="宋体" w:eastAsia="宋体"/>
          <w:sz w:val="21"/>
          <w:szCs w:val="21"/>
          <w:lang w:val="en-US" w:eastAsia="zh-CN"/>
        </w:rPr>
        <w:t>以上种种，皆意图在理论亦或实证层面验证独立董事制度的有效性，并进而提出针对性的改进建议。但也有学者直指我国的独立董事在制度安排上本就有不当之处——即要求独立董事全面履行决策、监督和咨询职权——将独立董事的角色职能与普通董事混为一谈</w:t>
      </w:r>
      <w:r>
        <w:rPr>
          <w:rStyle w:val="19"/>
          <w:rFonts w:hint="eastAsia" w:ascii="宋体" w:hAnsi="宋体" w:eastAsia="宋体" w:cs="Times New Roman"/>
          <w:sz w:val="21"/>
          <w:szCs w:val="21"/>
        </w:rPr>
        <w:footnoteReference w:id="6"/>
      </w:r>
      <w:r>
        <w:rPr>
          <w:rFonts w:hint="eastAsia" w:ascii="宋体" w:hAnsi="宋体" w:eastAsia="宋体"/>
          <w:sz w:val="21"/>
          <w:szCs w:val="21"/>
          <w:lang w:val="en-US" w:eastAsia="zh-CN"/>
        </w:rPr>
        <w:t>。</w:t>
      </w:r>
      <w:r>
        <w:rPr>
          <w:rFonts w:hint="eastAsia" w:ascii="宋体" w:hAnsi="宋体" w:eastAsia="宋体" w:cs="Times New Roman"/>
          <w:sz w:val="21"/>
          <w:szCs w:val="21"/>
          <w:vertAlign w:val="baseline"/>
          <w:lang w:val="en-US" w:eastAsia="zh-CN"/>
        </w:rPr>
        <w:fldChar w:fldCharType="begin"/>
      </w:r>
      <w:r>
        <w:rPr>
          <w:rFonts w:hint="eastAsia" w:ascii="宋体" w:hAnsi="宋体" w:eastAsia="宋体"/>
          <w:sz w:val="21"/>
          <w:szCs w:val="21"/>
        </w:rPr>
        <w:instrText xml:space="preserve"> REF _Ref11575 \r \h  \* MERGEFORMAT</w:instrText>
      </w:r>
      <w:r>
        <w:rPr>
          <w:rFonts w:hint="eastAsia" w:ascii="宋体" w:hAnsi="宋体" w:eastAsia="宋体" w:cs="Times New Roman"/>
          <w:sz w:val="21"/>
          <w:szCs w:val="21"/>
          <w:vertAlign w:val="baseline"/>
          <w:lang w:val="en-US" w:eastAsia="zh-CN"/>
        </w:rPr>
        <w:fldChar w:fldCharType="separate"/>
      </w:r>
      <w:r>
        <w:rPr>
          <w:rFonts w:hint="eastAsia" w:ascii="宋体" w:hAnsi="宋体" w:eastAsia="宋体" w:cs="Times New Roman"/>
          <w:sz w:val="21"/>
          <w:szCs w:val="21"/>
          <w:vertAlign w:val="baseline"/>
          <w:lang w:val="en-US" w:eastAsia="zh-CN"/>
        </w:rPr>
        <w:fldChar w:fldCharType="end"/>
      </w:r>
    </w:p>
    <w:p w14:paraId="37A34334">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但究其本质，现有研究建议既无法彻底脱离现行独立董事制度设计的窠臼，亦是在规则设计之下对独董履职的有效性进行零敲碎打。对此，《公司法》及公司治理的目光又何故拘泥于“方寸之地”？力图在制度设计与独立董事履职现实之间的落差谋求所谓的“完美、适配”解决方案。更为不言自明的是，法律规范及公司章程的设计本就有天然的滞后性与局限性，其与独立董事履职所处的现实商业决策与监督环境的落差是客观上不可弥合的，若仅依靠制度“救火”终究是缓不济急。对此，应当以移动互联网和大数据技术为代表的数字技术孕育公司经营发展新业态和新模式的基础上，也重构公司治理的主要矛盾和着力方向的同时，适当重塑公司治理的新路径和新机制。</w:t>
      </w:r>
      <w:r>
        <w:rPr>
          <w:rFonts w:hint="eastAsia" w:ascii="宋体" w:hAnsi="宋体" w:eastAsia="宋体" w:cs="Times New Roman"/>
          <w:sz w:val="21"/>
          <w:szCs w:val="21"/>
          <w:vertAlign w:val="baseline"/>
          <w:lang w:val="en-US" w:eastAsia="zh-CN"/>
        </w:rPr>
        <w:fldChar w:fldCharType="begin"/>
      </w:r>
      <w:r>
        <w:rPr>
          <w:rFonts w:hint="eastAsia" w:ascii="宋体" w:hAnsi="宋体" w:eastAsia="宋体"/>
          <w:sz w:val="21"/>
          <w:szCs w:val="21"/>
        </w:rPr>
        <w:instrText xml:space="preserve"> REF _Ref11660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7"/>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也即在微观层面，接纳“AI董事”入场。以AI董事的“智”商之能，融合独立董事这一角色职能所要求的法商、智商、情商、德商的基本素养（任职要求），从根本上革新独立董事履职之理念与方式。</w:t>
      </w:r>
    </w:p>
    <w:p w14:paraId="2C5E27A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AI董事履职的技术可行性论证</w:t>
      </w:r>
    </w:p>
    <w:p w14:paraId="31432632">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sz w:val="21"/>
          <w:szCs w:val="21"/>
          <w:lang w:val="en-US" w:eastAsia="zh-CN"/>
        </w:rPr>
        <w:t>于2014年5月，</w:t>
      </w:r>
      <w:r>
        <w:rPr>
          <w:rFonts w:hint="eastAsia" w:ascii="宋体" w:hAnsi="宋体" w:eastAsia="宋体" w:cs="Times New Roman"/>
          <w:sz w:val="21"/>
          <w:szCs w:val="21"/>
          <w:lang w:val="en-US" w:eastAsia="zh-CN"/>
        </w:rPr>
        <w:t>Aging Analytics</w:t>
      </w:r>
      <w:r>
        <w:rPr>
          <w:rStyle w:val="19"/>
          <w:rFonts w:hint="eastAsia" w:ascii="宋体" w:hAnsi="宋体" w:eastAsia="宋体" w:cs="Times New Roman"/>
          <w:sz w:val="21"/>
          <w:szCs w:val="21"/>
          <w:lang w:val="en-US" w:eastAsia="zh-CN"/>
        </w:rPr>
        <w:footnoteReference w:id="8"/>
      </w:r>
      <w:r>
        <w:rPr>
          <w:rFonts w:hint="eastAsia" w:ascii="宋体" w:hAnsi="宋体" w:eastAsia="宋体"/>
          <w:sz w:val="21"/>
          <w:szCs w:val="21"/>
          <w:lang w:val="en-US" w:eastAsia="zh-CN"/>
        </w:rPr>
        <w:t>宣布启用</w:t>
      </w:r>
      <w:r>
        <w:rPr>
          <w:rFonts w:hint="eastAsia" w:ascii="宋体" w:hAnsi="宋体" w:eastAsia="宋体" w:cs="Times New Roman"/>
          <w:sz w:val="21"/>
          <w:szCs w:val="21"/>
          <w:lang w:val="en-US" w:eastAsia="zh-CN"/>
        </w:rPr>
        <w:t>VITAL (Validating Investment Tool for Advancing Life Sciences)</w:t>
      </w:r>
      <w:r>
        <w:rPr>
          <w:rFonts w:hint="eastAsia" w:ascii="宋体" w:hAnsi="宋体" w:eastAsia="宋体"/>
          <w:sz w:val="21"/>
          <w:szCs w:val="21"/>
          <w:lang w:val="en-US" w:eastAsia="zh-CN"/>
        </w:rPr>
        <w:t xml:space="preserve"> ，并授权香港的风投公司</w:t>
      </w:r>
      <w:r>
        <w:rPr>
          <w:rFonts w:hint="eastAsia" w:ascii="宋体" w:hAnsi="宋体" w:eastAsia="宋体" w:cs="Times New Roman"/>
          <w:sz w:val="21"/>
          <w:szCs w:val="21"/>
          <w:lang w:val="en-US" w:eastAsia="zh-CN"/>
        </w:rPr>
        <w:t>Deep Knowledge Ventures</w:t>
      </w:r>
      <w:r>
        <w:rPr>
          <w:rFonts w:hint="eastAsia" w:ascii="宋体" w:hAnsi="宋体" w:eastAsia="宋体"/>
          <w:sz w:val="21"/>
          <w:szCs w:val="21"/>
          <w:lang w:val="en-US" w:eastAsia="zh-CN"/>
        </w:rPr>
        <w:t>将该人工智能用作该公司的投资委员。即因当时香港公司法的规定，</w:t>
      </w:r>
      <w:r>
        <w:rPr>
          <w:rFonts w:hint="eastAsia" w:ascii="宋体" w:hAnsi="宋体" w:eastAsia="宋体" w:cs="Times New Roman"/>
          <w:sz w:val="21"/>
          <w:szCs w:val="21"/>
          <w:lang w:val="en-US" w:eastAsia="zh-CN"/>
        </w:rPr>
        <w:t>VITAL</w:t>
      </w:r>
      <w:r>
        <w:rPr>
          <w:rFonts w:hint="eastAsia" w:ascii="宋体" w:hAnsi="宋体" w:eastAsia="宋体"/>
          <w:sz w:val="21"/>
          <w:szCs w:val="21"/>
          <w:lang w:val="en-US" w:eastAsia="zh-CN"/>
        </w:rPr>
        <w:t>无法获得“董事”地位的认可。因此,，</w:t>
      </w:r>
      <w:r>
        <w:rPr>
          <w:rFonts w:hint="eastAsia" w:ascii="宋体" w:hAnsi="宋体" w:eastAsia="宋体" w:cs="Times New Roman"/>
          <w:sz w:val="21"/>
          <w:szCs w:val="21"/>
          <w:lang w:val="en-US" w:eastAsia="zh-CN"/>
        </w:rPr>
        <w:t>Aging Analytics</w:t>
      </w:r>
      <w:r>
        <w:rPr>
          <w:rFonts w:hint="eastAsia" w:ascii="宋体" w:hAnsi="宋体" w:eastAsia="宋体"/>
          <w:sz w:val="21"/>
          <w:szCs w:val="21"/>
          <w:lang w:val="en-US" w:eastAsia="zh-CN"/>
        </w:rPr>
        <w:t>公司的其他委员认为,将之视为投资委员会的“观察员 (</w:t>
      </w:r>
      <w:r>
        <w:rPr>
          <w:rFonts w:hint="eastAsia" w:ascii="宋体" w:hAnsi="宋体" w:eastAsia="宋体" w:cs="Times New Roman"/>
          <w:sz w:val="21"/>
          <w:szCs w:val="21"/>
          <w:lang w:val="en-US" w:eastAsia="zh-CN"/>
        </w:rPr>
        <w:t>observer</w:t>
      </w:r>
      <w:r>
        <w:rPr>
          <w:rFonts w:hint="eastAsia" w:ascii="宋体" w:hAnsi="宋体" w:eastAsia="宋体"/>
          <w:sz w:val="21"/>
          <w:szCs w:val="21"/>
          <w:lang w:val="en-US" w:eastAsia="zh-CN"/>
        </w:rPr>
        <w:t>) ”更为适当。在此之后，芬兰上市公司</w:t>
      </w:r>
      <w:r>
        <w:rPr>
          <w:rFonts w:hint="eastAsia" w:ascii="宋体" w:hAnsi="宋体" w:eastAsia="宋体" w:cs="Times New Roman"/>
          <w:sz w:val="21"/>
          <w:szCs w:val="21"/>
          <w:lang w:val="en-US" w:eastAsia="zh-CN"/>
        </w:rPr>
        <w:t>Tieto</w:t>
      </w:r>
      <w:r>
        <w:rPr>
          <w:rFonts w:hint="eastAsia" w:ascii="宋体" w:hAnsi="宋体" w:eastAsia="宋体"/>
          <w:sz w:val="21"/>
          <w:szCs w:val="21"/>
          <w:lang w:val="en-US" w:eastAsia="zh-CN"/>
        </w:rPr>
        <w:t>任命名为“</w:t>
      </w:r>
      <w:r>
        <w:rPr>
          <w:rFonts w:hint="eastAsia" w:ascii="宋体" w:hAnsi="宋体" w:eastAsia="宋体" w:cs="Times New Roman"/>
          <w:sz w:val="21"/>
          <w:szCs w:val="21"/>
          <w:lang w:val="en-US" w:eastAsia="zh-CN"/>
        </w:rPr>
        <w:t>Alicia T</w:t>
      </w:r>
      <w:r>
        <w:rPr>
          <w:rFonts w:hint="eastAsia" w:ascii="宋体" w:hAnsi="宋体" w:eastAsia="宋体"/>
          <w:sz w:val="21"/>
          <w:szCs w:val="21"/>
          <w:lang w:val="en-US" w:eastAsia="zh-CN"/>
        </w:rPr>
        <w:t>．”的AI加入新数据驱动型业务管理团队，拥有投票权，旨在打造由优秀人才和AI组成的团队。</w:t>
      </w:r>
      <w:r>
        <w:rPr>
          <w:rFonts w:hint="eastAsia" w:ascii="宋体" w:hAnsi="宋体" w:eastAsia="宋体" w:cs="Times New Roman"/>
          <w:sz w:val="21"/>
          <w:szCs w:val="21"/>
          <w:vertAlign w:val="baseline"/>
          <w:lang w:val="en-US" w:eastAsia="zh-CN"/>
        </w:rPr>
        <w:fldChar w:fldCharType="begin"/>
      </w:r>
      <w:r>
        <w:instrText xml:space="preserve"> REF _Ref11679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9"/>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彼时，若论</w:t>
      </w:r>
      <w:r>
        <w:rPr>
          <w:rFonts w:hint="eastAsia" w:ascii="宋体" w:hAnsi="宋体" w:eastAsia="宋体" w:cs="Times New Roman"/>
          <w:sz w:val="21"/>
          <w:szCs w:val="21"/>
          <w:lang w:val="en-US" w:eastAsia="zh-CN"/>
        </w:rPr>
        <w:t>VITAL</w:t>
      </w:r>
      <w:r>
        <w:rPr>
          <w:rFonts w:hint="eastAsia" w:ascii="宋体" w:hAnsi="宋体" w:eastAsia="宋体"/>
          <w:sz w:val="21"/>
          <w:szCs w:val="21"/>
          <w:lang w:val="en-US" w:eastAsia="zh-CN"/>
        </w:rPr>
        <w:t>是否具备董事资格尚有争议，但后续如印</w:t>
      </w:r>
      <w:r>
        <w:rPr>
          <w:rFonts w:hint="eastAsia" w:ascii="宋体" w:hAnsi="宋体" w:eastAsia="宋体" w:cs="Times New Roman"/>
          <w:sz w:val="21"/>
          <w:szCs w:val="21"/>
          <w:lang w:val="en-US" w:eastAsia="zh-CN"/>
        </w:rPr>
        <w:t>度CS India</w:t>
      </w:r>
      <w:r>
        <w:rPr>
          <w:rFonts w:hint="eastAsia" w:ascii="宋体" w:hAnsi="宋体" w:eastAsia="宋体"/>
          <w:sz w:val="21"/>
          <w:szCs w:val="21"/>
          <w:lang w:val="en-US" w:eastAsia="zh-CN"/>
        </w:rPr>
        <w:t>公司正式任命</w:t>
      </w:r>
      <w:r>
        <w:rPr>
          <w:rFonts w:hint="eastAsia" w:ascii="宋体" w:hAnsi="宋体" w:eastAsia="宋体" w:cs="Times New Roman"/>
          <w:sz w:val="21"/>
          <w:szCs w:val="21"/>
          <w:lang w:val="en-US" w:eastAsia="zh-CN"/>
        </w:rPr>
        <w:t>Chat GP</w:t>
      </w:r>
      <w:r>
        <w:rPr>
          <w:rFonts w:hint="eastAsia" w:ascii="宋体" w:hAnsi="宋体" w:eastAsia="宋体"/>
          <w:sz w:val="21"/>
          <w:szCs w:val="21"/>
          <w:lang w:val="en-US" w:eastAsia="zh-CN"/>
        </w:rPr>
        <w:t>T为CEO，负责日常运营与战略规划</w:t>
      </w:r>
      <w:r>
        <w:rPr>
          <w:rStyle w:val="19"/>
          <w:rFonts w:hint="eastAsia" w:ascii="宋体" w:hAnsi="宋体" w:eastAsia="宋体" w:cs="Times New Roman"/>
          <w:sz w:val="21"/>
          <w:szCs w:val="21"/>
          <w:lang w:val="en-US" w:eastAsia="zh-CN"/>
        </w:rPr>
        <w:footnoteReference w:id="10"/>
      </w:r>
      <w:r>
        <w:rPr>
          <w:rFonts w:hint="eastAsia" w:ascii="宋体" w:hAnsi="宋体" w:eastAsia="宋体"/>
          <w:sz w:val="21"/>
          <w:szCs w:val="21"/>
          <w:lang w:val="en-US" w:eastAsia="zh-CN"/>
        </w:rPr>
        <w:t>；葡萄牙创业者则与</w:t>
      </w:r>
      <w:r>
        <w:rPr>
          <w:rFonts w:hint="eastAsia" w:ascii="宋体" w:hAnsi="宋体" w:eastAsia="宋体" w:cs="Times New Roman"/>
          <w:sz w:val="21"/>
          <w:szCs w:val="21"/>
          <w:lang w:val="en-US" w:eastAsia="zh-CN"/>
        </w:rPr>
        <w:t>Chat GPT</w:t>
      </w:r>
      <w:r>
        <w:rPr>
          <w:rFonts w:hint="eastAsia" w:ascii="宋体" w:hAnsi="宋体" w:eastAsia="宋体"/>
          <w:sz w:val="21"/>
          <w:szCs w:val="21"/>
          <w:lang w:val="en-US" w:eastAsia="zh-CN"/>
        </w:rPr>
        <w:t>联合创立企业，通过指令交互实现商业目标</w:t>
      </w:r>
      <w:r>
        <w:rPr>
          <w:rStyle w:val="19"/>
          <w:rFonts w:hint="eastAsia" w:ascii="宋体" w:hAnsi="宋体" w:eastAsia="宋体" w:cs="Times New Roman"/>
          <w:sz w:val="21"/>
          <w:szCs w:val="21"/>
          <w:lang w:val="en-US" w:eastAsia="zh-CN"/>
        </w:rPr>
        <w:footnoteReference w:id="11"/>
      </w:r>
      <w:r>
        <w:rPr>
          <w:rFonts w:hint="eastAsia" w:ascii="宋体" w:hAnsi="宋体" w:eastAsia="宋体"/>
          <w:sz w:val="21"/>
          <w:szCs w:val="21"/>
          <w:lang w:val="en-US" w:eastAsia="zh-CN"/>
        </w:rPr>
        <w:t>；日本三井住友金融集团</w:t>
      </w:r>
      <w:r>
        <w:rPr>
          <w:rFonts w:hint="eastAsia" w:ascii="宋体" w:hAnsi="宋体" w:eastAsia="宋体" w:cs="Times New Roman"/>
          <w:sz w:val="21"/>
          <w:szCs w:val="21"/>
          <w:lang w:val="en-US" w:eastAsia="zh-CN"/>
        </w:rPr>
        <w:t xml:space="preserve"> AI-CEO </w:t>
      </w:r>
      <w:r>
        <w:rPr>
          <w:rFonts w:hint="eastAsia" w:ascii="宋体" w:hAnsi="宋体" w:eastAsia="宋体"/>
          <w:sz w:val="21"/>
          <w:szCs w:val="21"/>
          <w:lang w:val="en-US" w:eastAsia="zh-CN"/>
        </w:rPr>
        <w:t>项目展现了另一种 AI 治理应用模式。 该系统运用OpenAI的GPT-4o技术，结合系统提示与RAG检索增强生成技术，成功模仿集团行政总裁中岛达的思考方式与决策风格</w:t>
      </w:r>
      <w:r>
        <w:rPr>
          <w:rStyle w:val="19"/>
          <w:rFonts w:hint="eastAsia" w:ascii="宋体" w:hAnsi="宋体" w:eastAsia="宋体" w:cs="Times New Roman"/>
          <w:sz w:val="21"/>
          <w:szCs w:val="21"/>
          <w:lang w:val="en-US" w:eastAsia="zh-CN"/>
        </w:rPr>
        <w:footnoteReference w:id="12"/>
      </w:r>
      <w:r>
        <w:rPr>
          <w:rFonts w:hint="eastAsia" w:ascii="宋体" w:hAnsi="宋体" w:eastAsia="宋体"/>
          <w:sz w:val="21"/>
          <w:szCs w:val="21"/>
          <w:lang w:val="en-US" w:eastAsia="zh-CN"/>
        </w:rPr>
        <w:t>；我国网龙网络公司在2022年曾宣布任命数字人为公司轮值CE0，负责组织管理事务及战略执行等工作</w:t>
      </w:r>
      <w:r>
        <w:rPr>
          <w:rStyle w:val="19"/>
          <w:rFonts w:hint="eastAsia" w:ascii="宋体" w:hAnsi="宋体" w:eastAsia="宋体" w:cs="Times New Roman"/>
          <w:sz w:val="21"/>
          <w:szCs w:val="21"/>
          <w:lang w:val="en-US" w:eastAsia="zh-CN"/>
        </w:rPr>
        <w:footnoteReference w:id="13"/>
      </w:r>
      <w:r>
        <w:rPr>
          <w:rFonts w:hint="eastAsia" w:ascii="宋体" w:hAnsi="宋体" w:eastAsia="宋体"/>
          <w:sz w:val="21"/>
          <w:szCs w:val="21"/>
          <w:lang w:val="en-US" w:eastAsia="zh-CN"/>
        </w:rPr>
        <w:t>。以上种种无不证明，在公司治理与商事决策层面，AI的应用已突破传统工具属性，在技术革新驱动下逐步深入到公司（企业）决策的核心圈层。</w:t>
      </w:r>
    </w:p>
    <w:p w14:paraId="3AE506B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突破“经验依赖”的算法化商业决策优势</w:t>
      </w:r>
    </w:p>
    <w:p w14:paraId="0007A96A">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rPr>
      </w:pPr>
      <w:r>
        <w:rPr>
          <w:rFonts w:hint="eastAsia" w:ascii="宋体" w:hAnsi="宋体" w:eastAsia="宋体" w:cs="Times New Roman"/>
          <w:sz w:val="21"/>
          <w:szCs w:val="21"/>
          <w:lang w:val="en-US" w:eastAsia="zh-CN"/>
        </w:rPr>
        <w:t>根据功能的不同，可将人工智能分为自动人工智能与自主人工智能两大类。自动人工智能遵循预先编码的人类指令，在人类控制下履行事务，而自主人工智能通过收集大量数据进行归纳学习、分析并最终决策，在无任何人类直接干预或影响的情况下，对现实世界产生的问题做出反应。</w:t>
      </w:r>
      <w:r>
        <w:rPr>
          <w:rFonts w:hint="eastAsia" w:ascii="宋体" w:hAnsi="宋体" w:eastAsia="宋体" w:cs="Times New Roman"/>
          <w:sz w:val="21"/>
          <w:szCs w:val="21"/>
          <w:vertAlign w:val="baseline"/>
          <w:lang w:val="en-US" w:eastAsia="zh-CN"/>
        </w:rPr>
        <w:fldChar w:fldCharType="begin"/>
      </w:r>
      <w:r>
        <w:instrText xml:space="preserve"> REF _Ref11735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14"/>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譬如，悉尼科技大学的研究人员开发了一种名为“Torque Clustering（扭矩聚类）”的新人工智能算法，其具备系统独立学习和从数据中发现模式的能力，高效且自主地分析生物学、化学、天文学、金融和医学等领域的大量数据，揭示新的见解，例如发现欺诈行为。研发人员指出，Torque Clustering独特之处在于其基于物理中的扭矩概念自主识别聚类，并无缝适应不同数据类型，包括不同形状、密度和噪声程度的数据，并通过优化运动、控制和决策来支持通用人工智能的发展。</w:t>
      </w:r>
      <w:r>
        <w:rPr>
          <w:rFonts w:hint="eastAsia" w:ascii="宋体" w:hAnsi="宋体" w:eastAsia="宋体" w:cs="Times New Roman"/>
          <w:sz w:val="21"/>
          <w:szCs w:val="21"/>
          <w:vertAlign w:val="baseline"/>
          <w:lang w:val="en-US" w:eastAsia="zh-CN"/>
        </w:rPr>
        <w:fldChar w:fldCharType="begin"/>
      </w:r>
      <w:r>
        <w:instrText xml:space="preserve"> REF _Ref11754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15"/>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正如人工智能之父约翰·麦卡锡和同事尼尔斯·尼尔森对人工智能的另外一种解释是：“AI=automation of intelligence”。即在自主决策中，系统可以直接选择实现和执行某种操作的最佳选项并作出行动的决策。</w:t>
      </w:r>
      <w:r>
        <w:rPr>
          <w:rFonts w:hint="eastAsia" w:ascii="宋体" w:hAnsi="宋体" w:eastAsia="宋体" w:cs="Times New Roman"/>
          <w:sz w:val="21"/>
          <w:szCs w:val="21"/>
          <w:vertAlign w:val="baseline"/>
          <w:lang w:val="en-US" w:eastAsia="zh-CN"/>
        </w:rPr>
        <w:fldChar w:fldCharType="begin"/>
      </w:r>
      <w:r>
        <w:instrText xml:space="preserve"> REF _Ref11767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16"/>
      </w:r>
      <w:r>
        <w:rPr>
          <w:rFonts w:hint="eastAsia" w:ascii="宋体" w:hAnsi="宋体" w:eastAsia="宋体" w:cs="Times New Roman"/>
          <w:sz w:val="21"/>
          <w:szCs w:val="21"/>
          <w:vertAlign w:val="baseline"/>
          <w:lang w:val="en-US" w:eastAsia="zh-CN"/>
        </w:rPr>
        <w:fldChar w:fldCharType="end"/>
      </w:r>
    </w:p>
    <w:p w14:paraId="5108AA51">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不可否认的是，现阶段的人工智能技术所应用的行为领域大多是人为的事前规制，其不可能像人类一样具备生命和生命权，即具备人类的理性。但问题在于，无论是《公司法》及相关法律规范，亦或者是股东、董事高管、债权人等公司治理的相关利益主体，对于独立董事履职期待更多倾向于是“理性决策—权责相称”，即要求独立董事发挥己身的专长优势（知识、情商、名望等要素），对公司内外部治理发挥积极的促进效用。从这一角度出发，人工智能所具备的判断、分析、推理、计算等客观上的理性能力，甚至在一定程度上所发挥的超强的计算能力、超大的数据存储与超快的反应速度，所呈现的客观理性甚至在特定的领域远超人类。</w:t>
      </w:r>
      <w:r>
        <w:rPr>
          <w:rFonts w:hint="eastAsia" w:ascii="宋体" w:hAnsi="宋体" w:eastAsia="宋体" w:cs="Times New Roman"/>
          <w:sz w:val="21"/>
          <w:szCs w:val="21"/>
          <w:vertAlign w:val="baseline"/>
          <w:lang w:val="en-US" w:eastAsia="zh-CN"/>
        </w:rPr>
        <w:fldChar w:fldCharType="begin"/>
      </w:r>
      <w:r>
        <w:instrText xml:space="preserve"> REF _Ref11787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17"/>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因此，正如在《斯坦福商业决策课》一书中，将优质的商业决策分为六大要素：合适的框架、创造性的选项、相关及可靠信息、清晰的价值和权衡、充分论证、付诸行动。而从这一角度分析，现有的AI技术</w:t>
      </w:r>
      <w:r>
        <w:rPr>
          <w:rFonts w:hint="eastAsia" w:ascii="宋体" w:hAnsi="宋体" w:eastAsia="宋体" w:cs="Times New Roman"/>
          <w:sz w:val="21"/>
          <w:szCs w:val="21"/>
        </w:rPr>
        <w:t>已足以闭环兑现“框架—选项—信息—权衡—论证—执行”六要素</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进而</w:t>
      </w:r>
      <w:r>
        <w:rPr>
          <w:rFonts w:hint="eastAsia" w:ascii="宋体" w:hAnsi="宋体" w:eastAsia="宋体" w:cs="Times New Roman"/>
          <w:sz w:val="21"/>
          <w:szCs w:val="21"/>
        </w:rPr>
        <w:t>通过多目标优化函数在收益、风险、合规成本之间作清晰权衡，并借助可解释性算法输出决策依据。</w:t>
      </w:r>
    </w:p>
    <w:p w14:paraId="2F58622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超越“技术中立性”的忠实履职优势</w:t>
      </w:r>
    </w:p>
    <w:p w14:paraId="5BE4C66A">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1984年的美国环球影片公司诉索尼公司案中，以“技术工具论”为理论（责任中立）主张对技术本体与技术应用应当分开评价，技术的发明者若无法控制使用者使用技术，则不应为意料之外的技术用途负责。</w:t>
      </w:r>
      <w:r>
        <w:rPr>
          <w:rFonts w:hint="eastAsia" w:ascii="宋体" w:hAnsi="宋体" w:eastAsia="宋体" w:cs="Times New Roman"/>
          <w:sz w:val="21"/>
          <w:szCs w:val="21"/>
          <w:vertAlign w:val="baseline"/>
          <w:lang w:val="en-US" w:eastAsia="zh-CN"/>
        </w:rPr>
        <w:fldChar w:fldCharType="begin"/>
      </w:r>
      <w:r>
        <w:instrText xml:space="preserve"> REF _Ref11810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18"/>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但在人机交互的过程中，人类与智能技术这一客体相互交互、相互影响，这一过程也衍生出了“技术中立破产论”，即技术不再是价值中立的工具，而是具有价值依存的特征。</w:t>
      </w:r>
      <w:r>
        <w:rPr>
          <w:rFonts w:hint="eastAsia" w:ascii="宋体" w:hAnsi="宋体" w:eastAsia="宋体" w:cs="Times New Roman"/>
          <w:sz w:val="21"/>
          <w:szCs w:val="21"/>
          <w:vertAlign w:val="baseline"/>
          <w:lang w:val="en-US" w:eastAsia="zh-CN"/>
        </w:rPr>
        <w:fldChar w:fldCharType="begin"/>
      </w:r>
      <w:r>
        <w:instrText xml:space="preserve"> REF _Ref11829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19"/>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时至现代，</w:t>
      </w:r>
      <w:r>
        <w:rPr>
          <w:rFonts w:hint="eastAsia" w:ascii="宋体" w:hAnsi="宋体" w:eastAsia="宋体"/>
          <w:sz w:val="21"/>
          <w:szCs w:val="21"/>
        </w:rPr>
        <w:t>技术中立的含义更为复杂，芬伯格强调技术的社会建构性</w:t>
      </w:r>
      <w:r>
        <w:rPr>
          <w:rFonts w:hint="eastAsia" w:ascii="宋体" w:hAnsi="宋体" w:eastAsia="宋体"/>
          <w:sz w:val="21"/>
          <w:szCs w:val="21"/>
          <w:lang w:eastAsia="zh-CN"/>
        </w:rPr>
        <w:t>——</w:t>
      </w:r>
      <w:r>
        <w:rPr>
          <w:rFonts w:hint="eastAsia" w:ascii="宋体" w:hAnsi="宋体" w:eastAsia="宋体"/>
          <w:sz w:val="21"/>
          <w:szCs w:val="21"/>
        </w:rPr>
        <w:t>即</w:t>
      </w:r>
      <w:r>
        <w:rPr>
          <w:rFonts w:hint="eastAsia" w:ascii="宋体" w:hAnsi="宋体" w:eastAsia="宋体"/>
          <w:sz w:val="21"/>
          <w:szCs w:val="21"/>
          <w:lang w:val="en-US" w:eastAsia="zh-CN"/>
        </w:rPr>
        <w:t>所产生的影响</w:t>
      </w:r>
      <w:r>
        <w:rPr>
          <w:rFonts w:hint="eastAsia" w:ascii="宋体" w:hAnsi="宋体" w:eastAsia="宋体"/>
          <w:sz w:val="21"/>
          <w:szCs w:val="21"/>
        </w:rPr>
        <w:t>取决于设计、应用和社会环境</w:t>
      </w:r>
      <w:r>
        <w:rPr>
          <w:rFonts w:hint="eastAsia" w:ascii="宋体" w:hAnsi="宋体" w:eastAsia="宋体"/>
          <w:sz w:val="21"/>
          <w:szCs w:val="21"/>
          <w:lang w:eastAsia="zh-CN"/>
        </w:rPr>
        <w:t>，</w:t>
      </w:r>
      <w:r>
        <w:rPr>
          <w:rFonts w:hint="eastAsia" w:ascii="宋体" w:hAnsi="宋体" w:eastAsia="宋体"/>
          <w:sz w:val="21"/>
          <w:szCs w:val="21"/>
          <w:lang w:val="en-US" w:eastAsia="zh-CN"/>
        </w:rPr>
        <w:t>其并非</w:t>
      </w:r>
      <w:r>
        <w:rPr>
          <w:rFonts w:hint="eastAsia" w:ascii="宋体" w:hAnsi="宋体" w:eastAsia="宋体"/>
          <w:sz w:val="21"/>
          <w:szCs w:val="21"/>
        </w:rPr>
        <w:t>完全中立的。</w:t>
      </w:r>
      <w:r>
        <w:rPr>
          <w:rFonts w:hint="eastAsia" w:ascii="宋体" w:hAnsi="宋体" w:eastAsia="宋体" w:cs="Times New Roman"/>
          <w:sz w:val="21"/>
          <w:szCs w:val="21"/>
          <w:vertAlign w:val="baseline"/>
          <w:lang w:val="en-US" w:eastAsia="zh-CN"/>
        </w:rPr>
        <w:fldChar w:fldCharType="begin"/>
      </w:r>
      <w:r>
        <w:instrText xml:space="preserve"> REF _Ref11846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20"/>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甚至，在库兹韦尔看来，数字时代技术的超常规发展不受人类管束，人类将沦为智能机器的奴仆。</w:t>
      </w:r>
    </w:p>
    <w:p w14:paraId="1E1C4E3B">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但若是超越“技术中立性”的视角分析，肯定经济、政治和社会实践等诸多因素对于技术的中立性均有不同程度的影响。从公司内部治理的角度而言，或具体到对独立董事积极履职的可期待性而言，纯粹的、无偏倚的人格立场是不被现实所期待的，即公司的投资者与治理者更希望独立董事遵循一定的原则底线，但同时可兼顾商业决策所须具备的灵活性。但现实中，独立董事的权责并不统一，其无法像其他内部主体一样参与公司事务的经营管理，依赖于执行董事和管理层提供的材料，得出的推断与结论。进而，其与一般董事延续传统的一体化责任体系，并未体现不同董事之间的差异性。</w:t>
      </w:r>
      <w:r>
        <w:rPr>
          <w:rFonts w:hint="eastAsia" w:ascii="宋体" w:hAnsi="宋体" w:eastAsia="宋体" w:cs="Times New Roman"/>
          <w:sz w:val="21"/>
          <w:szCs w:val="21"/>
          <w:vertAlign w:val="baseline"/>
          <w:lang w:val="en-US" w:eastAsia="zh-CN"/>
        </w:rPr>
        <w:fldChar w:fldCharType="begin"/>
      </w:r>
      <w:r>
        <w:instrText xml:space="preserve"> REF _Ref11865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21"/>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在此情形下，若仍旧期待独立董事“不畏险阻”式的履行独立性的监督、辅助决策义务，显然不够现实。反倒是，技术作为人类创造的工具，必然承载着创造者的价值预设。若在AI董事的部署决策前，</w:t>
      </w:r>
      <w:r>
        <w:rPr>
          <w:rFonts w:hint="eastAsia" w:ascii="宋体" w:hAnsi="宋体" w:eastAsia="宋体" w:cs="Times New Roman"/>
          <w:sz w:val="21"/>
          <w:szCs w:val="21"/>
        </w:rPr>
        <w:t>以公司章程、行业监管规范及 ESG 目标为基准，制定一套“价值-参数</w:t>
      </w:r>
      <w:r>
        <w:rPr>
          <w:rFonts w:hint="eastAsia" w:ascii="宋体" w:hAnsi="宋体" w:eastAsia="宋体" w:cs="Times New Roman"/>
          <w:sz w:val="21"/>
          <w:szCs w:val="21"/>
          <w:lang w:val="en-US" w:eastAsia="zh-CN"/>
        </w:rPr>
        <w:t>对照</w:t>
      </w:r>
      <w:r>
        <w:rPr>
          <w:rFonts w:hint="eastAsia" w:ascii="宋体" w:hAnsi="宋体" w:eastAsia="宋体" w:cs="Times New Roman"/>
          <w:sz w:val="21"/>
          <w:szCs w:val="21"/>
        </w:rPr>
        <w:t>表”：把股东长期利益、员工公平待遇、合规底线等核心原则转化为模型目标函数与约束条件；同步要求算法代码、训练数据及关键权重接受第三方审计</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将</w:t>
      </w:r>
      <w:r>
        <w:rPr>
          <w:rFonts w:hint="eastAsia" w:ascii="宋体" w:hAnsi="宋体" w:eastAsia="宋体" w:cs="Times New Roman"/>
          <w:sz w:val="21"/>
          <w:szCs w:val="21"/>
        </w:rPr>
        <w:t xml:space="preserve">AI </w:t>
      </w:r>
      <w:r>
        <w:rPr>
          <w:rFonts w:hint="eastAsia" w:ascii="宋体" w:hAnsi="宋体" w:eastAsia="宋体" w:cs="Times New Roman"/>
          <w:sz w:val="21"/>
          <w:szCs w:val="21"/>
          <w:lang w:val="en-US" w:eastAsia="zh-CN"/>
        </w:rPr>
        <w:t>董事</w:t>
      </w:r>
      <w:r>
        <w:rPr>
          <w:rFonts w:hint="eastAsia" w:ascii="宋体" w:hAnsi="宋体" w:eastAsia="宋体" w:cs="Times New Roman"/>
          <w:sz w:val="21"/>
          <w:szCs w:val="21"/>
        </w:rPr>
        <w:t>的计算优势被锁定在既定的道德与商业坐标系内运行</w:t>
      </w:r>
      <w:r>
        <w:rPr>
          <w:rFonts w:hint="eastAsia" w:ascii="宋体" w:hAnsi="宋体" w:eastAsia="宋体" w:cs="Times New Roman"/>
          <w:sz w:val="21"/>
          <w:szCs w:val="21"/>
          <w:lang w:eastAsia="zh-CN"/>
        </w:rPr>
        <w:t>。</w:t>
      </w:r>
      <w:r>
        <w:rPr>
          <w:rFonts w:hint="eastAsia" w:ascii="宋体" w:hAnsi="宋体" w:eastAsia="宋体"/>
          <w:sz w:val="21"/>
          <w:szCs w:val="21"/>
          <w:lang w:val="en-US" w:eastAsia="zh-CN"/>
        </w:rPr>
        <w:t>回答好“谁来管，怎么管”的技术伦理与价值观治理问题，</w:t>
      </w:r>
      <w:r>
        <w:rPr>
          <w:rFonts w:hint="eastAsia" w:ascii="宋体" w:hAnsi="宋体" w:eastAsia="宋体" w:cs="Times New Roman"/>
          <w:sz w:val="21"/>
          <w:szCs w:val="21"/>
        </w:rPr>
        <w:t>真正实现技术向善、价值共赢。</w:t>
      </w:r>
    </w:p>
    <w:p w14:paraId="307AEBB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AI董事履职的法律适格性论证</w:t>
      </w:r>
    </w:p>
    <w:p w14:paraId="23CA7215">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目前，AI董事的正当性与合法性在法学界众说纷纭。早在此之前，赫伯特·波斯纳法官在曾在Pompeii Estates, Inc.v.Consolidated Edison Co案中指出，计算机仅能执行强制的指令，对其编程不是为了使其做出判断</w:t>
      </w:r>
      <w:r>
        <w:rPr>
          <w:rStyle w:val="19"/>
          <w:rFonts w:hint="eastAsia" w:ascii="宋体" w:hAnsi="宋体" w:eastAsia="宋体" w:cs="Times New Roman"/>
          <w:sz w:val="21"/>
          <w:szCs w:val="21"/>
          <w:lang w:val="en-US" w:eastAsia="zh-CN"/>
        </w:rPr>
        <w:footnoteReference w:id="22"/>
      </w:r>
      <w:r>
        <w:rPr>
          <w:rFonts w:hint="eastAsia" w:ascii="宋体" w:hAnsi="宋体" w:eastAsia="宋体" w:cs="Times New Roman"/>
          <w:sz w:val="21"/>
          <w:szCs w:val="21"/>
          <w:lang w:val="en-US" w:eastAsia="zh-CN"/>
        </w:rPr>
        <w:t>。而时至今日，亦有学者从《公司法》规定的董监高的任职资格（第178条规定的消极资格要件）和义务（第179条至第191条规定的义务与责任）角度分析，指出AI董事的适格性归根结底取决于其行为能力与核心竞争力。</w:t>
      </w:r>
      <w:r>
        <w:rPr>
          <w:rFonts w:hint="eastAsia" w:ascii="宋体" w:hAnsi="宋体" w:eastAsia="宋体" w:cs="Times New Roman"/>
          <w:sz w:val="21"/>
          <w:szCs w:val="21"/>
          <w:vertAlign w:val="baseline"/>
          <w:lang w:val="en-US" w:eastAsia="zh-CN"/>
        </w:rPr>
        <w:fldChar w:fldCharType="begin"/>
      </w:r>
      <w:r>
        <w:instrText xml:space="preserve"> REF _Ref11888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23"/>
      </w:r>
      <w:r>
        <w:rPr>
          <w:rFonts w:hint="eastAsia" w:ascii="宋体" w:hAnsi="宋体" w:eastAsia="宋体" w:cs="Times New Roman"/>
          <w:sz w:val="21"/>
          <w:szCs w:val="21"/>
          <w:vertAlign w:val="baseline"/>
          <w:lang w:val="en-US" w:eastAsia="zh-CN"/>
        </w:rPr>
        <w:fldChar w:fldCharType="end"/>
      </w:r>
    </w:p>
    <w:p w14:paraId="165B76F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AI董事可作为适格“法主体”</w:t>
      </w:r>
    </w:p>
    <w:p w14:paraId="1511D9AF">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追溯《公司法》有关于董事任职资格的设定，均不约而同的将董事资格限定于自然人，对于法人是否有担任董事的资格则莫衷一是（详见表1）。</w:t>
      </w:r>
    </w:p>
    <w:p w14:paraId="7103199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表1 各国自然人或法人任职董事资格的规定</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8"/>
        <w:gridCol w:w="2370"/>
        <w:gridCol w:w="2698"/>
        <w:gridCol w:w="1709"/>
        <w:gridCol w:w="791"/>
        <w:tblGridChange w:id="0">
          <w:tblGrid>
            <w:gridCol w:w="768"/>
            <w:gridCol w:w="2370"/>
            <w:gridCol w:w="2698"/>
            <w:gridCol w:w="1709"/>
            <w:gridCol w:w="791"/>
          </w:tblGrid>
        </w:tblGridChange>
      </w:tblGrid>
      <w:tr w14:paraId="09CD5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47036B73">
            <w:pPr>
              <w:keepNext w:val="0"/>
              <w:keepLines w:val="0"/>
              <w:widowControl/>
              <w:suppressLineNumbers w:val="0"/>
              <w:jc w:val="center"/>
              <w:rPr>
                <w:b w:val="0"/>
                <w:bCs/>
                <w:i w:val="0"/>
                <w:color w:val="000000"/>
              </w:rPr>
            </w:pPr>
            <w:r>
              <w:rPr>
                <w:rFonts w:hint="eastAsia" w:ascii="宋体" w:hAnsi="宋体" w:eastAsia="宋体" w:cs="宋体"/>
                <w:b w:val="0"/>
                <w:bCs/>
                <w:i w:val="0"/>
                <w:color w:val="000000"/>
                <w:kern w:val="0"/>
                <w:sz w:val="24"/>
                <w:szCs w:val="24"/>
                <w:lang w:val="en-US" w:eastAsia="zh-CN" w:bidi="ar"/>
              </w:rPr>
              <w:t>国</w:t>
            </w:r>
            <w:r>
              <w:rPr>
                <w:rFonts w:ascii="宋体" w:hAnsi="宋体" w:eastAsia="宋体" w:cs="宋体"/>
                <w:b w:val="0"/>
                <w:bCs/>
                <w:i w:val="0"/>
                <w:color w:val="000000"/>
                <w:kern w:val="0"/>
                <w:sz w:val="24"/>
                <w:szCs w:val="24"/>
                <w:lang w:val="en-US" w:eastAsia="zh-CN" w:bidi="ar"/>
              </w:rPr>
              <w:t>家 / 地区</w:t>
            </w:r>
          </w:p>
        </w:tc>
        <w:tc>
          <w:tcPr>
            <w:tcW w:w="0" w:type="auto"/>
            <w:tcBorders>
              <w:top w:val="single" w:color="000000" w:sz="12" w:space="0"/>
              <w:left w:val="nil"/>
              <w:bottom w:val="single" w:color="000000" w:sz="4" w:space="0"/>
              <w:right w:val="nil"/>
            </w:tcBorders>
            <w:shd w:val="clear" w:color="auto" w:fill="FFFFFF"/>
            <w:vAlign w:val="center"/>
          </w:tcPr>
          <w:p w14:paraId="330BDD56">
            <w:pPr>
              <w:keepNext w:val="0"/>
              <w:keepLines w:val="0"/>
              <w:widowControl/>
              <w:suppressLineNumbers w:val="0"/>
              <w:jc w:val="center"/>
              <w:rPr>
                <w:b w:val="0"/>
                <w:bCs/>
                <w:i w:val="0"/>
                <w:color w:val="000000"/>
              </w:rPr>
            </w:pPr>
            <w:r>
              <w:rPr>
                <w:rFonts w:ascii="宋体" w:hAnsi="宋体" w:eastAsia="宋体" w:cs="宋体"/>
                <w:b w:val="0"/>
                <w:bCs/>
                <w:i w:val="0"/>
                <w:color w:val="000000"/>
                <w:kern w:val="0"/>
                <w:sz w:val="24"/>
                <w:szCs w:val="24"/>
                <w:lang w:val="en-US" w:eastAsia="zh-CN" w:bidi="ar"/>
              </w:rPr>
              <w:t>现行规定（自然人或法人董事资格）</w:t>
            </w:r>
          </w:p>
        </w:tc>
        <w:tc>
          <w:tcPr>
            <w:tcW w:w="0" w:type="auto"/>
            <w:tcBorders>
              <w:top w:val="single" w:color="000000" w:sz="12" w:space="0"/>
              <w:left w:val="nil"/>
              <w:bottom w:val="single" w:color="000000" w:sz="4" w:space="0"/>
              <w:right w:val="nil"/>
            </w:tcBorders>
            <w:shd w:val="clear" w:color="auto" w:fill="FFFFFF"/>
            <w:vAlign w:val="center"/>
          </w:tcPr>
          <w:p w14:paraId="076B3536">
            <w:pPr>
              <w:keepNext w:val="0"/>
              <w:keepLines w:val="0"/>
              <w:widowControl/>
              <w:suppressLineNumbers w:val="0"/>
              <w:jc w:val="center"/>
              <w:rPr>
                <w:b w:val="0"/>
                <w:bCs/>
                <w:i w:val="0"/>
                <w:color w:val="000000"/>
              </w:rPr>
            </w:pPr>
            <w:r>
              <w:rPr>
                <w:rFonts w:ascii="宋体" w:hAnsi="宋体" w:eastAsia="宋体" w:cs="宋体"/>
                <w:b w:val="0"/>
                <w:bCs/>
                <w:i w:val="0"/>
                <w:color w:val="000000"/>
                <w:kern w:val="0"/>
                <w:sz w:val="24"/>
                <w:szCs w:val="24"/>
                <w:lang w:val="en-US" w:eastAsia="zh-CN" w:bidi="ar"/>
              </w:rPr>
              <w:t>相关法律条文</w:t>
            </w:r>
          </w:p>
        </w:tc>
        <w:tc>
          <w:tcPr>
            <w:tcW w:w="0" w:type="auto"/>
            <w:tcBorders>
              <w:top w:val="single" w:color="000000" w:sz="12" w:space="0"/>
              <w:left w:val="nil"/>
              <w:bottom w:val="single" w:color="000000" w:sz="4" w:space="0"/>
              <w:right w:val="nil"/>
            </w:tcBorders>
            <w:shd w:val="clear" w:color="auto" w:fill="FFFFFF"/>
            <w:vAlign w:val="center"/>
          </w:tcPr>
          <w:p w14:paraId="6A283F05">
            <w:pPr>
              <w:keepNext w:val="0"/>
              <w:keepLines w:val="0"/>
              <w:widowControl/>
              <w:suppressLineNumbers w:val="0"/>
              <w:jc w:val="center"/>
              <w:rPr>
                <w:b w:val="0"/>
                <w:bCs/>
                <w:i w:val="0"/>
                <w:color w:val="000000"/>
              </w:rPr>
            </w:pPr>
            <w:r>
              <w:rPr>
                <w:rFonts w:ascii="宋体" w:hAnsi="宋体" w:eastAsia="宋体" w:cs="宋体"/>
                <w:b w:val="0"/>
                <w:bCs/>
                <w:i w:val="0"/>
                <w:color w:val="000000"/>
                <w:kern w:val="0"/>
                <w:sz w:val="24"/>
                <w:szCs w:val="24"/>
                <w:lang w:val="en-US" w:eastAsia="zh-CN" w:bidi="ar"/>
              </w:rPr>
              <w:t>制度要求 / 问责机制</w:t>
            </w:r>
          </w:p>
        </w:tc>
        <w:tc>
          <w:tcPr>
            <w:tcW w:w="0" w:type="auto"/>
            <w:tcBorders>
              <w:top w:val="single" w:color="000000" w:sz="12" w:space="0"/>
              <w:left w:val="nil"/>
              <w:bottom w:val="single" w:color="000000" w:sz="4" w:space="0"/>
              <w:right w:val="nil"/>
            </w:tcBorders>
            <w:shd w:val="clear" w:color="auto" w:fill="FFFFFF"/>
            <w:vAlign w:val="center"/>
          </w:tcPr>
          <w:p w14:paraId="3CF20657">
            <w:pPr>
              <w:keepNext w:val="0"/>
              <w:keepLines w:val="0"/>
              <w:widowControl/>
              <w:suppressLineNumbers w:val="0"/>
              <w:jc w:val="center"/>
              <w:rPr>
                <w:b w:val="0"/>
                <w:bCs/>
                <w:i w:val="0"/>
                <w:color w:val="000000"/>
              </w:rPr>
            </w:pPr>
            <w:r>
              <w:rPr>
                <w:rFonts w:ascii="宋体" w:hAnsi="宋体" w:eastAsia="宋体" w:cs="宋体"/>
                <w:b w:val="0"/>
                <w:bCs/>
                <w:i w:val="0"/>
                <w:color w:val="000000"/>
                <w:kern w:val="0"/>
                <w:sz w:val="24"/>
                <w:szCs w:val="24"/>
                <w:lang w:val="en-US" w:eastAsia="zh-CN" w:bidi="ar"/>
              </w:rPr>
              <w:t>对法人董事态度</w:t>
            </w:r>
          </w:p>
        </w:tc>
      </w:tr>
      <w:tr w14:paraId="1199A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nil"/>
              <w:bottom w:val="nil"/>
              <w:right w:val="nil"/>
            </w:tcBorders>
            <w:shd w:val="clear" w:color="auto" w:fill="FFFFFF"/>
            <w:vAlign w:val="center"/>
          </w:tcPr>
          <w:p w14:paraId="243E80D9">
            <w:pPr>
              <w:keepNext w:val="0"/>
              <w:keepLines w:val="0"/>
              <w:widowControl/>
              <w:suppressLineNumbers w:val="0"/>
              <w:jc w:val="center"/>
              <w:rPr>
                <w:b w:val="0"/>
                <w:i w:val="0"/>
                <w:color w:val="000000"/>
              </w:rPr>
            </w:pPr>
            <w:r>
              <w:rPr>
                <w:rStyle w:val="14"/>
                <w:rFonts w:ascii="宋体" w:hAnsi="宋体" w:eastAsia="宋体" w:cs="宋体"/>
                <w:b w:val="0"/>
                <w:i w:val="0"/>
                <w:color w:val="000000"/>
                <w:kern w:val="0"/>
                <w:sz w:val="24"/>
                <w:szCs w:val="24"/>
                <w:lang w:val="en-US" w:eastAsia="zh-CN" w:bidi="ar"/>
              </w:rPr>
              <w:t>英国</w:t>
            </w:r>
          </w:p>
        </w:tc>
        <w:tc>
          <w:tcPr>
            <w:tcW w:w="0" w:type="auto"/>
            <w:tcBorders>
              <w:top w:val="single" w:color="000000" w:sz="4" w:space="0"/>
              <w:left w:val="nil"/>
              <w:bottom w:val="nil"/>
              <w:right w:val="nil"/>
            </w:tcBorders>
            <w:shd w:val="clear" w:color="auto" w:fill="FFFFFF"/>
            <w:vAlign w:val="center"/>
          </w:tcPr>
          <w:p w14:paraId="2EBE403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自2024年3月4日起，董事</w:t>
            </w:r>
            <w:r>
              <w:rPr>
                <w:rStyle w:val="14"/>
                <w:rFonts w:ascii="宋体" w:hAnsi="宋体" w:eastAsia="宋体" w:cs="宋体"/>
                <w:b w:val="0"/>
                <w:i w:val="0"/>
                <w:color w:val="000000"/>
                <w:kern w:val="0"/>
                <w:sz w:val="24"/>
                <w:szCs w:val="24"/>
                <w:lang w:val="en-US" w:eastAsia="zh-CN" w:bidi="ar"/>
              </w:rPr>
              <w:t>仅限自然人</w:t>
            </w:r>
            <w:r>
              <w:rPr>
                <w:rFonts w:ascii="宋体" w:hAnsi="宋体" w:eastAsia="宋体" w:cs="宋体"/>
                <w:b w:val="0"/>
                <w:i w:val="0"/>
                <w:color w:val="000000"/>
                <w:kern w:val="0"/>
                <w:sz w:val="24"/>
                <w:szCs w:val="24"/>
                <w:lang w:val="en-US" w:eastAsia="zh-CN" w:bidi="ar"/>
              </w:rPr>
              <w:t>；禁止法人董事</w:t>
            </w:r>
          </w:p>
        </w:tc>
        <w:tc>
          <w:tcPr>
            <w:tcW w:w="0" w:type="auto"/>
            <w:tcBorders>
              <w:top w:val="single" w:color="000000" w:sz="4" w:space="0"/>
              <w:left w:val="nil"/>
              <w:bottom w:val="nil"/>
              <w:right w:val="nil"/>
            </w:tcBorders>
            <w:shd w:val="clear" w:color="auto" w:fill="FFFFFF"/>
            <w:vAlign w:val="center"/>
          </w:tcPr>
          <w:p w14:paraId="104D158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《公司法》（Companies Act 2006）§155（旧）、经《小微企业与就业法》§87修订增设§156A</w:t>
            </w:r>
          </w:p>
        </w:tc>
        <w:tc>
          <w:tcPr>
            <w:tcW w:w="0" w:type="auto"/>
            <w:tcBorders>
              <w:top w:val="single" w:color="000000" w:sz="4" w:space="0"/>
              <w:left w:val="nil"/>
              <w:bottom w:val="nil"/>
              <w:right w:val="nil"/>
            </w:tcBorders>
            <w:shd w:val="clear" w:color="auto" w:fill="FFFFFF"/>
            <w:vAlign w:val="center"/>
          </w:tcPr>
          <w:p w14:paraId="7ED97C14">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至少一名自然人董事，现已取消法人董事可能</w:t>
            </w:r>
          </w:p>
        </w:tc>
        <w:tc>
          <w:tcPr>
            <w:tcW w:w="0" w:type="auto"/>
            <w:tcBorders>
              <w:top w:val="single" w:color="000000" w:sz="4" w:space="0"/>
              <w:left w:val="nil"/>
              <w:bottom w:val="nil"/>
              <w:right w:val="nil"/>
            </w:tcBorders>
            <w:shd w:val="clear" w:color="auto" w:fill="FFFFFF"/>
            <w:vAlign w:val="center"/>
          </w:tcPr>
          <w:p w14:paraId="22FD7AA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保守，已全面禁止法人董事</w:t>
            </w:r>
          </w:p>
        </w:tc>
      </w:tr>
      <w:tr w14:paraId="7D838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14E6C1C4">
            <w:pPr>
              <w:keepNext w:val="0"/>
              <w:keepLines w:val="0"/>
              <w:widowControl/>
              <w:suppressLineNumbers w:val="0"/>
              <w:jc w:val="center"/>
              <w:rPr>
                <w:b w:val="0"/>
                <w:i w:val="0"/>
                <w:color w:val="000000"/>
              </w:rPr>
            </w:pPr>
            <w:r>
              <w:rPr>
                <w:rStyle w:val="14"/>
                <w:rFonts w:ascii="宋体" w:hAnsi="宋体" w:eastAsia="宋体" w:cs="宋体"/>
                <w:b w:val="0"/>
                <w:i w:val="0"/>
                <w:color w:val="000000"/>
                <w:kern w:val="0"/>
                <w:sz w:val="24"/>
                <w:szCs w:val="24"/>
                <w:lang w:val="en-US" w:eastAsia="zh-CN" w:bidi="ar"/>
              </w:rPr>
              <w:t>法国</w:t>
            </w:r>
          </w:p>
        </w:tc>
        <w:tc>
          <w:tcPr>
            <w:tcW w:w="0" w:type="auto"/>
            <w:tcBorders>
              <w:top w:val="nil"/>
              <w:left w:val="nil"/>
              <w:bottom w:val="nil"/>
              <w:right w:val="nil"/>
            </w:tcBorders>
            <w:shd w:val="clear" w:color="auto" w:fill="FFFFFF"/>
            <w:vAlign w:val="center"/>
          </w:tcPr>
          <w:p w14:paraId="585FA7F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允许法人担任董事，须指定常驻代表（自然人）</w:t>
            </w:r>
          </w:p>
        </w:tc>
        <w:tc>
          <w:tcPr>
            <w:tcW w:w="0" w:type="auto"/>
            <w:tcBorders>
              <w:top w:val="nil"/>
              <w:left w:val="nil"/>
              <w:bottom w:val="nil"/>
              <w:right w:val="nil"/>
            </w:tcBorders>
            <w:shd w:val="clear" w:color="auto" w:fill="FFFFFF"/>
            <w:vAlign w:val="center"/>
          </w:tcPr>
          <w:p w14:paraId="420B97C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《法国商法典》（Code de commerce） Art. L225-20（2001年增设）</w:t>
            </w:r>
          </w:p>
        </w:tc>
        <w:tc>
          <w:tcPr>
            <w:tcW w:w="0" w:type="auto"/>
            <w:tcBorders>
              <w:top w:val="nil"/>
              <w:left w:val="nil"/>
              <w:bottom w:val="nil"/>
              <w:right w:val="nil"/>
            </w:tcBorders>
            <w:shd w:val="clear" w:color="auto" w:fill="FFFFFF"/>
            <w:vAlign w:val="center"/>
          </w:tcPr>
          <w:p w14:paraId="100A81F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法人必须指定一名常驻代表，该代表与其以自己名义担任董事时承担相同民/刑事责任；法人对代表行为承担连带责任</w:t>
            </w:r>
          </w:p>
        </w:tc>
        <w:tc>
          <w:tcPr>
            <w:tcW w:w="0" w:type="auto"/>
            <w:tcBorders>
              <w:top w:val="nil"/>
              <w:left w:val="nil"/>
              <w:bottom w:val="nil"/>
              <w:right w:val="nil"/>
            </w:tcBorders>
            <w:shd w:val="clear" w:color="auto" w:fill="FFFFFF"/>
            <w:vAlign w:val="center"/>
          </w:tcPr>
          <w:p w14:paraId="13FA84E5">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43302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241ABD94">
            <w:pPr>
              <w:keepNext w:val="0"/>
              <w:keepLines w:val="0"/>
              <w:widowControl/>
              <w:suppressLineNumbers w:val="0"/>
              <w:jc w:val="center"/>
              <w:rPr>
                <w:b w:val="0"/>
                <w:i w:val="0"/>
                <w:color w:val="000000"/>
              </w:rPr>
            </w:pPr>
            <w:r>
              <w:rPr>
                <w:rStyle w:val="14"/>
                <w:rFonts w:ascii="宋体" w:hAnsi="宋体" w:eastAsia="宋体" w:cs="宋体"/>
                <w:b w:val="0"/>
                <w:i w:val="0"/>
                <w:color w:val="000000"/>
                <w:kern w:val="0"/>
                <w:sz w:val="24"/>
                <w:szCs w:val="24"/>
                <w:lang w:val="en-US" w:eastAsia="zh-CN" w:bidi="ar"/>
              </w:rPr>
              <w:t>荷兰</w:t>
            </w:r>
          </w:p>
        </w:tc>
        <w:tc>
          <w:tcPr>
            <w:tcW w:w="0" w:type="auto"/>
            <w:tcBorders>
              <w:top w:val="nil"/>
              <w:left w:val="nil"/>
              <w:bottom w:val="nil"/>
              <w:right w:val="nil"/>
            </w:tcBorders>
            <w:shd w:val="clear" w:color="auto" w:fill="FFFFFF"/>
            <w:vAlign w:val="center"/>
          </w:tcPr>
          <w:p w14:paraId="46EEE7E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FFFFFF"/>
            <w:vAlign w:val="center"/>
          </w:tcPr>
          <w:p w14:paraId="1379C01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《荷兰民法典》（Burgerlijk Wetboek）Book 2, Art. 2:11</w:t>
            </w:r>
          </w:p>
        </w:tc>
        <w:tc>
          <w:tcPr>
            <w:tcW w:w="0" w:type="auto"/>
            <w:tcBorders>
              <w:top w:val="nil"/>
              <w:left w:val="nil"/>
              <w:bottom w:val="nil"/>
              <w:right w:val="nil"/>
            </w:tcBorders>
            <w:shd w:val="clear" w:color="auto" w:fill="FFFFFF"/>
            <w:vAlign w:val="center"/>
          </w:tcPr>
          <w:p w14:paraId="7C2119E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法人董事承担董事责任的同时，其董事（自然人）亦对该责任负连带责任</w:t>
            </w:r>
          </w:p>
        </w:tc>
        <w:tc>
          <w:tcPr>
            <w:tcW w:w="0" w:type="auto"/>
            <w:tcBorders>
              <w:top w:val="nil"/>
              <w:left w:val="nil"/>
              <w:bottom w:val="nil"/>
              <w:right w:val="nil"/>
            </w:tcBorders>
            <w:shd w:val="clear" w:color="auto" w:fill="FFFFFF"/>
            <w:vAlign w:val="center"/>
          </w:tcPr>
          <w:p w14:paraId="36DAF25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74558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5C791A94">
            <w:pPr>
              <w:keepNext w:val="0"/>
              <w:keepLines w:val="0"/>
              <w:widowControl/>
              <w:suppressLineNumbers w:val="0"/>
              <w:jc w:val="center"/>
              <w:rPr>
                <w:b w:val="0"/>
                <w:i w:val="0"/>
                <w:color w:val="000000"/>
              </w:rPr>
            </w:pPr>
            <w:r>
              <w:rPr>
                <w:rStyle w:val="14"/>
                <w:rFonts w:ascii="宋体" w:hAnsi="宋体" w:eastAsia="宋体" w:cs="宋体"/>
                <w:b w:val="0"/>
                <w:i w:val="0"/>
                <w:color w:val="000000"/>
                <w:kern w:val="0"/>
                <w:sz w:val="24"/>
                <w:szCs w:val="24"/>
                <w:lang w:val="en-US" w:eastAsia="zh-CN" w:bidi="ar"/>
              </w:rPr>
              <w:t>比利时</w:t>
            </w:r>
          </w:p>
        </w:tc>
        <w:tc>
          <w:tcPr>
            <w:tcW w:w="0" w:type="auto"/>
            <w:tcBorders>
              <w:top w:val="nil"/>
              <w:left w:val="nil"/>
              <w:bottom w:val="nil"/>
              <w:right w:val="nil"/>
            </w:tcBorders>
            <w:shd w:val="clear" w:color="auto" w:fill="FFFFFF"/>
            <w:vAlign w:val="center"/>
          </w:tcPr>
          <w:p w14:paraId="0C6DDA58">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FFFFFF"/>
            <w:vAlign w:val="center"/>
          </w:tcPr>
          <w:p w14:paraId="7D1D018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《比利时公司法》（Wetboek van vennootschappen en verenigingen）Art. 7:85(1)、Art. 2:55</w:t>
            </w:r>
          </w:p>
        </w:tc>
        <w:tc>
          <w:tcPr>
            <w:tcW w:w="0" w:type="auto"/>
            <w:tcBorders>
              <w:top w:val="nil"/>
              <w:left w:val="nil"/>
              <w:bottom w:val="nil"/>
              <w:right w:val="nil"/>
            </w:tcBorders>
            <w:shd w:val="clear" w:color="auto" w:fill="FFFFFF"/>
            <w:vAlign w:val="center"/>
          </w:tcPr>
          <w:p w14:paraId="5FE7F26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法人董事须指定自然人作为代表，代表承担责任</w:t>
            </w:r>
          </w:p>
        </w:tc>
        <w:tc>
          <w:tcPr>
            <w:tcW w:w="0" w:type="auto"/>
            <w:tcBorders>
              <w:top w:val="nil"/>
              <w:left w:val="nil"/>
              <w:bottom w:val="nil"/>
              <w:right w:val="nil"/>
            </w:tcBorders>
            <w:shd w:val="clear" w:color="auto" w:fill="FFFFFF"/>
            <w:vAlign w:val="center"/>
          </w:tcPr>
          <w:p w14:paraId="3152E9D6">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2B19A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292E19C">
            <w:pPr>
              <w:keepNext w:val="0"/>
              <w:keepLines w:val="0"/>
              <w:widowControl/>
              <w:suppressLineNumbers w:val="0"/>
              <w:jc w:val="center"/>
              <w:rPr>
                <w:b w:val="0"/>
                <w:i w:val="0"/>
                <w:color w:val="000000"/>
              </w:rPr>
            </w:pPr>
            <w:r>
              <w:rPr>
                <w:rStyle w:val="14"/>
                <w:rFonts w:ascii="宋体" w:hAnsi="宋体" w:eastAsia="宋体" w:cs="宋体"/>
                <w:b w:val="0"/>
                <w:i w:val="0"/>
                <w:color w:val="000000"/>
                <w:kern w:val="0"/>
                <w:sz w:val="24"/>
                <w:szCs w:val="24"/>
                <w:lang w:val="en-US" w:eastAsia="zh-CN" w:bidi="ar"/>
              </w:rPr>
              <w:t>西班牙</w:t>
            </w:r>
          </w:p>
        </w:tc>
        <w:tc>
          <w:tcPr>
            <w:tcW w:w="0" w:type="auto"/>
            <w:tcBorders>
              <w:top w:val="nil"/>
              <w:left w:val="nil"/>
              <w:bottom w:val="nil"/>
              <w:right w:val="nil"/>
            </w:tcBorders>
            <w:shd w:val="clear" w:color="auto" w:fill="FFFFFF"/>
            <w:vAlign w:val="center"/>
          </w:tcPr>
          <w:p w14:paraId="2C1D748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允许法人担任董事</w:t>
            </w:r>
          </w:p>
        </w:tc>
        <w:tc>
          <w:tcPr>
            <w:tcW w:w="0" w:type="auto"/>
            <w:tcBorders>
              <w:top w:val="nil"/>
              <w:left w:val="nil"/>
              <w:bottom w:val="nil"/>
              <w:right w:val="nil"/>
            </w:tcBorders>
            <w:shd w:val="clear" w:color="auto" w:fill="FFFFFF"/>
            <w:vAlign w:val="center"/>
          </w:tcPr>
          <w:p w14:paraId="56B69F2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《西班牙公司法》（Ley de Sociedades de Capital）Art. 212</w:t>
            </w:r>
          </w:p>
        </w:tc>
        <w:tc>
          <w:tcPr>
            <w:tcW w:w="0" w:type="auto"/>
            <w:tcBorders>
              <w:top w:val="nil"/>
              <w:left w:val="nil"/>
              <w:bottom w:val="nil"/>
              <w:right w:val="nil"/>
            </w:tcBorders>
            <w:shd w:val="clear" w:color="auto" w:fill="FFFFFF"/>
            <w:vAlign w:val="center"/>
          </w:tcPr>
          <w:p w14:paraId="5FAD5D0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法人董事须指定自然人代表</w:t>
            </w:r>
          </w:p>
        </w:tc>
        <w:tc>
          <w:tcPr>
            <w:tcW w:w="0" w:type="auto"/>
            <w:tcBorders>
              <w:top w:val="nil"/>
              <w:left w:val="nil"/>
              <w:bottom w:val="nil"/>
              <w:right w:val="nil"/>
            </w:tcBorders>
            <w:shd w:val="clear" w:color="auto" w:fill="FFFFFF"/>
            <w:vAlign w:val="center"/>
          </w:tcPr>
          <w:p w14:paraId="56B9777A">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开放</w:t>
            </w:r>
          </w:p>
        </w:tc>
      </w:tr>
      <w:tr w14:paraId="43C8D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5908B154">
            <w:pPr>
              <w:keepNext w:val="0"/>
              <w:keepLines w:val="0"/>
              <w:widowControl/>
              <w:suppressLineNumbers w:val="0"/>
              <w:jc w:val="center"/>
              <w:rPr>
                <w:b w:val="0"/>
                <w:i w:val="0"/>
                <w:color w:val="000000"/>
              </w:rPr>
            </w:pPr>
            <w:r>
              <w:rPr>
                <w:rStyle w:val="14"/>
                <w:rFonts w:ascii="宋体" w:hAnsi="宋体" w:eastAsia="宋体" w:cs="宋体"/>
                <w:b w:val="0"/>
                <w:i w:val="0"/>
                <w:color w:val="000000"/>
                <w:kern w:val="0"/>
                <w:sz w:val="24"/>
                <w:szCs w:val="24"/>
                <w:lang w:val="en-US" w:eastAsia="zh-CN" w:bidi="ar"/>
              </w:rPr>
              <w:t>德国</w:t>
            </w:r>
          </w:p>
        </w:tc>
        <w:tc>
          <w:tcPr>
            <w:tcW w:w="0" w:type="auto"/>
            <w:tcBorders>
              <w:top w:val="nil"/>
              <w:left w:val="nil"/>
              <w:bottom w:val="nil"/>
              <w:right w:val="nil"/>
            </w:tcBorders>
            <w:shd w:val="clear" w:color="auto" w:fill="FFFFFF"/>
            <w:vAlign w:val="center"/>
          </w:tcPr>
          <w:p w14:paraId="700BE891">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仅自然人可担任董事</w:t>
            </w:r>
          </w:p>
        </w:tc>
        <w:tc>
          <w:tcPr>
            <w:tcW w:w="0" w:type="auto"/>
            <w:tcBorders>
              <w:top w:val="nil"/>
              <w:left w:val="nil"/>
              <w:bottom w:val="nil"/>
              <w:right w:val="nil"/>
            </w:tcBorders>
            <w:shd w:val="clear" w:color="auto" w:fill="FFFFFF"/>
            <w:vAlign w:val="center"/>
          </w:tcPr>
          <w:p w14:paraId="495D2C7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《有限责任公司法》（GmbHG）§6(2)、《股份法》（AktG）§76(3)</w:t>
            </w:r>
          </w:p>
        </w:tc>
        <w:tc>
          <w:tcPr>
            <w:tcW w:w="0" w:type="auto"/>
            <w:tcBorders>
              <w:top w:val="nil"/>
              <w:left w:val="nil"/>
              <w:bottom w:val="nil"/>
              <w:right w:val="nil"/>
            </w:tcBorders>
            <w:shd w:val="clear" w:color="auto" w:fill="FFFFFF"/>
            <w:vAlign w:val="center"/>
          </w:tcPr>
          <w:p w14:paraId="6D4A4789">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必须为完全行为能力的自然人</w:t>
            </w:r>
          </w:p>
        </w:tc>
        <w:tc>
          <w:tcPr>
            <w:tcW w:w="0" w:type="auto"/>
            <w:tcBorders>
              <w:top w:val="nil"/>
              <w:left w:val="nil"/>
              <w:bottom w:val="nil"/>
              <w:right w:val="nil"/>
            </w:tcBorders>
            <w:shd w:val="clear" w:color="auto" w:fill="FFFFFF"/>
            <w:vAlign w:val="center"/>
          </w:tcPr>
          <w:p w14:paraId="18B7D6BE">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保守/禁止法人董事</w:t>
            </w:r>
          </w:p>
        </w:tc>
      </w:tr>
      <w:tr w14:paraId="24AEB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3A350322">
            <w:pPr>
              <w:keepNext w:val="0"/>
              <w:keepLines w:val="0"/>
              <w:widowControl/>
              <w:suppressLineNumbers w:val="0"/>
              <w:jc w:val="center"/>
              <w:rPr>
                <w:b w:val="0"/>
                <w:i w:val="0"/>
                <w:color w:val="000000"/>
              </w:rPr>
            </w:pPr>
            <w:r>
              <w:rPr>
                <w:rStyle w:val="14"/>
                <w:rFonts w:ascii="宋体" w:hAnsi="宋体" w:eastAsia="宋体" w:cs="宋体"/>
                <w:b w:val="0"/>
                <w:i w:val="0"/>
                <w:color w:val="000000"/>
                <w:kern w:val="0"/>
                <w:sz w:val="24"/>
                <w:szCs w:val="24"/>
                <w:lang w:val="en-US" w:eastAsia="zh-CN" w:bidi="ar"/>
              </w:rPr>
              <w:t>美国（模范商事公司法）</w:t>
            </w:r>
          </w:p>
        </w:tc>
        <w:tc>
          <w:tcPr>
            <w:tcW w:w="0" w:type="auto"/>
            <w:tcBorders>
              <w:top w:val="nil"/>
              <w:left w:val="nil"/>
              <w:bottom w:val="nil"/>
              <w:right w:val="nil"/>
            </w:tcBorders>
            <w:shd w:val="clear" w:color="auto" w:fill="FFFFFF"/>
            <w:vAlign w:val="center"/>
          </w:tcPr>
          <w:p w14:paraId="38EADB8B">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董事会成员须为个人（individual），含义等同自然人</w:t>
            </w:r>
          </w:p>
        </w:tc>
        <w:tc>
          <w:tcPr>
            <w:tcW w:w="0" w:type="auto"/>
            <w:tcBorders>
              <w:top w:val="nil"/>
              <w:left w:val="nil"/>
              <w:bottom w:val="nil"/>
              <w:right w:val="nil"/>
            </w:tcBorders>
            <w:shd w:val="clear" w:color="auto" w:fill="FFFFFF"/>
            <w:vAlign w:val="center"/>
          </w:tcPr>
          <w:p w14:paraId="322366DC">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MBCA §8.03(a)</w:t>
            </w:r>
          </w:p>
        </w:tc>
        <w:tc>
          <w:tcPr>
            <w:tcW w:w="0" w:type="auto"/>
            <w:tcBorders>
              <w:top w:val="nil"/>
              <w:left w:val="nil"/>
              <w:bottom w:val="nil"/>
              <w:right w:val="nil"/>
            </w:tcBorders>
            <w:shd w:val="clear" w:color="auto" w:fill="FFFFFF"/>
            <w:vAlign w:val="center"/>
          </w:tcPr>
          <w:p w14:paraId="75B0FF30">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无法人董事制度</w:t>
            </w:r>
          </w:p>
        </w:tc>
        <w:tc>
          <w:tcPr>
            <w:tcW w:w="0" w:type="auto"/>
            <w:tcBorders>
              <w:top w:val="nil"/>
              <w:left w:val="nil"/>
              <w:bottom w:val="nil"/>
              <w:right w:val="nil"/>
            </w:tcBorders>
            <w:shd w:val="clear" w:color="auto" w:fill="FFFFFF"/>
            <w:vAlign w:val="center"/>
          </w:tcPr>
          <w:p w14:paraId="3BE9AAA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w:t>
            </w:r>
          </w:p>
        </w:tc>
      </w:tr>
      <w:tr w14:paraId="108E5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000000" w:sz="12" w:space="0"/>
              <w:right w:val="nil"/>
            </w:tcBorders>
            <w:shd w:val="clear" w:color="auto" w:fill="FFFFFF"/>
            <w:vAlign w:val="center"/>
          </w:tcPr>
          <w:p w14:paraId="563B8DF3">
            <w:pPr>
              <w:keepNext w:val="0"/>
              <w:keepLines w:val="0"/>
              <w:widowControl/>
              <w:suppressLineNumbers w:val="0"/>
              <w:jc w:val="center"/>
              <w:rPr>
                <w:b w:val="0"/>
                <w:i w:val="0"/>
                <w:color w:val="000000"/>
              </w:rPr>
            </w:pPr>
            <w:r>
              <w:rPr>
                <w:rStyle w:val="14"/>
                <w:rFonts w:ascii="宋体" w:hAnsi="宋体" w:eastAsia="宋体" w:cs="宋体"/>
                <w:b w:val="0"/>
                <w:i w:val="0"/>
                <w:color w:val="000000"/>
                <w:kern w:val="0"/>
                <w:sz w:val="24"/>
                <w:szCs w:val="24"/>
                <w:lang w:val="en-US" w:eastAsia="zh-CN" w:bidi="ar"/>
              </w:rPr>
              <w:t>美国（特拉华州）</w:t>
            </w:r>
          </w:p>
        </w:tc>
        <w:tc>
          <w:tcPr>
            <w:tcW w:w="0" w:type="auto"/>
            <w:tcBorders>
              <w:top w:val="nil"/>
              <w:left w:val="nil"/>
              <w:bottom w:val="single" w:color="000000" w:sz="12" w:space="0"/>
              <w:right w:val="nil"/>
            </w:tcBorders>
            <w:shd w:val="clear" w:color="auto" w:fill="FFFFFF"/>
            <w:vAlign w:val="center"/>
          </w:tcPr>
          <w:p w14:paraId="2E3ADD07">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董事须为自然人</w:t>
            </w:r>
          </w:p>
        </w:tc>
        <w:tc>
          <w:tcPr>
            <w:tcW w:w="0" w:type="auto"/>
            <w:tcBorders>
              <w:top w:val="nil"/>
              <w:left w:val="nil"/>
              <w:bottom w:val="single" w:color="000000" w:sz="12" w:space="0"/>
              <w:right w:val="nil"/>
            </w:tcBorders>
            <w:shd w:val="clear" w:color="auto" w:fill="FFFFFF"/>
            <w:vAlign w:val="center"/>
          </w:tcPr>
          <w:p w14:paraId="3B30DA1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Delaware General Corporation Law §141(b)</w:t>
            </w:r>
          </w:p>
        </w:tc>
        <w:tc>
          <w:tcPr>
            <w:tcW w:w="0" w:type="auto"/>
            <w:tcBorders>
              <w:top w:val="nil"/>
              <w:left w:val="nil"/>
              <w:bottom w:val="single" w:color="000000" w:sz="12" w:space="0"/>
              <w:right w:val="nil"/>
            </w:tcBorders>
            <w:shd w:val="clear" w:color="auto" w:fill="FFFFFF"/>
            <w:vAlign w:val="center"/>
          </w:tcPr>
          <w:p w14:paraId="306472CF">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无法人董事制度</w:t>
            </w:r>
          </w:p>
        </w:tc>
        <w:tc>
          <w:tcPr>
            <w:tcW w:w="0" w:type="auto"/>
            <w:tcBorders>
              <w:top w:val="nil"/>
              <w:left w:val="nil"/>
              <w:bottom w:val="single" w:color="000000" w:sz="12" w:space="0"/>
              <w:right w:val="nil"/>
            </w:tcBorders>
            <w:shd w:val="clear" w:color="auto" w:fill="FFFFFF"/>
            <w:vAlign w:val="center"/>
          </w:tcPr>
          <w:p w14:paraId="38E51C13">
            <w:pPr>
              <w:keepNext w:val="0"/>
              <w:keepLines w:val="0"/>
              <w:widowControl/>
              <w:suppressLineNumbers w:val="0"/>
              <w:jc w:val="center"/>
              <w:rPr>
                <w:b w:val="0"/>
                <w:i w:val="0"/>
                <w:color w:val="000000"/>
              </w:rPr>
            </w:pPr>
            <w:r>
              <w:rPr>
                <w:rFonts w:ascii="宋体" w:hAnsi="宋体" w:eastAsia="宋体" w:cs="宋体"/>
                <w:b w:val="0"/>
                <w:i w:val="0"/>
                <w:color w:val="000000"/>
                <w:kern w:val="0"/>
                <w:sz w:val="24"/>
                <w:szCs w:val="24"/>
                <w:lang w:val="en-US" w:eastAsia="zh-CN" w:bidi="ar"/>
              </w:rPr>
              <w:t>保守</w:t>
            </w:r>
          </w:p>
        </w:tc>
      </w:tr>
    </w:tbl>
    <w:p w14:paraId="1A3176DC">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outlineLvl w:val="0"/>
        <w:rPr>
          <w:rFonts w:hint="default" w:ascii="宋体" w:hAnsi="宋体" w:eastAsia="宋体" w:cs="宋体"/>
          <w:b/>
          <w:bCs/>
          <w:sz w:val="24"/>
          <w:szCs w:val="24"/>
          <w:lang w:val="en-US" w:eastAsia="zh-CN"/>
        </w:rPr>
      </w:pPr>
    </w:p>
    <w:p w14:paraId="3FEDAF7A">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cs="Times New Roman"/>
          <w:sz w:val="21"/>
          <w:szCs w:val="21"/>
          <w:lang w:val="en-US" w:eastAsia="zh-CN"/>
        </w:rPr>
        <w:t>但在法人制度（及公司法制度）不断完善的今天，如法国、荷兰、西班牙等国家均在不同程度上作制度松绑，认可法人具备担任董事的任职资格（见表1）。因而，佛罗里达大学莱文法学院教授瑞依（Robert J.Rhee）主张，AI获得自我意识、能动性和独特智能时，就将获得本体论人格（ontological personhood），法律可以像过去赋予传统商业公司人格地位一</w:t>
      </w:r>
      <w:r>
        <w:rPr>
          <w:rFonts w:hint="eastAsia" w:ascii="宋体" w:hAnsi="宋体" w:eastAsia="宋体"/>
          <w:sz w:val="21"/>
          <w:szCs w:val="21"/>
          <w:lang w:val="en-US" w:eastAsia="zh-CN"/>
        </w:rPr>
        <w:t>样赋</w:t>
      </w:r>
      <w:r>
        <w:rPr>
          <w:rFonts w:hint="eastAsia" w:ascii="宋体" w:hAnsi="宋体" w:eastAsia="宋体" w:cs="Times New Roman"/>
          <w:sz w:val="21"/>
          <w:szCs w:val="21"/>
          <w:lang w:val="en-US" w:eastAsia="zh-CN"/>
        </w:rPr>
        <w:t>予AI法人地位。</w:t>
      </w:r>
      <w:r>
        <w:rPr>
          <w:rFonts w:hint="eastAsia" w:ascii="宋体" w:hAnsi="宋体" w:eastAsia="宋体" w:cs="Times New Roman"/>
          <w:sz w:val="21"/>
          <w:szCs w:val="21"/>
          <w:vertAlign w:val="baseline"/>
          <w:lang w:val="en-US" w:eastAsia="zh-CN"/>
        </w:rPr>
        <w:fldChar w:fldCharType="begin"/>
      </w:r>
      <w:r>
        <w:instrText xml:space="preserve"> REF _Ref11908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24"/>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对此，亦有学者从“法人有资格担任董事（大前提），AI应具备法人资格（小前提），AI可任董事（结论）”这一逻辑出发，论证AI董事任职资格的适格性。</w:t>
      </w:r>
    </w:p>
    <w:p w14:paraId="5074D8E7">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从“法主体”人格的内涵来看，同时结合制度变迁的角度，自然人也并非一直具备法律主体地位</w:t>
      </w:r>
      <w:r>
        <w:rPr>
          <w:rStyle w:val="19"/>
          <w:rFonts w:hint="eastAsia" w:ascii="宋体" w:hAnsi="宋体" w:eastAsia="宋体" w:cs="Times New Roman"/>
          <w:sz w:val="21"/>
          <w:szCs w:val="21"/>
          <w:lang w:val="en-US" w:eastAsia="zh-CN"/>
        </w:rPr>
        <w:footnoteReference w:id="25"/>
      </w:r>
      <w:r>
        <w:rPr>
          <w:rFonts w:hint="eastAsia" w:ascii="宋体" w:hAnsi="宋体" w:eastAsia="宋体"/>
          <w:sz w:val="21"/>
          <w:szCs w:val="21"/>
          <w:lang w:val="en-US" w:eastAsia="zh-CN"/>
        </w:rPr>
        <w:t>。后来，为满足公司（企业）经济运行的便利性，也才将符合一定要件的公司拟制为法人主体。因此，法律主体的范围并不绝对局限于伦理上的自然人，</w:t>
      </w:r>
      <w:r>
        <w:rPr>
          <w:rFonts w:hint="eastAsia" w:ascii="宋体" w:hAnsi="宋体" w:eastAsia="宋体" w:cs="Times New Roman"/>
          <w:sz w:val="21"/>
          <w:szCs w:val="21"/>
          <w:vertAlign w:val="baseline"/>
          <w:lang w:val="en-US" w:eastAsia="zh-CN"/>
        </w:rPr>
        <w:fldChar w:fldCharType="begin"/>
      </w:r>
      <w:r>
        <w:instrText xml:space="preserve"> REF _Ref11924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26"/>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以不具备伦理人的特征而否定AI董事的主体资格也实属不智。甚至，人工智能已经可通过深度学习方法完成自身知识库更新、算法升级，而算法升级后作出的最终决策和行为已经不受包括程序设计者在内的外界的控制和预测，深度学习智能机器人可以拥有创意和创新。更何况，自然人路径下的伦理与理性能力并非判断法律主体适格的充分要件，AI董事作为非生物实体，亦可参照公司法人的路径获得相应的主体资格。当然，亦有学者主张，在自然人、法人和非法人组织是法定三类主体之外开辟新类型的民事主体资格，即“智能人”，与既有的三类民事主体并列，其主体资格自向主管部门登记时产生，注销登记时消灭。</w:t>
      </w:r>
      <w:r>
        <w:rPr>
          <w:rFonts w:hint="eastAsia" w:ascii="宋体" w:hAnsi="宋体" w:eastAsia="宋体" w:cs="Times New Roman"/>
          <w:sz w:val="21"/>
          <w:szCs w:val="21"/>
          <w:vertAlign w:val="baseline"/>
          <w:lang w:val="en-US" w:eastAsia="zh-CN"/>
        </w:rPr>
        <w:fldChar w:fldCharType="begin"/>
      </w:r>
      <w:r>
        <w:instrText xml:space="preserve"> REF _Ref11944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27"/>
      </w:r>
      <w:r>
        <w:rPr>
          <w:rFonts w:hint="eastAsia" w:ascii="宋体" w:hAnsi="宋体" w:eastAsia="宋体" w:cs="Times New Roman"/>
          <w:sz w:val="21"/>
          <w:szCs w:val="21"/>
          <w:vertAlign w:val="baseline"/>
          <w:lang w:val="en-US" w:eastAsia="zh-CN"/>
        </w:rPr>
        <w:fldChar w:fldCharType="end"/>
      </w:r>
    </w:p>
    <w:p w14:paraId="15E8A00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AI董事履行忠实、勤勉义务的适格性</w:t>
      </w:r>
    </w:p>
    <w:p w14:paraId="17304C88">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rPr>
      </w:pPr>
      <w:r>
        <w:rPr>
          <w:rFonts w:hint="eastAsia" w:ascii="宋体" w:hAnsi="宋体" w:eastAsia="宋体"/>
          <w:sz w:val="21"/>
          <w:szCs w:val="21"/>
          <w:lang w:val="en-US" w:eastAsia="zh-CN"/>
        </w:rPr>
        <w:t>董事承担以忠实义务、勤勉义务为核心的信义义务，是其坚持公司利益至上原则，经“委托—代理”而授权管理经营公司的基础法律关系。换言之，公司董事的忠实、勤勉义务主要源于董事与公司之间的代理关系，董事忠实义务要求董事在处理公司事务时必须保持诚实和忠诚，不得利用自身地位谋取私利或损害公司利益</w:t>
      </w:r>
      <w:r>
        <w:rPr>
          <w:rStyle w:val="19"/>
          <w:rFonts w:hint="eastAsia" w:ascii="宋体" w:hAnsi="宋体" w:eastAsia="宋体"/>
          <w:sz w:val="21"/>
          <w:szCs w:val="21"/>
          <w:lang w:val="en-US" w:eastAsia="zh-CN"/>
        </w:rPr>
        <w:footnoteReference w:id="28"/>
      </w:r>
      <w:r>
        <w:rPr>
          <w:rFonts w:hint="eastAsia" w:ascii="宋体" w:hAnsi="宋体" w:eastAsia="宋体"/>
          <w:sz w:val="21"/>
          <w:szCs w:val="21"/>
          <w:lang w:val="en-US" w:eastAsia="zh-CN"/>
        </w:rPr>
        <w:t>；董事勤勉义务要求董事在处理公司事务时</w:t>
      </w:r>
      <w:r>
        <w:rPr>
          <w:rFonts w:hint="eastAsia" w:ascii="宋体" w:hAnsi="宋体" w:eastAsia="宋体" w:cs="Times New Roman"/>
          <w:sz w:val="21"/>
          <w:szCs w:val="21"/>
        </w:rPr>
        <w:t>尽到合理注意、谨慎</w:t>
      </w:r>
      <w:r>
        <w:rPr>
          <w:rFonts w:hint="eastAsia" w:ascii="宋体" w:hAnsi="宋体" w:eastAsia="宋体" w:cs="Times New Roman"/>
          <w:sz w:val="21"/>
          <w:szCs w:val="21"/>
          <w:lang w:eastAsia="zh-CN"/>
        </w:rPr>
        <w:t>的</w:t>
      </w:r>
      <w:r>
        <w:rPr>
          <w:rFonts w:hint="eastAsia" w:ascii="宋体" w:hAnsi="宋体" w:eastAsia="宋体" w:cs="Times New Roman"/>
          <w:sz w:val="21"/>
          <w:szCs w:val="21"/>
          <w:lang w:val="en-US" w:eastAsia="zh-CN"/>
        </w:rPr>
        <w:t>态度</w:t>
      </w:r>
      <w:r>
        <w:rPr>
          <w:rFonts w:hint="eastAsia" w:ascii="宋体" w:hAnsi="宋体" w:eastAsia="宋体" w:cs="Times New Roman"/>
          <w:sz w:val="21"/>
          <w:szCs w:val="21"/>
        </w:rPr>
        <w:t>，以善良管理人的标准作出决策</w:t>
      </w:r>
      <w:r>
        <w:rPr>
          <w:rStyle w:val="19"/>
          <w:rFonts w:hint="eastAsia" w:ascii="宋体" w:hAnsi="宋体" w:eastAsia="宋体" w:cs="Times New Roman"/>
          <w:sz w:val="21"/>
          <w:szCs w:val="21"/>
        </w:rPr>
        <w:footnoteReference w:id="29"/>
      </w:r>
      <w:r>
        <w:rPr>
          <w:rFonts w:hint="eastAsia" w:ascii="宋体" w:hAnsi="宋体" w:eastAsia="宋体" w:cs="Times New Roman"/>
          <w:sz w:val="21"/>
          <w:szCs w:val="21"/>
        </w:rPr>
        <w:t>。</w:t>
      </w:r>
      <w:r>
        <w:rPr>
          <w:rFonts w:hint="eastAsia" w:ascii="宋体" w:hAnsi="宋体" w:eastAsia="宋体" w:cs="Times New Roman"/>
          <w:sz w:val="21"/>
          <w:szCs w:val="21"/>
          <w:lang w:val="en-US" w:eastAsia="zh-CN"/>
        </w:rPr>
        <w:t>但从某种程度上而言，AI董事或将成为最忠于“职守”的存在，基于代理成本理论而构建的现代公司治理机制或将发生巨大改变。</w:t>
      </w:r>
      <w:r>
        <w:rPr>
          <w:rFonts w:hint="eastAsia" w:ascii="宋体" w:hAnsi="宋体" w:eastAsia="宋体" w:cs="Times New Roman"/>
          <w:sz w:val="21"/>
          <w:szCs w:val="21"/>
          <w:vertAlign w:val="baseline"/>
          <w:lang w:val="en-US" w:eastAsia="zh-CN"/>
        </w:rPr>
        <w:fldChar w:fldCharType="begin"/>
      </w:r>
      <w:r>
        <w:instrText xml:space="preserve"> REF _Ref30671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30"/>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其缘由在于，包括我国在内的不少国家，信义义务的适用尚停留在松散的“义务束”状态，且缺乏逻辑主线，其具体内涵也并不清晰。</w:t>
      </w:r>
      <w:r>
        <w:rPr>
          <w:rFonts w:hint="eastAsia" w:ascii="宋体" w:hAnsi="宋体" w:eastAsia="宋体" w:cs="Times New Roman"/>
          <w:sz w:val="21"/>
          <w:szCs w:val="21"/>
          <w:vertAlign w:val="baseline"/>
          <w:lang w:val="en-US" w:eastAsia="zh-CN"/>
        </w:rPr>
        <w:fldChar w:fldCharType="begin"/>
      </w:r>
      <w:r>
        <w:instrText xml:space="preserve"> REF _Ref30694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31"/>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在具体案情或特定关系中，忠实义务、勤勉义务及合规监督义务的具体内容的判定本身就具有较高的可塑性。循此逻辑，公司法为自然人董事制定的代理规则是否当然适用于AI董事，其答案是显而易见的——在特定的角色职位与行为决策中，AI董事与自然人董事的地位和代理关系并无本质不同。并且，从信赖理论分析，公司及全体股东（或大部分股东）基于对AI董事客观、中立、效率、忠诚、智能等因素的考量而对其产生信赖，那么，AI董事就有义务回应并负有信义义务。</w:t>
      </w:r>
      <w:r>
        <w:rPr>
          <w:rFonts w:hint="eastAsia" w:ascii="宋体" w:hAnsi="宋体" w:eastAsia="宋体" w:cs="Times New Roman"/>
          <w:sz w:val="21"/>
          <w:szCs w:val="21"/>
          <w:vertAlign w:val="baseline"/>
          <w:lang w:val="en-US" w:eastAsia="zh-CN"/>
        </w:rPr>
        <w:fldChar w:fldCharType="begin"/>
      </w:r>
      <w:r>
        <w:instrText xml:space="preserve"> REF _Ref30711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32"/>
      </w:r>
      <w:r>
        <w:rPr>
          <w:rFonts w:hint="eastAsia" w:ascii="宋体" w:hAnsi="宋体" w:eastAsia="宋体" w:cs="Times New Roman"/>
          <w:sz w:val="21"/>
          <w:szCs w:val="21"/>
          <w:vertAlign w:val="baseline"/>
          <w:lang w:val="en-US" w:eastAsia="zh-CN"/>
        </w:rPr>
        <w:fldChar w:fldCharType="end"/>
      </w:r>
    </w:p>
    <w:p w14:paraId="05103496">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sz w:val="21"/>
          <w:szCs w:val="21"/>
          <w:lang w:val="en-US" w:eastAsia="zh-CN"/>
        </w:rPr>
        <w:t>例证而言，作为董事履职的底线要求——忠实义务，实践中，自然人董事可能基于自身利益或者相关利益当事人的请托，</w:t>
      </w:r>
      <w:r>
        <w:rPr>
          <w:rFonts w:hint="eastAsia" w:ascii="宋体" w:hAnsi="宋体" w:eastAsia="宋体" w:cs="Times New Roman"/>
          <w:sz w:val="21"/>
          <w:szCs w:val="21"/>
        </w:rPr>
        <w:t>在</w:t>
      </w:r>
      <w:r>
        <w:rPr>
          <w:rFonts w:hint="eastAsia" w:ascii="宋体" w:hAnsi="宋体" w:eastAsia="宋体" w:cs="Times New Roman"/>
          <w:sz w:val="21"/>
          <w:szCs w:val="21"/>
          <w:lang w:val="en-US" w:eastAsia="zh-CN"/>
        </w:rPr>
        <w:t>履职的过程</w:t>
      </w:r>
      <w:r>
        <w:rPr>
          <w:rFonts w:hint="eastAsia" w:ascii="宋体" w:hAnsi="宋体" w:eastAsia="宋体" w:cs="Times New Roman"/>
          <w:sz w:val="21"/>
          <w:szCs w:val="21"/>
        </w:rPr>
        <w:t>中未如实或完全披露与标的公司的关联</w:t>
      </w:r>
      <w:r>
        <w:rPr>
          <w:rFonts w:hint="eastAsia" w:ascii="宋体" w:hAnsi="宋体" w:eastAsia="宋体" w:cs="Times New Roman"/>
          <w:sz w:val="21"/>
          <w:szCs w:val="21"/>
          <w:lang w:val="en-US" w:eastAsia="zh-CN"/>
        </w:rPr>
        <w:t>关系</w:t>
      </w:r>
      <w:r>
        <w:rPr>
          <w:rFonts w:hint="eastAsia" w:ascii="宋体" w:hAnsi="宋体" w:eastAsia="宋体" w:cs="Times New Roman"/>
          <w:sz w:val="21"/>
          <w:szCs w:val="21"/>
        </w:rPr>
        <w:t>，以影响并购批准。</w:t>
      </w:r>
      <w:r>
        <w:rPr>
          <w:rFonts w:hint="eastAsia" w:ascii="宋体" w:hAnsi="宋体" w:eastAsia="宋体" w:cs="Times New Roman"/>
          <w:sz w:val="21"/>
          <w:szCs w:val="21"/>
          <w:lang w:val="en-US" w:eastAsia="zh-CN"/>
        </w:rPr>
        <w:t>相对而言，凭借监督学习( SL) 、基于人类反馈的强化学习( RLHF) 、宪法人工智能( Constitutional AI) 等价值对齐技术，可将公司治理者所倡导的抽象的伦理原则嵌入到AI董事的底层代码当中，并转化为具体的系统行为。例如，价值观内置( Value by Design) 方法试图将伦理考量直接整合到人工智能系统的设计过程汇总，具体包括在数据收集和预处理阶段检测并消除训练数据中的偏见、在算法设计环节引入公平性约束、在决策框架中嵌入伦理推理机制。同时，也可以利用基于人类反馈的强化学习（RLHF）的方法，训练一个能够捕捉人类偏好奖励模型,</w:t>
      </w:r>
      <w:r>
        <w:rPr>
          <w:rFonts w:hint="eastAsia" w:ascii="宋体" w:hAnsi="宋体" w:eastAsia="宋体" w:cs="Times New Roman"/>
          <w:sz w:val="21"/>
          <w:szCs w:val="21"/>
          <w:vertAlign w:val="baseline"/>
          <w:lang w:val="en-US" w:eastAsia="zh-CN"/>
        </w:rPr>
        <w:fldChar w:fldCharType="begin"/>
      </w:r>
      <w:r>
        <w:instrText xml:space="preserve"> REF _Ref30740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33"/>
      </w:r>
      <w:r>
        <w:rPr>
          <w:rFonts w:hint="eastAsia" w:ascii="宋体" w:hAnsi="宋体" w:eastAsia="宋体" w:cs="Times New Roman"/>
          <w:sz w:val="21"/>
          <w:szCs w:val="21"/>
          <w:vertAlign w:val="baseline"/>
          <w:lang w:val="en-US" w:eastAsia="zh-CN"/>
        </w:rPr>
        <w:fldChar w:fldCharType="end"/>
      </w:r>
      <w:r>
        <w:rPr>
          <w:rFonts w:hint="eastAsia" w:ascii="宋体" w:hAnsi="宋体" w:eastAsia="宋体" w:cs="Times New Roman"/>
          <w:sz w:val="21"/>
          <w:szCs w:val="21"/>
          <w:lang w:val="en-US" w:eastAsia="zh-CN"/>
        </w:rPr>
        <w:t>进而，使用该奖励模型引导AI董事强化学习过程，使其生成更符合公司价值观的决策内容。在此过程中，通过定期伦理审计、用户反馈收集、多方利益代表参与的讨论机制等常态化价值评估与调整机制，优化AI董事对于信义义务具体内容的理解与解释，进而推进公司信义义务理论所倡导的忠实、勤勉、合规监管等具体的义务内容，均可在不同程度上得到落实。</w:t>
      </w:r>
    </w:p>
    <w:p w14:paraId="73B9981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AI董事秉承独立性立场的盖然性</w:t>
      </w:r>
    </w:p>
    <w:p w14:paraId="56FB4C8C">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rPr>
      </w:pPr>
      <w:r>
        <w:rPr>
          <w:rFonts w:hint="eastAsia" w:ascii="宋体" w:hAnsi="宋体" w:eastAsia="宋体" w:cs="Times New Roman"/>
          <w:sz w:val="21"/>
          <w:szCs w:val="21"/>
          <w:lang w:val="en-US" w:eastAsia="zh-CN"/>
        </w:rPr>
        <w:t>保证独立性是独董有效履行职责的前提。现有研究不乏从严控独立董事任职门槛、优化提名与聘任机制</w:t>
      </w:r>
      <w:r>
        <w:rPr>
          <w:rFonts w:hint="eastAsia" w:ascii="宋体" w:hAnsi="宋体" w:eastAsia="宋体" w:cs="Times New Roman"/>
          <w:sz w:val="21"/>
          <w:szCs w:val="21"/>
          <w:vertAlign w:val="baseline"/>
          <w:lang w:val="en-US" w:eastAsia="zh-CN"/>
        </w:rPr>
        <w:fldChar w:fldCharType="begin"/>
      </w:r>
      <w:r>
        <w:instrText xml:space="preserve"> REF _Ref30756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34"/>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eastAsia="zh-CN"/>
        </w:rPr>
        <w:t>；</w:t>
      </w:r>
      <w:r>
        <w:rPr>
          <w:rFonts w:hint="eastAsia" w:ascii="宋体" w:hAnsi="宋体" w:eastAsia="宋体"/>
          <w:sz w:val="21"/>
          <w:szCs w:val="21"/>
          <w:lang w:val="en-US" w:eastAsia="zh-CN"/>
        </w:rPr>
        <w:t>提高独立董事薪酬水准，完善独董履职激励机制</w:t>
      </w:r>
      <w:r>
        <w:rPr>
          <w:rFonts w:hint="eastAsia" w:ascii="宋体" w:hAnsi="宋体" w:eastAsia="宋体" w:cs="Times New Roman"/>
          <w:sz w:val="21"/>
          <w:szCs w:val="21"/>
          <w:vertAlign w:val="baseline"/>
          <w:lang w:val="en-US" w:eastAsia="zh-CN"/>
        </w:rPr>
        <w:fldChar w:fldCharType="begin"/>
      </w:r>
      <w:r>
        <w:instrText xml:space="preserve"> REF _Ref30776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35"/>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eastAsia="zh-CN"/>
        </w:rPr>
        <w:t>；</w:t>
      </w:r>
      <w:r>
        <w:rPr>
          <w:rFonts w:hint="eastAsia" w:ascii="宋体" w:hAnsi="宋体" w:eastAsia="宋体"/>
          <w:sz w:val="21"/>
          <w:szCs w:val="21"/>
          <w:lang w:val="en-US" w:eastAsia="zh-CN"/>
        </w:rPr>
        <w:t>区分与非独立董事的责任混同，适当缓和独立董事责任承担比重等</w:t>
      </w:r>
      <w:r>
        <w:rPr>
          <w:rFonts w:hint="eastAsia" w:ascii="宋体" w:hAnsi="宋体" w:eastAsia="宋体" w:cs="Times New Roman"/>
          <w:sz w:val="21"/>
          <w:szCs w:val="21"/>
          <w:vertAlign w:val="baseline"/>
          <w:lang w:val="en-US" w:eastAsia="zh-CN"/>
        </w:rPr>
        <w:fldChar w:fldCharType="begin"/>
      </w:r>
      <w:r>
        <w:instrText xml:space="preserve"> REF _Ref30795 \r \h  \* MERGEFORMAT</w:instrText>
      </w:r>
      <w:r>
        <w:rPr>
          <w:rFonts w:hint="eastAsia" w:ascii="宋体" w:hAnsi="宋体" w:eastAsia="宋体" w:cs="Times New Roman"/>
          <w:sz w:val="21"/>
          <w:szCs w:val="21"/>
          <w:vertAlign w:val="baseline"/>
          <w:lang w:val="en-US" w:eastAsia="zh-CN"/>
        </w:rPr>
        <w:fldChar w:fldCharType="separate"/>
      </w:r>
      <w:r>
        <w:rPr>
          <w:rFonts w:hint="eastAsia" w:ascii="宋体" w:hAnsi="宋体" w:eastAsia="宋体" w:cs="Times New Roman"/>
          <w:sz w:val="21"/>
          <w:szCs w:val="21"/>
          <w:vertAlign w:val="baseline"/>
          <w:lang w:val="en-US" w:eastAsia="zh-CN"/>
        </w:rPr>
        <w:fldChar w:fldCharType="end"/>
      </w:r>
      <w:r>
        <w:rPr>
          <w:rFonts w:hint="eastAsia" w:ascii="宋体" w:hAnsi="宋体" w:eastAsia="宋体"/>
          <w:sz w:val="21"/>
          <w:szCs w:val="21"/>
          <w:lang w:val="en-US" w:eastAsia="zh-CN"/>
        </w:rPr>
        <w:t>角度出发</w:t>
      </w:r>
      <w:r>
        <w:rPr>
          <w:rStyle w:val="19"/>
          <w:rFonts w:hint="eastAsia" w:ascii="宋体" w:hAnsi="宋体" w:eastAsia="宋体"/>
          <w:sz w:val="21"/>
          <w:szCs w:val="21"/>
          <w:lang w:val="en-US" w:eastAsia="zh-CN"/>
        </w:rPr>
        <w:footnoteReference w:id="36"/>
      </w:r>
      <w:r>
        <w:rPr>
          <w:rFonts w:hint="eastAsia" w:ascii="宋体" w:hAnsi="宋体" w:eastAsia="宋体"/>
          <w:sz w:val="21"/>
          <w:szCs w:val="21"/>
          <w:lang w:val="en-US" w:eastAsia="zh-CN"/>
        </w:rPr>
        <w:t>，意在从保证独立董事的身份独立、履职独立和独立性核查等方向为独立董事履职“保驾护航”。</w:t>
      </w:r>
      <w:r>
        <w:rPr>
          <w:rFonts w:hint="eastAsia" w:ascii="宋体" w:hAnsi="宋体" w:eastAsia="宋体" w:cs="Times New Roman"/>
          <w:sz w:val="21"/>
          <w:szCs w:val="21"/>
          <w:lang w:val="en-US" w:eastAsia="zh-CN"/>
        </w:rPr>
        <w:t>但相较于</w:t>
      </w:r>
      <w:r>
        <w:rPr>
          <w:rFonts w:hint="eastAsia" w:ascii="宋体" w:hAnsi="宋体" w:eastAsia="宋体" w:cs="Times New Roman"/>
          <w:sz w:val="21"/>
          <w:szCs w:val="21"/>
        </w:rPr>
        <w:t>与实中“独而不立”已成顽疾的独立董事相比，AI董事</w:t>
      </w:r>
      <w:r>
        <w:rPr>
          <w:rFonts w:hint="eastAsia" w:ascii="宋体" w:hAnsi="宋体" w:eastAsia="宋体" w:cs="Times New Roman"/>
          <w:sz w:val="21"/>
          <w:szCs w:val="21"/>
          <w:lang w:val="en-US" w:eastAsia="zh-CN"/>
        </w:rPr>
        <w:t>从“基因”</w:t>
      </w:r>
      <w:r>
        <w:rPr>
          <w:rFonts w:hint="eastAsia" w:ascii="宋体" w:hAnsi="宋体" w:eastAsia="宋体" w:cs="Times New Roman"/>
          <w:sz w:val="21"/>
          <w:szCs w:val="21"/>
        </w:rPr>
        <w:t>便不携带任何社会关系或利益纽带</w:t>
      </w:r>
      <w:r>
        <w:rPr>
          <w:rFonts w:hint="eastAsia" w:ascii="宋体" w:hAnsi="宋体" w:eastAsia="宋体" w:cs="Times New Roman"/>
          <w:sz w:val="21"/>
          <w:szCs w:val="21"/>
          <w:lang w:eastAsia="zh-CN"/>
        </w:rPr>
        <w:t>。</w:t>
      </w:r>
      <w:r>
        <w:rPr>
          <w:rFonts w:hint="eastAsia" w:ascii="宋体" w:hAnsi="宋体" w:eastAsia="宋体" w:cs="Times New Roman"/>
          <w:sz w:val="21"/>
          <w:szCs w:val="21"/>
        </w:rPr>
        <w:t>其没有亲情、友情、政商网络，也不存在旋转门效应与声誉依附，因此不可能因人情、关系或再就业考量而发生立场偏移。</w:t>
      </w:r>
      <w:r>
        <w:rPr>
          <w:rFonts w:hint="eastAsia" w:ascii="宋体" w:hAnsi="宋体" w:eastAsia="宋体" w:cs="Times New Roman"/>
          <w:sz w:val="21"/>
          <w:szCs w:val="21"/>
          <w:lang w:val="en-US" w:eastAsia="zh-CN"/>
        </w:rPr>
        <w:t>其中，</w:t>
      </w:r>
      <w:r>
        <w:rPr>
          <w:rFonts w:hint="eastAsia" w:ascii="宋体" w:hAnsi="宋体" w:eastAsia="宋体" w:cs="Times New Roman"/>
          <w:sz w:val="21"/>
          <w:szCs w:val="21"/>
        </w:rPr>
        <w:t>与控股股东的商业往来、与管理层的师友关系、甚至对外部职业市场的声誉依赖，都可能在无形中侵蚀其判断的客观性；即便监管层通过信息披露、关联交易回避、任职年限与人数限制等方式“层层设防”，也难以完全阻绝利益输送与立场倾斜。</w:t>
      </w:r>
      <w:r>
        <w:rPr>
          <w:rFonts w:hint="eastAsia" w:ascii="宋体" w:hAnsi="宋体" w:eastAsia="宋体" w:cs="Times New Roman"/>
          <w:sz w:val="21"/>
          <w:szCs w:val="21"/>
          <w:lang w:val="en-US" w:eastAsia="zh-CN"/>
        </w:rPr>
        <w:t>而AI董事</w:t>
      </w:r>
      <w:r>
        <w:rPr>
          <w:rFonts w:hint="eastAsia" w:ascii="宋体" w:hAnsi="宋体" w:eastAsia="宋体" w:cs="Times New Roman"/>
          <w:sz w:val="21"/>
          <w:szCs w:val="21"/>
        </w:rPr>
        <w:t>其决策逻辑可在代码层面提前写入利益冲突探测—自动回避机制：当算法检测到关联交易、内幕信息或重大关联方时将自动触发权限隔离或暂停表决并生成不可篡改的链式日志，供内部审计与外部监管实时抽检。</w:t>
      </w:r>
      <w:r>
        <w:rPr>
          <w:rFonts w:hint="eastAsia" w:ascii="宋体" w:hAnsi="宋体" w:eastAsia="宋体" w:cs="Times New Roman"/>
          <w:sz w:val="21"/>
          <w:szCs w:val="21"/>
          <w:lang w:val="en-US" w:eastAsia="zh-CN"/>
        </w:rPr>
        <w:t>另一方面，</w:t>
      </w:r>
      <w:r>
        <w:rPr>
          <w:rFonts w:hint="eastAsia" w:ascii="宋体" w:hAnsi="宋体" w:eastAsia="宋体" w:cs="Times New Roman"/>
          <w:sz w:val="21"/>
          <w:szCs w:val="21"/>
        </w:rPr>
        <w:t>维系</w:t>
      </w:r>
      <w:r>
        <w:rPr>
          <w:rFonts w:hint="eastAsia" w:ascii="宋体" w:hAnsi="宋体" w:eastAsia="宋体" w:cs="Times New Roman"/>
          <w:sz w:val="21"/>
          <w:szCs w:val="21"/>
          <w:lang w:val="en-US" w:eastAsia="zh-CN"/>
        </w:rPr>
        <w:t>自然人</w:t>
      </w:r>
      <w:r>
        <w:rPr>
          <w:rFonts w:hint="eastAsia" w:ascii="宋体" w:hAnsi="宋体" w:eastAsia="宋体" w:cs="Times New Roman"/>
          <w:sz w:val="21"/>
          <w:szCs w:val="21"/>
        </w:rPr>
        <w:t>独立董事“独立—专业—问责”三角</w:t>
      </w:r>
      <w:r>
        <w:rPr>
          <w:rFonts w:hint="eastAsia" w:ascii="宋体" w:hAnsi="宋体" w:eastAsia="宋体" w:cs="Times New Roman"/>
          <w:sz w:val="21"/>
          <w:szCs w:val="21"/>
          <w:lang w:val="en-US" w:eastAsia="zh-CN"/>
        </w:rPr>
        <w:t>平衡</w:t>
      </w:r>
      <w:r>
        <w:rPr>
          <w:rFonts w:hint="eastAsia" w:ascii="宋体" w:hAnsi="宋体" w:eastAsia="宋体" w:cs="Times New Roman"/>
          <w:sz w:val="21"/>
          <w:szCs w:val="21"/>
        </w:rPr>
        <w:t>通常需要高额的遴选费用、年度薪酬、股权激励、责任保险、培训调研及高频监管抽检</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相较而言，</w:t>
      </w:r>
      <w:r>
        <w:rPr>
          <w:rFonts w:hint="eastAsia" w:ascii="宋体" w:hAnsi="宋体" w:eastAsia="宋体" w:cs="Times New Roman"/>
          <w:sz w:val="21"/>
          <w:szCs w:val="21"/>
        </w:rPr>
        <w:t>AI董事上线后的边际成本主要体现在算力与</w:t>
      </w:r>
      <w:r>
        <w:rPr>
          <w:rFonts w:hint="eastAsia" w:ascii="宋体" w:hAnsi="宋体" w:eastAsia="宋体" w:cs="Times New Roman"/>
          <w:sz w:val="21"/>
          <w:szCs w:val="21"/>
          <w:lang w:val="en-US" w:eastAsia="zh-CN"/>
        </w:rPr>
        <w:t>运行维护</w:t>
      </w:r>
      <w:r>
        <w:rPr>
          <w:rFonts w:hint="eastAsia" w:ascii="宋体" w:hAnsi="宋体" w:eastAsia="宋体" w:cs="Times New Roman"/>
          <w:sz w:val="21"/>
          <w:szCs w:val="21"/>
        </w:rPr>
        <w:t>，且可在</w:t>
      </w:r>
      <w:r>
        <w:rPr>
          <w:rFonts w:hint="eastAsia" w:ascii="宋体" w:hAnsi="宋体" w:eastAsia="宋体" w:cs="Times New Roman"/>
          <w:sz w:val="21"/>
          <w:szCs w:val="21"/>
          <w:lang w:val="en-US" w:eastAsia="zh-CN"/>
        </w:rPr>
        <w:t>投资人</w:t>
      </w:r>
      <w:r>
        <w:rPr>
          <w:rFonts w:hint="eastAsia" w:ascii="宋体" w:hAnsi="宋体" w:eastAsia="宋体" w:cs="Times New Roman"/>
          <w:sz w:val="21"/>
          <w:szCs w:val="21"/>
        </w:rPr>
        <w:t>多家</w:t>
      </w:r>
      <w:r>
        <w:rPr>
          <w:rFonts w:hint="eastAsia" w:ascii="宋体" w:hAnsi="宋体" w:eastAsia="宋体" w:cs="Times New Roman"/>
          <w:sz w:val="21"/>
          <w:szCs w:val="21"/>
          <w:lang w:val="en-US" w:eastAsia="zh-CN"/>
        </w:rPr>
        <w:t>关联</w:t>
      </w:r>
      <w:r>
        <w:rPr>
          <w:rFonts w:hint="eastAsia" w:ascii="宋体" w:hAnsi="宋体" w:eastAsia="宋体" w:cs="Times New Roman"/>
          <w:sz w:val="21"/>
          <w:szCs w:val="21"/>
        </w:rPr>
        <w:t>公司并行部署</w:t>
      </w:r>
      <w:r>
        <w:rPr>
          <w:rFonts w:hint="eastAsia" w:ascii="宋体" w:hAnsi="宋体" w:eastAsia="宋体" w:cs="Times New Roman"/>
          <w:sz w:val="21"/>
          <w:szCs w:val="21"/>
          <w:lang w:eastAsia="zh-CN"/>
        </w:rPr>
        <w:t>。</w:t>
      </w:r>
      <w:r>
        <w:rPr>
          <w:rFonts w:hint="eastAsia" w:ascii="宋体" w:hAnsi="宋体" w:eastAsia="宋体" w:cs="Times New Roman"/>
          <w:sz w:val="21"/>
          <w:szCs w:val="21"/>
        </w:rPr>
        <w:t>其履职日志、模型版本与数据调用可自动上链留痕，监管机构可通过API按需调阅，省却了大量现场核查与事后问责的人力物力。</w:t>
      </w:r>
    </w:p>
    <w:p w14:paraId="3F2A63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0" w:firstLineChars="0"/>
        <w:textAlignment w:val="auto"/>
        <w:outlineLvl w:val="0"/>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AI董事履行独立董事核心职能的逻辑耦合与替代</w:t>
      </w:r>
    </w:p>
    <w:p w14:paraId="5FCA06E2">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cs="Times New Roman"/>
          <w:sz w:val="21"/>
          <w:szCs w:val="21"/>
          <w:lang w:val="en-US" w:eastAsia="zh-CN"/>
        </w:rPr>
        <w:t>我国引入独立董事制度这一“舶来品”，本意是针对我国股份公司股权高度集中，第一大股东平均持股比例超过30%，易产生“一股独大”的公司治理现象，对此，希冀独立董事能够发挥公正评价与监督作用，解决上市公司内部人控制，弥补监事会失效，加强对中小股东利益的保护。</w:t>
      </w:r>
      <w:r>
        <w:rPr>
          <w:rFonts w:hint="eastAsia" w:ascii="宋体" w:hAnsi="宋体" w:eastAsia="宋体"/>
          <w:sz w:val="21"/>
          <w:szCs w:val="21"/>
          <w:lang w:val="en-US" w:eastAsia="zh-CN"/>
        </w:rPr>
        <w:t>但在前文AI董事应用技术前提与法律适格性均具备的情形下，是否仍需沿袭这一制度，并试图竭力克服现实中独立董事“不独立、难独立”的窘境，则有待考量。为此，本节从前述技术可行性和适法行的基础上，结合独立董事在法律以及实务中的核心职能发挥，释明AI董事对其核心职能的耦合与替代。</w:t>
      </w:r>
    </w:p>
    <w:p w14:paraId="4CFE1C0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outlineLvl w:val="0"/>
        <w:rPr>
          <w:rFonts w:hint="eastAsia" w:ascii="华文楷体" w:hAnsi="华文楷体" w:eastAsia="华文楷体" w:cstheme="minorBidi"/>
          <w:lang w:val="en-US" w:eastAsia="zh-CN"/>
        </w:rPr>
      </w:pPr>
      <w:r>
        <w:rPr>
          <w:rFonts w:hint="eastAsia" w:ascii="华文楷体" w:hAnsi="华文楷体" w:eastAsia="华文楷体" w:cstheme="minorBidi"/>
          <w:lang w:val="en-US" w:eastAsia="zh-CN"/>
        </w:rPr>
        <w:t>参与决策职能：价值对齐下的多目标权衡</w:t>
      </w:r>
    </w:p>
    <w:p w14:paraId="4849B99F">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独立董事参与决策的核心，不在于替代经营层作商业判断，而在于把公司利益、中小股东利益与长期治理目标放入同一框架中加以考量，这本质上不是单一效率选择，而是持续性的利益权衡。AI董事的介入，侧重于把原本依赖个人经验的模糊判断转化为可验证的多目标优化过程。公司章程、治理目标、风险偏好、ESG约束及中小股东保护要求，都可被设定为决策边界，AI据此对投资、并购、融资等方案进行情景推演和压力测试，识别短期收益与长期风险之间的真实张力。也正因此，所谓“德商”并不必然体现为情感道德，而更体现为对基本治理价值的稳定执行，它能减少管理层逐利冲动对董事会判断的牵引，使决策更接近制度初衷而非关系结构。</w:t>
      </w:r>
    </w:p>
    <w:p w14:paraId="5BB0B7F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outlineLvl w:val="0"/>
        <w:rPr>
          <w:rFonts w:hint="eastAsia" w:ascii="华文楷体" w:hAnsi="华文楷体" w:eastAsia="华文楷体" w:cstheme="minorBidi"/>
          <w:lang w:val="en-US" w:eastAsia="zh-CN"/>
        </w:rPr>
      </w:pPr>
      <w:r>
        <w:rPr>
          <w:rFonts w:hint="eastAsia" w:ascii="华文楷体" w:hAnsi="华文楷体" w:eastAsia="华文楷体" w:cstheme="minorBidi"/>
          <w:lang w:val="en-US" w:eastAsia="zh-CN"/>
        </w:rPr>
        <w:t>监督制衡职能：“硬性他律”的算法归鉴</w:t>
      </w:r>
    </w:p>
    <w:p w14:paraId="33F132A6">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如果说参与决策强调价值平衡，那么监督制衡更强调对偏离的及时纠正。独立董事制度在实践中的主要障碍，往往不是能力不足，而是在人情压力、信息遮蔽与身份依附中失去真正独立性。AI的制度意义恰恰在于，它不参与熟人网络，也不因管理层权威、董事会氛围或利益交换而放松警觉。在监督场景中，可将关联交易、异常资金流、违规担保、信息披露前后矛盾等风险信号纳入连续监测，通过规则识别与模式比对形成穿透式审查。进一步看，AI并非完全排斥“情商”，而是以数据化方式重构情绪与冲突识别能力，通过员工反馈、客户投诉、舆情波动等非结构化信息发现治理失衡的前兆，并将其转化为可追溯的预警依据，从而把原本依赖个人直觉的监督，转化为更稳定、更可问责的治理支持。</w:t>
      </w:r>
    </w:p>
    <w:p w14:paraId="4A1BD20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outlineLvl w:val="0"/>
        <w:rPr>
          <w:rFonts w:hint="eastAsia" w:ascii="华文楷体" w:hAnsi="华文楷体" w:eastAsia="华文楷体" w:cstheme="minorBidi"/>
          <w:lang w:val="en-US" w:eastAsia="zh-CN"/>
        </w:rPr>
      </w:pPr>
      <w:r>
        <w:rPr>
          <w:rFonts w:hint="eastAsia" w:ascii="华文楷体" w:hAnsi="华文楷体" w:eastAsia="华文楷体" w:cstheme="minorBidi"/>
          <w:lang w:val="en-US" w:eastAsia="zh-CN"/>
        </w:rPr>
        <w:t>专业咨询职能：实时检索增强的智能顾问</w:t>
      </w:r>
    </w:p>
    <w:p w14:paraId="5CDC2F89">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在决策与监督之外，独立董事还承担专业咨询功能，但现实中的问题在于，自然人独董的知识更新速度、时间投入和信息处理能力往往难以匹配复杂公司治理的需求。AI的优势不只是知识储备更大，而在于它能够把法律政策、监管动向、行业数据、公司经营信息与历史案例进行同步整合，形成面向具体议题的即时分析能力。借助检索增强与知识图谱机制，AI能在解释既有规则的基础上，围绕新政策、新交易结构和新市场变化提出前瞻性影响测算，使咨询从一般性意见转向针对性论证。这样一来，独立董事的专业支持不再停留于会前阅读材料和会中附和表态，而能够嵌入董事会运行全过程，提升意见形成的深度、频率与可操作性，使专业咨询真正转化为治理能力的一部分。</w:t>
      </w:r>
    </w:p>
    <w:p w14:paraId="2A65D5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0"/>
        <w:rPr>
          <w:rFonts w:hint="default"/>
          <w:lang w:val="en-US" w:eastAsia="zh-CN"/>
        </w:rPr>
      </w:pPr>
    </w:p>
    <w:p w14:paraId="5DC234C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sz w:val="28"/>
          <w:szCs w:val="36"/>
          <w:lang w:val="en-US" w:eastAsia="zh-CN"/>
        </w:rPr>
      </w:pPr>
      <w:r>
        <w:rPr>
          <w:rFonts w:hint="eastAsia" w:ascii="黑体" w:hAnsi="黑体" w:eastAsia="黑体" w:cs="黑体"/>
          <w:sz w:val="28"/>
          <w:szCs w:val="36"/>
          <w:lang w:val="en-US" w:eastAsia="zh-CN"/>
        </w:rPr>
        <w:t>AI董事对独立董事的角色职能的冲击</w:t>
      </w:r>
    </w:p>
    <w:p w14:paraId="1C41A2B8">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AI董事对独立董事“身份独立”的冲击</w:t>
      </w:r>
    </w:p>
    <w:p w14:paraId="63621D5D">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独立董事的身份独立共包含两层期待：一方面，是独立董事的选任与产生上，其</w:t>
      </w:r>
      <w:r>
        <w:rPr>
          <w:rFonts w:hint="eastAsia" w:ascii="宋体" w:hAnsi="宋体" w:eastAsia="宋体" w:cs="Times New Roman"/>
          <w:sz w:val="21"/>
          <w:szCs w:val="21"/>
        </w:rPr>
        <w:t>不在公司兼任任何高管职务,且不与公司</w:t>
      </w:r>
      <w:r>
        <w:rPr>
          <w:rFonts w:hint="eastAsia" w:ascii="宋体" w:hAnsi="宋体" w:eastAsia="宋体"/>
          <w:sz w:val="21"/>
          <w:szCs w:val="21"/>
          <w:lang w:eastAsia="zh-CN"/>
        </w:rPr>
        <w:t>及其主要股东</w:t>
      </w:r>
      <w:r>
        <w:rPr>
          <w:rFonts w:hint="eastAsia" w:ascii="宋体" w:hAnsi="宋体" w:eastAsia="宋体" w:cs="Times New Roman"/>
          <w:sz w:val="21"/>
          <w:szCs w:val="21"/>
        </w:rPr>
        <w:t>存在任何</w:t>
      </w:r>
      <w:r>
        <w:rPr>
          <w:rFonts w:hint="eastAsia" w:ascii="宋体" w:hAnsi="宋体" w:eastAsia="宋体" w:cs="Times New Roman"/>
          <w:sz w:val="21"/>
          <w:szCs w:val="21"/>
          <w:lang w:val="en-US" w:eastAsia="zh-CN"/>
        </w:rPr>
        <w:t>妨碍其独立客观判断的</w:t>
      </w:r>
      <w:r>
        <w:rPr>
          <w:rFonts w:hint="eastAsia" w:ascii="宋体" w:hAnsi="宋体" w:eastAsia="宋体" w:cs="Times New Roman"/>
          <w:sz w:val="21"/>
          <w:szCs w:val="21"/>
        </w:rPr>
        <w:t>实质性利害关系外部董事</w:t>
      </w:r>
      <w:r>
        <w:rPr>
          <w:rStyle w:val="19"/>
          <w:rFonts w:hint="eastAsia" w:ascii="宋体" w:hAnsi="宋体" w:eastAsia="宋体" w:cs="Times New Roman"/>
          <w:sz w:val="21"/>
          <w:szCs w:val="21"/>
        </w:rPr>
        <w:footnoteReference w:id="37"/>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另一方面，是独立董事在公司治理中扮演的“角色”定位，即独立董事履行的职能是单一的监督制衡者，亦或者是咨询专家（决策支持者）、亦或者是公司经理人身份。其考量在于，单一或多角色定位的不同意味着须给独立董事进行不同的职权配置，而</w:t>
      </w:r>
      <w:r>
        <w:rPr>
          <w:rFonts w:hint="eastAsia" w:ascii="宋体" w:hAnsi="宋体" w:eastAsia="宋体" w:cs="Times New Roman"/>
          <w:sz w:val="21"/>
          <w:szCs w:val="21"/>
        </w:rPr>
        <w:t>多重角色定位容易引起角色间的利益冲突</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其本质上是现实中，</w:t>
      </w:r>
      <w:r>
        <w:rPr>
          <w:rFonts w:hint="eastAsia" w:ascii="宋体" w:hAnsi="宋体" w:eastAsia="宋体" w:cs="Times New Roman"/>
          <w:sz w:val="21"/>
          <w:szCs w:val="21"/>
        </w:rPr>
        <w:t>独立董事的提名和任免实际上由公司大股东</w:t>
      </w:r>
      <w:r>
        <w:rPr>
          <w:rFonts w:hint="eastAsia" w:ascii="宋体" w:hAnsi="宋体" w:eastAsia="宋体" w:cs="Times New Roman"/>
          <w:sz w:val="21"/>
          <w:szCs w:val="21"/>
          <w:lang w:val="en-US" w:eastAsia="zh-CN"/>
        </w:rPr>
        <w:t>选任决定的，也即存在“人缘同构性”——董事会内部成员（包含独立董事）在制度安排的表面形式上都是不同机构、不同职责的主体，但实际上，这些主体在公司内部的人际关系是同构的，是由基本相同的主体选择的。</w:t>
      </w:r>
      <w:r>
        <w:rPr>
          <w:rFonts w:hint="eastAsia" w:ascii="宋体" w:hAnsi="宋体" w:eastAsia="宋体" w:cs="Times New Roman"/>
          <w:sz w:val="21"/>
          <w:szCs w:val="21"/>
          <w:vertAlign w:val="baseline"/>
          <w:lang w:val="en-US" w:eastAsia="zh-CN"/>
        </w:rPr>
        <w:fldChar w:fldCharType="begin"/>
      </w:r>
      <w:r>
        <w:instrText xml:space="preserve"> REF _Ref30861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38"/>
      </w:r>
      <w:r>
        <w:rPr>
          <w:rFonts w:hint="eastAsia" w:ascii="宋体" w:hAnsi="宋体" w:eastAsia="宋体" w:cs="Times New Roman"/>
          <w:sz w:val="21"/>
          <w:szCs w:val="21"/>
          <w:vertAlign w:val="baseline"/>
          <w:lang w:val="en-US" w:eastAsia="zh-CN"/>
        </w:rPr>
        <w:fldChar w:fldCharType="end"/>
      </w:r>
      <w:r>
        <w:rPr>
          <w:rFonts w:hint="eastAsia" w:ascii="宋体" w:hAnsi="宋体" w:eastAsia="宋体" w:cs="Times New Roman"/>
          <w:sz w:val="21"/>
          <w:szCs w:val="21"/>
          <w:lang w:val="en-US" w:eastAsia="zh-CN"/>
        </w:rPr>
        <w:t>这就引发了独立董事在履职的过程中存在“自己人监督自己人”现象以及独立董事“花瓶化”的根本缘由。</w:t>
      </w:r>
    </w:p>
    <w:p w14:paraId="24B9B7C2">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循此逻辑，</w:t>
      </w:r>
      <w:r>
        <w:rPr>
          <w:rFonts w:hint="eastAsia" w:ascii="宋体" w:hAnsi="宋体" w:eastAsia="宋体" w:cs="Times New Roman"/>
          <w:sz w:val="21"/>
          <w:szCs w:val="21"/>
        </w:rPr>
        <w:t>当身份独立沦为纸面文章，角色独立也便无从谈起，独立董事</w:t>
      </w:r>
      <w:r>
        <w:rPr>
          <w:rFonts w:hint="eastAsia" w:ascii="宋体" w:hAnsi="宋体" w:eastAsia="宋体" w:cs="Times New Roman"/>
          <w:sz w:val="21"/>
          <w:szCs w:val="21"/>
          <w:lang w:val="en-US" w:eastAsia="zh-CN"/>
        </w:rPr>
        <w:t>也不得不被迫</w:t>
      </w:r>
      <w:r>
        <w:rPr>
          <w:rFonts w:hint="eastAsia" w:ascii="宋体" w:hAnsi="宋体" w:eastAsia="宋体" w:cs="Times New Roman"/>
          <w:sz w:val="21"/>
          <w:szCs w:val="21"/>
        </w:rPr>
        <w:t>滑向“花瓶化”乃至“背书人”的境地。</w:t>
      </w:r>
      <w:r>
        <w:rPr>
          <w:rFonts w:hint="eastAsia" w:ascii="宋体" w:hAnsi="宋体" w:eastAsia="宋体" w:cs="Times New Roman"/>
          <w:sz w:val="21"/>
          <w:szCs w:val="21"/>
          <w:lang w:val="en-US" w:eastAsia="zh-CN"/>
        </w:rPr>
        <w:t>而</w:t>
      </w:r>
      <w:r>
        <w:rPr>
          <w:rFonts w:hint="eastAsia" w:ascii="宋体" w:hAnsi="宋体" w:eastAsia="宋体" w:cs="Times New Roman"/>
          <w:sz w:val="21"/>
          <w:szCs w:val="21"/>
        </w:rPr>
        <w:t>AI 董事的介入</w:t>
      </w:r>
      <w:r>
        <w:rPr>
          <w:rFonts w:hint="eastAsia" w:ascii="宋体" w:hAnsi="宋体" w:eastAsia="宋体" w:cs="Times New Roman"/>
          <w:sz w:val="21"/>
          <w:szCs w:val="21"/>
          <w:lang w:val="en-US" w:eastAsia="zh-CN"/>
        </w:rPr>
        <w:t>则</w:t>
      </w:r>
      <w:r>
        <w:rPr>
          <w:rFonts w:hint="eastAsia" w:ascii="宋体" w:hAnsi="宋体" w:eastAsia="宋体" w:cs="Times New Roman"/>
          <w:sz w:val="21"/>
          <w:szCs w:val="21"/>
        </w:rPr>
        <w:t>为</w:t>
      </w:r>
      <w:r>
        <w:rPr>
          <w:rFonts w:hint="eastAsia" w:ascii="宋体" w:hAnsi="宋体" w:eastAsia="宋体" w:cs="Times New Roman"/>
          <w:sz w:val="21"/>
          <w:szCs w:val="21"/>
          <w:lang w:val="en-US" w:eastAsia="zh-CN"/>
        </w:rPr>
        <w:t>击破</w:t>
      </w:r>
      <w:r>
        <w:rPr>
          <w:rFonts w:hint="eastAsia" w:ascii="宋体" w:hAnsi="宋体" w:eastAsia="宋体" w:cs="Times New Roman"/>
          <w:sz w:val="21"/>
          <w:szCs w:val="21"/>
        </w:rPr>
        <w:t>这一宿命式悖论提供了技术维度的降维打击</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具体而言，AI董事</w:t>
      </w:r>
      <w:r>
        <w:rPr>
          <w:rFonts w:hint="eastAsia" w:ascii="宋体" w:hAnsi="宋体" w:eastAsia="宋体" w:cs="Times New Roman"/>
          <w:sz w:val="21"/>
          <w:szCs w:val="21"/>
        </w:rPr>
        <w:t>天然缺失人情脉络与物质激励需求，不会因职位升迁、顾问合同或圈层人脉而改变判断，它对控股股东的好感</w:t>
      </w:r>
      <w:r>
        <w:rPr>
          <w:rFonts w:hint="eastAsia" w:ascii="宋体" w:hAnsi="宋体" w:eastAsia="宋体" w:cs="Times New Roman"/>
          <w:sz w:val="21"/>
          <w:szCs w:val="21"/>
          <w:lang w:val="en-US" w:eastAsia="zh-CN"/>
        </w:rPr>
        <w:t>也</w:t>
      </w:r>
      <w:r>
        <w:rPr>
          <w:rFonts w:hint="eastAsia" w:ascii="宋体" w:hAnsi="宋体" w:eastAsia="宋体" w:cs="Times New Roman"/>
          <w:sz w:val="21"/>
          <w:szCs w:val="21"/>
        </w:rPr>
        <w:t>无从生成</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即</w:t>
      </w:r>
      <w:r>
        <w:rPr>
          <w:rFonts w:hint="eastAsia" w:ascii="宋体" w:hAnsi="宋体" w:eastAsia="宋体" w:cs="Times New Roman"/>
          <w:sz w:val="21"/>
          <w:szCs w:val="21"/>
        </w:rPr>
        <w:t>在源头上摆脱“人缘同构性”，进而消弭“自己人监督自己人”的魔咒</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对于独立董事自身，也</w:t>
      </w:r>
      <w:r>
        <w:rPr>
          <w:rFonts w:hint="eastAsia" w:ascii="宋体" w:hAnsi="宋体" w:eastAsia="宋体" w:cs="Times New Roman"/>
          <w:sz w:val="21"/>
          <w:szCs w:val="21"/>
        </w:rPr>
        <w:t>不再诉诸于个体品质的</w:t>
      </w:r>
      <w:r>
        <w:rPr>
          <w:rFonts w:hint="eastAsia" w:ascii="宋体" w:hAnsi="宋体" w:eastAsia="宋体" w:cs="Times New Roman"/>
          <w:sz w:val="21"/>
          <w:szCs w:val="21"/>
          <w:lang w:eastAsia="zh-CN"/>
        </w:rPr>
        <w:t>“</w:t>
      </w:r>
      <w:r>
        <w:rPr>
          <w:rFonts w:hint="eastAsia" w:ascii="宋体" w:hAnsi="宋体" w:eastAsia="宋体" w:cs="Times New Roman"/>
          <w:sz w:val="21"/>
          <w:szCs w:val="21"/>
        </w:rPr>
        <w:t>自律</w:t>
      </w:r>
      <w:r>
        <w:rPr>
          <w:rFonts w:hint="eastAsia" w:ascii="宋体" w:hAnsi="宋体" w:eastAsia="宋体" w:cs="Times New Roman"/>
          <w:sz w:val="21"/>
          <w:szCs w:val="21"/>
          <w:lang w:eastAsia="zh-CN"/>
        </w:rPr>
        <w:t>”</w:t>
      </w:r>
      <w:r>
        <w:rPr>
          <w:rFonts w:hint="eastAsia" w:ascii="宋体" w:hAnsi="宋体" w:eastAsia="宋体" w:cs="Times New Roman"/>
          <w:sz w:val="21"/>
          <w:szCs w:val="21"/>
        </w:rPr>
        <w:t>，而是依托技术架构的</w:t>
      </w:r>
      <w:r>
        <w:rPr>
          <w:rFonts w:hint="eastAsia" w:ascii="宋体" w:hAnsi="宋体" w:eastAsia="宋体" w:cs="Times New Roman"/>
          <w:sz w:val="21"/>
          <w:szCs w:val="21"/>
          <w:lang w:eastAsia="zh-CN"/>
        </w:rPr>
        <w:t>“</w:t>
      </w:r>
      <w:r>
        <w:rPr>
          <w:rFonts w:hint="eastAsia" w:ascii="宋体" w:hAnsi="宋体" w:eastAsia="宋体" w:cs="Times New Roman"/>
          <w:sz w:val="21"/>
          <w:szCs w:val="21"/>
        </w:rPr>
        <w:t>他律</w:t>
      </w:r>
      <w:r>
        <w:rPr>
          <w:rFonts w:hint="eastAsia" w:ascii="宋体" w:hAnsi="宋体" w:eastAsia="宋体" w:cs="Times New Roman"/>
          <w:sz w:val="21"/>
          <w:szCs w:val="21"/>
          <w:lang w:eastAsia="zh-CN"/>
        </w:rPr>
        <w:t>”</w:t>
      </w:r>
      <w:r>
        <w:rPr>
          <w:rFonts w:hint="eastAsia" w:ascii="宋体" w:hAnsi="宋体" w:eastAsia="宋体" w:cs="Times New Roman"/>
          <w:sz w:val="21"/>
          <w:szCs w:val="21"/>
        </w:rPr>
        <w:t>来确保独立</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AI董事无须</w:t>
      </w:r>
      <w:r>
        <w:rPr>
          <w:rFonts w:hint="eastAsia" w:ascii="宋体" w:hAnsi="宋体" w:eastAsia="宋体" w:cs="Times New Roman"/>
          <w:sz w:val="21"/>
          <w:szCs w:val="21"/>
        </w:rPr>
        <w:t>在监督、咨询、经营</w:t>
      </w:r>
      <w:r>
        <w:rPr>
          <w:rFonts w:hint="eastAsia" w:ascii="宋体" w:hAnsi="宋体" w:eastAsia="宋体" w:cs="Times New Roman"/>
          <w:sz w:val="21"/>
          <w:szCs w:val="21"/>
          <w:lang w:val="en-US" w:eastAsia="zh-CN"/>
        </w:rPr>
        <w:t>三种角色定位</w:t>
      </w:r>
      <w:r>
        <w:rPr>
          <w:rFonts w:hint="eastAsia" w:ascii="宋体" w:hAnsi="宋体" w:eastAsia="宋体" w:cs="Times New Roman"/>
          <w:sz w:val="21"/>
          <w:szCs w:val="21"/>
        </w:rPr>
        <w:t>中摇摆，而</w:t>
      </w:r>
      <w:r>
        <w:rPr>
          <w:rFonts w:hint="eastAsia" w:ascii="宋体" w:hAnsi="宋体" w:eastAsia="宋体" w:cs="Times New Roman"/>
          <w:sz w:val="21"/>
          <w:szCs w:val="21"/>
          <w:lang w:val="en-US" w:eastAsia="zh-CN"/>
        </w:rPr>
        <w:t>最大化的</w:t>
      </w:r>
      <w:r>
        <w:rPr>
          <w:rFonts w:hint="eastAsia" w:ascii="宋体" w:hAnsi="宋体" w:eastAsia="宋体" w:cs="Times New Roman"/>
          <w:sz w:val="21"/>
          <w:szCs w:val="21"/>
        </w:rPr>
        <w:t>通过实时数据分析专注于监督本位</w:t>
      </w:r>
      <w:r>
        <w:rPr>
          <w:rFonts w:hint="eastAsia" w:ascii="宋体" w:hAnsi="宋体" w:eastAsia="宋体" w:cs="Times New Roman"/>
          <w:sz w:val="21"/>
          <w:szCs w:val="21"/>
          <w:lang w:eastAsia="zh-CN"/>
        </w:rPr>
        <w:t>，</w:t>
      </w:r>
      <w:r>
        <w:rPr>
          <w:rFonts w:hint="eastAsia" w:ascii="宋体" w:hAnsi="宋体" w:eastAsia="宋体" w:cs="Times New Roman"/>
          <w:sz w:val="21"/>
          <w:szCs w:val="21"/>
        </w:rPr>
        <w:t>让“独立”成为可以被编译、被验证、被迭代的技术事实。</w:t>
      </w:r>
    </w:p>
    <w:p w14:paraId="7EA5B99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AI董事对独立董事“薪酬独立”的冲击</w:t>
      </w:r>
    </w:p>
    <w:p w14:paraId="32C35BA3">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独立董事的薪酬设定及衍生的相关问题历来备受关注。如前文所述，独立董事须保证身份上的独立性，这意味着其在经济关系上不能与公司产生重大依赖关系。但独立董事履职也并非纯粹的“为爱发电”，学界对于支付独立董事基本薪酬以保障其实现预期工作目标、正常履职早已达成多数意见，</w:t>
      </w:r>
      <w:r>
        <w:rPr>
          <w:rFonts w:hint="eastAsia" w:ascii="宋体" w:hAnsi="宋体" w:eastAsia="宋体" w:cs="Times New Roman"/>
          <w:sz w:val="21"/>
          <w:szCs w:val="21"/>
          <w:vertAlign w:val="baseline"/>
          <w:lang w:val="en-US" w:eastAsia="zh-CN"/>
        </w:rPr>
        <w:fldChar w:fldCharType="begin"/>
      </w:r>
      <w:r>
        <w:instrText xml:space="preserve"> REF _Ref30880 \r \h  \* MERGEFORMAT</w:instrText>
      </w:r>
      <w:r>
        <w:rPr>
          <w:rFonts w:hint="eastAsia" w:ascii="宋体" w:hAnsi="宋体" w:eastAsia="宋体" w:cs="Times New Roman"/>
          <w:sz w:val="21"/>
          <w:szCs w:val="21"/>
          <w:vertAlign w:val="baseline"/>
          <w:lang w:val="en-US" w:eastAsia="zh-CN"/>
        </w:rPr>
        <w:fldChar w:fldCharType="separate"/>
      </w:r>
      <w:r>
        <w:rPr>
          <w:rStyle w:val="19"/>
          <w:rFonts w:hint="eastAsia" w:ascii="宋体" w:hAnsi="宋体" w:eastAsia="宋体" w:cs="Times New Roman"/>
          <w:sz w:val="21"/>
          <w:szCs w:val="21"/>
          <w:lang w:val="en-US" w:eastAsia="zh-CN"/>
        </w:rPr>
        <w:footnoteReference w:id="39"/>
      </w:r>
      <w:r>
        <w:rPr>
          <w:rFonts w:hint="eastAsia" w:ascii="宋体" w:hAnsi="宋体" w:eastAsia="宋体" w:cs="Times New Roman"/>
          <w:sz w:val="21"/>
          <w:szCs w:val="21"/>
          <w:vertAlign w:val="baseline"/>
          <w:lang w:val="en-US" w:eastAsia="zh-CN"/>
        </w:rPr>
        <w:fldChar w:fldCharType="end"/>
      </w:r>
      <w:r>
        <w:rPr>
          <w:rFonts w:hint="eastAsia" w:ascii="宋体" w:hAnsi="宋体" w:eastAsia="宋体" w:cs="Times New Roman"/>
          <w:sz w:val="21"/>
          <w:szCs w:val="21"/>
          <w:lang w:val="en-US" w:eastAsia="zh-CN"/>
        </w:rPr>
        <w:t>而争议较为受瞩目的仍属“激励性薪酬”的设定。</w:t>
      </w:r>
    </w:p>
    <w:p w14:paraId="2C43830E">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cs="Times New Roman"/>
          <w:sz w:val="21"/>
          <w:szCs w:val="21"/>
          <w:lang w:val="en-US" w:eastAsia="zh-CN"/>
        </w:rPr>
        <w:t>独立董事作为公司这一类商事组织的内部成员，本自带有“经济人”的属性。恰如有研究所指出的，当独立董事的薪酬过低时, 存在激励不足问题, 不利于调动独立董事履职的积极性, 由此造成公司高管变更与经营业绩间敏感性的降低及公司盈余管理程度的提高。当独立董事的薪酬过高时, 存在激励过度问题, 削弱了独立董事的独立性, 也将导致较低的高管变更与经营业绩的敏感性及更高程度的公司盈余管理。</w:t>
      </w:r>
      <w:r>
        <w:rPr>
          <w:rFonts w:hint="eastAsia" w:ascii="宋体" w:hAnsi="宋体" w:eastAsia="宋体"/>
          <w:sz w:val="21"/>
          <w:szCs w:val="21"/>
          <w:vertAlign w:val="baseline"/>
          <w:lang w:val="en-US" w:eastAsia="zh-CN"/>
        </w:rPr>
        <w:fldChar w:fldCharType="begin"/>
      </w:r>
      <w:r>
        <w:instrText xml:space="preserve"> REF _Ref30900 \r \h  \* MERGEFORMAT</w:instrText>
      </w:r>
      <w:r>
        <w:rPr>
          <w:rFonts w:hint="eastAsia" w:ascii="宋体" w:hAnsi="宋体" w:eastAsia="宋体"/>
          <w:sz w:val="21"/>
          <w:szCs w:val="21"/>
          <w:vertAlign w:val="baseline"/>
          <w:lang w:val="en-US" w:eastAsia="zh-CN"/>
        </w:rPr>
        <w:fldChar w:fldCharType="separate"/>
      </w:r>
      <w:r>
        <w:rPr>
          <w:rStyle w:val="19"/>
          <w:rFonts w:hint="eastAsia" w:ascii="宋体" w:hAnsi="宋体" w:eastAsia="宋体"/>
          <w:sz w:val="21"/>
          <w:szCs w:val="21"/>
          <w:lang w:val="en-US" w:eastAsia="zh-CN"/>
        </w:rPr>
        <w:footnoteReference w:id="40"/>
      </w:r>
      <w:r>
        <w:rPr>
          <w:rFonts w:hint="eastAsia" w:ascii="宋体" w:hAnsi="宋体" w:eastAsia="宋体"/>
          <w:sz w:val="21"/>
          <w:szCs w:val="21"/>
          <w:vertAlign w:val="baseline"/>
          <w:lang w:val="en-US" w:eastAsia="zh-CN"/>
        </w:rPr>
        <w:fldChar w:fldCharType="end"/>
      </w:r>
      <w:r>
        <w:rPr>
          <w:rFonts w:hint="eastAsia" w:ascii="宋体" w:hAnsi="宋体" w:eastAsia="宋体"/>
          <w:sz w:val="21"/>
          <w:szCs w:val="21"/>
          <w:lang w:val="en-US" w:eastAsia="zh-CN"/>
        </w:rPr>
        <w:t>因此，独立董事薪酬过高亦或者过低的问题均在不同程度上影响其“独立性”履职。与之相伴生的问题在于，我国对独立董事的薪酬披露重视不足。2001年的《指导意见》首次明确了应在公司年报中披露独立董事的津贴标准，即津贴的标准应当由董事会制订预案，股东大会审议通过，并在公司年报中进行披露。但时至今日，独立董事薪酬披露的关于考核基准、发放节奏、附加协议等关键信息缺位，并未在后续的文件中得到体现。</w:t>
      </w:r>
      <w:r>
        <w:rPr>
          <w:rFonts w:hint="eastAsia" w:ascii="宋体" w:hAnsi="宋体" w:eastAsia="宋体"/>
          <w:sz w:val="21"/>
          <w:szCs w:val="21"/>
          <w:vertAlign w:val="baseline"/>
          <w:lang w:val="en-US" w:eastAsia="zh-CN"/>
        </w:rPr>
        <w:fldChar w:fldCharType="begin"/>
      </w:r>
      <w:r>
        <w:instrText xml:space="preserve"> REF _Ref30920 \r \h  \* MERGEFORMAT</w:instrText>
      </w:r>
      <w:r>
        <w:rPr>
          <w:rFonts w:hint="eastAsia" w:ascii="宋体" w:hAnsi="宋体" w:eastAsia="宋体"/>
          <w:sz w:val="21"/>
          <w:szCs w:val="21"/>
          <w:vertAlign w:val="baseline"/>
          <w:lang w:val="en-US" w:eastAsia="zh-CN"/>
        </w:rPr>
        <w:fldChar w:fldCharType="separate"/>
      </w:r>
      <w:r>
        <w:rPr>
          <w:rStyle w:val="19"/>
          <w:rFonts w:hint="eastAsia" w:ascii="宋体" w:hAnsi="宋体" w:eastAsia="宋体"/>
          <w:sz w:val="21"/>
          <w:szCs w:val="21"/>
          <w:lang w:val="en-US" w:eastAsia="zh-CN"/>
        </w:rPr>
        <w:footnoteReference w:id="41"/>
      </w:r>
      <w:r>
        <w:rPr>
          <w:rFonts w:hint="eastAsia" w:ascii="宋体" w:hAnsi="宋体" w:eastAsia="宋体"/>
          <w:sz w:val="21"/>
          <w:szCs w:val="21"/>
          <w:vertAlign w:val="baseline"/>
          <w:lang w:val="en-US" w:eastAsia="zh-CN"/>
        </w:rPr>
        <w:fldChar w:fldCharType="end"/>
      </w:r>
      <w:r>
        <w:rPr>
          <w:rFonts w:hint="eastAsia" w:ascii="宋体" w:hAnsi="宋体" w:eastAsia="宋体"/>
          <w:sz w:val="21"/>
          <w:szCs w:val="21"/>
          <w:lang w:val="en-US" w:eastAsia="zh-CN"/>
        </w:rPr>
        <w:t>以上种种，也为股东（董事）以“利”贿赂左右独立董事立场（独立董事暗中套利）留下操作空间，让独立董事</w:t>
      </w:r>
      <w:r>
        <w:rPr>
          <w:rFonts w:hint="eastAsia" w:ascii="宋体" w:hAnsi="宋体" w:eastAsia="宋体" w:cs="Times New Roman"/>
          <w:sz w:val="21"/>
          <w:szCs w:val="21"/>
        </w:rPr>
        <w:t>始终漂浮在“激励不足—激励过度”的钟摆之间，既动摇其职业动力，也腐蚀其价值立场。</w:t>
      </w:r>
    </w:p>
    <w:p w14:paraId="754F4088">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AI董事</w:t>
      </w:r>
      <w:r>
        <w:rPr>
          <w:rFonts w:hint="eastAsia" w:ascii="宋体" w:hAnsi="宋体" w:eastAsia="宋体" w:cs="Times New Roman"/>
          <w:sz w:val="21"/>
          <w:szCs w:val="21"/>
        </w:rPr>
        <w:t>实质上将薪酬问题转化为技术使用权与维护成本问题。AI 董事</w:t>
      </w:r>
      <w:r>
        <w:rPr>
          <w:rFonts w:hint="eastAsia" w:ascii="宋体" w:hAnsi="宋体" w:eastAsia="宋体" w:cs="Times New Roman"/>
          <w:sz w:val="21"/>
          <w:szCs w:val="21"/>
          <w:lang w:eastAsia="zh-CN"/>
        </w:rPr>
        <w:t>的</w:t>
      </w:r>
      <w:r>
        <w:rPr>
          <w:rFonts w:hint="eastAsia" w:ascii="宋体" w:hAnsi="宋体" w:eastAsia="宋体" w:cs="Times New Roman"/>
          <w:sz w:val="21"/>
          <w:szCs w:val="21"/>
        </w:rPr>
        <w:t>“报酬”的不再围绕数字金额与发放方式，而转向模型运维费用在公司外部还是内部承担、承担比例如何的治理工程学课题。对于公司而言，AI 董事成为一种具有强制性的“准公共产品”；对于算法本身而言，运维经费固定、透明、与公司治理结果脱钩，切断了可能的经济依赖链</w:t>
      </w:r>
      <w:r>
        <w:rPr>
          <w:rFonts w:hint="eastAsia" w:ascii="宋体" w:hAnsi="宋体" w:eastAsia="宋体" w:cs="Times New Roman"/>
          <w:sz w:val="21"/>
          <w:szCs w:val="21"/>
          <w:lang w:eastAsia="zh-CN"/>
        </w:rPr>
        <w:t>，</w:t>
      </w:r>
      <w:r>
        <w:rPr>
          <w:rFonts w:hint="eastAsia" w:ascii="宋体" w:hAnsi="宋体" w:eastAsia="宋体" w:cs="Times New Roman"/>
          <w:sz w:val="21"/>
          <w:szCs w:val="21"/>
        </w:rPr>
        <w:t>监督者与被监督者之间的利益纽带被彻底抹平。</w:t>
      </w:r>
      <w:r>
        <w:rPr>
          <w:rFonts w:hint="eastAsia" w:ascii="宋体" w:hAnsi="宋体" w:eastAsia="宋体" w:cs="Times New Roman"/>
          <w:sz w:val="21"/>
          <w:szCs w:val="21"/>
          <w:lang w:val="en-US" w:eastAsia="zh-CN"/>
        </w:rPr>
        <w:t>况且，</w:t>
      </w:r>
      <w:r>
        <w:rPr>
          <w:rFonts w:hint="eastAsia" w:ascii="宋体" w:hAnsi="宋体" w:eastAsia="宋体" w:cs="Times New Roman"/>
          <w:sz w:val="21"/>
          <w:szCs w:val="21"/>
        </w:rPr>
        <w:t>模型运行本身不依赖心理激励。</w:t>
      </w:r>
      <w:r>
        <w:rPr>
          <w:rFonts w:hint="eastAsia" w:ascii="宋体" w:hAnsi="宋体" w:eastAsia="宋体" w:cs="Times New Roman"/>
          <w:sz w:val="21"/>
          <w:szCs w:val="21"/>
          <w:lang w:val="en-US" w:eastAsia="zh-CN"/>
        </w:rPr>
        <w:t>让“薪酬独立”</w:t>
      </w:r>
      <w:r>
        <w:rPr>
          <w:rFonts w:hint="eastAsia" w:ascii="宋体" w:hAnsi="宋体" w:eastAsia="宋体" w:cs="Times New Roman"/>
          <w:sz w:val="21"/>
          <w:szCs w:val="21"/>
        </w:rPr>
        <w:t>升格为一套以技术成本透明化、行业基金化、支付智能化为核心的系统工程，真正实现对大股东</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公司</w:t>
      </w:r>
      <w:r>
        <w:rPr>
          <w:rFonts w:hint="eastAsia" w:ascii="宋体" w:hAnsi="宋体" w:eastAsia="宋体" w:cs="Times New Roman"/>
          <w:sz w:val="21"/>
          <w:szCs w:val="21"/>
        </w:rPr>
        <w:t>经济影响力的结构性切断</w:t>
      </w:r>
      <w:r>
        <w:rPr>
          <w:rFonts w:hint="eastAsia" w:ascii="宋体" w:hAnsi="宋体" w:eastAsia="宋体" w:cs="Times New Roman"/>
          <w:sz w:val="21"/>
          <w:szCs w:val="21"/>
          <w:lang w:eastAsia="zh-CN"/>
        </w:rPr>
        <w:t>。</w:t>
      </w:r>
    </w:p>
    <w:p w14:paraId="255CDDC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AI董事对独立董事“履职（行权）独立”的冲击</w:t>
      </w:r>
    </w:p>
    <w:p w14:paraId="7946FFE0">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rPr>
        <w:t>中国上市公司协会</w:t>
      </w:r>
      <w:r>
        <w:rPr>
          <w:rFonts w:hint="eastAsia" w:ascii="宋体" w:hAnsi="宋体" w:eastAsia="宋体" w:cs="Times New Roman"/>
          <w:sz w:val="21"/>
          <w:szCs w:val="21"/>
          <w:lang w:val="en-US" w:eastAsia="zh-CN"/>
        </w:rPr>
        <w:t>发布关于《上市公司独立董事履职指引 （2024 年修订）》的通知</w:t>
      </w:r>
      <w:r>
        <w:rPr>
          <w:rStyle w:val="19"/>
          <w:rFonts w:hint="eastAsia" w:ascii="宋体" w:hAnsi="宋体" w:eastAsia="宋体" w:cs="Times New Roman"/>
          <w:sz w:val="21"/>
          <w:szCs w:val="21"/>
          <w:lang w:val="en-US" w:eastAsia="zh-CN"/>
        </w:rPr>
        <w:footnoteReference w:id="42"/>
      </w:r>
      <w:r>
        <w:rPr>
          <w:rFonts w:hint="eastAsia" w:ascii="宋体" w:hAnsi="宋体" w:eastAsia="宋体" w:cs="Times New Roman"/>
          <w:sz w:val="21"/>
          <w:szCs w:val="21"/>
          <w:lang w:val="en-US" w:eastAsia="zh-CN"/>
        </w:rPr>
        <w:t xml:space="preserve"> ，其中，明确指出应以充分的任前准备</w:t>
      </w:r>
      <w:r>
        <w:rPr>
          <w:rStyle w:val="19"/>
          <w:rFonts w:hint="eastAsia" w:ascii="宋体" w:hAnsi="宋体" w:eastAsia="宋体" w:cs="Times New Roman"/>
          <w:sz w:val="21"/>
          <w:szCs w:val="21"/>
          <w:lang w:val="en-US" w:eastAsia="zh-CN"/>
        </w:rPr>
        <w:footnoteReference w:id="43"/>
      </w:r>
      <w:r>
        <w:rPr>
          <w:rFonts w:hint="eastAsia" w:ascii="宋体" w:hAnsi="宋体" w:eastAsia="宋体" w:cs="Times New Roman"/>
          <w:sz w:val="21"/>
          <w:szCs w:val="21"/>
          <w:lang w:val="en-US" w:eastAsia="zh-CN"/>
        </w:rPr>
        <w:t>，</w:t>
      </w:r>
      <w:r>
        <w:rPr>
          <w:rFonts w:hint="eastAsia" w:ascii="宋体" w:hAnsi="宋体" w:eastAsia="宋体" w:cs="Times New Roman"/>
          <w:sz w:val="21"/>
          <w:szCs w:val="21"/>
        </w:rPr>
        <w:t>按规定出席股东会、董事会及专门委员会、独立董事专门会议</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并</w:t>
      </w:r>
      <w:r>
        <w:rPr>
          <w:rFonts w:hint="eastAsia" w:ascii="宋体" w:hAnsi="宋体" w:eastAsia="宋体" w:cs="Times New Roman"/>
          <w:sz w:val="21"/>
          <w:szCs w:val="21"/>
        </w:rPr>
        <w:t>通过定期获取上市公司运营情况等资料、听取管理层汇报、与内审部门负责人和外部审计机构等中介机构沟通、实地考察、与中小股东沟通等多种方式履行职责</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且每年度</w:t>
      </w:r>
      <w:r>
        <w:rPr>
          <w:rFonts w:hint="eastAsia" w:ascii="宋体" w:hAnsi="宋体" w:eastAsia="宋体" w:cs="Times New Roman"/>
          <w:sz w:val="21"/>
          <w:szCs w:val="21"/>
        </w:rPr>
        <w:t>在每家上市公司的现场工作时间应当不少于十五日。</w:t>
      </w:r>
      <w:r>
        <w:rPr>
          <w:rFonts w:hint="eastAsia" w:ascii="宋体" w:hAnsi="宋体" w:eastAsia="宋体" w:cs="Times New Roman"/>
          <w:sz w:val="21"/>
          <w:szCs w:val="21"/>
          <w:lang w:val="en-US" w:eastAsia="zh-CN"/>
        </w:rPr>
        <w:t>并对于其履职范围内的职责事项进行客观审慎的判断，并监督会议达成的决议执行情况。相对应的，</w:t>
      </w:r>
      <w:r>
        <w:rPr>
          <w:rFonts w:hint="eastAsia" w:ascii="宋体" w:hAnsi="宋体" w:eastAsia="宋体" w:cs="Times New Roman"/>
          <w:sz w:val="21"/>
          <w:szCs w:val="21"/>
        </w:rPr>
        <w:t>独立董事原则上应当亲自出席上市公司年度股东会，并提交年度述职报告</w:t>
      </w:r>
      <w:r>
        <w:rPr>
          <w:rFonts w:hint="eastAsia" w:ascii="宋体" w:hAnsi="宋体" w:eastAsia="宋体" w:cs="Times New Roman"/>
          <w:sz w:val="21"/>
          <w:szCs w:val="21"/>
          <w:lang w:eastAsia="zh-CN"/>
        </w:rPr>
        <w:t>，</w:t>
      </w:r>
      <w:r>
        <w:rPr>
          <w:rFonts w:hint="eastAsia" w:ascii="宋体" w:hAnsi="宋体" w:eastAsia="宋体" w:cs="Times New Roman"/>
          <w:sz w:val="21"/>
          <w:szCs w:val="21"/>
        </w:rPr>
        <w:t>向全体股东如实传递其在董事会中发挥参与决策、监督制衡、专业咨询等作用的情况</w:t>
      </w:r>
      <w:r>
        <w:rPr>
          <w:rStyle w:val="19"/>
          <w:rFonts w:hint="eastAsia" w:ascii="宋体" w:hAnsi="宋体" w:eastAsia="宋体" w:cs="Times New Roman"/>
          <w:sz w:val="21"/>
          <w:szCs w:val="21"/>
          <w:lang w:val="en-US" w:eastAsia="zh-CN"/>
        </w:rPr>
        <w:footnoteReference w:id="44"/>
      </w:r>
      <w:r>
        <w:rPr>
          <w:rFonts w:hint="eastAsia" w:ascii="宋体" w:hAnsi="宋体" w:eastAsia="宋体" w:cs="Times New Roman"/>
          <w:sz w:val="21"/>
          <w:szCs w:val="21"/>
          <w:lang w:val="en-US" w:eastAsia="zh-CN"/>
        </w:rPr>
        <w:t>。同时，独立董事</w:t>
      </w:r>
      <w:r>
        <w:rPr>
          <w:rFonts w:hint="eastAsia" w:ascii="宋体" w:hAnsi="宋体" w:eastAsia="宋体" w:cs="Times New Roman"/>
          <w:sz w:val="21"/>
          <w:szCs w:val="21"/>
        </w:rPr>
        <w:t>应当每年对独立性情况进行自查，并将自查情况提交董事会。董事会应当每年 对在任独立董事独立性情况进行评估并出具专项意见，与年度报告同时披露</w:t>
      </w:r>
      <w:r>
        <w:rPr>
          <w:rFonts w:hint="eastAsia" w:ascii="宋体" w:hAnsi="宋体" w:eastAsia="宋体" w:cs="Times New Roman"/>
          <w:sz w:val="21"/>
          <w:szCs w:val="21"/>
          <w:lang w:eastAsia="zh-CN"/>
        </w:rPr>
        <w:t>。</w:t>
      </w:r>
      <w:r>
        <w:rPr>
          <w:rStyle w:val="19"/>
          <w:rFonts w:hint="eastAsia" w:ascii="宋体" w:hAnsi="宋体" w:eastAsia="宋体" w:cs="Times New Roman"/>
          <w:sz w:val="21"/>
          <w:szCs w:val="21"/>
          <w:lang w:eastAsia="zh-CN"/>
        </w:rPr>
        <w:footnoteReference w:id="45"/>
      </w:r>
      <w:r>
        <w:rPr>
          <w:rFonts w:hint="eastAsia" w:ascii="宋体" w:hAnsi="宋体" w:eastAsia="宋体" w:cs="Times New Roman"/>
          <w:sz w:val="21"/>
          <w:szCs w:val="21"/>
          <w:lang w:val="en-US" w:eastAsia="zh-CN"/>
        </w:rPr>
        <w:t>由此可见，独立董事履职存在通过参与公司会议决议与日常专项监督审查两类型工作方式，并同时接受股东会、董事会的监督审查。</w:t>
      </w:r>
    </w:p>
    <w:p w14:paraId="319FFD10">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rPr>
      </w:pPr>
      <w:r>
        <w:rPr>
          <w:rFonts w:hint="eastAsia" w:ascii="宋体" w:hAnsi="宋体" w:eastAsia="宋体" w:cs="Times New Roman"/>
          <w:sz w:val="21"/>
          <w:szCs w:val="21"/>
          <w:lang w:val="en-US" w:eastAsia="zh-CN"/>
        </w:rPr>
        <w:t>但制度的应然性无法代表现实的实然性。以</w:t>
      </w:r>
      <w:r>
        <w:rPr>
          <w:rFonts w:hint="eastAsia" w:ascii="宋体" w:hAnsi="宋体" w:eastAsia="宋体" w:cs="Times New Roman"/>
          <w:sz w:val="21"/>
          <w:szCs w:val="21"/>
        </w:rPr>
        <w:t>独立董事在审议财务报告和定期报告中的财务信息及其披露</w:t>
      </w:r>
      <w:r>
        <w:rPr>
          <w:rFonts w:hint="eastAsia" w:ascii="宋体" w:hAnsi="宋体" w:eastAsia="宋体" w:cs="Times New Roman"/>
          <w:sz w:val="21"/>
          <w:szCs w:val="21"/>
          <w:lang w:val="en-US" w:eastAsia="zh-CN"/>
        </w:rPr>
        <w:t>义务为例，此项义务亦是独立董事的核心义务之一。但有研究指出，独立董事连锁网络</w:t>
      </w:r>
      <w:r>
        <w:rPr>
          <w:rStyle w:val="19"/>
          <w:rFonts w:hint="eastAsia" w:ascii="宋体" w:hAnsi="宋体" w:eastAsia="宋体" w:cs="Times New Roman"/>
          <w:sz w:val="21"/>
          <w:szCs w:val="21"/>
          <w:lang w:val="en-US" w:eastAsia="zh-CN"/>
        </w:rPr>
        <w:footnoteReference w:id="46"/>
      </w:r>
      <w:r>
        <w:rPr>
          <w:rFonts w:hint="eastAsia" w:ascii="宋体" w:hAnsi="宋体" w:eastAsia="宋体" w:cs="Times New Roman"/>
          <w:sz w:val="21"/>
          <w:szCs w:val="21"/>
          <w:lang w:val="en-US" w:eastAsia="zh-CN"/>
        </w:rPr>
        <w:t>可通过传播财务违规经验，使公司管理层产生机会主义思想、降低财务违规道德感知、获得财务违规操作方法，进而增加公司财务违规的可能性，且连锁网络中发生财务违规的公司数量越多，财务违规传染效应越强。</w:t>
      </w:r>
      <w:r>
        <w:rPr>
          <w:rFonts w:hint="eastAsia" w:ascii="宋体" w:hAnsi="宋体" w:eastAsia="宋体"/>
          <w:sz w:val="21"/>
          <w:szCs w:val="21"/>
          <w:vertAlign w:val="baseline"/>
          <w:lang w:val="en-US" w:eastAsia="zh-CN"/>
        </w:rPr>
        <w:fldChar w:fldCharType="begin"/>
      </w:r>
      <w:r>
        <w:instrText xml:space="preserve"> REF _Ref30942 \r \h  \* MERGEFORMAT</w:instrText>
      </w:r>
      <w:r>
        <w:rPr>
          <w:rFonts w:hint="eastAsia" w:ascii="宋体" w:hAnsi="宋体" w:eastAsia="宋体"/>
          <w:sz w:val="21"/>
          <w:szCs w:val="21"/>
          <w:vertAlign w:val="baseline"/>
          <w:lang w:val="en-US" w:eastAsia="zh-CN"/>
        </w:rPr>
        <w:fldChar w:fldCharType="separate"/>
      </w:r>
      <w:r>
        <w:rPr>
          <w:rStyle w:val="19"/>
          <w:rFonts w:hint="eastAsia" w:ascii="宋体" w:hAnsi="宋体" w:eastAsia="宋体"/>
          <w:sz w:val="21"/>
          <w:szCs w:val="21"/>
          <w:lang w:val="en-US" w:eastAsia="zh-CN"/>
        </w:rPr>
        <w:footnoteReference w:id="47"/>
      </w:r>
      <w:r>
        <w:rPr>
          <w:rFonts w:hint="eastAsia" w:ascii="宋体" w:hAnsi="宋体" w:eastAsia="宋体"/>
          <w:sz w:val="21"/>
          <w:szCs w:val="21"/>
          <w:vertAlign w:val="baseline"/>
          <w:lang w:val="en-US" w:eastAsia="zh-CN"/>
        </w:rPr>
        <w:fldChar w:fldCharType="end"/>
      </w:r>
      <w:r>
        <w:rPr>
          <w:rFonts w:hint="eastAsia" w:ascii="宋体" w:hAnsi="宋体" w:eastAsia="宋体"/>
          <w:sz w:val="21"/>
          <w:szCs w:val="21"/>
          <w:lang w:val="en-US" w:eastAsia="zh-CN"/>
        </w:rPr>
        <w:t>其本质上反映了独立董事作为“理性经济人”的自利趋向，而其怀有的“机会主义”的心理倾向也无法在制度上得到完美的解决方案。相对应的，在康美药业案中，康美药业的五位独立董事被判决承担连带赔偿责任3.69亿元</w:t>
      </w:r>
      <w:r>
        <w:rPr>
          <w:rStyle w:val="19"/>
          <w:rFonts w:hint="eastAsia" w:ascii="宋体" w:hAnsi="宋体" w:eastAsia="宋体" w:cs="Times New Roman"/>
          <w:sz w:val="21"/>
          <w:szCs w:val="21"/>
          <w:lang w:val="en-US" w:eastAsia="zh-CN"/>
        </w:rPr>
        <w:footnoteReference w:id="48"/>
      </w:r>
      <w:r>
        <w:rPr>
          <w:rFonts w:hint="eastAsia" w:ascii="宋体" w:hAnsi="宋体" w:eastAsia="宋体"/>
          <w:sz w:val="21"/>
          <w:szCs w:val="21"/>
          <w:lang w:val="en-US" w:eastAsia="zh-CN"/>
        </w:rPr>
        <w:t>，迅速在资本市场卷起一股“辞职潮”，其使得独立董事对履职风险的感知变得敏感，将更为审慎地考量任职公司存在的各方面风险因素并做出去留决定。与此形成鲜明对照的是，</w:t>
      </w:r>
      <w:r>
        <w:rPr>
          <w:rFonts w:hint="eastAsia" w:ascii="宋体" w:hAnsi="宋体" w:eastAsia="宋体" w:cs="Times New Roman"/>
          <w:sz w:val="21"/>
          <w:szCs w:val="21"/>
        </w:rPr>
        <w:t>AI董事不以获取个人报酬、拓展声誉或建立人脉为目标，不具备“理性经济人”式的趋利性与机会主义动机</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其缘由在于AI董事</w:t>
      </w:r>
      <w:r>
        <w:rPr>
          <w:rFonts w:hint="eastAsia" w:ascii="宋体" w:hAnsi="宋体" w:eastAsia="宋体" w:cs="Times New Roman"/>
          <w:sz w:val="21"/>
          <w:szCs w:val="21"/>
        </w:rPr>
        <w:t>核心算法</w:t>
      </w:r>
      <w:r>
        <w:rPr>
          <w:rFonts w:hint="eastAsia" w:ascii="宋体" w:hAnsi="宋体" w:eastAsia="宋体" w:cs="Times New Roman"/>
          <w:sz w:val="21"/>
          <w:szCs w:val="21"/>
          <w:lang w:eastAsia="zh-CN"/>
        </w:rPr>
        <w:t>是</w:t>
      </w:r>
      <w:r>
        <w:rPr>
          <w:rFonts w:hint="eastAsia" w:ascii="宋体" w:hAnsi="宋体" w:eastAsia="宋体" w:cs="Times New Roman"/>
          <w:sz w:val="21"/>
          <w:szCs w:val="21"/>
        </w:rPr>
        <w:t>围绕既定的监督规则、数据指标与异常阈值运行</w:t>
      </w:r>
      <w:r>
        <w:rPr>
          <w:rFonts w:hint="eastAsia" w:ascii="宋体" w:hAnsi="宋体" w:eastAsia="宋体" w:cs="Times New Roman"/>
          <w:sz w:val="21"/>
          <w:szCs w:val="21"/>
          <w:lang w:eastAsia="zh-CN"/>
        </w:rPr>
        <w:t>的</w:t>
      </w:r>
      <w:r>
        <w:rPr>
          <w:rFonts w:hint="eastAsia" w:ascii="宋体" w:hAnsi="宋体" w:eastAsia="宋体" w:cs="Times New Roman"/>
          <w:sz w:val="21"/>
          <w:szCs w:val="21"/>
        </w:rPr>
        <w:t>，独立性受技术参数而非人际关系约束。</w:t>
      </w:r>
    </w:p>
    <w:p w14:paraId="657B86A4">
      <w:pPr>
        <w:keepNext w:val="0"/>
        <w:keepLines w:val="0"/>
        <w:pageBreakBefore w:val="0"/>
        <w:widowControl/>
        <w:kinsoku/>
        <w:wordWrap/>
        <w:overflowPunct/>
        <w:topLinePunct w:val="0"/>
        <w:autoSpaceDE/>
        <w:autoSpaceDN/>
        <w:bidi w:val="0"/>
        <w:adjustRightInd/>
        <w:snapToGrid/>
        <w:spacing w:line="240" w:lineRule="auto"/>
        <w:ind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况且，</w:t>
      </w:r>
      <w:r>
        <w:rPr>
          <w:rFonts w:hint="eastAsia" w:ascii="宋体" w:hAnsi="宋体" w:eastAsia="宋体" w:cs="Times New Roman"/>
          <w:sz w:val="21"/>
          <w:szCs w:val="21"/>
        </w:rPr>
        <w:t>在履职勤勉度方面，AI 董事不存在“到场成本”的概念，</w:t>
      </w:r>
      <w:r>
        <w:rPr>
          <w:rFonts w:hint="eastAsia" w:ascii="宋体" w:hAnsi="宋体" w:eastAsia="宋体" w:cs="Times New Roman"/>
          <w:sz w:val="21"/>
          <w:szCs w:val="21"/>
          <w:lang w:val="en-US" w:eastAsia="zh-CN"/>
        </w:rPr>
        <w:t>其</w:t>
      </w:r>
      <w:r>
        <w:rPr>
          <w:rFonts w:hint="eastAsia" w:ascii="宋体" w:hAnsi="宋体" w:eastAsia="宋体" w:cs="Times New Roman"/>
          <w:sz w:val="21"/>
          <w:szCs w:val="21"/>
        </w:rPr>
        <w:t>能 7×24 小时对财务数据、交易记录、合同变更、公告披露等进行实时抓取与对比分析并生成审计式日志</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相对于</w:t>
      </w:r>
      <w:r>
        <w:rPr>
          <w:rFonts w:hint="eastAsia" w:ascii="宋体" w:hAnsi="宋体" w:eastAsia="宋体" w:cs="Times New Roman"/>
          <w:sz w:val="21"/>
          <w:szCs w:val="21"/>
        </w:rPr>
        <w:t>独立董事每年“现场不少于十五日”的硬性要求</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AI董事</w:t>
      </w:r>
      <w:r>
        <w:rPr>
          <w:rFonts w:hint="eastAsia" w:ascii="宋体" w:hAnsi="宋体" w:eastAsia="宋体" w:cs="Times New Roman"/>
          <w:sz w:val="21"/>
          <w:szCs w:val="21"/>
        </w:rPr>
        <w:t>实现秒级别的全周期监控，大幅提高监督频次与问题发现的及时性</w:t>
      </w:r>
      <w:r>
        <w:rPr>
          <w:rFonts w:hint="eastAsia" w:ascii="宋体" w:hAnsi="宋体" w:eastAsia="宋体" w:cs="Times New Roman"/>
          <w:sz w:val="21"/>
          <w:szCs w:val="21"/>
          <w:lang w:val="en-US" w:eastAsia="zh-CN"/>
        </w:rPr>
        <w:t>也不过是家常便饭。进一步而言，AI董事具有“无畏”的品德，既不会因内部人事关系，也不会因外部追责而出现“离席退场”的问题。更何况，长期的任职于某一特定的公司，也有益于AI董事积累对公司的熟悉度与履职效率，这一点亦是独立董事难以实现的。</w:t>
      </w:r>
    </w:p>
    <w:p w14:paraId="50156D1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outlineLvl w:val="0"/>
        <w:rPr>
          <w:rFonts w:hint="default" w:ascii="黑体" w:hAnsi="黑体" w:eastAsia="黑体" w:cs="黑体"/>
          <w:sz w:val="28"/>
          <w:szCs w:val="36"/>
          <w:lang w:val="en-US" w:eastAsia="zh-CN"/>
        </w:rPr>
      </w:pPr>
      <w:r>
        <w:rPr>
          <w:rFonts w:hint="eastAsia" w:ascii="黑体" w:hAnsi="黑体" w:eastAsia="黑体" w:cs="黑体"/>
          <w:sz w:val="28"/>
          <w:szCs w:val="36"/>
          <w:lang w:val="en-US" w:eastAsia="zh-CN"/>
        </w:rPr>
        <w:t>AI董事对独立董事的角色适配与职能再塑</w:t>
      </w:r>
    </w:p>
    <w:p w14:paraId="5B79D421">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在具备技术可行性与法律适格性的条件下，AI董事在身份独立、薪酬独立、履职独立等方面应用优势将会进一步对独立董事制度造成冲击。但这并不意味着可对AI董事“无条件式”的部署安排，进而彻底取代独立董事的地位。须申明的是，AI董事相较于独立董事固然存在长足之处，但其所处的《公司法》即相关规范的制度环境以及我国现行上市公司内部治理环境，也是AI董事落地实施的关键制约因素之一，唯有将技术上的应用优势与制度上的规范指引相结合起来，才能充分发挥AI董事对独立董事角色的适配性与职能优势。</w:t>
      </w:r>
    </w:p>
    <w:p w14:paraId="03E9FF8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以技术架构的他律性确保身份独立的监督本位</w:t>
      </w:r>
    </w:p>
    <w:p w14:paraId="21D950DB">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1.从“身份独立”走向“运行独立”</w:t>
      </w:r>
    </w:p>
    <w:p w14:paraId="767D20AF">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rPr>
        <w:t>将独立董事的“人治”转化为AI董事的“智治”，真正需要解决的不是形式上由谁任命，而是实质上谁能影响其判断。传统独立董事之所以容易陷入“独而不立”，根源并不只是提名程序受控，更在于其信息来源、履职条件和续任预期都深嵌于公司内部结构之中。AI董事若只是把自然人换成模型，而模型的接入权限、算力环境、训练边界和数据入口仍由控股股东或管理层掌握，那么所谓独立仍只是治理外观的更新，而不是监督结构的重塑。</w:t>
      </w:r>
      <w:r>
        <w:rPr>
          <w:rFonts w:hint="eastAsia" w:ascii="宋体" w:hAnsi="宋体" w:eastAsia="宋体" w:cs="Times New Roman"/>
          <w:sz w:val="21"/>
          <w:szCs w:val="21"/>
          <w:lang w:val="en-US" w:eastAsia="zh-CN"/>
        </w:rPr>
        <w:t>为此，建议以监管机构（或交易所）建立链上算法候选池，该候选池并非直接提供单一决策模型，以避免产生对监管权力的结构性依赖和决策趋同风险。相反，监管机构应扮演守门人的角色，制定统一的算法合规与伦理底线标准（如反歧视、强制合规、 ESG优先等约束条件），而具体的决策算法则由多家经认证的、相互竞争的第三方开发者提供。公司提名委员会可根据自身所属行业、商业策略与风险偏好，在候选池中筛选符合合规标准的算法子集，再通过去身份化的链上抽签机制确定具体模型。这种监管设定底线、市场多元供给的模式，既保留了各公司AI董事独立行使商业判断的空间，又防止了因监管导向偏差引发的全市场算法逻辑系统性共振。</w:t>
      </w:r>
    </w:p>
    <w:p w14:paraId="125BF408">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rPr>
      </w:pPr>
      <w:r>
        <w:rPr>
          <w:rFonts w:hint="eastAsia" w:ascii="宋体" w:hAnsi="宋体" w:eastAsia="宋体" w:cs="Times New Roman"/>
          <w:sz w:val="21"/>
          <w:szCs w:val="21"/>
        </w:rPr>
        <w:t>因此，选任机制的意义在于切断指定谁来监督的人际通道，而运行机制的意义则在于切断如何让监督失灵的技术通道，这两者缺一不可。基于这一点，提名委员会和股东会可以保留程序上的启动与确认功能，但不应再保有对具体模型的选择权。公司只能提出行业属性、风险等级、业务复杂度等客观需求，不能反向锁定算法供应商、开发团队或接口结构。监管备案的候选池与随机匹配机制的价值，不在于技术炫目，而在于将AI董事的来源从“关系筛选”转为“规则筛选”。</w:t>
      </w:r>
      <w:r>
        <w:rPr>
          <w:rFonts w:hint="eastAsia" w:ascii="宋体" w:hAnsi="宋体" w:eastAsia="宋体" w:cs="Times New Roman"/>
          <w:sz w:val="21"/>
          <w:szCs w:val="21"/>
          <w:lang w:val="en-US" w:eastAsia="zh-CN"/>
        </w:rPr>
        <w:t>考虑到</w:t>
      </w:r>
      <w:r>
        <w:rPr>
          <w:rFonts w:hint="eastAsia" w:ascii="宋体" w:hAnsi="宋体" w:eastAsia="宋体" w:cs="Times New Roman"/>
          <w:sz w:val="21"/>
          <w:szCs w:val="21"/>
        </w:rPr>
        <w:t>现实中更常见的控制并非事前指定，而是事后驯化。正因如此，AI董事必须脱离公司单方可控的本地系统，转而采用第三方托管、标准化接口、全过程留痕的运行结构。公司负有持续、完整、及时供数义务，却无权改写模型权重、限制分析口径或人为中断运算。这样安排的法理重点，在于把监督判断与被监督者的资源控制分离开来，使AI董事不再依赖公司内部的善意配合，而是在制度上取得最低限度的运行自治。</w:t>
      </w:r>
    </w:p>
    <w:p w14:paraId="1ED9F377">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rPr>
      </w:pPr>
      <w:r>
        <w:rPr>
          <w:rFonts w:hint="eastAsia" w:ascii="宋体" w:hAnsi="宋体" w:eastAsia="宋体" w:cs="Times New Roman"/>
          <w:sz w:val="21"/>
          <w:szCs w:val="21"/>
          <w:lang w:val="en-US" w:eastAsia="zh-CN"/>
        </w:rPr>
        <w:t>2.</w:t>
      </w:r>
      <w:r>
        <w:rPr>
          <w:rFonts w:hint="eastAsia" w:ascii="宋体" w:hAnsi="宋体" w:eastAsia="宋体" w:cs="Times New Roman"/>
          <w:sz w:val="21"/>
          <w:szCs w:val="21"/>
        </w:rPr>
        <w:t>从“费用独立”走向“评价独立”</w:t>
      </w:r>
    </w:p>
    <w:p w14:paraId="6D990551">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rPr>
      </w:pPr>
      <w:r>
        <w:rPr>
          <w:rFonts w:hint="eastAsia" w:ascii="宋体" w:hAnsi="宋体" w:eastAsia="宋体" w:cs="Times New Roman"/>
          <w:sz w:val="21"/>
          <w:szCs w:val="21"/>
        </w:rPr>
        <w:t>如果说运行独立解决的是AI董事“能不能独立判断”的问题，那么费用与评价机制解决的就是其“能否持续独立存在”的问题。自然人独立董事的依附关系常表现为津贴、声誉和续聘机会，AI董事则可能转化为另一种更隐蔽的依附，即算力部署、模型维护、安全更新和接口服务的预算控制。也就是说，AI董事虽不收取传统薪酬，但并不意味着它脱离了成本结构；只要费用安排仍由管理层临时决定、由控股股东通过关联采购影响、由公司内部预算随时压缩，其技术生命线就仍握在被监督者手中。因此，费用独立并不是财务问题的附属面，而是监督独立的物质基础。较为可行的做法，是将AI董事相关支出纳入年度治理专项预算，并由董事会、股东会分别履行审议和披露程序，避免其隐藏在一般信息化支出中被随意调整；支付路径则应通过第三方托管账户或自动履约机制完成，以降低管理层以拖延付款、停更服务迫使AI董事失效的空间。在此基础上，更换与评价机制还必须外部化。若评价权完全掌握在董事会或提名委员会手中，公司就可以通过“绩效不佳”的名义淘汰过于严格的AI董事，这与传统独立董事因监督过度而被边缘化并无本质区别。</w:t>
      </w:r>
    </w:p>
    <w:p w14:paraId="3F38D567">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rPr>
        <w:t>因此，AI董事的评价指标应尽量围绕履职完整性、异常识别能力、程序合规程度等可核验事实展开，并引入外部审计、监管备案和股东共同参与的复合评价结构。只有当费用不能被随意掐断、评价不能被单方操纵、更换不能成为纪律工具时，AI董事才可能真正摆脱公司内部的软控制，形成区别于传统独立董事的结构性独立。</w:t>
      </w:r>
    </w:p>
    <w:p w14:paraId="330F25F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outlineLvl w:val="0"/>
        <w:rPr>
          <w:rFonts w:hint="eastAsia" w:ascii="华文楷体" w:hAnsi="华文楷体" w:eastAsia="华文楷体" w:cstheme="minorBidi"/>
          <w:b w:val="0"/>
          <w:bCs w:val="0"/>
          <w:lang w:val="en-US" w:eastAsia="zh-CN"/>
        </w:rPr>
      </w:pPr>
      <w:r>
        <w:rPr>
          <w:rFonts w:hint="eastAsia" w:ascii="华文楷体" w:hAnsi="华文楷体" w:eastAsia="华文楷体" w:cstheme="minorBidi"/>
          <w:b w:val="0"/>
          <w:bCs w:val="0"/>
          <w:lang w:val="en-US" w:eastAsia="zh-CN"/>
        </w:rPr>
        <w:t>以登记公示制度的公信力构建AI董事的友好度</w:t>
      </w:r>
    </w:p>
    <w:p w14:paraId="624A1C10">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sz w:val="21"/>
          <w:szCs w:val="21"/>
          <w:lang w:val="en-US" w:eastAsia="zh-CN"/>
        </w:rPr>
      </w:pPr>
      <w:r>
        <w:rPr>
          <w:rFonts w:hint="eastAsia" w:ascii="宋体" w:hAnsi="宋体" w:eastAsia="宋体" w:cs="Times New Roman"/>
          <w:sz w:val="21"/>
          <w:szCs w:val="21"/>
          <w:lang w:val="en-US" w:eastAsia="zh-CN"/>
        </w:rPr>
        <w:t>公司登记制度是公司法的核心制度，进而事关投资兴业、并购重组、公司退出、公司治理、股权流转、交易安全与公司利益相关者的安危，其亦可作为AI董事制度得以维系的压舱石，以示充分尊重交易伙伴的知情权、选择权与安全保障权。</w:t>
      </w:r>
      <w:r>
        <w:rPr>
          <w:rFonts w:hint="eastAsia" w:ascii="宋体" w:hAnsi="宋体" w:eastAsia="宋体"/>
          <w:sz w:val="21"/>
          <w:szCs w:val="21"/>
          <w:vertAlign w:val="baseline"/>
          <w:lang w:val="en-US" w:eastAsia="zh-CN"/>
        </w:rPr>
        <w:fldChar w:fldCharType="begin"/>
      </w:r>
      <w:r>
        <w:instrText xml:space="preserve"> REF _Ref30972 \r \h  \* MERGEFORMAT</w:instrText>
      </w:r>
      <w:r>
        <w:rPr>
          <w:rFonts w:hint="eastAsia" w:ascii="宋体" w:hAnsi="宋体" w:eastAsia="宋体"/>
          <w:sz w:val="21"/>
          <w:szCs w:val="21"/>
          <w:vertAlign w:val="baseline"/>
          <w:lang w:val="en-US" w:eastAsia="zh-CN"/>
        </w:rPr>
        <w:fldChar w:fldCharType="separate"/>
      </w:r>
      <w:r>
        <w:rPr>
          <w:rStyle w:val="19"/>
          <w:rFonts w:hint="eastAsia" w:ascii="宋体" w:hAnsi="宋体" w:eastAsia="宋体"/>
          <w:sz w:val="21"/>
          <w:szCs w:val="21"/>
          <w:lang w:val="en-US" w:eastAsia="zh-CN"/>
        </w:rPr>
        <w:footnoteReference w:id="49"/>
      </w:r>
      <w:r>
        <w:rPr>
          <w:rFonts w:hint="eastAsia" w:ascii="宋体" w:hAnsi="宋体" w:eastAsia="宋体"/>
          <w:sz w:val="21"/>
          <w:szCs w:val="21"/>
          <w:vertAlign w:val="baseline"/>
          <w:lang w:val="en-US" w:eastAsia="zh-CN"/>
        </w:rPr>
        <w:fldChar w:fldCharType="end"/>
      </w:r>
      <w:r>
        <w:rPr>
          <w:rFonts w:hint="eastAsia" w:ascii="宋体" w:hAnsi="宋体" w:eastAsia="宋体"/>
          <w:sz w:val="21"/>
          <w:szCs w:val="21"/>
          <w:lang w:val="en-US" w:eastAsia="zh-CN"/>
        </w:rPr>
        <w:t>而推进AI董事登记事项的统一化、系统化、数字化与公开化，事关该项制度应然功能的发挥，也是对我国新《公司法》专设“公司登记专章”以及2025年市场监管总局配套出台《公司登记管理实施办法》（以下简称《实施办法》）的恰当回应。</w:t>
      </w:r>
    </w:p>
    <w:p w14:paraId="1345B1E4">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具体而言，公司登记制度在一定程度上本就具备公权力对于商业组织（主体）的控制与监管。早在欧洲中世纪，便设定了普通人若想取得相应的商业资格必须得受到行会的认可，登记于行会名簿</w:t>
      </w:r>
      <w:r>
        <w:rPr>
          <w:rFonts w:hint="eastAsia" w:ascii="宋体" w:hAnsi="宋体" w:eastAsia="宋体"/>
          <w:sz w:val="21"/>
          <w:szCs w:val="21"/>
          <w:vertAlign w:val="baseline"/>
          <w:lang w:val="en-US" w:eastAsia="zh-CN"/>
        </w:rPr>
        <w:fldChar w:fldCharType="begin"/>
      </w:r>
      <w:r>
        <w:instrText xml:space="preserve"> REF _Ref30995 \r \h  \* MERGEFORMAT</w:instrText>
      </w:r>
      <w:r>
        <w:rPr>
          <w:rFonts w:hint="eastAsia" w:ascii="宋体" w:hAnsi="宋体" w:eastAsia="宋体"/>
          <w:sz w:val="21"/>
          <w:szCs w:val="21"/>
          <w:vertAlign w:val="baseline"/>
          <w:lang w:val="en-US" w:eastAsia="zh-CN"/>
        </w:rPr>
        <w:fldChar w:fldCharType="separate"/>
      </w:r>
      <w:r>
        <w:rPr>
          <w:rFonts w:hint="eastAsia" w:ascii="宋体" w:hAnsi="宋体" w:eastAsia="宋体"/>
          <w:sz w:val="21"/>
          <w:szCs w:val="21"/>
          <w:vertAlign w:val="baseline"/>
          <w:lang w:val="en-US" w:eastAsia="zh-CN"/>
        </w:rPr>
        <w:fldChar w:fldCharType="end"/>
      </w:r>
      <w:r>
        <w:rPr>
          <w:rFonts w:hint="eastAsia" w:ascii="宋体" w:hAnsi="宋体" w:eastAsia="宋体"/>
          <w:sz w:val="21"/>
          <w:szCs w:val="21"/>
          <w:lang w:eastAsia="zh-CN"/>
        </w:rPr>
        <w:t>的</w:t>
      </w:r>
      <w:r>
        <w:rPr>
          <w:rFonts w:hint="eastAsia" w:ascii="宋体" w:hAnsi="宋体" w:eastAsia="宋体"/>
          <w:sz w:val="21"/>
          <w:szCs w:val="21"/>
          <w:lang w:val="en-US" w:eastAsia="zh-CN"/>
        </w:rPr>
        <w:t>规定</w:t>
      </w:r>
      <w:r>
        <w:rPr>
          <w:rStyle w:val="19"/>
          <w:rFonts w:hint="eastAsia" w:ascii="宋体" w:hAnsi="宋体" w:eastAsia="宋体"/>
          <w:sz w:val="21"/>
          <w:szCs w:val="21"/>
          <w:lang w:val="en-US" w:eastAsia="zh-CN"/>
        </w:rPr>
        <w:footnoteReference w:id="50"/>
      </w:r>
      <w:r>
        <w:rPr>
          <w:rFonts w:hint="eastAsia" w:ascii="宋体" w:hAnsi="宋体" w:eastAsia="宋体"/>
          <w:sz w:val="21"/>
          <w:szCs w:val="21"/>
          <w:lang w:val="en-US" w:eastAsia="zh-CN"/>
        </w:rPr>
        <w:t>；而我国自秦汉以后，便有通过“市籍”“执照”等制度管理商人，为从事商业活动发放经营许可的规定。而时至现代，公司登记本身就暗含着“政府认为该组织符合了适用公司制度的条件”之隐喻。</w:t>
      </w:r>
      <w:r>
        <w:rPr>
          <w:rFonts w:hint="eastAsia" w:ascii="宋体" w:hAnsi="宋体" w:eastAsia="宋体"/>
          <w:sz w:val="21"/>
          <w:szCs w:val="21"/>
          <w:vertAlign w:val="baseline"/>
          <w:lang w:val="en-US" w:eastAsia="zh-CN"/>
        </w:rPr>
        <w:fldChar w:fldCharType="begin"/>
      </w:r>
      <w:r>
        <w:instrText xml:space="preserve"> REF _Ref31017 \r \h  \* MERGEFORMAT</w:instrText>
      </w:r>
      <w:r>
        <w:rPr>
          <w:rFonts w:hint="eastAsia" w:ascii="宋体" w:hAnsi="宋体" w:eastAsia="宋体"/>
          <w:sz w:val="21"/>
          <w:szCs w:val="21"/>
          <w:vertAlign w:val="baseline"/>
          <w:lang w:val="en-US" w:eastAsia="zh-CN"/>
        </w:rPr>
        <w:fldChar w:fldCharType="separate"/>
      </w:r>
      <w:r>
        <w:rPr>
          <w:rStyle w:val="19"/>
          <w:rFonts w:hint="eastAsia" w:ascii="宋体" w:hAnsi="宋体" w:eastAsia="宋体"/>
          <w:sz w:val="21"/>
          <w:szCs w:val="21"/>
          <w:lang w:val="en-US" w:eastAsia="zh-CN"/>
        </w:rPr>
        <w:footnoteReference w:id="51"/>
      </w:r>
      <w:r>
        <w:rPr>
          <w:rFonts w:hint="eastAsia" w:ascii="宋体" w:hAnsi="宋体" w:eastAsia="宋体"/>
          <w:sz w:val="21"/>
          <w:szCs w:val="21"/>
          <w:vertAlign w:val="baseline"/>
          <w:lang w:val="en-US" w:eastAsia="zh-CN"/>
        </w:rPr>
        <w:fldChar w:fldCharType="end"/>
      </w:r>
      <w:r>
        <w:rPr>
          <w:rFonts w:hint="eastAsia" w:ascii="宋体" w:hAnsi="宋体" w:eastAsia="宋体"/>
          <w:sz w:val="21"/>
          <w:szCs w:val="21"/>
          <w:lang w:val="en-US" w:eastAsia="zh-CN"/>
        </w:rPr>
        <w:t>换言之，这本质上是一种对商主体资格之属的筛选把控。当然，除却上述公法意义上的效用，在私法上，公司登记亦是公司向外界传递为外界所知的必要信息的制度渠道，使固定范围的公司信息发挥公共物品的应然功能，缓解公司内外的信息不对称，降低市场主体间相互了解的成本。而交易相对人则可凭借登记事项，向公司主张权利亦或者主张抗辩，即登记的公信力。但也有学者指出，长期以来商法学界只关注非常狭窄的商事主体登记，对于广泛存在的行为性登记、中间企业（社会企业）登记、强制性登记等被民法学界和行政法学界关注的问题，商法学者长期缺乏足够热情。</w:t>
      </w:r>
      <w:r>
        <w:rPr>
          <w:rFonts w:hint="eastAsia" w:ascii="宋体" w:hAnsi="宋体" w:eastAsia="宋体"/>
          <w:sz w:val="21"/>
          <w:szCs w:val="21"/>
          <w:vertAlign w:val="baseline"/>
          <w:lang w:val="en-US" w:eastAsia="zh-CN"/>
        </w:rPr>
        <w:fldChar w:fldCharType="begin"/>
      </w:r>
      <w:r>
        <w:instrText xml:space="preserve"> REF _Ref31031 \r \h  \* MERGEFORMAT</w:instrText>
      </w:r>
      <w:r>
        <w:rPr>
          <w:rFonts w:hint="eastAsia" w:ascii="宋体" w:hAnsi="宋体" w:eastAsia="宋体"/>
          <w:sz w:val="21"/>
          <w:szCs w:val="21"/>
          <w:vertAlign w:val="baseline"/>
          <w:lang w:val="en-US" w:eastAsia="zh-CN"/>
        </w:rPr>
        <w:fldChar w:fldCharType="separate"/>
      </w:r>
      <w:r>
        <w:rPr>
          <w:rStyle w:val="19"/>
          <w:rFonts w:hint="eastAsia" w:ascii="宋体" w:hAnsi="宋体" w:eastAsia="宋体"/>
          <w:sz w:val="21"/>
          <w:szCs w:val="21"/>
          <w:lang w:val="en-US" w:eastAsia="zh-CN"/>
        </w:rPr>
        <w:footnoteReference w:id="52"/>
      </w:r>
      <w:r>
        <w:rPr>
          <w:rFonts w:hint="eastAsia" w:ascii="宋体" w:hAnsi="宋体" w:eastAsia="宋体"/>
          <w:sz w:val="21"/>
          <w:szCs w:val="21"/>
          <w:vertAlign w:val="baseline"/>
          <w:lang w:val="en-US" w:eastAsia="zh-CN"/>
        </w:rPr>
        <w:fldChar w:fldCharType="end"/>
      </w:r>
    </w:p>
    <w:p w14:paraId="19F853B2">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rPr>
      </w:pPr>
      <w:r>
        <w:rPr>
          <w:rFonts w:hint="eastAsia" w:ascii="宋体" w:hAnsi="宋体" w:eastAsia="宋体"/>
          <w:sz w:val="21"/>
          <w:szCs w:val="21"/>
          <w:lang w:val="en-US" w:eastAsia="zh-CN"/>
        </w:rPr>
        <w:t>对此，考虑到</w:t>
      </w:r>
      <w:r>
        <w:rPr>
          <w:rFonts w:hint="eastAsia" w:ascii="宋体" w:hAnsi="宋体" w:eastAsia="宋体" w:cs="Times New Roman"/>
          <w:sz w:val="21"/>
          <w:szCs w:val="21"/>
        </w:rPr>
        <w:t>AI 董事其身份既不同于自然人、也异于普通法人</w:t>
      </w:r>
      <w:r>
        <w:rPr>
          <w:rFonts w:hint="eastAsia" w:ascii="宋体" w:hAnsi="宋体" w:eastAsia="宋体" w:cs="Times New Roman"/>
          <w:sz w:val="21"/>
          <w:szCs w:val="21"/>
          <w:lang w:eastAsia="zh-CN"/>
        </w:rPr>
        <w:t>，</w:t>
      </w:r>
      <w:r>
        <w:rPr>
          <w:rFonts w:hint="eastAsia" w:ascii="宋体" w:hAnsi="宋体" w:eastAsia="宋体" w:cs="Times New Roman"/>
          <w:sz w:val="21"/>
          <w:szCs w:val="21"/>
        </w:rPr>
        <w:t>传统登记栏目的姓名、身份证号、任职期限显然不足以承载算法模型的动态特征。</w:t>
      </w:r>
      <w:r>
        <w:rPr>
          <w:rFonts w:hint="eastAsia" w:ascii="宋体" w:hAnsi="宋体" w:eastAsia="宋体" w:cs="Times New Roman"/>
          <w:sz w:val="21"/>
          <w:szCs w:val="21"/>
          <w:lang w:val="en-US" w:eastAsia="zh-CN"/>
        </w:rPr>
        <w:t>因而，有必要在</w:t>
      </w:r>
      <w:r>
        <w:rPr>
          <w:rFonts w:hint="eastAsia" w:ascii="宋体" w:hAnsi="宋体" w:eastAsia="宋体" w:cs="Times New Roman"/>
          <w:sz w:val="21"/>
          <w:szCs w:val="21"/>
        </w:rPr>
        <w:t>《实施办法》框架下增设算法治理登记簿</w:t>
      </w:r>
      <w:r>
        <w:rPr>
          <w:rFonts w:hint="eastAsia" w:ascii="宋体" w:hAnsi="宋体" w:eastAsia="宋体" w:cs="Times New Roman"/>
          <w:sz w:val="21"/>
          <w:szCs w:val="21"/>
          <w:lang w:eastAsia="zh-CN"/>
        </w:rPr>
        <w:t>，</w:t>
      </w:r>
      <w:r>
        <w:rPr>
          <w:rFonts w:hint="eastAsia" w:ascii="宋体" w:hAnsi="宋体" w:eastAsia="宋体" w:cs="Times New Roman"/>
          <w:sz w:val="21"/>
          <w:szCs w:val="21"/>
        </w:rPr>
        <w:t>将 AI 董事的模型指纹（哈希值）、版本迭代节奏、训练基线、托管节点、事故承担机制等技术与法律要素统一纳入强制登记范围。</w:t>
      </w:r>
      <w:r>
        <w:rPr>
          <w:rFonts w:hint="eastAsia" w:ascii="宋体" w:hAnsi="宋体" w:eastAsia="宋体" w:cs="Times New Roman"/>
          <w:sz w:val="21"/>
          <w:szCs w:val="21"/>
          <w:lang w:val="en-US" w:eastAsia="zh-CN"/>
        </w:rPr>
        <w:t>让登记（监管）机构在授予登记号码时，既完成对AI董事底层算法与代码的一次实质性审查。当然，在主体登记回答</w:t>
      </w:r>
      <w:r>
        <w:rPr>
          <w:rFonts w:hint="eastAsia" w:ascii="宋体" w:hAnsi="宋体" w:eastAsia="宋体" w:cs="Times New Roman"/>
          <w:sz w:val="21"/>
          <w:szCs w:val="21"/>
        </w:rPr>
        <w:t>“这是谁”——模型来源、控制权结构、开发者责任链</w:t>
      </w:r>
      <w:r>
        <w:rPr>
          <w:rFonts w:hint="eastAsia" w:ascii="宋体" w:hAnsi="宋体" w:eastAsia="宋体" w:cs="Times New Roman"/>
          <w:sz w:val="21"/>
          <w:szCs w:val="21"/>
          <w:lang w:eastAsia="zh-CN"/>
        </w:rPr>
        <w:t>——的</w:t>
      </w:r>
      <w:r>
        <w:rPr>
          <w:rFonts w:hint="eastAsia" w:ascii="宋体" w:hAnsi="宋体" w:eastAsia="宋体" w:cs="Times New Roman"/>
          <w:sz w:val="21"/>
          <w:szCs w:val="21"/>
          <w:lang w:val="en-US" w:eastAsia="zh-CN"/>
        </w:rPr>
        <w:t>问题之后，亦可设定行为登记</w:t>
      </w:r>
      <w:r>
        <w:rPr>
          <w:rFonts w:hint="eastAsia" w:ascii="宋体" w:hAnsi="宋体" w:eastAsia="宋体" w:cs="Times New Roman"/>
          <w:sz w:val="21"/>
          <w:szCs w:val="21"/>
        </w:rPr>
        <w:t>回答“他做了什么”——历次投票立场、风险预警日志、外部审计意见</w:t>
      </w:r>
      <w:r>
        <w:rPr>
          <w:rFonts w:hint="eastAsia" w:ascii="宋体" w:hAnsi="宋体" w:eastAsia="宋体" w:cs="Times New Roman"/>
          <w:sz w:val="21"/>
          <w:szCs w:val="21"/>
          <w:lang w:eastAsia="zh-CN"/>
        </w:rPr>
        <w:t>；</w:t>
      </w:r>
      <w:r>
        <w:rPr>
          <w:rFonts w:hint="eastAsia" w:ascii="宋体" w:hAnsi="宋体" w:eastAsia="宋体" w:cs="Times New Roman"/>
          <w:sz w:val="21"/>
          <w:szCs w:val="21"/>
        </w:rPr>
        <w:t>风险登记则回答“后果如何”——赔偿履行情况、监管处罚记录、保险理赔进度。</w:t>
      </w:r>
      <w:r>
        <w:rPr>
          <w:rFonts w:hint="eastAsia" w:ascii="宋体" w:hAnsi="宋体" w:eastAsia="宋体" w:cs="Times New Roman"/>
          <w:sz w:val="21"/>
          <w:szCs w:val="21"/>
          <w:lang w:val="en-US" w:eastAsia="zh-CN"/>
        </w:rPr>
        <w:t>让市场内外主体</w:t>
      </w:r>
      <w:r>
        <w:rPr>
          <w:rFonts w:hint="eastAsia" w:ascii="宋体" w:hAnsi="宋体" w:eastAsia="宋体" w:cs="Times New Roman"/>
          <w:sz w:val="21"/>
          <w:szCs w:val="21"/>
        </w:rPr>
        <w:t>据此区分“经验丰富但高风险偏好”的算法与“保守稳健、预警灵敏”的算法</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其</w:t>
      </w:r>
      <w:r>
        <w:rPr>
          <w:rFonts w:hint="eastAsia" w:ascii="宋体" w:hAnsi="宋体" w:eastAsia="宋体" w:cs="Times New Roman"/>
          <w:sz w:val="21"/>
          <w:szCs w:val="21"/>
        </w:rPr>
        <w:t>本质上把“外观主义”上的外观从静态证照扩展为动态行为轨迹，让理性人标准能够在信息社会获得可操作的事实基础。</w:t>
      </w:r>
    </w:p>
    <w:p w14:paraId="05E2EBF5">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藉此，赋予AI董事三重友好度：</w:t>
      </w:r>
      <w:r>
        <w:rPr>
          <w:rFonts w:hint="eastAsia" w:ascii="宋体" w:hAnsi="宋体" w:eastAsia="宋体" w:cs="Times New Roman"/>
          <w:sz w:val="21"/>
          <w:szCs w:val="21"/>
        </w:rPr>
        <w:t>第一重是可验证性友好</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即</w:t>
      </w:r>
      <w:r>
        <w:rPr>
          <w:rFonts w:hint="eastAsia" w:ascii="宋体" w:hAnsi="宋体" w:eastAsia="宋体" w:cs="Times New Roman"/>
          <w:sz w:val="21"/>
          <w:szCs w:val="21"/>
        </w:rPr>
        <w:t>任何人都能独立验证算法身份与行为真伪</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第二重是</w:t>
      </w:r>
      <w:r>
        <w:rPr>
          <w:rFonts w:hint="eastAsia" w:ascii="宋体" w:hAnsi="宋体" w:eastAsia="宋体" w:cs="Times New Roman"/>
          <w:sz w:val="21"/>
          <w:szCs w:val="21"/>
        </w:rPr>
        <w:t>可预期性友好</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相关主体</w:t>
      </w:r>
      <w:r>
        <w:rPr>
          <w:rFonts w:hint="eastAsia" w:ascii="宋体" w:hAnsi="宋体" w:eastAsia="宋体" w:cs="Times New Roman"/>
          <w:sz w:val="21"/>
          <w:szCs w:val="21"/>
        </w:rPr>
        <w:t>随时捕捉算法风险脉冲并量化估计潜在损失</w:t>
      </w:r>
      <w:r>
        <w:rPr>
          <w:rFonts w:hint="eastAsia" w:ascii="宋体" w:hAnsi="宋体" w:eastAsia="宋体" w:cs="Times New Roman"/>
          <w:sz w:val="21"/>
          <w:szCs w:val="21"/>
          <w:lang w:eastAsia="zh-CN"/>
        </w:rPr>
        <w:t>；</w:t>
      </w:r>
      <w:r>
        <w:rPr>
          <w:rFonts w:hint="eastAsia" w:ascii="宋体" w:hAnsi="宋体" w:eastAsia="宋体" w:cs="Times New Roman"/>
          <w:sz w:val="21"/>
          <w:szCs w:val="21"/>
        </w:rPr>
        <w:t>第三重是可纠错性友好——登记簿预留</w:t>
      </w:r>
      <w:bookmarkStart w:id="1" w:name="_GoBack"/>
      <w:bookmarkEnd w:id="1"/>
      <w:r>
        <w:rPr>
          <w:rFonts w:hint="eastAsia" w:ascii="宋体" w:hAnsi="宋体" w:eastAsia="宋体" w:cs="Times New Roman"/>
          <w:sz w:val="21"/>
          <w:szCs w:val="21"/>
        </w:rPr>
        <w:t>完善的责任锚点和更新机制</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在</w:t>
      </w:r>
      <w:r>
        <w:rPr>
          <w:rFonts w:hint="eastAsia" w:ascii="宋体" w:hAnsi="宋体" w:eastAsia="宋体" w:cs="Times New Roman"/>
          <w:sz w:val="21"/>
          <w:szCs w:val="21"/>
        </w:rPr>
        <w:t>算法失灵</w:t>
      </w:r>
      <w:r>
        <w:rPr>
          <w:rFonts w:hint="eastAsia" w:ascii="宋体" w:hAnsi="宋体" w:eastAsia="宋体" w:cs="Times New Roman"/>
          <w:sz w:val="21"/>
          <w:szCs w:val="21"/>
          <w:lang w:val="en-US" w:eastAsia="zh-CN"/>
        </w:rPr>
        <w:t>情况下</w:t>
      </w:r>
      <w:r>
        <w:rPr>
          <w:rFonts w:hint="eastAsia" w:ascii="宋体" w:hAnsi="宋体" w:eastAsia="宋体" w:cs="Times New Roman"/>
          <w:sz w:val="21"/>
          <w:szCs w:val="21"/>
        </w:rPr>
        <w:t>维修、补偿、</w:t>
      </w:r>
      <w:r>
        <w:rPr>
          <w:rFonts w:hint="eastAsia" w:ascii="宋体" w:hAnsi="宋体" w:eastAsia="宋体" w:cs="Times New Roman"/>
          <w:sz w:val="21"/>
          <w:szCs w:val="21"/>
          <w:lang w:val="en-US" w:eastAsia="zh-CN"/>
        </w:rPr>
        <w:t>追责</w:t>
      </w:r>
      <w:r>
        <w:rPr>
          <w:rFonts w:hint="eastAsia" w:ascii="宋体" w:hAnsi="宋体" w:eastAsia="宋体" w:cs="Times New Roman"/>
          <w:sz w:val="21"/>
          <w:szCs w:val="21"/>
        </w:rPr>
        <w:t>都有清晰路径</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最终，让</w:t>
      </w:r>
      <w:r>
        <w:rPr>
          <w:rFonts w:hint="eastAsia" w:ascii="宋体" w:hAnsi="宋体" w:eastAsia="宋体" w:cs="Times New Roman"/>
          <w:sz w:val="21"/>
          <w:szCs w:val="21"/>
        </w:rPr>
        <w:t>AI 董事才从抽象的技术概念转化为被资本市场、实体产业接纳的“可信伙伴”</w:t>
      </w:r>
      <w:r>
        <w:rPr>
          <w:rFonts w:hint="eastAsia" w:ascii="宋体" w:hAnsi="宋体" w:eastAsia="宋体" w:cs="Times New Roman"/>
          <w:sz w:val="21"/>
          <w:szCs w:val="21"/>
          <w:lang w:eastAsia="zh-CN"/>
        </w:rPr>
        <w:t>。</w:t>
      </w:r>
    </w:p>
    <w:p w14:paraId="7EC2D9C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textAlignment w:val="auto"/>
        <w:outlineLvl w:val="0"/>
        <w:rPr>
          <w:rFonts w:hint="default" w:ascii="黑体" w:hAnsi="黑体" w:eastAsia="黑体" w:cs="黑体"/>
          <w:b w:val="0"/>
          <w:bCs w:val="0"/>
          <w:lang w:val="en-US" w:eastAsia="zh-CN"/>
        </w:rPr>
      </w:pPr>
      <w:r>
        <w:rPr>
          <w:rFonts w:hint="eastAsia" w:ascii="华文楷体" w:hAnsi="华文楷体" w:eastAsia="华文楷体" w:cstheme="minorBidi"/>
          <w:b w:val="0"/>
          <w:bCs w:val="0"/>
          <w:lang w:val="en-US" w:eastAsia="zh-CN"/>
        </w:rPr>
        <w:t>以</w:t>
      </w:r>
      <w:r>
        <w:rPr>
          <w:rFonts w:hint="eastAsia" w:ascii="华文楷体" w:hAnsi="华文楷体" w:eastAsia="华文楷体" w:cstheme="minorBidi"/>
          <w:b w:val="0"/>
          <w:bCs w:val="0"/>
          <w:lang w:val="en-US" w:eastAsia="zh-CN"/>
        </w:rPr>
        <w:t>分类归责与分层赔付机制重构AI董事责任承担规则</w:t>
      </w:r>
    </w:p>
    <w:p w14:paraId="34F06213">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1.以可归责性为中心重建AI董事责任边界</w:t>
      </w:r>
    </w:p>
    <w:p w14:paraId="3DEBE0FB">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在AI董事责任问题上真正需要先回答的，不是谁来赔，而是什么情形下应当认定应赔。公司治理中的决策本就不是结果保证，董事承担的也不是对盈利的担保责任，而是建立在信息掌握、注意程度、程序完整和权限合法基础上的可归责责任。如果不先区分算法缺陷、运行受扰与正常商业失败，AI董事责任就会被简单化为凡有损失即应负责，这不仅背离公司法对商业风险的基本容忍，也会迫使AI董事趋向保守，反而削弱其治理价值。因此，AI董事责任首先应作类型化识别：若错误直接源于模型设计、训练数据偏差、参数设定失衡、更新后逻辑漂移等技术性原因，其本质是算法未达到应有可靠性标准，责任核心不在决策结果，而在技术供给本身存在瑕疵；若问题出在选择性供数、延迟供数、接口限制、版本擅改等外部干预，则应认定为运行条件被污染，错误表面上发生于AI董事，实质上却由公司、管理层、控股股东或运维主体造成；只有在信息充分、程序完备、逻辑可解释且风险提示已尽的前提下出现投资失利、并购受挫、战略误判，才属于正常商业判断失误。也就是说，AI董事责任判断应从结果责任回到过程责任，从损失事实回到决策形成机制本身，这样才能使忠实、勤勉、合规落到可检验的事实上，而不是落到事后成败之上。</w:t>
      </w:r>
    </w:p>
    <w:p w14:paraId="437EEF26">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2.以分层赔付和费用约束防止保险机制异化</w:t>
      </w:r>
    </w:p>
    <w:p w14:paraId="707B37EC">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在责任边界被清晰划分之后，赔偿机制才有正当展开的基础。AI董事没有自然人的私人财产，确实需要外部赔付装置，但这并不意味着可以把所有风险都交给保险统一吸收。更合理的安排，是把赔付顺序与责任类型对应起来：对算法缺陷引发的损失，应先由开发者、部署者或运维服务商以保证金、履约保函、责任准备金等方式承担基础风险，因为技术缺陷本就应由技术供给者优先内化；对已经成立的赔偿责任，再由职业责任保险承担外部补偿功能，但保险覆盖范围应限于可识别、可归责的技术失灵和重大程序故障，而不应把正常经营波动纳入全保；若损失根源在于公司内部主体故意干预、重大过失失控或借技术规避监督，则保险人在赔付后应向真实责任人追偿，避免“谁有支付能力谁兜底”的错位局面。另外，针对算法化决策可能引发的系统性风险，建议在强制责任保险之外，由监管部门主导设立算法治理准备金，由算法供应商按比例缴纳。当发生大规模算法逻辑崩溃或因监管准入标准重大偏移导致连锁性违约时，该准备金可充当最后的防火墙，实现行政补偿与商业赔偿的有机结合，从而平抑数字时代的治理风险。</w:t>
      </w:r>
    </w:p>
    <w:p w14:paraId="148D04D6">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firstLine="480" w:firstLineChars="0"/>
        <w:textAlignment w:val="auto"/>
        <w:outlineLvl w:val="9"/>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进一步看，保险制度若没有成本约束，也可能反向制造新的代理成本。高额保费最终会进入公司治理成本，并外溢给中小股东和投资者，因此费率设计不能脱离风险分级，应当依据模型事故率、行业复杂度、审计记录和可解释性水平形成差异化定价，同时以行业共保、再保险分散基础系统风险，把高风险模型的附加成本更多压回开发者和供应商。这样处理的意义在于，赔偿机制不再只是事后填补损失，而是倒逼各方在前端提高模型质量、维护运行独立、减少技术滥用，使AI董事责任真正服务于公司治理效率，而不是演变为另一种成本转嫁工具。</w:t>
      </w:r>
    </w:p>
    <w:p w14:paraId="6C2DF9AD">
      <w:pPr>
        <w:spacing w:line="360" w:lineRule="auto"/>
        <w:ind w:firstLine="480" w:firstLineChars="200"/>
        <w:outlineLvl w:val="0"/>
        <w:rPr>
          <w:rFonts w:hint="eastAsia" w:ascii="黑体" w:hAnsi="黑体" w:eastAsia="黑体" w:cs="黑体"/>
          <w:b w:val="0"/>
          <w:bCs w:val="0"/>
          <w:lang w:val="en-US" w:eastAsia="zh-CN"/>
        </w:rPr>
      </w:pPr>
      <w:r>
        <w:rPr>
          <w:rFonts w:hint="eastAsia" w:ascii="黑体" w:hAnsi="黑体" w:eastAsia="黑体" w:cs="黑体"/>
          <w:b w:val="0"/>
          <w:bCs w:val="0"/>
          <w:lang w:val="en-US" w:eastAsia="zh-CN"/>
        </w:rPr>
        <w:t>结语</w:t>
      </w:r>
    </w:p>
    <w:p w14:paraId="31C34EC9">
      <w:pPr>
        <w:widowControl/>
        <w:numPr>
          <w:ilvl w:val="-1"/>
          <w:numId w:val="0"/>
        </w:numPr>
        <w:spacing w:line="240" w:lineRule="auto"/>
        <w:ind w:firstLine="480" w:firstLineChars="0"/>
        <w:outlineLvl w:val="9"/>
        <w:rPr>
          <w:sz w:val="21"/>
          <w:szCs w:val="21"/>
        </w:rPr>
      </w:pPr>
      <w:r>
        <w:rPr>
          <w:rFonts w:hint="eastAsia" w:ascii="宋体" w:hAnsi="宋体" w:eastAsia="宋体" w:cs="Times New Roman"/>
          <w:sz w:val="21"/>
          <w:szCs w:val="21"/>
          <w:lang w:val="en-US" w:eastAsia="zh-CN"/>
        </w:rPr>
        <w:t>在数字时代下，面对新兴技术与市场环境的双重要求，《公司法》及公司治理的现实导向也无法固步自封。而AI董事的出现也并非主要是替代“人”（自然人独立董事）的作用，而是意在拓展公司治理的理性边界。AI董事具备超越作为自然人的独立董事的技术优势，但其本质上源自于全社会亦或是全行业所贡献的人本价值、法治约束、商业智慧等因素。未来，公司治理将以开放的姿态接纳算法主体，</w:t>
      </w:r>
      <w:r>
        <w:rPr>
          <w:rFonts w:hint="eastAsia" w:ascii="宋体" w:hAnsi="宋体" w:eastAsia="宋体" w:cs="Times New Roman"/>
          <w:sz w:val="21"/>
          <w:szCs w:val="21"/>
        </w:rPr>
        <w:t>以严密制度锁定技术风险，以多元共治守护商业伦理</w:t>
      </w:r>
      <w:r>
        <w:rPr>
          <w:rFonts w:hint="eastAsia" w:ascii="宋体" w:hAnsi="宋体" w:eastAsia="宋体" w:cs="Times New Roman"/>
          <w:sz w:val="21"/>
          <w:szCs w:val="21"/>
          <w:lang w:eastAsia="zh-CN"/>
        </w:rPr>
        <w:t>，</w:t>
      </w:r>
      <w:r>
        <w:rPr>
          <w:rFonts w:hint="eastAsia" w:ascii="宋体" w:hAnsi="宋体" w:eastAsia="宋体" w:cs="Times New Roman"/>
          <w:sz w:val="21"/>
          <w:szCs w:val="21"/>
          <w:lang w:val="en-US" w:eastAsia="zh-CN"/>
        </w:rPr>
        <w:t>而</w:t>
      </w:r>
      <w:r>
        <w:rPr>
          <w:rFonts w:hint="eastAsia" w:ascii="宋体" w:hAnsi="宋体" w:eastAsia="宋体" w:cs="Times New Roman"/>
          <w:sz w:val="21"/>
          <w:szCs w:val="21"/>
        </w:rPr>
        <w:t>可信算力、可解释算法与智能合约将催生“人机协同、以数问责”的董事会</w:t>
      </w:r>
      <w:r>
        <w:rPr>
          <w:rFonts w:hint="eastAsia" w:ascii="宋体" w:hAnsi="宋体" w:eastAsia="宋体" w:cs="Times New Roman"/>
          <w:sz w:val="21"/>
          <w:szCs w:val="21"/>
          <w:lang w:val="en-US" w:eastAsia="zh-CN"/>
        </w:rPr>
        <w:t>治理</w:t>
      </w:r>
      <w:r>
        <w:rPr>
          <w:rFonts w:hint="eastAsia" w:ascii="宋体" w:hAnsi="宋体" w:eastAsia="宋体" w:cs="Times New Roman"/>
          <w:sz w:val="21"/>
          <w:szCs w:val="21"/>
        </w:rPr>
        <w:t>新范式。</w:t>
      </w:r>
      <w:r>
        <w:rPr>
          <w:rFonts w:hint="eastAsia" w:ascii="宋体" w:hAnsi="宋体" w:eastAsia="宋体" w:cs="Times New Roman"/>
          <w:sz w:val="21"/>
          <w:szCs w:val="21"/>
          <w:lang w:val="en-US" w:eastAsia="zh-CN"/>
        </w:rPr>
        <w:t>最终，</w:t>
      </w:r>
      <w:r>
        <w:rPr>
          <w:rFonts w:hint="eastAsia" w:ascii="宋体" w:hAnsi="宋体" w:eastAsia="宋体" w:cs="Times New Roman"/>
          <w:sz w:val="21"/>
          <w:szCs w:val="21"/>
        </w:rPr>
        <w:t>方能让智能在秩序中生长，让资本在透明中增值，让各方在共享与共治中收获长久安全。</w:t>
      </w:r>
      <w:bookmarkEnd w:id="0"/>
    </w:p>
    <w:sectPr>
      <w:footerReference r:id="rId4" w:type="default"/>
      <w:footnotePr>
        <w:numFmt w:val="decimalEnclosedCircleChinese"/>
        <w:numRestart w:val="eachPage"/>
      </w:footnotePr>
      <w:pgSz w:w="11906" w:h="16838"/>
      <w:pgMar w:top="1440" w:right="186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5B219C3-1716-4041-A150-0F7D13FC752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embedRegular r:id="rId2" w:fontKey="{4815B6D6-6428-414E-A898-9AE3629A5CC0}"/>
  </w:font>
  <w:font w:name="华文仿宋">
    <w:panose1 w:val="02010600040101010101"/>
    <w:charset w:val="86"/>
    <w:family w:val="auto"/>
    <w:pitch w:val="default"/>
    <w:sig w:usb0="00000287" w:usb1="080F0000" w:usb2="00000000" w:usb3="00000000" w:csb0="0004009F" w:csb1="DFD70000"/>
    <w:embedRegular r:id="rId3" w:fontKey="{D250DE72-833F-4E5D-889A-75A875C1F383}"/>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embedRegular r:id="rId4" w:fontKey="{19A7A280-6B7B-4C0A-B0A6-569304AE8FEF}"/>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15BD">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364ED3">
                          <w:pPr>
                            <w:pStyle w:val="8"/>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19364ED3">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6">
    <w:p>
      <w:r>
        <w:separator/>
      </w:r>
    </w:p>
  </w:footnote>
  <w:footnote w:type="continuationSeparator" w:id="107">
    <w:p>
      <w:r>
        <w:continuationSeparator/>
      </w:r>
    </w:p>
  </w:footnote>
  <w:footnote w:id="0">
    <w:p w14:paraId="72E0555A">
      <w:pPr>
        <w:pStyle w:val="10"/>
        <w:snapToGrid w:val="0"/>
      </w:pPr>
      <w:r>
        <w:rPr>
          <w:rStyle w:val="19"/>
        </w:rPr>
        <w:footnoteRef/>
      </w:r>
      <w:r>
        <w:t xml:space="preserve"> 罗进辉、林宁、巫奕龙：《外部强监管与独立董事职能发挥》，载《经济管理》2024年第11期。</w:t>
      </w:r>
    </w:p>
  </w:footnote>
  <w:footnote w:id="1">
    <w:p w14:paraId="4DF6C102">
      <w:pPr>
        <w:pStyle w:val="10"/>
        <w:snapToGrid w:val="0"/>
      </w:pPr>
      <w:r>
        <w:rPr>
          <w:rStyle w:val="19"/>
        </w:rPr>
        <w:footnoteRef/>
      </w:r>
      <w:r>
        <w:t xml:space="preserve"> KUANG Y. F. &amp; LEE G., Corporate Fraud and External Social Connectedness of Independent Directors, Journal of Corporate Finance, Vol. 45, 2017.</w:t>
      </w:r>
    </w:p>
  </w:footnote>
  <w:footnote w:id="2">
    <w:p w14:paraId="6E2F5D1C">
      <w:pPr>
        <w:pStyle w:val="10"/>
        <w:snapToGrid w:val="0"/>
      </w:pPr>
      <w:r>
        <w:rPr>
          <w:rStyle w:val="19"/>
        </w:rPr>
        <w:footnoteRef/>
      </w:r>
      <w:r>
        <w:t xml:space="preserve"> ADAMS R. B. &amp; FERREIRA D., A Theory of Friendly Boards, Journal of Finance, Vol. 62, No. 1, 2007.</w:t>
      </w:r>
    </w:p>
  </w:footnote>
  <w:footnote w:id="3">
    <w:p w14:paraId="2CDA3A42">
      <w:pPr>
        <w:pStyle w:val="10"/>
        <w:snapToGrid w:val="0"/>
      </w:pPr>
      <w:r>
        <w:rPr>
          <w:rStyle w:val="19"/>
        </w:rPr>
        <w:footnoteRef/>
      </w:r>
      <w:r>
        <w:t xml:space="preserve"> 李鼎、李维安、周宁等：《首席独立董事对公司违规行为的影响研究》，载《管理学报》2025年第7期。</w:t>
      </w:r>
    </w:p>
  </w:footnote>
  <w:footnote w:id="4">
    <w:p w14:paraId="47C7D294">
      <w:pPr>
        <w:pStyle w:val="10"/>
        <w:snapToGrid w:val="0"/>
      </w:pPr>
      <w:r>
        <w:rPr>
          <w:rStyle w:val="19"/>
        </w:rPr>
        <w:footnoteRef/>
      </w:r>
      <w:r>
        <w:t xml:space="preserve"> 李文勤、王倩怡、徐光华：《独立董事社会网络与企业融资约束》，载《会计之友》2025年第14期。</w:t>
      </w:r>
    </w:p>
  </w:footnote>
  <w:footnote w:id="5">
    <w:p w14:paraId="177D2F40">
      <w:pPr>
        <w:pStyle w:val="10"/>
        <w:snapToGrid w:val="0"/>
      </w:pPr>
      <w:r>
        <w:rPr>
          <w:rStyle w:val="19"/>
        </w:rPr>
        <w:footnoteRef/>
      </w:r>
      <w:r>
        <w:t xml:space="preserve"> 刘云菁、伍彬、张敏：《独立董事能识别公司财务舞弊风险吗——基于机器学习预测财务舞弊的研究》，载《会计研究》2023年第9期。</w:t>
      </w:r>
    </w:p>
  </w:footnote>
  <w:footnote w:id="6">
    <w:p w14:paraId="516B9DBB">
      <w:pPr>
        <w:pStyle w:val="10"/>
        <w:snapToGrid w:val="0"/>
      </w:pPr>
      <w:r>
        <w:rPr>
          <w:rFonts w:hint="default"/>
        </w:rPr>
        <w:footnoteRef/>
      </w:r>
      <w:r>
        <w:rPr>
          <w:rFonts w:hint="default"/>
        </w:rPr>
        <w:t xml:space="preserve"> </w:t>
      </w:r>
      <w:r>
        <w:rPr>
          <w:rFonts w:hint="default"/>
          <w:lang w:val="en-US" w:eastAsia="zh-CN"/>
        </w:rPr>
        <w:t>参见学者白华《</w:t>
      </w:r>
      <w:r>
        <w:rPr>
          <w:rFonts w:hint="default"/>
        </w:rPr>
        <w:t>上市公司独立董事制度的十大悖论</w:t>
      </w:r>
      <w:r>
        <w:rPr>
          <w:rFonts w:hint="default"/>
          <w:lang w:val="en-US" w:eastAsia="zh-CN"/>
        </w:rPr>
        <w:t>》一文：</w:t>
      </w:r>
      <w:r>
        <w:rPr>
          <w:rFonts w:hint="default"/>
        </w:rPr>
        <w:t>上市公司独立董事制度设计一直没有考虑到</w:t>
      </w:r>
      <w:r>
        <w:rPr>
          <w:rFonts w:hint="default"/>
          <w:lang w:val="en-US" w:eastAsia="zh-CN"/>
        </w:rPr>
        <w:t>独立董事的特殊性，而是将独立董事混同于其他普通董事，要求独立董事全面履行决策、监督和咨询职权，导致制度安排存在难以克服的十大悖论，包括设立悖论、选任悖论、决策悖论、表决悖论、监督悖论、咨询悖论、薪酬悖论、激励悖论、考评悖论、责任悖论。白华：《上市公司独立董事制度的十大悖论》，载《财会月刊》2024年第8期。</w:t>
      </w:r>
    </w:p>
  </w:footnote>
  <w:footnote w:id="7">
    <w:p w14:paraId="153F2783">
      <w:pPr>
        <w:pStyle w:val="10"/>
        <w:snapToGrid w:val="0"/>
      </w:pPr>
      <w:r>
        <w:footnoteRef/>
      </w:r>
      <w:r>
        <w:t xml:space="preserve"> 陈德球、胡晴：《数字经济时代下的公司治理研究：范式创新与实践前沿》，载《管理世界》2022年第6期。</w:t>
      </w:r>
    </w:p>
  </w:footnote>
  <w:footnote w:id="8">
    <w:p w14:paraId="7649610C">
      <w:pPr>
        <w:pStyle w:val="10"/>
        <w:snapToGrid w:val="0"/>
      </w:pPr>
      <w:r>
        <w:rPr>
          <w:rFonts w:hint="default"/>
          <w:lang w:val="en-US" w:eastAsia="zh-CN"/>
        </w:rPr>
        <w:footnoteRef/>
      </w:r>
      <w:r>
        <w:rPr>
          <w:rFonts w:hint="default"/>
          <w:lang w:val="en-US" w:eastAsia="zh-CN"/>
        </w:rPr>
        <w:t xml:space="preserve"> 一家研究生物科技与再生医学的英国公司</w:t>
      </w:r>
    </w:p>
  </w:footnote>
  <w:footnote w:id="9">
    <w:p w14:paraId="676D5DBD">
      <w:pPr>
        <w:pStyle w:val="10"/>
        <w:snapToGrid w:val="0"/>
      </w:pPr>
      <w:r>
        <w:footnoteRef/>
      </w:r>
      <w:r>
        <w:t xml:space="preserve"> Tieto, The First Nordic Company to Appoint Artificial Intelligence to the Leadership Team of the New Data-Driven Businesses Unit, 载 Business Wire, 2016, </w:t>
      </w:r>
      <w:r>
        <w:fldChar w:fldCharType="begin"/>
      </w:r>
      <w:r>
        <w:instrText xml:space="preserve"> HYPERLINK "https://www.businesswire.com/news/home/20161016005092/en/Tieto-Nordic-Company-Appoint-Artificial-Intelligence-Leadership" \t "https://yige.space/_blank" </w:instrText>
      </w:r>
      <w:r>
        <w:fldChar w:fldCharType="separate"/>
      </w:r>
      <w:r>
        <w:t>https://www.businesswire.com/news/home/20161016005092/en/Tieto-Nordic-Company-Appoint-Artificial-Intelligence-Leadership</w:t>
      </w:r>
      <w:r>
        <w:fldChar w:fldCharType="end"/>
      </w:r>
      <w:r>
        <w:t>.</w:t>
      </w:r>
    </w:p>
  </w:footnote>
  <w:footnote w:id="10">
    <w:p w14:paraId="6AA30F16">
      <w:pPr>
        <w:pStyle w:val="10"/>
        <w:snapToGrid w:val="0"/>
      </w:pPr>
      <w:r>
        <w:rPr>
          <w:rFonts w:hint="default"/>
          <w:lang w:val="en-US" w:eastAsia="zh-CN"/>
        </w:rPr>
        <w:footnoteRef/>
      </w:r>
      <w:r>
        <w:rPr>
          <w:rFonts w:hint="default"/>
          <w:lang w:val="en-US" w:eastAsia="zh-CN"/>
        </w:rPr>
        <w:t xml:space="preserve"> See Bharat Sharma,Youth Organisation Appoints Chat GPT AI Bot As Its CEO,Calls It“Groundbreaking”India Times,www.indiatimes.com/technology/news/organisation-appoints-chatgpt bot-as-its-ceo-592620.html,accessed at 16th April,2025. </w:t>
      </w:r>
    </w:p>
  </w:footnote>
  <w:footnote w:id="11">
    <w:p w14:paraId="1F2DC943">
      <w:pPr>
        <w:pStyle w:val="10"/>
        <w:snapToGrid w:val="0"/>
      </w:pPr>
      <w:r>
        <w:rPr>
          <w:rFonts w:hint="default"/>
          <w:lang w:val="en-US" w:eastAsia="zh-CN"/>
        </w:rPr>
        <w:footnoteRef/>
      </w:r>
      <w:r>
        <w:rPr>
          <w:rFonts w:hint="default"/>
          <w:lang w:val="en-US" w:eastAsia="zh-CN"/>
        </w:rPr>
        <w:t xml:space="preserve"> See TPN/Lusa,Portuguese entrepreneur creates viral company,www.theportugalnews.com/news/2023-04-28/portuguese-entrepreneurcreates-viral-company/77089,accessed at 16th April,2025. </w:t>
      </w:r>
    </w:p>
  </w:footnote>
  <w:footnote w:id="12">
    <w:p w14:paraId="6D8435DC">
      <w:pPr>
        <w:pStyle w:val="10"/>
        <w:snapToGrid w:val="0"/>
      </w:pPr>
      <w:r>
        <w:rPr>
          <w:rFonts w:hint="default"/>
          <w:lang w:val="en-US" w:eastAsia="zh-CN"/>
        </w:rPr>
        <w:footnoteRef/>
      </w:r>
      <w:r>
        <w:rPr>
          <w:rFonts w:hint="default"/>
          <w:lang w:val="en-US" w:eastAsia="zh-CN"/>
        </w:rPr>
        <w:t xml:space="preserve"> AI 系统汇集行政总裁过去的发言纪录、思维模式及周遭印象，能生成「很像中岛达」的各种对话内容。</w:t>
      </w:r>
    </w:p>
  </w:footnote>
  <w:footnote w:id="13">
    <w:p w14:paraId="1DA7F13D">
      <w:pPr>
        <w:pStyle w:val="10"/>
        <w:snapToGrid w:val="0"/>
      </w:pPr>
      <w:r>
        <w:rPr>
          <w:rFonts w:hint="default"/>
          <w:lang w:val="en-US" w:eastAsia="zh-CN"/>
        </w:rPr>
        <w:footnoteRef/>
      </w:r>
      <w:r>
        <w:rPr>
          <w:rFonts w:hint="default"/>
          <w:lang w:val="en-US" w:eastAsia="zh-CN"/>
        </w:rPr>
        <w:t xml:space="preserve"> 《任命数字人当CEO?这家上市游戏公司的操作亮了》,2022年9月5日，http://www-thepaper-cn-s.vpn.dufe.edu.cn:8118/newsDetail_forward_19758651,2024年5月22日。</w:t>
      </w:r>
    </w:p>
  </w:footnote>
  <w:footnote w:id="14">
    <w:p w14:paraId="16CF79FB">
      <w:pPr>
        <w:pStyle w:val="10"/>
        <w:snapToGrid w:val="0"/>
      </w:pPr>
      <w:r>
        <w:footnoteRef/>
      </w:r>
      <w:r>
        <w:t xml:space="preserve"> 夏庆锋：《自主人工智能侵权责任的模式厘定及平衡测试》，载《河南师范大学学报（哲学社会科学版）》2025年第2期。</w:t>
      </w:r>
    </w:p>
  </w:footnote>
  <w:footnote w:id="15">
    <w:p w14:paraId="23F1EC77">
      <w:pPr>
        <w:pStyle w:val="10"/>
        <w:snapToGrid w:val="0"/>
      </w:pPr>
      <w:r>
        <w:footnoteRef/>
      </w:r>
      <w:r>
        <w:t xml:space="preserve"> 本刊讯：《自主人工智能即将到来》，载《数据分析与知识发现》2025年第2期。</w:t>
      </w:r>
    </w:p>
  </w:footnote>
  <w:footnote w:id="16">
    <w:p w14:paraId="487AF885">
      <w:pPr>
        <w:pStyle w:val="10"/>
        <w:snapToGrid w:val="0"/>
      </w:pPr>
      <w:r>
        <w:footnoteRef/>
      </w:r>
      <w:r>
        <w:t xml:space="preserve"> 于雪：《自动还是自主——论人工智能时代的“自动化生存”》，载《探索与争鸣》2024年第2期。</w:t>
      </w:r>
    </w:p>
  </w:footnote>
  <w:footnote w:id="17">
    <w:p w14:paraId="3F567CA4">
      <w:pPr>
        <w:pStyle w:val="10"/>
        <w:snapToGrid w:val="0"/>
      </w:pPr>
      <w:r>
        <w:footnoteRef/>
      </w:r>
      <w:r>
        <w:t xml:space="preserve"> </w:t>
      </w:r>
      <w:r>
        <w:rPr>
          <w:rFonts w:hint="eastAsia"/>
        </w:rPr>
        <w:t>张志坚、何艺华：《人工智能自主交易行为的私法规制》，载《学术探索》2024年第3期。</w:t>
      </w:r>
    </w:p>
  </w:footnote>
  <w:footnote w:id="18">
    <w:p w14:paraId="29B2568B">
      <w:pPr>
        <w:pStyle w:val="10"/>
        <w:snapToGrid w:val="0"/>
      </w:pPr>
      <w:r>
        <w:footnoteRef/>
      </w:r>
      <w:r>
        <w:t xml:space="preserve"> </w:t>
      </w:r>
      <w:r>
        <w:rPr>
          <w:rFonts w:hint="eastAsia"/>
        </w:rPr>
        <w:t>何天翔：《超越技术中立：高频交易算法的法律规制》，载《南方金融》2024年第10期。</w:t>
      </w:r>
    </w:p>
  </w:footnote>
  <w:footnote w:id="19">
    <w:p w14:paraId="57CAC95F">
      <w:pPr>
        <w:pStyle w:val="10"/>
        <w:snapToGrid w:val="0"/>
      </w:pPr>
      <w:r>
        <w:footnoteRef/>
      </w:r>
      <w:r>
        <w:t xml:space="preserve"> </w:t>
      </w:r>
      <w:r>
        <w:rPr>
          <w:rFonts w:hint="eastAsia"/>
        </w:rPr>
        <w:t>何天翔：《超越技术中立：高频交易算法的法律规制》，载《南方金融》2024年第10期。</w:t>
      </w:r>
    </w:p>
  </w:footnote>
  <w:footnote w:id="20">
    <w:p w14:paraId="008CCC5B">
      <w:pPr>
        <w:pStyle w:val="10"/>
        <w:snapToGrid w:val="0"/>
      </w:pPr>
      <w:r>
        <w:footnoteRef/>
      </w:r>
      <w:r>
        <w:t xml:space="preserve"> </w:t>
      </w:r>
      <w:r>
        <w:rPr>
          <w:rFonts w:hint="eastAsia"/>
        </w:rPr>
        <w:t>Andrew Feenberg, Questioning Technology, Routledge, 1999.</w:t>
      </w:r>
    </w:p>
  </w:footnote>
  <w:footnote w:id="21">
    <w:p w14:paraId="0C4C8D60">
      <w:pPr>
        <w:pStyle w:val="10"/>
        <w:snapToGrid w:val="0"/>
      </w:pPr>
      <w:r>
        <w:footnoteRef/>
      </w:r>
      <w:r>
        <w:t xml:space="preserve"> 金幼芳、杜沛育：《独立董事民事责任反思与制度完善》，载《浙江社会科学》2024年第3期。</w:t>
      </w:r>
    </w:p>
  </w:footnote>
  <w:footnote w:id="22">
    <w:p w14:paraId="70C6D75E">
      <w:pPr>
        <w:pStyle w:val="10"/>
        <w:snapToGrid w:val="0"/>
      </w:pPr>
      <w:r>
        <w:rPr>
          <w:rFonts w:hint="eastAsia"/>
          <w:lang w:val="en-US" w:eastAsia="zh-CN"/>
        </w:rPr>
        <w:footnoteRef/>
      </w:r>
      <w:r>
        <w:rPr>
          <w:rFonts w:hint="eastAsia"/>
          <w:lang w:val="en-US" w:eastAsia="zh-CN"/>
        </w:rPr>
        <w:t xml:space="preserve"> See Pompeii Estates, Inc.v.Consolidated Edison Co.397 N.Y.S.2d 577, 580 (N.Y.Civ.Ct.1977) .</w:t>
      </w:r>
    </w:p>
  </w:footnote>
  <w:footnote w:id="23">
    <w:p w14:paraId="041B117F">
      <w:pPr>
        <w:pStyle w:val="10"/>
        <w:snapToGrid w:val="0"/>
      </w:pPr>
      <w:r>
        <w:footnoteRef/>
      </w:r>
      <w:r>
        <w:t xml:space="preserve"> 刘俊海：《论公司法的数字化改革：来自AI董事的新挑战》，载《江淮论坛》2025年第1期。</w:t>
      </w:r>
    </w:p>
  </w:footnote>
  <w:footnote w:id="24">
    <w:p w14:paraId="02732021">
      <w:pPr>
        <w:pStyle w:val="10"/>
        <w:snapToGrid w:val="0"/>
      </w:pPr>
      <w:r>
        <w:footnoteRef/>
      </w:r>
      <w:r>
        <w:t xml:space="preserve"> Robert J. Rhee, “Do AIs Dream of Electric Boards?” Northwestern University Law Review, Vol.119, No.4, 2024.</w:t>
      </w:r>
    </w:p>
  </w:footnote>
  <w:footnote w:id="25">
    <w:p w14:paraId="41C67EE7">
      <w:pPr>
        <w:pStyle w:val="10"/>
        <w:snapToGrid w:val="0"/>
      </w:pPr>
      <w:r>
        <w:rPr>
          <w:rFonts w:hint="eastAsia"/>
          <w:lang w:val="en-US" w:eastAsia="zh-CN"/>
        </w:rPr>
        <w:footnoteRef/>
      </w:r>
      <w:r>
        <w:rPr>
          <w:rFonts w:hint="eastAsia"/>
          <w:lang w:val="en-US" w:eastAsia="zh-CN"/>
        </w:rPr>
        <w:t xml:space="preserve"> 古代法中法律主体按照身份决定，一般只有成年男性公民才被视为法律主体，女性、未成年、奴隶是自然人但不是法律主体，不具备完整的法律人格。经过天赋人权等一系列思想和政治解放，全体人类才逐渐取得主体资格，法律主体的标准从身份转变为生理结构。</w:t>
      </w:r>
    </w:p>
  </w:footnote>
  <w:footnote w:id="26">
    <w:p w14:paraId="7C23EBDB">
      <w:pPr>
        <w:pStyle w:val="10"/>
        <w:snapToGrid w:val="0"/>
      </w:pPr>
      <w:r>
        <w:footnoteRef/>
      </w:r>
      <w:r>
        <w:t xml:space="preserve"> </w:t>
      </w:r>
      <w:r>
        <w:rPr>
          <w:rFonts w:hint="eastAsia"/>
        </w:rPr>
        <w:t>陈玥：《新兴人工智能法律主体资格的否定——基于自然人路径与法人路径的双重证伪》，载《河南财经政法大学学报》网络首发。</w:t>
      </w:r>
    </w:p>
  </w:footnote>
  <w:footnote w:id="27">
    <w:p w14:paraId="15E0BF03">
      <w:pPr>
        <w:pStyle w:val="10"/>
        <w:snapToGrid w:val="0"/>
      </w:pPr>
      <w:r>
        <w:footnoteRef/>
      </w:r>
      <w:r>
        <w:t xml:space="preserve"> 陶鹏飞：《强人工智能应当成为一种新民事主体》，载《天中学刊》2025年第4期。</w:t>
      </w:r>
    </w:p>
  </w:footnote>
  <w:footnote w:id="28">
    <w:p w14:paraId="060E444B">
      <w:pPr>
        <w:pStyle w:val="10"/>
        <w:snapToGrid w:val="0"/>
      </w:pPr>
      <w:r>
        <w:footnoteRef/>
      </w:r>
      <w:r>
        <w:t xml:space="preserve"> （台）廖郁怡：《台湾地区公司法上董事忠实义务之研究——兼论最新修法趋势》，载《法大研究生》2017年第1期。</w:t>
      </w:r>
    </w:p>
  </w:footnote>
  <w:footnote w:id="29">
    <w:p w14:paraId="6243C34E">
      <w:pPr>
        <w:pStyle w:val="10"/>
        <w:snapToGrid w:val="0"/>
      </w:pPr>
      <w:r>
        <w:footnoteRef/>
      </w:r>
      <w:r>
        <w:t xml:space="preserve"> 张小洁：《论董事勤勉义务的判断与归责》，载《法大研究生》2019年第1期。</w:t>
      </w:r>
    </w:p>
  </w:footnote>
  <w:footnote w:id="30">
    <w:p w14:paraId="7151F36E">
      <w:pPr>
        <w:pStyle w:val="10"/>
        <w:snapToGrid w:val="0"/>
      </w:pPr>
      <w:r>
        <w:footnoteRef/>
      </w:r>
      <w:r>
        <w:t xml:space="preserve"> </w:t>
      </w:r>
      <w:r>
        <w:rPr>
          <w:rFonts w:hint="eastAsia"/>
        </w:rPr>
        <w:t>刘成杰：《人工智能董事法律地位及其信义义务构想——基于强人工智能视角》，载《中州学刊》2024年第2期。</w:t>
      </w:r>
    </w:p>
  </w:footnote>
  <w:footnote w:id="31">
    <w:p w14:paraId="50399148">
      <w:pPr>
        <w:pStyle w:val="10"/>
        <w:snapToGrid w:val="0"/>
      </w:pPr>
      <w:r>
        <w:rPr>
          <w:rStyle w:val="19"/>
        </w:rPr>
        <w:footnoteRef/>
      </w:r>
      <w:r>
        <w:t xml:space="preserve"> </w:t>
      </w:r>
      <w:r>
        <w:rPr>
          <w:rFonts w:hint="eastAsia"/>
        </w:rPr>
        <w:t>王莹莹：《信义义务的传统逻辑与现代建构》，载《法学论坛》2019年第6期。</w:t>
      </w:r>
    </w:p>
  </w:footnote>
  <w:footnote w:id="32">
    <w:p w14:paraId="19D14C3D">
      <w:pPr>
        <w:pStyle w:val="10"/>
        <w:snapToGrid w:val="0"/>
      </w:pPr>
      <w:r>
        <w:rPr>
          <w:rStyle w:val="19"/>
        </w:rPr>
        <w:footnoteRef/>
      </w:r>
      <w:r>
        <w:t xml:space="preserve"> </w:t>
      </w:r>
      <w:r>
        <w:rPr>
          <w:rFonts w:hint="eastAsia"/>
        </w:rPr>
        <w:t>宋姝：《智能投顾信义义务主体的责任承担》，载《华东政法大学学报》2024年第4期。</w:t>
      </w:r>
    </w:p>
  </w:footnote>
  <w:footnote w:id="33">
    <w:p w14:paraId="5BC20623">
      <w:pPr>
        <w:pStyle w:val="10"/>
        <w:snapToGrid w:val="0"/>
      </w:pPr>
      <w:r>
        <w:rPr>
          <w:rStyle w:val="19"/>
        </w:rPr>
        <w:footnoteRef/>
      </w:r>
      <w:r>
        <w:t xml:space="preserve"> </w:t>
      </w:r>
      <w:r>
        <w:rPr>
          <w:rFonts w:hint="eastAsia"/>
        </w:rPr>
        <w:t>郭小东：《从“可解释”到“可信任”：人工智能治理的逻辑重构》，载《北京工业大学学报（社会科学版）》网络首发。</w:t>
      </w:r>
    </w:p>
  </w:footnote>
  <w:footnote w:id="34">
    <w:p w14:paraId="2B3B6843">
      <w:pPr>
        <w:pStyle w:val="10"/>
        <w:snapToGrid w:val="0"/>
      </w:pPr>
      <w:r>
        <w:rPr>
          <w:rStyle w:val="19"/>
        </w:rPr>
        <w:footnoteRef/>
      </w:r>
      <w:r>
        <w:t xml:space="preserve"> 张英明：《中国独立董事制度完善路径研究》，载《财会通讯》2025年第8期。</w:t>
      </w:r>
    </w:p>
  </w:footnote>
  <w:footnote w:id="35">
    <w:p w14:paraId="511E0CF1">
      <w:pPr>
        <w:pStyle w:val="10"/>
        <w:snapToGrid w:val="0"/>
      </w:pPr>
      <w:r>
        <w:rPr>
          <w:rStyle w:val="19"/>
        </w:rPr>
        <w:footnoteRef/>
      </w:r>
      <w:r>
        <w:t xml:space="preserve"> 陈晓珊、匡贺武：《独立董事薪酬激励与高管超额薪酬：静态博弈与实证分析》，载《云南财经大学学报》2023年第10期。</w:t>
      </w:r>
    </w:p>
  </w:footnote>
  <w:footnote w:id="36">
    <w:p w14:paraId="5DF4455D">
      <w:pPr>
        <w:pStyle w:val="10"/>
        <w:snapToGrid w:val="0"/>
      </w:pPr>
      <w:r>
        <w:rPr>
          <w:rStyle w:val="19"/>
        </w:rPr>
        <w:footnoteRef/>
      </w:r>
      <w:r>
        <w:t xml:space="preserve"> 朱羿锟、郭永超：《我国独立董事民事责任划分及制度重构——基于法经济学原理的分析》，载《北京社会科学》2024年第12期。</w:t>
      </w:r>
    </w:p>
  </w:footnote>
  <w:footnote w:id="37">
    <w:p w14:paraId="6FD0F7E6">
      <w:pPr>
        <w:pStyle w:val="10"/>
        <w:snapToGrid w:val="0"/>
        <w:rPr>
          <w:rFonts w:hint="eastAsia"/>
          <w:lang w:val="en-US" w:eastAsia="zh-CN"/>
        </w:rPr>
      </w:pPr>
      <w:r>
        <w:rPr>
          <w:rFonts w:hint="eastAsia"/>
          <w:lang w:val="en-US" w:eastAsia="zh-CN"/>
        </w:rPr>
        <w:footnoteRef/>
      </w:r>
      <w:r>
        <w:rPr>
          <w:rFonts w:hint="eastAsia"/>
          <w:lang w:val="en-US" w:eastAsia="zh-CN"/>
        </w:rPr>
        <w:t xml:space="preserve"> 《上市公司独立董事规则》第二条：本规则所称独立董事是指不在上市公司担任除董</w:t>
      </w:r>
    </w:p>
    <w:p w14:paraId="4C175948">
      <w:pPr>
        <w:pStyle w:val="10"/>
        <w:snapToGrid w:val="0"/>
        <w:rPr>
          <w:rFonts w:hint="eastAsia"/>
          <w:lang w:val="en-US" w:eastAsia="zh-CN"/>
        </w:rPr>
      </w:pPr>
      <w:r>
        <w:rPr>
          <w:rFonts w:hint="eastAsia"/>
          <w:lang w:val="en-US" w:eastAsia="zh-CN"/>
        </w:rPr>
        <w:t>事外的其他职务，并与其所受聘的上市公司及其主要股东不存在</w:t>
      </w:r>
    </w:p>
    <w:p w14:paraId="4E6E3936">
      <w:pPr>
        <w:pStyle w:val="10"/>
        <w:snapToGrid w:val="0"/>
      </w:pPr>
      <w:r>
        <w:rPr>
          <w:rFonts w:hint="eastAsia"/>
          <w:lang w:val="en-US" w:eastAsia="zh-CN"/>
        </w:rPr>
        <w:t>可能妨碍其进行独立客观判断的关系的董事。</w:t>
      </w:r>
    </w:p>
  </w:footnote>
  <w:footnote w:id="38">
    <w:p w14:paraId="1E08824C">
      <w:pPr>
        <w:pStyle w:val="10"/>
        <w:snapToGrid w:val="0"/>
      </w:pPr>
      <w:r>
        <w:footnoteRef/>
      </w:r>
      <w:r>
        <w:t xml:space="preserve"> 陈嘉白：《公司监督机制中“人缘同构性”的制度解构》，载《法律科学（西北政法大学学报）》2024年第4期。</w:t>
      </w:r>
    </w:p>
  </w:footnote>
  <w:footnote w:id="39">
    <w:p w14:paraId="4C45777E">
      <w:pPr>
        <w:pStyle w:val="10"/>
        <w:snapToGrid w:val="0"/>
      </w:pPr>
      <w:r>
        <w:footnoteRef/>
      </w:r>
      <w:r>
        <w:t xml:space="preserve"> 陈云：《上市公司独立董事薪酬制度研究——基于浙江上市公司数据》，载《财会通讯》2012年第18期。</w:t>
      </w:r>
    </w:p>
  </w:footnote>
  <w:footnote w:id="40">
    <w:p w14:paraId="49C40BE5">
      <w:pPr>
        <w:pStyle w:val="10"/>
        <w:snapToGrid w:val="0"/>
      </w:pPr>
      <w:r>
        <w:rPr>
          <w:rStyle w:val="19"/>
        </w:rPr>
        <w:footnoteRef/>
      </w:r>
      <w:r>
        <w:t xml:space="preserve"> 张天舒、陈信元、黄俊：《独立董事薪酬与公司治理效率》，载《金融研究》2018年第6期。</w:t>
      </w:r>
    </w:p>
  </w:footnote>
  <w:footnote w:id="41">
    <w:p w14:paraId="2E26FAAC">
      <w:pPr>
        <w:pStyle w:val="10"/>
        <w:snapToGrid w:val="0"/>
      </w:pPr>
      <w:r>
        <w:rPr>
          <w:rStyle w:val="19"/>
        </w:rPr>
        <w:footnoteRef/>
      </w:r>
      <w:r>
        <w:t xml:space="preserve"> 王运通、马黎珺：《金融机构独立董事薪酬激励研究》，载《金融监管研究》2022年第7期。</w:t>
      </w:r>
    </w:p>
  </w:footnote>
  <w:footnote w:id="42">
    <w:p w14:paraId="357046D8">
      <w:pPr>
        <w:pStyle w:val="10"/>
        <w:snapToGrid w:val="0"/>
      </w:pPr>
      <w:r>
        <w:rPr>
          <w:rStyle w:val="19"/>
        </w:rPr>
        <w:footnoteRef/>
      </w:r>
      <w:r>
        <w:t xml:space="preserve"> </w:t>
      </w:r>
      <w:r>
        <w:rPr>
          <w:rFonts w:hint="eastAsia"/>
        </w:rPr>
        <w:t>中上协发〔2024〕57号《上市公司独立董事履职指引（2024年修订）》已经中国上市公司协会第三届常务理事会第六次会议审议通过，现予公布，自公布之日起施行</w:t>
      </w:r>
    </w:p>
  </w:footnote>
  <w:footnote w:id="43">
    <w:p w14:paraId="3D7838BB">
      <w:pPr>
        <w:pStyle w:val="10"/>
        <w:snapToGrid w:val="0"/>
      </w:pPr>
      <w:r>
        <w:rPr>
          <w:rStyle w:val="19"/>
        </w:rPr>
        <w:footnoteRef/>
      </w:r>
      <w:r>
        <w:t xml:space="preserve"> </w:t>
      </w:r>
      <w:r>
        <w:rPr>
          <w:rFonts w:hint="eastAsia"/>
        </w:rPr>
        <w:t>《上市公司独立董事履职指引（2024年修订）》第十一条 【任前准备】独立董事在接受聘任前可以通过与上市公司主要人员沟通或者检索公开信息等方式，充分了解上市公司的基本情况，包括财务状况、业务与技术、公司治理以及内部控制的有效性等重要信息</w:t>
      </w:r>
      <w:r>
        <w:rPr>
          <w:rFonts w:hint="eastAsia"/>
          <w:lang w:eastAsia="zh-CN"/>
        </w:rPr>
        <w:t>。</w:t>
      </w:r>
    </w:p>
  </w:footnote>
  <w:footnote w:id="44">
    <w:p w14:paraId="03574E3E">
      <w:pPr>
        <w:pStyle w:val="10"/>
        <w:snapToGrid w:val="0"/>
      </w:pPr>
      <w:r>
        <w:rPr>
          <w:rStyle w:val="19"/>
        </w:rPr>
        <w:footnoteRef/>
      </w:r>
      <w:r>
        <w:t xml:space="preserve"> </w:t>
      </w:r>
      <w:r>
        <w:rPr>
          <w:rFonts w:hint="eastAsia"/>
        </w:rPr>
        <w:t>《上市公司独立董事履职指引（2024年修订）》第二十条 【年度述职】独立董事原则上应当亲自出席上市公司年度股东会，并提交年度述职报告对其履行职责的情况进行说明。年度述职报告最迟应当在上市公司发出年度股东会通知时披露。</w:t>
      </w:r>
    </w:p>
  </w:footnote>
  <w:footnote w:id="45">
    <w:p w14:paraId="79B714AE">
      <w:pPr>
        <w:pStyle w:val="10"/>
        <w:snapToGrid w:val="0"/>
      </w:pPr>
      <w:r>
        <w:rPr>
          <w:rStyle w:val="19"/>
        </w:rPr>
        <w:footnoteRef/>
      </w:r>
      <w:r>
        <w:t xml:space="preserve"> </w:t>
      </w:r>
      <w:r>
        <w:rPr>
          <w:rFonts w:hint="eastAsia"/>
        </w:rPr>
        <w:t>《上市公司独立董事履职指引（2024年修订）》第二十一条 【独立性核查】独立董事应当每年对独立性情况进行自查，并将自查情况提交董事会。董事会应当每年对在任独立董事独立性情况进行评估并出具专项意见，与年度报告同时披露。第二十二条 【工作记录】独立董事应当制作工作记录， 详细记录履行职责的情况。独立董事履行职责过程中获取的 资料、相关会议记录、与上市公司及中介机构工作人员的通 讯记录等，构成工作记录的组成部分。</w:t>
      </w:r>
    </w:p>
  </w:footnote>
  <w:footnote w:id="46">
    <w:p w14:paraId="4DC9CD31">
      <w:pPr>
        <w:pStyle w:val="10"/>
        <w:snapToGrid w:val="0"/>
      </w:pPr>
      <w:r>
        <w:rPr>
          <w:rStyle w:val="19"/>
        </w:rPr>
        <w:footnoteRef/>
      </w:r>
      <w:r>
        <w:t xml:space="preserve"> 是指由独立董事在多家企业中交叉任职而形成的公司间隐性关系网络。它能促进信息、观念和行为在公司之间传播。当某些公司发生财务违规时，该网络可能成为违规行为的传播渠道和放大器。</w:t>
      </w:r>
    </w:p>
  </w:footnote>
  <w:footnote w:id="47">
    <w:p w14:paraId="76A364CC">
      <w:pPr>
        <w:pStyle w:val="10"/>
        <w:snapToGrid w:val="0"/>
      </w:pPr>
      <w:r>
        <w:rPr>
          <w:rStyle w:val="19"/>
        </w:rPr>
        <w:footnoteRef/>
      </w:r>
      <w:r>
        <w:t xml:space="preserve"> 马壮、汪声媛：《独立董事连锁网络与财务违规传染效应研究》，载《证券市场导报》2025年第3期。</w:t>
      </w:r>
    </w:p>
  </w:footnote>
  <w:footnote w:id="48">
    <w:p w14:paraId="62A2EF81">
      <w:pPr>
        <w:pStyle w:val="10"/>
        <w:snapToGrid w:val="0"/>
      </w:pPr>
      <w:r>
        <w:rPr>
          <w:rStyle w:val="19"/>
        </w:rPr>
        <w:footnoteRef/>
      </w:r>
      <w:r>
        <w:t xml:space="preserve"> </w:t>
      </w:r>
      <w:r>
        <w:rPr>
          <w:rFonts w:hint="eastAsia"/>
          <w:lang w:val="en-US" w:eastAsia="zh-CN"/>
        </w:rPr>
        <w:t>独立董事</w:t>
      </w:r>
      <w:r>
        <w:rPr>
          <w:rFonts w:hint="eastAsia"/>
        </w:rPr>
        <w:t xml:space="preserve">江镇平、李定安、张弘三人因在康美药业2016、2017年年报以及2018年半年报签字,被判承担10%的连带赔偿责任,对应金额2.46亿元;郭崇慧、张平两人只在2018年半年报中签字,被判承担5%的连带赔偿责任,对应金额1.23亿元。 </w:t>
      </w:r>
    </w:p>
  </w:footnote>
  <w:footnote w:id="49">
    <w:p w14:paraId="20FC20FE">
      <w:pPr>
        <w:pStyle w:val="10"/>
        <w:snapToGrid w:val="0"/>
      </w:pPr>
      <w:r>
        <w:rPr>
          <w:rStyle w:val="19"/>
        </w:rPr>
        <w:footnoteRef/>
      </w:r>
      <w:r>
        <w:t xml:space="preserve"> </w:t>
      </w:r>
      <w:r>
        <w:rPr>
          <w:rFonts w:hint="eastAsia"/>
        </w:rPr>
        <w:t>刘俊海：《论公司法的数字化改革：来自AI董事的新挑战》，载《江淮论坛》2025年第1期。</w:t>
      </w:r>
    </w:p>
  </w:footnote>
  <w:footnote w:id="50">
    <w:p w14:paraId="65F5D084">
      <w:pPr>
        <w:pStyle w:val="10"/>
        <w:snapToGrid w:val="0"/>
      </w:pPr>
      <w:r>
        <w:rPr>
          <w:rStyle w:val="19"/>
        </w:rPr>
        <w:footnoteRef/>
      </w:r>
      <w:r>
        <w:t xml:space="preserve"> 任先行、周林彬：《比较商法导论》，北京大学出版社2000年版。</w:t>
      </w:r>
    </w:p>
  </w:footnote>
  <w:footnote w:id="51">
    <w:p w14:paraId="2360845A">
      <w:pPr>
        <w:pStyle w:val="10"/>
        <w:snapToGrid w:val="0"/>
      </w:pPr>
      <w:r>
        <w:rPr>
          <w:rStyle w:val="19"/>
        </w:rPr>
        <w:footnoteRef/>
      </w:r>
      <w:r>
        <w:t xml:space="preserve"> 潘米、李建伟：《新〈公司法〉下公司登记的事项与效力反思》，载《中南民族大学学报（人文社会科学版）》2025年第3期。</w:t>
      </w:r>
    </w:p>
  </w:footnote>
  <w:footnote w:id="52">
    <w:p w14:paraId="5744E26E">
      <w:pPr>
        <w:pStyle w:val="10"/>
        <w:snapToGrid w:val="0"/>
      </w:pPr>
      <w:r>
        <w:rPr>
          <w:rStyle w:val="19"/>
        </w:rPr>
        <w:footnoteRef/>
      </w:r>
      <w:r>
        <w:t xml:space="preserve"> 蒋大兴：《公司登记改革与营商环境促进——六个可能的要点问题》，载《当代法学》2025年第1期。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E3128"/>
    <w:multiLevelType w:val="singleLevel"/>
    <w:tmpl w:val="BE7E3128"/>
    <w:lvl w:ilvl="0" w:tentative="0">
      <w:start w:val="1"/>
      <w:numFmt w:val="chineseCounting"/>
      <w:suff w:val="nothing"/>
      <w:lvlText w:val="%1、"/>
      <w:lvlJc w:val="left"/>
      <w:pPr>
        <w:ind w:left="0" w:firstLine="420"/>
      </w:pPr>
      <w:rPr>
        <w:rFonts w:hint="eastAsia"/>
      </w:rPr>
    </w:lvl>
  </w:abstractNum>
  <w:abstractNum w:abstractNumId="1">
    <w:nsid w:val="024DC4F9"/>
    <w:multiLevelType w:val="singleLevel"/>
    <w:tmpl w:val="024DC4F9"/>
    <w:lvl w:ilvl="0" w:tentative="0">
      <w:start w:val="1"/>
      <w:numFmt w:val="chineseCounting"/>
      <w:suff w:val="nothing"/>
      <w:lvlText w:val="（%1）"/>
      <w:lvlJc w:val="left"/>
      <w:pPr>
        <w:ind w:left="0" w:firstLine="420"/>
      </w:pPr>
      <w:rPr>
        <w:rFonts w:hint="eastAsia"/>
      </w:rPr>
    </w:lvl>
  </w:abstractNum>
  <w:abstractNum w:abstractNumId="2">
    <w:nsid w:val="2E5881CD"/>
    <w:multiLevelType w:val="singleLevel"/>
    <w:tmpl w:val="2E5881CD"/>
    <w:lvl w:ilvl="0" w:tentative="0">
      <w:start w:val="1"/>
      <w:numFmt w:val="chineseCounting"/>
      <w:suff w:val="nothing"/>
      <w:lvlText w:val="（%1）"/>
      <w:lvlJc w:val="left"/>
      <w:pPr>
        <w:ind w:left="0" w:firstLine="420"/>
      </w:pPr>
      <w:rPr>
        <w:rFonts w:hint="eastAsia"/>
      </w:rPr>
    </w:lvl>
  </w:abstractNum>
  <w:abstractNum w:abstractNumId="3">
    <w:nsid w:val="4E994B8B"/>
    <w:multiLevelType w:val="singleLevel"/>
    <w:tmpl w:val="4E994B8B"/>
    <w:lvl w:ilvl="0" w:tentative="0">
      <w:start w:val="1"/>
      <w:numFmt w:val="chineseCounting"/>
      <w:suff w:val="nothing"/>
      <w:lvlText w:val="（%1）"/>
      <w:lvlJc w:val="left"/>
      <w:pPr>
        <w:ind w:left="0" w:firstLine="420"/>
      </w:pPr>
      <w:rPr>
        <w:rFonts w:hint="eastAsia"/>
      </w:rPr>
    </w:lvl>
  </w:abstractNum>
  <w:abstractNum w:abstractNumId="4">
    <w:nsid w:val="50311F4C"/>
    <w:multiLevelType w:val="singleLevel"/>
    <w:tmpl w:val="50311F4C"/>
    <w:lvl w:ilvl="0" w:tentative="0">
      <w:start w:val="1"/>
      <w:numFmt w:val="chineseCounting"/>
      <w:suff w:val="nothing"/>
      <w:lvlText w:val="（%1）"/>
      <w:lvlJc w:val="left"/>
      <w:pPr>
        <w:ind w:left="0" w:firstLine="420"/>
      </w:pPr>
      <w:rPr>
        <w:rFonts w:hint="eastAsia"/>
      </w:rPr>
    </w:lvl>
  </w:abstractNum>
  <w:abstractNum w:abstractNumId="5">
    <w:nsid w:val="592EF7C2"/>
    <w:multiLevelType w:val="singleLevel"/>
    <w:tmpl w:val="592EF7C2"/>
    <w:lvl w:ilvl="0" w:tentative="0">
      <w:start w:val="1"/>
      <w:numFmt w:val="chineseCounting"/>
      <w:suff w:val="nothing"/>
      <w:lvlText w:val="（%1）"/>
      <w:lvlJc w:val="left"/>
      <w:pPr>
        <w:ind w:left="0" w:firstLine="420"/>
      </w:pPr>
      <w:rPr>
        <w:rFonts w:hint="eastAsia"/>
      </w:rPr>
    </w:lvl>
  </w:abstractNum>
  <w:abstractNum w:abstractNumId="6">
    <w:nsid w:val="63DFA44C"/>
    <w:multiLevelType w:val="singleLevel"/>
    <w:tmpl w:val="63DFA44C"/>
    <w:lvl w:ilvl="0" w:tentative="0">
      <w:start w:val="1"/>
      <w:numFmt w:val="chineseCounting"/>
      <w:suff w:val="nothing"/>
      <w:lvlText w:val="（%1）"/>
      <w:lvlJc w:val="left"/>
      <w:pPr>
        <w:ind w:left="0" w:firstLine="420"/>
      </w:pPr>
      <w:rPr>
        <w:rFonts w:hint="eastAsia"/>
      </w:rPr>
    </w:lvl>
  </w:abstractNum>
  <w:num w:numId="1">
    <w:abstractNumId w:val="0"/>
  </w:num>
  <w:num w:numId="2">
    <w:abstractNumId w:val="6"/>
  </w:num>
  <w:num w:numId="3">
    <w:abstractNumId w:val="3"/>
  </w:num>
  <w:num w:numId="4">
    <w:abstractNumId w:val="2"/>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numFmt w:val="decimalEnclosedCircleChinese"/>
    <w:numRestart w:val="eachPage"/>
    <w:footnote w:id="106"/>
    <w:footnote w:id="10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3Yzc4NTJhYThhOTg0YzU4NGM0NzNkYjVhMmZlMjYifQ=="/>
  </w:docVars>
  <w:rsids>
    <w:rsidRoot w:val="00815CE8"/>
    <w:rsid w:val="00815CE8"/>
    <w:rsid w:val="008E1B53"/>
    <w:rsid w:val="00E75E51"/>
    <w:rsid w:val="01561030"/>
    <w:rsid w:val="01944776"/>
    <w:rsid w:val="01FE544B"/>
    <w:rsid w:val="02803F9B"/>
    <w:rsid w:val="034D6BB0"/>
    <w:rsid w:val="04454F0B"/>
    <w:rsid w:val="055406CA"/>
    <w:rsid w:val="05900908"/>
    <w:rsid w:val="078F59E9"/>
    <w:rsid w:val="07AE1250"/>
    <w:rsid w:val="07D433FC"/>
    <w:rsid w:val="09F40983"/>
    <w:rsid w:val="0A3E7F8F"/>
    <w:rsid w:val="0AC44EF4"/>
    <w:rsid w:val="0CF54F79"/>
    <w:rsid w:val="0D3533E3"/>
    <w:rsid w:val="0DA871B9"/>
    <w:rsid w:val="0DE02D00"/>
    <w:rsid w:val="0E03100D"/>
    <w:rsid w:val="0E625032"/>
    <w:rsid w:val="0F875103"/>
    <w:rsid w:val="103F5AD3"/>
    <w:rsid w:val="10901704"/>
    <w:rsid w:val="10E01064"/>
    <w:rsid w:val="119C142F"/>
    <w:rsid w:val="12211934"/>
    <w:rsid w:val="12E838AC"/>
    <w:rsid w:val="1302588C"/>
    <w:rsid w:val="13384789"/>
    <w:rsid w:val="141A3E3D"/>
    <w:rsid w:val="14374B2A"/>
    <w:rsid w:val="147138A1"/>
    <w:rsid w:val="156A69AD"/>
    <w:rsid w:val="158F66B6"/>
    <w:rsid w:val="17991F6C"/>
    <w:rsid w:val="18B27245"/>
    <w:rsid w:val="19D13C3F"/>
    <w:rsid w:val="1A8059F1"/>
    <w:rsid w:val="1B2B4E17"/>
    <w:rsid w:val="1BAA4748"/>
    <w:rsid w:val="1BF81957"/>
    <w:rsid w:val="1C5F19D6"/>
    <w:rsid w:val="1E9343EA"/>
    <w:rsid w:val="1E9819BE"/>
    <w:rsid w:val="1F1F3A88"/>
    <w:rsid w:val="1FDC333E"/>
    <w:rsid w:val="203320A8"/>
    <w:rsid w:val="20AD1960"/>
    <w:rsid w:val="215D0C25"/>
    <w:rsid w:val="22391D0B"/>
    <w:rsid w:val="22B75546"/>
    <w:rsid w:val="2399544F"/>
    <w:rsid w:val="24284DA4"/>
    <w:rsid w:val="24345C1C"/>
    <w:rsid w:val="253F4153"/>
    <w:rsid w:val="25AC56A4"/>
    <w:rsid w:val="25FE702B"/>
    <w:rsid w:val="26544C16"/>
    <w:rsid w:val="27C26786"/>
    <w:rsid w:val="286914E7"/>
    <w:rsid w:val="28CD0334"/>
    <w:rsid w:val="28EA7F22"/>
    <w:rsid w:val="28FC7D1D"/>
    <w:rsid w:val="29B01E15"/>
    <w:rsid w:val="29CA77F8"/>
    <w:rsid w:val="2ACC6023"/>
    <w:rsid w:val="2AF77DB9"/>
    <w:rsid w:val="2B391645"/>
    <w:rsid w:val="2B4D50F0"/>
    <w:rsid w:val="2B9D21D7"/>
    <w:rsid w:val="2C0E1ACC"/>
    <w:rsid w:val="2CD258AD"/>
    <w:rsid w:val="2CF75313"/>
    <w:rsid w:val="2E866BD3"/>
    <w:rsid w:val="2EC075BE"/>
    <w:rsid w:val="2F4438FD"/>
    <w:rsid w:val="2FB0078A"/>
    <w:rsid w:val="30201025"/>
    <w:rsid w:val="303F1FC2"/>
    <w:rsid w:val="31572824"/>
    <w:rsid w:val="316212A2"/>
    <w:rsid w:val="32BC3287"/>
    <w:rsid w:val="33A505B5"/>
    <w:rsid w:val="35154ED0"/>
    <w:rsid w:val="356B2D42"/>
    <w:rsid w:val="35F5054D"/>
    <w:rsid w:val="37982364"/>
    <w:rsid w:val="38316A01"/>
    <w:rsid w:val="3A520ADA"/>
    <w:rsid w:val="3A6F0BDF"/>
    <w:rsid w:val="3AD645EF"/>
    <w:rsid w:val="3B22083A"/>
    <w:rsid w:val="3CE11036"/>
    <w:rsid w:val="3D9372DA"/>
    <w:rsid w:val="3E304B29"/>
    <w:rsid w:val="40CE6344"/>
    <w:rsid w:val="40E37C31"/>
    <w:rsid w:val="41E02097"/>
    <w:rsid w:val="42BD1F90"/>
    <w:rsid w:val="43195B8C"/>
    <w:rsid w:val="45013B88"/>
    <w:rsid w:val="450E1E5E"/>
    <w:rsid w:val="4666224F"/>
    <w:rsid w:val="47637D1D"/>
    <w:rsid w:val="479E6180"/>
    <w:rsid w:val="47C22C51"/>
    <w:rsid w:val="47E524E0"/>
    <w:rsid w:val="483C5E9E"/>
    <w:rsid w:val="497171BC"/>
    <w:rsid w:val="49BC2CBC"/>
    <w:rsid w:val="49D00703"/>
    <w:rsid w:val="4A353062"/>
    <w:rsid w:val="4A392FB7"/>
    <w:rsid w:val="4A450172"/>
    <w:rsid w:val="4B9D2539"/>
    <w:rsid w:val="4CB44A5C"/>
    <w:rsid w:val="4CEF2DC0"/>
    <w:rsid w:val="4DB53644"/>
    <w:rsid w:val="4DFA0CB0"/>
    <w:rsid w:val="4E3F643A"/>
    <w:rsid w:val="4ED63EB0"/>
    <w:rsid w:val="4ED67D9C"/>
    <w:rsid w:val="4F344CB1"/>
    <w:rsid w:val="4F531BF3"/>
    <w:rsid w:val="4F9D11BE"/>
    <w:rsid w:val="4FA900E7"/>
    <w:rsid w:val="4FF260E2"/>
    <w:rsid w:val="51267318"/>
    <w:rsid w:val="515C296E"/>
    <w:rsid w:val="51C457AC"/>
    <w:rsid w:val="52743D26"/>
    <w:rsid w:val="528D316F"/>
    <w:rsid w:val="52BA27BB"/>
    <w:rsid w:val="53984BEF"/>
    <w:rsid w:val="53CA35B3"/>
    <w:rsid w:val="541D7CB8"/>
    <w:rsid w:val="54633C10"/>
    <w:rsid w:val="547137C9"/>
    <w:rsid w:val="55A806E3"/>
    <w:rsid w:val="56795229"/>
    <w:rsid w:val="569F3E81"/>
    <w:rsid w:val="57032983"/>
    <w:rsid w:val="57D45CF1"/>
    <w:rsid w:val="58B33F35"/>
    <w:rsid w:val="58C25E07"/>
    <w:rsid w:val="598522B0"/>
    <w:rsid w:val="5B0D2022"/>
    <w:rsid w:val="5B692CC6"/>
    <w:rsid w:val="5BD668B8"/>
    <w:rsid w:val="5C192736"/>
    <w:rsid w:val="5C5872CD"/>
    <w:rsid w:val="5CAB1AF3"/>
    <w:rsid w:val="5D821F75"/>
    <w:rsid w:val="5DB014C6"/>
    <w:rsid w:val="5F932DB0"/>
    <w:rsid w:val="61B00BC8"/>
    <w:rsid w:val="61BA6782"/>
    <w:rsid w:val="62652744"/>
    <w:rsid w:val="64612C96"/>
    <w:rsid w:val="657979EF"/>
    <w:rsid w:val="66B81D7C"/>
    <w:rsid w:val="67BB791E"/>
    <w:rsid w:val="67CE7A63"/>
    <w:rsid w:val="67CF18E1"/>
    <w:rsid w:val="68B300FD"/>
    <w:rsid w:val="68F35C12"/>
    <w:rsid w:val="698743A9"/>
    <w:rsid w:val="69AA08A3"/>
    <w:rsid w:val="69E41059"/>
    <w:rsid w:val="6A395C01"/>
    <w:rsid w:val="6A4912ED"/>
    <w:rsid w:val="6D252BF0"/>
    <w:rsid w:val="6DFB5D0A"/>
    <w:rsid w:val="6E2B05A9"/>
    <w:rsid w:val="6F380657"/>
    <w:rsid w:val="71BF511E"/>
    <w:rsid w:val="71DE2C86"/>
    <w:rsid w:val="733F48EB"/>
    <w:rsid w:val="7389126D"/>
    <w:rsid w:val="73B50593"/>
    <w:rsid w:val="755A49B9"/>
    <w:rsid w:val="75A87574"/>
    <w:rsid w:val="769431A0"/>
    <w:rsid w:val="783055F0"/>
    <w:rsid w:val="78745037"/>
    <w:rsid w:val="787A0E5D"/>
    <w:rsid w:val="79184C99"/>
    <w:rsid w:val="79494A28"/>
    <w:rsid w:val="79720394"/>
    <w:rsid w:val="7A475845"/>
    <w:rsid w:val="7AE54A55"/>
    <w:rsid w:val="7B330DC1"/>
    <w:rsid w:val="7BFD471F"/>
    <w:rsid w:val="7C0361DB"/>
    <w:rsid w:val="7CAC03D2"/>
    <w:rsid w:val="7CB40623"/>
    <w:rsid w:val="7CC846E8"/>
    <w:rsid w:val="7CF229CE"/>
    <w:rsid w:val="7D646283"/>
    <w:rsid w:val="7DA41E33"/>
    <w:rsid w:val="7E2655EE"/>
    <w:rsid w:val="7EC51121"/>
    <w:rsid w:val="7F306E8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4"/>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autoRedefine/>
    <w:semiHidden/>
    <w:qFormat/>
    <w:uiPriority w:val="0"/>
    <w:tblPr>
      <w:tblCellMar>
        <w:top w:w="0" w:type="dxa"/>
        <w:left w:w="108" w:type="dxa"/>
        <w:bottom w:w="0" w:type="dxa"/>
        <w:right w:w="108" w:type="dxa"/>
      </w:tblCellMar>
    </w:tblPr>
  </w:style>
  <w:style w:type="paragraph" w:styleId="6">
    <w:name w:val="annotation text"/>
    <w:basedOn w:val="1"/>
    <w:autoRedefine/>
    <w:qFormat/>
    <w:uiPriority w:val="0"/>
    <w:pPr>
      <w:jc w:val="left"/>
    </w:pPr>
  </w:style>
  <w:style w:type="paragraph" w:styleId="7">
    <w:name w:val="endnote text"/>
    <w:basedOn w:val="1"/>
    <w:uiPriority w:val="0"/>
    <w:pPr>
      <w:snapToGrid w:val="0"/>
      <w:jc w:val="left"/>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footnote text"/>
    <w:basedOn w:val="1"/>
    <w:autoRedefine/>
    <w:qFormat/>
    <w:uiPriority w:val="0"/>
    <w:pPr>
      <w:snapToGrid w:val="0"/>
      <w:jc w:val="left"/>
    </w:pPr>
    <w:rPr>
      <w:sz w:val="18"/>
    </w:rPr>
  </w:style>
  <w:style w:type="paragraph" w:styleId="11">
    <w:name w:val="Normal (Web)"/>
    <w:basedOn w:val="1"/>
    <w:autoRedefine/>
    <w:qFormat/>
    <w:uiPriority w:val="0"/>
    <w:pPr>
      <w:spacing w:before="100" w:beforeAutospacing="1" w:after="100" w:afterAutospacing="1"/>
      <w:ind w:left="0" w:right="0"/>
      <w:jc w:val="left"/>
    </w:pPr>
    <w:rPr>
      <w:kern w:val="0"/>
      <w:sz w:val="24"/>
      <w:lang w:val="en-US" w:eastAsia="zh-CN" w:bidi="ar"/>
    </w:rPr>
  </w:style>
  <w:style w:type="character" w:styleId="14">
    <w:name w:val="Strong"/>
    <w:autoRedefine/>
    <w:qFormat/>
    <w:uiPriority w:val="0"/>
    <w:rPr>
      <w:b/>
    </w:rPr>
  </w:style>
  <w:style w:type="character" w:styleId="15">
    <w:name w:val="endnote reference"/>
    <w:basedOn w:val="13"/>
    <w:uiPriority w:val="0"/>
    <w:rPr>
      <w:vertAlign w:val="superscript"/>
    </w:rPr>
  </w:style>
  <w:style w:type="character" w:styleId="16">
    <w:name w:val="Emphasis"/>
    <w:basedOn w:val="13"/>
    <w:qFormat/>
    <w:uiPriority w:val="0"/>
    <w:rPr>
      <w:i/>
    </w:rPr>
  </w:style>
  <w:style w:type="character" w:styleId="17">
    <w:name w:val="Hyperlink"/>
    <w:autoRedefine/>
    <w:qFormat/>
    <w:uiPriority w:val="0"/>
    <w:rPr>
      <w:color w:val="0000FF"/>
      <w:u w:val="single"/>
    </w:rPr>
  </w:style>
  <w:style w:type="character" w:styleId="18">
    <w:name w:val="annotation reference"/>
    <w:basedOn w:val="13"/>
    <w:semiHidden/>
    <w:unhideWhenUsed/>
    <w:qFormat/>
    <w:uiPriority w:val="99"/>
    <w:rPr>
      <w:sz w:val="21"/>
      <w:szCs w:val="21"/>
    </w:rPr>
  </w:style>
  <w:style w:type="character" w:styleId="19">
    <w:name w:val="footnote reference"/>
    <w:autoRedefine/>
    <w:qFormat/>
    <w:uiPriority w:val="0"/>
    <w:rPr>
      <w:vertAlign w:val="superscript"/>
    </w:rPr>
  </w:style>
  <w:style w:type="paragraph" w:customStyle="1" w:styleId="20">
    <w:name w:val="WPSOffice手动目录 1"/>
    <w:autoRedefine/>
    <w:qFormat/>
    <w:uiPriority w:val="0"/>
    <w:rPr>
      <w:rFonts w:ascii="Times New Roman" w:hAnsi="Times New Roman" w:eastAsia="宋体" w:cs="Times New Roman"/>
      <w:lang w:val="en-US" w:eastAsia="zh-CN" w:bidi="ar-SA"/>
    </w:rPr>
  </w:style>
  <w:style w:type="paragraph" w:customStyle="1" w:styleId="21">
    <w:name w:val="WPSOffice手动目录 2"/>
    <w:autoRedefine/>
    <w:qFormat/>
    <w:uiPriority w:val="0"/>
    <w:pPr>
      <w:ind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4060</Words>
  <Characters>4394</Characters>
  <Lines>96</Lines>
  <Paragraphs>27</Paragraphs>
  <TotalTime>1</TotalTime>
  <ScaleCrop>false</ScaleCrop>
  <LinksUpToDate>false</LinksUpToDate>
  <CharactersWithSpaces>4441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2024-05-13T07:27:00Z</dcterms:created>
  <dc:creator>92817</dc:creator>
  <cp:lastModifiedBy>可乐来一杯</cp:lastModifiedBy>
  <dcterms:modified xsi:type="dcterms:W3CDTF">2026-04-22T14:16:38Z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541CEB63F66446D4B242B89123344051_13</vt:lpwstr>
  </property>
  <property fmtid="{D5CDD505-2E9C-101B-9397-08002B2CF9AE}" pid="4" name="KSOTemplateDocerSaveRecord">
    <vt:lpwstr>eyJoZGlkIjoiMGU3Yzc4NTJhYThhOTg0YzU4NGM0NzNkYjVhMmZlMjYiLCJ1c2VySWQiOiI1MzgwNjY1MTkifQ==</vt:lpwstr>
  </property>
</Properties>
</file>