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BCC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color w:val="000000"/>
          <w:sz w:val="44"/>
          <w:szCs w:val="44"/>
          <w:lang w:val="en-US" w:eastAsia="zh"/>
        </w:rPr>
      </w:pPr>
      <w:bookmarkStart w:id="27" w:name="_GoBack"/>
      <w:r>
        <w:rPr>
          <w:rFonts w:hint="eastAsia" w:ascii="Times New Roman" w:hAnsi="Times New Roman" w:eastAsia="宋体" w:cs="宋体"/>
          <w:color w:val="000000"/>
          <w:sz w:val="44"/>
          <w:szCs w:val="44"/>
          <w:lang w:val="en-US" w:eastAsia="zh"/>
        </w:rPr>
        <w:t>算法空间中的主权重构：数据主权视阈下香港稳定币监管的法理突破</w:t>
      </w:r>
    </w:p>
    <w:bookmarkEnd w:id="27"/>
    <w:p w14:paraId="5E6203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woUserID w:val="1"/>
        </w:rPr>
      </w:pPr>
      <w:r>
        <w:rPr>
          <w:rFonts w:hint="eastAsia" w:ascii="宋体" w:hAnsi="宋体" w:eastAsia="宋体" w:cs="宋体"/>
          <w:color w:val="000000"/>
          <w:sz w:val="24"/>
          <w:szCs w:val="24"/>
          <w:lang w:val="en-US" w:eastAsia="zh-CN"/>
        </w:rPr>
        <w:t>摘要：</w:t>
      </w:r>
      <w:r>
        <w:rPr>
          <w:rFonts w:hint="eastAsia" w:ascii="宋体" w:hAnsi="宋体" w:eastAsia="宋体" w:cs="宋体"/>
          <w:sz w:val="24"/>
          <w:szCs w:val="24"/>
          <w:woUserID w:val="1"/>
        </w:rPr>
        <w:t>在去中心化金融（DeFi）生态下，</w:t>
      </w:r>
      <w:r>
        <w:rPr>
          <w:rFonts w:ascii="宋体" w:hAnsi="宋体" w:eastAsia="宋体" w:cs="宋体"/>
          <w:sz w:val="24"/>
          <w:szCs w:val="24"/>
          <w:woUserID w:val="1"/>
        </w:rPr>
        <w:t>稳定币已完成从边缘加密资产向全球流动性中枢的跃迁，</w:t>
      </w:r>
      <w:r>
        <w:rPr>
          <w:rFonts w:hint="eastAsia" w:ascii="宋体" w:hAnsi="宋体" w:eastAsia="宋体" w:cs="宋体"/>
          <w:sz w:val="24"/>
          <w:szCs w:val="24"/>
          <w:lang w:eastAsia="zh"/>
          <w:woUserID w:val="1"/>
        </w:rPr>
        <w:t>其</w:t>
      </w:r>
      <w:r>
        <w:rPr>
          <w:rFonts w:ascii="宋体" w:hAnsi="宋体" w:eastAsia="宋体" w:cs="宋体"/>
          <w:sz w:val="24"/>
          <w:szCs w:val="24"/>
          <w:woUserID w:val="1"/>
        </w:rPr>
        <w:t>演进深刻加剧了分布式账本特质与传统基于属地管辖、机构准入的金融规制逻辑之间的内生冲突。</w:t>
      </w:r>
      <w:r>
        <w:rPr>
          <w:rFonts w:hint="eastAsia" w:ascii="宋体" w:hAnsi="宋体" w:eastAsia="宋体" w:cs="宋体"/>
          <w:sz w:val="24"/>
          <w:szCs w:val="24"/>
          <w:woUserID w:val="1"/>
        </w:rPr>
        <w:t>本文立足于数据主权与国际经济法的交叉视角，系统解构了稳定币在全球治理中面临的隐私保护与穿透监管、跨境流转与属地管辖、规制霸权与长臂管辖等三重法理困境。</w:t>
      </w:r>
      <w:r>
        <w:rPr>
          <w:rFonts w:hint="eastAsia" w:ascii="宋体" w:hAnsi="宋体" w:eastAsia="宋体" w:cs="宋体"/>
          <w:sz w:val="24"/>
          <w:szCs w:val="24"/>
          <w:lang w:val="en-US" w:eastAsia="zh-CN"/>
          <w:woUserID w:val="1"/>
        </w:rPr>
        <w:t>采取</w:t>
      </w:r>
      <w:r>
        <w:rPr>
          <w:rFonts w:hint="eastAsia" w:ascii="宋体" w:hAnsi="宋体" w:eastAsia="宋体" w:cs="宋体"/>
          <w:sz w:val="24"/>
          <w:szCs w:val="24"/>
          <w:woUserID w:val="1"/>
        </w:rPr>
        <w:t>技术嵌入</w:t>
      </w:r>
      <w:r>
        <w:rPr>
          <w:rFonts w:hint="eastAsia" w:ascii="宋体" w:hAnsi="宋体" w:eastAsia="宋体" w:cs="宋体"/>
          <w:sz w:val="24"/>
          <w:szCs w:val="24"/>
          <w:lang w:eastAsia="zh"/>
          <w:woUserID w:val="1"/>
        </w:rPr>
        <w:t>法律规则的方式</w:t>
      </w:r>
      <w:r>
        <w:rPr>
          <w:rFonts w:hint="eastAsia" w:ascii="宋体" w:hAnsi="宋体" w:eastAsia="宋体" w:cs="宋体"/>
          <w:sz w:val="24"/>
          <w:szCs w:val="24"/>
          <w:woUserID w:val="1"/>
        </w:rPr>
        <w:t>，</w:t>
      </w:r>
      <w:r>
        <w:rPr>
          <w:rFonts w:hint="eastAsia" w:ascii="宋体" w:hAnsi="宋体" w:eastAsia="宋体" w:cs="宋体"/>
          <w:sz w:val="24"/>
          <w:szCs w:val="24"/>
          <w:lang w:val="en-US" w:eastAsia="zh-CN"/>
          <w:woUserID w:val="1"/>
        </w:rPr>
        <w:t>能够</w:t>
      </w:r>
      <w:r>
        <w:rPr>
          <w:rFonts w:hint="eastAsia" w:ascii="宋体" w:hAnsi="宋体" w:eastAsia="宋体" w:cs="宋体"/>
          <w:sz w:val="24"/>
          <w:szCs w:val="24"/>
          <w:woUserID w:val="1"/>
        </w:rPr>
        <w:t>实现规制范式从外在强制向内在逻辑共识的跃迁</w:t>
      </w:r>
      <w:r>
        <w:rPr>
          <w:rFonts w:hint="eastAsia" w:ascii="宋体" w:hAnsi="宋体" w:eastAsia="宋体" w:cs="宋体"/>
          <w:sz w:val="24"/>
          <w:szCs w:val="24"/>
          <w:lang w:eastAsia="zh"/>
          <w:woUserID w:val="1"/>
        </w:rPr>
        <w:t>，</w:t>
      </w:r>
      <w:r>
        <w:rPr>
          <w:rFonts w:hint="eastAsia" w:ascii="宋体" w:hAnsi="宋体" w:eastAsia="宋体" w:cs="宋体"/>
          <w:sz w:val="24"/>
          <w:szCs w:val="24"/>
          <w:woUserID w:val="1"/>
        </w:rPr>
        <w:t>进而</w:t>
      </w:r>
      <w:r>
        <w:rPr>
          <w:rFonts w:hint="eastAsia" w:ascii="宋体" w:hAnsi="宋体" w:eastAsia="宋体" w:cs="宋体"/>
          <w:sz w:val="24"/>
          <w:szCs w:val="24"/>
          <w:lang w:eastAsia="zh"/>
          <w:woUserID w:val="1"/>
        </w:rPr>
        <w:t>以</w:t>
      </w:r>
      <w:r>
        <w:rPr>
          <w:rFonts w:hint="eastAsia" w:ascii="宋体" w:hAnsi="宋体" w:eastAsia="宋体" w:cs="宋体"/>
          <w:sz w:val="24"/>
          <w:szCs w:val="24"/>
          <w:woUserID w:val="1"/>
        </w:rPr>
        <w:t>技术合规为基石，</w:t>
      </w:r>
      <w:r>
        <w:rPr>
          <w:rFonts w:hint="eastAsia" w:ascii="宋体" w:hAnsi="宋体" w:eastAsia="宋体" w:cs="宋体"/>
          <w:sz w:val="24"/>
          <w:szCs w:val="24"/>
          <w:lang w:val="en-US" w:eastAsia="zh-CN"/>
          <w:woUserID w:val="1"/>
        </w:rPr>
        <w:t>通过</w:t>
      </w:r>
      <w:r>
        <w:rPr>
          <w:rFonts w:hint="eastAsia" w:ascii="宋体" w:hAnsi="宋体" w:eastAsia="宋体" w:cs="宋体"/>
          <w:sz w:val="24"/>
          <w:szCs w:val="24"/>
          <w:lang w:eastAsia="zh"/>
          <w:woUserID w:val="1"/>
        </w:rPr>
        <w:t>搭建</w:t>
      </w:r>
      <w:r>
        <w:rPr>
          <w:rFonts w:hint="eastAsia" w:ascii="宋体" w:hAnsi="宋体" w:eastAsia="宋体" w:cs="宋体"/>
          <w:sz w:val="24"/>
          <w:szCs w:val="24"/>
          <w:woUserID w:val="1"/>
        </w:rPr>
        <w:t>物理锚定与信托隔离架构，将虚化的算法主体拉回属地管辖的可责体系</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并</w:t>
      </w:r>
      <w:r>
        <w:rPr>
          <w:rFonts w:hint="eastAsia" w:ascii="宋体" w:hAnsi="宋体" w:eastAsia="宋体" w:cs="宋体"/>
          <w:sz w:val="24"/>
          <w:szCs w:val="24"/>
          <w:woUserID w:val="1"/>
        </w:rPr>
        <w:t>依托自主清算路径与等效性互认机制，</w:t>
      </w:r>
      <w:r>
        <w:rPr>
          <w:rFonts w:hint="eastAsia" w:ascii="宋体" w:hAnsi="宋体" w:eastAsia="宋体" w:cs="宋体"/>
          <w:sz w:val="24"/>
          <w:szCs w:val="24"/>
          <w:lang w:val="en-US" w:eastAsia="zh-CN"/>
          <w:woUserID w:val="1"/>
        </w:rPr>
        <w:t>从而</w:t>
      </w:r>
      <w:r>
        <w:rPr>
          <w:rFonts w:hint="eastAsia" w:ascii="宋体" w:hAnsi="宋体" w:eastAsia="宋体" w:cs="宋体"/>
          <w:sz w:val="24"/>
          <w:szCs w:val="24"/>
          <w:woUserID w:val="1"/>
        </w:rPr>
        <w:t>完成从被动兼容规制霸权向主动参与秩序建构的策略跃迁</w:t>
      </w:r>
      <w:r>
        <w:rPr>
          <w:rFonts w:hint="eastAsia" w:ascii="宋体" w:hAnsi="宋体" w:eastAsia="宋体" w:cs="宋体"/>
          <w:sz w:val="24"/>
          <w:szCs w:val="24"/>
          <w:lang w:eastAsia="zh-CN"/>
          <w:woUserID w:val="1"/>
        </w:rPr>
        <w:t>。</w:t>
      </w:r>
    </w:p>
    <w:p w14:paraId="4F2CC0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woUserID w:val="1"/>
        </w:rPr>
      </w:pPr>
      <w:r>
        <w:rPr>
          <w:rFonts w:hint="eastAsia" w:ascii="Times New Roman" w:hAnsi="Times New Roman" w:eastAsia="宋体" w:cs="宋体"/>
          <w:color w:val="000000"/>
          <w:sz w:val="24"/>
          <w:szCs w:val="24"/>
          <w:lang w:val="en-US" w:eastAsia="zh-CN"/>
        </w:rPr>
        <w:t>关键词：稳定币；</w:t>
      </w:r>
      <w:r>
        <w:rPr>
          <w:rFonts w:ascii="宋体" w:hAnsi="宋体" w:eastAsia="宋体" w:cs="宋体"/>
          <w:sz w:val="24"/>
          <w:szCs w:val="24"/>
          <w:woUserID w:val="1"/>
        </w:rPr>
        <w:t>香港《稳定币条例》</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去中心化金融</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算法治理</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长臂管辖</w:t>
      </w:r>
    </w:p>
    <w:p w14:paraId="27164A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sz w:val="28"/>
          <w:szCs w:val="28"/>
          <w:lang w:val="en-US" w:eastAsia="zh-CN"/>
          <w:woUserID w:val="1"/>
        </w:rPr>
      </w:pPr>
      <w:r>
        <w:rPr>
          <w:rFonts w:hint="eastAsia" w:ascii="宋体" w:hAnsi="宋体" w:eastAsia="宋体" w:cs="宋体"/>
          <w:sz w:val="28"/>
          <w:szCs w:val="28"/>
          <w:lang w:val="en-US" w:eastAsia="zh-CN"/>
          <w:woUserID w:val="1"/>
        </w:rPr>
        <w:t>问题的提出</w:t>
      </w:r>
    </w:p>
    <w:p w14:paraId="63FB37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woUserID w:val="1"/>
        </w:rPr>
      </w:pPr>
      <w:r>
        <w:rPr>
          <w:rFonts w:hint="eastAsia" w:ascii="宋体" w:hAnsi="宋体" w:eastAsia="宋体" w:cs="宋体"/>
          <w:sz w:val="24"/>
          <w:szCs w:val="24"/>
          <w:woUserID w:val="1"/>
        </w:rPr>
        <w:t>2025 年 12 月，美国《2025 年通过发行统一安全货币实现国家战略增长法案》（GENIUS Act）</w:t>
      </w:r>
      <w:r>
        <w:rPr>
          <w:rFonts w:hint="eastAsia" w:ascii="宋体" w:hAnsi="宋体" w:eastAsia="宋体" w:cs="宋体"/>
          <w:sz w:val="24"/>
          <w:szCs w:val="24"/>
          <w:lang w:eastAsia="zh"/>
          <w:woUserID w:val="1"/>
        </w:rPr>
        <w:t>（以下简称“天才法案”）</w:t>
      </w:r>
      <w:r>
        <w:rPr>
          <w:rFonts w:hint="eastAsia" w:ascii="宋体" w:hAnsi="宋体" w:eastAsia="宋体" w:cs="宋体"/>
          <w:sz w:val="24"/>
          <w:szCs w:val="24"/>
          <w:woUserID w:val="1"/>
        </w:rPr>
        <w:t>的提出，再次引发了全球对于战略性比特币储备及法币稳定币霸权的法理热议。</w:t>
      </w:r>
      <w:r>
        <w:rPr>
          <w:rFonts w:ascii="宋体" w:hAnsi="宋体" w:eastAsia="宋体" w:cs="宋体"/>
          <w:sz w:val="24"/>
          <w:szCs w:val="24"/>
          <w:woUserID w:val="1"/>
        </w:rPr>
        <w:t>与此同时，TUSD（TrueUSD）因第三方托管机构储备金挪用风波引发的脱锚危机，将稳定币在去中心化外衣下的传统金融风险推至风口浪尖。</w:t>
      </w:r>
      <w:r>
        <w:rPr>
          <w:rStyle w:val="17"/>
          <w:rFonts w:ascii="宋体" w:hAnsi="宋体" w:eastAsia="宋体" w:cs="宋体"/>
          <w:sz w:val="24"/>
          <w:szCs w:val="24"/>
          <w:woUserID w:val="1"/>
        </w:rPr>
        <w:footnoteReference w:id="0"/>
      </w:r>
    </w:p>
    <w:p w14:paraId="74ED31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rPr>
      </w:pPr>
      <w:r>
        <w:rPr>
          <w:rFonts w:hint="eastAsia" w:ascii="宋体" w:hAnsi="宋体" w:eastAsia="宋体" w:cs="宋体"/>
          <w:sz w:val="24"/>
          <w:szCs w:val="24"/>
          <w:lang w:eastAsia="zh"/>
          <w:woUserID w:val="1"/>
        </w:rPr>
        <w:t>稳定币虽已成为</w:t>
      </w:r>
      <w:r>
        <w:rPr>
          <w:rFonts w:ascii="宋体" w:hAnsi="宋体" w:eastAsia="宋体" w:cs="宋体"/>
          <w:sz w:val="24"/>
          <w:szCs w:val="24"/>
          <w:woUserID w:val="1"/>
        </w:rPr>
        <w:t>市值逾千亿美元的全球金融流动性关键中枢</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1"/>
      </w:r>
      <w:r>
        <w:rPr>
          <w:rFonts w:ascii="宋体" w:hAnsi="宋体" w:eastAsia="宋体" w:cs="宋体"/>
          <w:sz w:val="24"/>
          <w:szCs w:val="24"/>
          <w:woUserID w:val="1"/>
        </w:rPr>
        <w:t>但其法治规范却处于某种“失焦”状态</w:t>
      </w:r>
      <w:r>
        <w:rPr>
          <w:rFonts w:hint="eastAsia" w:ascii="宋体" w:hAnsi="宋体" w:eastAsia="宋体" w:cs="宋体"/>
          <w:sz w:val="24"/>
          <w:szCs w:val="24"/>
          <w:lang w:eastAsia="zh"/>
          <w:woUserID w:val="1"/>
        </w:rPr>
        <w:t>，</w:t>
      </w:r>
      <w:r>
        <w:rPr>
          <w:rFonts w:ascii="宋体" w:hAnsi="宋体" w:eastAsia="宋体" w:cs="宋体"/>
          <w:sz w:val="24"/>
          <w:szCs w:val="24"/>
          <w:woUserID w:val="1"/>
        </w:rPr>
        <w:t>这种失焦并非单纯的监管滞后，而是数字主权与跨境金融规制范式的深层断裂</w:t>
      </w:r>
      <w:r>
        <w:rPr>
          <w:rFonts w:hint="eastAsia" w:ascii="宋体" w:hAnsi="宋体" w:eastAsia="宋体" w:cs="宋体"/>
          <w:sz w:val="24"/>
          <w:szCs w:val="24"/>
          <w:lang w:eastAsia="zh"/>
          <w:woUserID w:val="1"/>
        </w:rPr>
        <w:t>。当前，</w:t>
      </w:r>
      <w:r>
        <w:rPr>
          <w:rFonts w:hint="eastAsia" w:ascii="宋体" w:hAnsi="宋体" w:eastAsia="宋体" w:cs="宋体"/>
          <w:sz w:val="24"/>
          <w:szCs w:val="24"/>
          <w:woUserID w:val="1"/>
        </w:rPr>
        <w:t>欧盟依托《加密资产市场条例》（MiCA）确立了区域性统一框架</w:t>
      </w:r>
      <w:r>
        <w:rPr>
          <w:rFonts w:hint="eastAsia" w:ascii="宋体" w:hAnsi="宋体" w:eastAsia="宋体" w:cs="宋体"/>
          <w:sz w:val="24"/>
          <w:szCs w:val="24"/>
          <w:lang w:eastAsia="zh"/>
          <w:woUserID w:val="1"/>
        </w:rPr>
        <w:t>，但于我国</w:t>
      </w:r>
      <w:r>
        <w:rPr>
          <w:rFonts w:ascii="宋体" w:hAnsi="宋体" w:eastAsia="宋体" w:cs="宋体"/>
          <w:sz w:val="24"/>
          <w:szCs w:val="24"/>
          <w:woUserID w:val="1"/>
        </w:rPr>
        <w:t>香港而言</w:t>
      </w:r>
      <w:r>
        <w:rPr>
          <w:rFonts w:hint="eastAsia" w:ascii="宋体" w:hAnsi="宋体" w:eastAsia="宋体" w:cs="宋体"/>
          <w:sz w:val="24"/>
          <w:szCs w:val="24"/>
          <w:lang w:eastAsia="zh"/>
          <w:woUserID w:val="1"/>
        </w:rPr>
        <w:t>，</w:t>
      </w:r>
      <w:r>
        <w:rPr>
          <w:rFonts w:ascii="宋体" w:hAnsi="宋体" w:eastAsia="宋体" w:cs="宋体"/>
          <w:sz w:val="24"/>
          <w:szCs w:val="24"/>
          <w:woUserID w:val="1"/>
        </w:rPr>
        <w:t>如何在“一国两制”架构下，通过 202《稳定币条例》构建一套既能对冲美元算法霸权，又能实现技术驱动合规的香港范式，已成为关乎国家数据主权与数字金融安全的核心课题。</w:t>
      </w:r>
    </w:p>
    <w:p w14:paraId="009F0792">
      <w:pPr>
        <w:pStyle w:val="2"/>
        <w:bidi w:val="0"/>
        <w:ind w:left="0" w:leftChars="0" w:firstLine="0" w:firstLineChars="0"/>
        <w:rPr>
          <w:rFonts w:hint="eastAsia" w:ascii="宋体" w:hAnsi="宋体" w:eastAsia="宋体" w:cs="宋体"/>
          <w:sz w:val="28"/>
          <w:szCs w:val="28"/>
          <w:lang w:val="en-US" w:eastAsia="zh-CN"/>
          <w:woUserID w:val="1"/>
        </w:rPr>
      </w:pPr>
      <w:bookmarkStart w:id="0" w:name="_Toc1955033751"/>
      <w:bookmarkStart w:id="1" w:name="_Toc1504315674"/>
      <w:r>
        <w:rPr>
          <w:rFonts w:hint="eastAsia" w:ascii="宋体" w:hAnsi="宋体" w:eastAsia="宋体" w:cs="宋体"/>
          <w:sz w:val="28"/>
          <w:szCs w:val="28"/>
          <w:lang w:val="en-US" w:eastAsia="zh-CN"/>
          <w:woUserID w:val="1"/>
        </w:rPr>
        <w:t>去中心化</w:t>
      </w:r>
      <w:r>
        <w:rPr>
          <w:rFonts w:hint="eastAsia" w:cs="宋体"/>
          <w:sz w:val="28"/>
          <w:szCs w:val="28"/>
          <w:lang w:val="en-US" w:eastAsia="zh-CN"/>
          <w:woUserID w:val="1"/>
        </w:rPr>
        <w:t>金融</w:t>
      </w:r>
      <w:r>
        <w:rPr>
          <w:rFonts w:hint="eastAsia" w:ascii="宋体" w:hAnsi="宋体" w:eastAsia="宋体" w:cs="宋体"/>
          <w:sz w:val="28"/>
          <w:szCs w:val="28"/>
          <w:lang w:val="en-US" w:eastAsia="zh-CN"/>
          <w:woUserID w:val="1"/>
        </w:rPr>
        <w:t>生态下稳定币的法律性质</w:t>
      </w:r>
      <w:bookmarkEnd w:id="0"/>
      <w:bookmarkEnd w:id="1"/>
    </w:p>
    <w:p w14:paraId="6ECF1C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sz w:val="24"/>
          <w:szCs w:val="24"/>
          <w:lang w:val="en-US" w:eastAsia="zh-CN"/>
        </w:rPr>
        <w:t>在目前的DeFi协议中，稳定币不仅是静态的资产标识，更展现出多重法律性质的叠加状态。根据其使用进程而展现出的法律</w:t>
      </w:r>
      <w:r>
        <w:rPr>
          <w:rFonts w:hint="eastAsia" w:ascii="Times New Roman" w:hAnsi="Times New Roman" w:eastAsia="宋体" w:cs="宋体"/>
          <w:color w:val="000000"/>
          <w:sz w:val="24"/>
          <w:szCs w:val="24"/>
          <w:lang w:val="en-US" w:eastAsia="zh"/>
          <w:woUserID w:val="1"/>
        </w:rPr>
        <w:t>性质</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CN"/>
        </w:rPr>
        <w:t>动态漂移”</w:t>
      </w:r>
      <w:r>
        <w:rPr>
          <w:rFonts w:ascii="宋体" w:hAnsi="宋体" w:eastAsia="宋体" w:cs="宋体"/>
          <w:sz w:val="24"/>
          <w:szCs w:val="24"/>
          <w:woUserID w:val="1"/>
        </w:rPr>
        <w:t>不仅冲击了传统的权利分类论，</w:t>
      </w:r>
      <w:r>
        <w:rPr>
          <w:rFonts w:hint="eastAsia" w:ascii="宋体" w:hAnsi="宋体" w:eastAsia="宋体" w:cs="宋体"/>
          <w:sz w:val="24"/>
          <w:szCs w:val="24"/>
          <w:lang w:eastAsia="zh"/>
          <w:woUserID w:val="1"/>
        </w:rPr>
        <w:t>亦</w:t>
      </w:r>
      <w:r>
        <w:rPr>
          <w:rFonts w:ascii="宋体" w:hAnsi="宋体" w:eastAsia="宋体" w:cs="宋体"/>
          <w:sz w:val="24"/>
          <w:szCs w:val="24"/>
          <w:woUserID w:val="1"/>
        </w:rPr>
        <w:t>重构了监管权介入的法理基础</w:t>
      </w:r>
      <w:bookmarkStart w:id="2" w:name="_Toc830289819"/>
      <w:r>
        <w:rPr>
          <w:rFonts w:hint="eastAsia" w:ascii="宋体" w:hAnsi="宋体" w:eastAsia="宋体" w:cs="宋体"/>
          <w:sz w:val="24"/>
          <w:szCs w:val="24"/>
          <w:lang w:eastAsia="zh"/>
          <w:woUserID w:val="1"/>
        </w:rPr>
        <w:t>。</w:t>
      </w:r>
    </w:p>
    <w:p w14:paraId="4FDC6D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woUserID w:val="1"/>
        </w:rPr>
      </w:pPr>
      <w:r>
        <w:rPr>
          <w:rFonts w:hint="eastAsia" w:ascii="Times New Roman" w:hAnsi="Times New Roman" w:eastAsia="宋体" w:cs="宋体"/>
          <w:color w:val="000000"/>
          <w:kern w:val="2"/>
          <w:sz w:val="24"/>
          <w:szCs w:val="24"/>
          <w:lang w:val="en-US" w:eastAsia="zh-CN" w:bidi="ar-SA"/>
        </w:rPr>
        <w:t>（一）</w:t>
      </w:r>
      <w:r>
        <w:rPr>
          <w:rFonts w:hint="eastAsia" w:ascii="Times New Roman" w:hAnsi="Times New Roman" w:eastAsia="宋体" w:cs="宋体"/>
          <w:color w:val="000000"/>
          <w:sz w:val="24"/>
          <w:szCs w:val="24"/>
          <w:lang w:val="en-US" w:eastAsia="zh"/>
          <w:woUserID w:val="1"/>
        </w:rPr>
        <w:t>稳定币法律性质的二元化与规范演进</w:t>
      </w:r>
      <w:bookmarkEnd w:id="2"/>
    </w:p>
    <w:p w14:paraId="7EFEDE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woUserID w:val="1"/>
        </w:rPr>
      </w:pPr>
      <w:r>
        <w:rPr>
          <w:rFonts w:hint="eastAsia" w:ascii="Times New Roman" w:hAnsi="Times New Roman" w:eastAsia="宋体" w:cs="宋体"/>
          <w:color w:val="000000"/>
          <w:sz w:val="24"/>
          <w:szCs w:val="24"/>
          <w:lang w:val="en-US" w:eastAsia="zh-CN"/>
          <w:woUserID w:val="1"/>
        </w:rPr>
        <w:t>稳定币的法律性质是一个复杂且动态发展的议题，在公法和私法领域具有差异性，体现出现代数字金融资产在传统法律体系中所面临的结构性张力。这种差异不仅源于其</w:t>
      </w:r>
      <w:r>
        <w:rPr>
          <w:rFonts w:hint="eastAsia" w:ascii="Times New Roman" w:hAnsi="Times New Roman" w:eastAsia="宋体" w:cs="宋体"/>
          <w:color w:val="000000"/>
          <w:sz w:val="24"/>
          <w:szCs w:val="24"/>
          <w:lang w:val="en-US" w:eastAsia="zh"/>
          <w:woUserID w:val="1"/>
        </w:rPr>
        <w:t>所依赖的</w:t>
      </w:r>
      <w:r>
        <w:rPr>
          <w:rFonts w:hint="eastAsia" w:ascii="Times New Roman" w:hAnsi="Times New Roman" w:eastAsia="宋体" w:cs="宋体"/>
          <w:color w:val="000000"/>
          <w:sz w:val="24"/>
          <w:szCs w:val="24"/>
          <w:lang w:val="en-US" w:eastAsia="zh-CN"/>
          <w:woUserID w:val="1"/>
        </w:rPr>
        <w:t>技术特性与经济功能，更反映出不同法律部门在价值取向、规制目标和制度工具上的根本区别。</w:t>
      </w:r>
    </w:p>
    <w:p w14:paraId="3BFA7E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woUserID w:val="1"/>
        </w:rPr>
      </w:pPr>
      <w:r>
        <w:rPr>
          <w:rFonts w:hint="eastAsia" w:ascii="Times New Roman" w:hAnsi="Times New Roman" w:eastAsia="宋体" w:cs="宋体"/>
          <w:color w:val="000000"/>
          <w:sz w:val="24"/>
          <w:szCs w:val="24"/>
          <w:lang w:val="en-US" w:eastAsia="zh-CN"/>
          <w:woUserID w:val="1"/>
        </w:rPr>
        <w:t>从根据稳定币在DeFi协议中的基础定位，当前国际立法实践与学术研究将其作为一类特殊的加密资产，主要存有两个共识。</w:t>
      </w:r>
    </w:p>
    <w:p w14:paraId="58DF91F9">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right="0" w:firstLine="480" w:firstLineChars="200"/>
        <w:textAlignment w:val="auto"/>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1.公法维度：风险规制工具</w:t>
      </w:r>
    </w:p>
    <w:p w14:paraId="25748689">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woUserID w:val="1"/>
        </w:rPr>
        <w:t>从公法层面分析，</w:t>
      </w:r>
      <w:r>
        <w:rPr>
          <w:rFonts w:hint="eastAsia" w:ascii="Times New Roman" w:hAnsi="Times New Roman" w:eastAsia="宋体" w:cs="宋体"/>
          <w:color w:val="000000"/>
          <w:sz w:val="24"/>
          <w:szCs w:val="24"/>
          <w:lang w:val="en-US" w:eastAsia="zh"/>
          <w:woUserID w:val="1"/>
        </w:rPr>
        <w:t>稳定币</w:t>
      </w:r>
      <w:r>
        <w:rPr>
          <w:rFonts w:hint="eastAsia" w:ascii="Times New Roman" w:hAnsi="Times New Roman" w:eastAsia="宋体" w:cs="宋体"/>
          <w:color w:val="000000"/>
          <w:sz w:val="24"/>
          <w:szCs w:val="24"/>
          <w:lang w:val="en-US" w:eastAsia="zh-CN"/>
          <w:woUserID w:val="1"/>
        </w:rPr>
        <w:t>是电子货币代币</w:t>
      </w:r>
      <w:r>
        <w:rPr>
          <w:rFonts w:hint="eastAsia" w:ascii="Times New Roman" w:hAnsi="Times New Roman" w:eastAsia="宋体" w:cs="宋体"/>
          <w:color w:val="000000"/>
          <w:sz w:val="24"/>
          <w:szCs w:val="24"/>
          <w:lang w:val="en-US" w:eastAsia="zh"/>
          <w:woUserID w:val="1"/>
        </w:rPr>
        <w:t>，也</w:t>
      </w:r>
      <w:r>
        <w:rPr>
          <w:rFonts w:hint="eastAsia" w:ascii="Times New Roman" w:hAnsi="Times New Roman" w:eastAsia="宋体" w:cs="宋体"/>
          <w:color w:val="000000"/>
          <w:sz w:val="24"/>
          <w:szCs w:val="24"/>
          <w:lang w:val="en-US" w:eastAsia="zh-CN"/>
          <w:woUserID w:val="1"/>
        </w:rPr>
        <w:t>被视为需要监管干预的风险载</w:t>
      </w:r>
      <w:r>
        <w:rPr>
          <w:rFonts w:hint="eastAsia" w:ascii="Times New Roman" w:hAnsi="Times New Roman" w:eastAsia="宋体" w:cs="宋体"/>
          <w:color w:val="000000"/>
          <w:sz w:val="24"/>
          <w:szCs w:val="24"/>
          <w:lang w:val="en-US" w:eastAsia="zh"/>
          <w:woUserID w:val="1"/>
        </w:rPr>
        <w:t>体。</w:t>
      </w:r>
      <w:r>
        <w:rPr>
          <w:rFonts w:hint="eastAsia" w:ascii="Times New Roman" w:hAnsi="Times New Roman" w:eastAsia="宋体" w:cs="宋体"/>
          <w:color w:val="000000"/>
          <w:sz w:val="24"/>
          <w:szCs w:val="24"/>
          <w:lang w:val="en-US" w:eastAsia="zh-CN"/>
          <w:woUserID w:val="1"/>
        </w:rPr>
        <w:t>各国监管机构普遍关注其对货币政策传导、金融稳定、反洗钱（AML）合规以及国家货币主权的潜在冲击。根据</w:t>
      </w:r>
      <w:r>
        <w:rPr>
          <w:rFonts w:hint="eastAsia" w:ascii="Times New Roman" w:hAnsi="Times New Roman" w:eastAsia="宋体" w:cs="宋体"/>
          <w:color w:val="000000"/>
          <w:sz w:val="24"/>
          <w:szCs w:val="24"/>
          <w:lang w:val="en-US" w:eastAsia="zh-CN"/>
        </w:rPr>
        <w:t>MiCA</w:t>
      </w:r>
      <w:r>
        <w:rPr>
          <w:rStyle w:val="17"/>
          <w:rFonts w:hint="eastAsia" w:ascii="Times New Roman" w:hAnsi="Times New Roman" w:eastAsia="宋体" w:cs="宋体"/>
          <w:color w:val="000000"/>
          <w:sz w:val="24"/>
          <w:szCs w:val="24"/>
          <w:lang w:val="en-US" w:eastAsia="zh-CN"/>
        </w:rPr>
        <w:footnoteReference w:id="2"/>
      </w:r>
      <w:r>
        <w:rPr>
          <w:rFonts w:hint="eastAsia" w:ascii="Times New Roman" w:hAnsi="Times New Roman" w:eastAsia="宋体" w:cs="宋体"/>
          <w:color w:val="000000"/>
          <w:sz w:val="24"/>
          <w:szCs w:val="24"/>
          <w:lang w:val="en-US" w:eastAsia="zh-CN"/>
        </w:rPr>
        <w:t>和《条例》</w:t>
      </w:r>
      <w:r>
        <w:rPr>
          <w:rStyle w:val="17"/>
          <w:rFonts w:hint="eastAsia" w:ascii="Times New Roman" w:hAnsi="Times New Roman" w:eastAsia="宋体" w:cs="宋体"/>
          <w:color w:val="000000"/>
          <w:sz w:val="24"/>
          <w:szCs w:val="24"/>
          <w:lang w:val="en-US" w:eastAsia="zh-CN"/>
        </w:rPr>
        <w:footnoteReference w:id="3"/>
      </w:r>
      <w:r>
        <w:rPr>
          <w:rFonts w:hint="eastAsia" w:ascii="Times New Roman" w:hAnsi="Times New Roman" w:eastAsia="宋体" w:cs="宋体"/>
          <w:color w:val="000000"/>
          <w:sz w:val="24"/>
          <w:szCs w:val="24"/>
          <w:lang w:val="en-US" w:eastAsia="zh-CN"/>
        </w:rPr>
        <w:t>来看，明确将法币锚定型稳定币归类为资产参考代币，通过1:1的资金储备确立稳定币作为支付工具的合法性</w:t>
      </w:r>
      <w:r>
        <w:rPr>
          <w:rFonts w:hint="eastAsia" w:ascii="Times New Roman" w:hAnsi="Times New Roman" w:eastAsia="宋体" w:cs="宋体"/>
          <w:color w:val="000000"/>
          <w:sz w:val="24"/>
          <w:szCs w:val="24"/>
          <w:lang w:val="en-US" w:eastAsia="zh"/>
          <w:woUserID w:val="1"/>
        </w:rPr>
        <w:t>，将其纳入行政许可规制范畴内，旨在防止非主权货币对国内货币主权的蚕食</w:t>
      </w:r>
      <w:r>
        <w:rPr>
          <w:rFonts w:hint="eastAsia" w:ascii="Times New Roman" w:hAnsi="Times New Roman" w:eastAsia="宋体" w:cs="宋体"/>
          <w:color w:val="000000"/>
          <w:sz w:val="24"/>
          <w:szCs w:val="24"/>
          <w:lang w:val="en-US" w:eastAsia="zh-CN"/>
        </w:rPr>
        <w:t>。同时，要求发行人必须注册为法定实体，并履行资本充足率、储备资产隔离、定期审计和透明度披露等义务。该框架赋予监管机关广泛的执法权，显示出强烈的行政干预特征。</w:t>
      </w:r>
      <w:r>
        <w:rPr>
          <w:rStyle w:val="17"/>
          <w:rFonts w:hint="eastAsia" w:ascii="Times New Roman" w:hAnsi="Times New Roman" w:eastAsia="宋体" w:cs="宋体"/>
          <w:color w:val="000000"/>
          <w:sz w:val="24"/>
          <w:szCs w:val="24"/>
          <w:lang w:val="en-US" w:eastAsia="zh-CN"/>
        </w:rPr>
        <w:footnoteReference w:id="4"/>
      </w:r>
    </w:p>
    <w:p w14:paraId="28BDF415">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Style w:val="15"/>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类似地，在美国，金融犯罪执法网络（FinCEN）依据《银行保密法》将稳定币发行人视为货币传输商，进而纳入反洗钱监管范围</w:t>
      </w:r>
      <w:r>
        <w:rPr>
          <w:rFonts w:hint="eastAsia" w:ascii="Times New Roman" w:hAnsi="Times New Roman" w:eastAsia="宋体" w:cs="宋体"/>
          <w:color w:val="000000"/>
          <w:sz w:val="24"/>
          <w:szCs w:val="24"/>
          <w:lang w:val="en-US" w:eastAsia="zh"/>
          <w:woUserID w:val="1"/>
        </w:rPr>
        <w:t>，</w:t>
      </w:r>
      <w:r>
        <w:rPr>
          <w:rFonts w:hint="eastAsia" w:ascii="Times New Roman" w:hAnsi="Times New Roman" w:eastAsia="宋体" w:cs="宋体"/>
          <w:color w:val="000000"/>
          <w:sz w:val="24"/>
          <w:szCs w:val="24"/>
          <w:lang w:val="en-US" w:eastAsia="zh-CN"/>
          <w:woUserID w:val="1"/>
        </w:rPr>
        <w:t>并</w:t>
      </w:r>
      <w:r>
        <w:rPr>
          <w:rFonts w:ascii="宋体" w:hAnsi="宋体" w:eastAsia="宋体" w:cs="宋体"/>
          <w:sz w:val="24"/>
          <w:szCs w:val="24"/>
          <w:woUserID w:val="1"/>
        </w:rPr>
        <w:t>通过穿透式的反洗钱义务将匿名交易重新纳入主权监控网络</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在</w:t>
      </w:r>
      <w:r>
        <w:rPr>
          <w:rFonts w:hint="eastAsia" w:ascii="宋体" w:hAnsi="宋体" w:eastAsia="宋体" w:cs="宋体"/>
          <w:sz w:val="24"/>
          <w:szCs w:val="24"/>
          <w:lang w:eastAsia="zh"/>
          <w:woUserID w:val="1"/>
        </w:rPr>
        <w:t>美国</w:t>
      </w:r>
      <w:r>
        <w:rPr>
          <w:rFonts w:hint="eastAsia" w:ascii="Times New Roman" w:hAnsi="Times New Roman" w:eastAsia="宋体" w:cs="宋体"/>
          <w:color w:val="000000"/>
          <w:sz w:val="24"/>
          <w:szCs w:val="24"/>
          <w:lang w:val="en-US" w:eastAsia="zh-CN"/>
        </w:rPr>
        <w:t>证券交易委员会（SEC）诉瑞波公司（Ripple Labs）案中，SEC基于豪威测试（Howey Test）以未经注册发行证券或从事欺诈性发行等理由，要将Ripple Labs相关活动置于美国证券法的监管下以保护投资者权益。但法院裁定，向大型投资者出售Ripple Credits（简称XRP）等同于出售证券，而通过交易所向普通民众出售XRP则不然。这些公法机制的核心逻辑在于防范系统性风险、保护公共利益和维护金融秩序的稳定性，因而重在行政法等公法视域下的事前许可、持续监督和行政处罚。</w:t>
      </w:r>
    </w:p>
    <w:p w14:paraId="657CE80E">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2.私法维度：物权债权属性的动态漂移</w:t>
      </w:r>
    </w:p>
    <w:p w14:paraId="71982190">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lang w:eastAsia="zh"/>
          <w:woUserID w:val="1"/>
        </w:rPr>
      </w:pPr>
      <w:r>
        <w:rPr>
          <w:rFonts w:hint="eastAsia" w:ascii="Times New Roman" w:hAnsi="Times New Roman" w:eastAsia="宋体" w:cs="宋体"/>
          <w:color w:val="000000"/>
          <w:sz w:val="24"/>
          <w:szCs w:val="24"/>
          <w:lang w:val="en-US" w:eastAsia="zh-CN"/>
        </w:rPr>
        <w:t>于私法层面观之，</w:t>
      </w:r>
      <w:r>
        <w:rPr>
          <w:rFonts w:hint="eastAsia" w:ascii="Times New Roman" w:hAnsi="Times New Roman" w:eastAsia="宋体" w:cs="宋体"/>
          <w:color w:val="000000"/>
          <w:sz w:val="24"/>
          <w:szCs w:val="24"/>
          <w:lang w:val="en-US" w:eastAsia="zh"/>
          <w:woUserID w:val="2"/>
        </w:rPr>
        <w:t>债权强调相对性、请求权与发行人信用，物权强调绝对性、排他性与占有或事实控制，但</w:t>
      </w:r>
      <w:r>
        <w:rPr>
          <w:rFonts w:hint="eastAsia" w:ascii="Times New Roman" w:hAnsi="Times New Roman" w:eastAsia="宋体" w:cs="宋体"/>
          <w:color w:val="000000"/>
          <w:sz w:val="24"/>
          <w:szCs w:val="24"/>
          <w:lang w:val="en-US" w:eastAsia="zh-CN"/>
          <w:woUserID w:val="2"/>
        </w:rPr>
        <w:t>稳定币的法律定位更为多元且具有情境依赖性</w:t>
      </w:r>
      <w:r>
        <w:rPr>
          <w:rFonts w:hint="eastAsia" w:ascii="Times New Roman" w:hAnsi="Times New Roman" w:eastAsia="宋体" w:cs="宋体"/>
          <w:color w:val="000000"/>
          <w:sz w:val="24"/>
          <w:szCs w:val="24"/>
          <w:lang w:val="en-US" w:eastAsia="zh"/>
          <w:woUserID w:val="2"/>
        </w:rPr>
        <w:t>，横跨债权与物权边界，</w:t>
      </w:r>
      <w:r>
        <w:rPr>
          <w:rFonts w:hint="eastAsia" w:ascii="Times New Roman" w:hAnsi="Times New Roman" w:eastAsia="宋体" w:cs="宋体"/>
          <w:color w:val="000000"/>
          <w:sz w:val="24"/>
          <w:szCs w:val="24"/>
          <w:lang w:val="en-US" w:eastAsia="zh-CN"/>
          <w:woUserID w:val="2"/>
        </w:rPr>
        <w:t>并</w:t>
      </w:r>
      <w:r>
        <w:rPr>
          <w:rFonts w:hint="eastAsia" w:ascii="Times New Roman" w:hAnsi="Times New Roman" w:eastAsia="宋体" w:cs="宋体"/>
          <w:color w:val="000000"/>
          <w:sz w:val="24"/>
          <w:szCs w:val="24"/>
          <w:lang w:val="en-US" w:eastAsia="zh"/>
          <w:woUserID w:val="2"/>
        </w:rPr>
        <w:t>随其生命周期阶段发生结构性跃迁。</w:t>
      </w:r>
      <w:r>
        <w:rPr>
          <w:rFonts w:hint="eastAsia" w:ascii="Times New Roman" w:hAnsi="Times New Roman" w:eastAsia="宋体" w:cs="宋体"/>
          <w:color w:val="000000"/>
          <w:sz w:val="24"/>
          <w:szCs w:val="24"/>
          <w:lang w:val="en-US" w:eastAsia="zh-CN"/>
        </w:rPr>
        <w:t>当用户持有稳定币时，其所享有的究竟是对发行人的直接债权，还是对链上代币本身的物权性权利，目前尚无统一</w:t>
      </w:r>
      <w:r>
        <w:rPr>
          <w:rFonts w:hint="eastAsia" w:ascii="Times New Roman" w:hAnsi="Times New Roman" w:eastAsia="宋体" w:cs="宋体"/>
          <w:color w:val="000000"/>
          <w:sz w:val="24"/>
          <w:szCs w:val="24"/>
          <w:lang w:val="en-US" w:eastAsia="zh"/>
          <w:woUserID w:val="2"/>
        </w:rPr>
        <w:t>共识</w:t>
      </w:r>
      <w:r>
        <w:rPr>
          <w:rFonts w:hint="eastAsia" w:ascii="Times New Roman" w:hAnsi="Times New Roman" w:eastAsia="宋体" w:cs="宋体"/>
          <w:color w:val="000000"/>
          <w:sz w:val="24"/>
          <w:szCs w:val="24"/>
          <w:lang w:val="en-US" w:eastAsia="zh"/>
          <w:woUserID w:val="1"/>
        </w:rPr>
        <w:t>，但存在“</w:t>
      </w:r>
      <w:r>
        <w:rPr>
          <w:rFonts w:ascii="宋体" w:hAnsi="宋体" w:eastAsia="宋体" w:cs="宋体"/>
          <w:sz w:val="24"/>
          <w:szCs w:val="24"/>
          <w:woUserID w:val="1"/>
        </w:rPr>
        <w:t>数字化金钱债权说</w:t>
      </w:r>
      <w:r>
        <w:rPr>
          <w:rFonts w:hint="eastAsia" w:ascii="宋体" w:hAnsi="宋体" w:eastAsia="宋体" w:cs="宋体"/>
          <w:sz w:val="24"/>
          <w:szCs w:val="24"/>
          <w:lang w:eastAsia="zh"/>
          <w:woUserID w:val="1"/>
        </w:rPr>
        <w:t>“与“</w:t>
      </w:r>
      <w:r>
        <w:rPr>
          <w:rFonts w:ascii="宋体" w:hAnsi="宋体" w:eastAsia="宋体" w:cs="宋体"/>
          <w:sz w:val="24"/>
          <w:szCs w:val="24"/>
          <w:woUserID w:val="1"/>
        </w:rPr>
        <w:t>物权性权利说</w:t>
      </w:r>
      <w:r>
        <w:rPr>
          <w:rFonts w:hint="eastAsia" w:ascii="宋体" w:hAnsi="宋体" w:eastAsia="宋体" w:cs="宋体"/>
          <w:sz w:val="24"/>
          <w:szCs w:val="24"/>
          <w:lang w:eastAsia="zh"/>
          <w:woUserID w:val="1"/>
        </w:rPr>
        <w:t>”两种较为主流的学说。</w:t>
      </w:r>
    </w:p>
    <w:p w14:paraId="7E6394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
          <w:woUserID w:val="1"/>
        </w:rPr>
      </w:pP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lang w:val="en-US" w:eastAsia="zh-CN"/>
        </w:rPr>
        <w:t>数字化金钱债权</w:t>
      </w:r>
      <w:r>
        <w:rPr>
          <w:rFonts w:hint="eastAsia" w:ascii="Times New Roman" w:hAnsi="Times New Roman" w:eastAsia="宋体" w:cs="宋体"/>
          <w:color w:val="000000"/>
          <w:sz w:val="24"/>
          <w:szCs w:val="24"/>
          <w:lang w:val="en-US" w:eastAsia="zh"/>
          <w:woUserID w:val="1"/>
        </w:rPr>
        <w:t>说</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
          <w:woUserID w:val="1"/>
        </w:rPr>
        <w:t>，对于USDC和HKDR</w:t>
      </w:r>
      <w:r>
        <w:rPr>
          <w:rFonts w:ascii="宋体" w:hAnsi="宋体" w:eastAsia="宋体" w:cs="宋体"/>
          <w:sz w:val="24"/>
          <w:szCs w:val="24"/>
          <w:woUserID w:val="1"/>
        </w:rPr>
        <w:t>这类受规管的法定货币抵押型稳定币，其法律本质更倾向于数字化债权</w:t>
      </w:r>
      <w:r>
        <w:rPr>
          <w:rFonts w:hint="eastAsia" w:ascii="宋体" w:hAnsi="宋体" w:eastAsia="宋体" w:cs="宋体"/>
          <w:sz w:val="24"/>
          <w:szCs w:val="24"/>
          <w:lang w:eastAsia="zh"/>
          <w:woUserID w:val="1"/>
        </w:rPr>
        <w:t>。稳定币持有人</w:t>
      </w:r>
      <w:r>
        <w:rPr>
          <w:rFonts w:hint="eastAsia" w:ascii="Times New Roman" w:hAnsi="Times New Roman" w:eastAsia="宋体" w:cs="宋体"/>
          <w:color w:val="000000"/>
          <w:sz w:val="24"/>
          <w:szCs w:val="24"/>
          <w:lang w:val="en-US" w:eastAsia="zh-CN"/>
          <w:woUserID w:val="1"/>
        </w:rPr>
        <w:t>有权要求发行人按面值兑付储备资产</w:t>
      </w:r>
      <w:r>
        <w:rPr>
          <w:rFonts w:hint="eastAsia" w:ascii="Times New Roman" w:hAnsi="Times New Roman" w:eastAsia="宋体" w:cs="宋体"/>
          <w:color w:val="000000"/>
          <w:sz w:val="24"/>
          <w:szCs w:val="24"/>
          <w:lang w:val="en-US" w:eastAsia="zh"/>
          <w:woUserID w:val="1"/>
        </w:rPr>
        <w:t>，</w:t>
      </w:r>
      <w:r>
        <w:rPr>
          <w:rFonts w:ascii="宋体" w:hAnsi="宋体" w:eastAsia="宋体" w:cs="宋体"/>
          <w:sz w:val="24"/>
          <w:szCs w:val="24"/>
          <w:woUserID w:val="1"/>
        </w:rPr>
        <w:t>强调持有人对发行人的请求权，体现了合同法的相对性与信用锚定</w:t>
      </w:r>
      <w:r>
        <w:rPr>
          <w:rFonts w:hint="eastAsia" w:ascii="宋体" w:hAnsi="宋体" w:eastAsia="宋体" w:cs="宋体"/>
          <w:sz w:val="24"/>
          <w:szCs w:val="24"/>
          <w:lang w:eastAsia="zh"/>
          <w:woUserID w:val="1"/>
        </w:rPr>
        <w:t>；</w:t>
      </w:r>
      <w:r>
        <w:rPr>
          <w:rStyle w:val="17"/>
          <w:rFonts w:hint="eastAsia" w:ascii="Times New Roman" w:hAnsi="Times New Roman" w:eastAsia="宋体" w:cs="宋体"/>
          <w:color w:val="000000"/>
          <w:sz w:val="24"/>
          <w:szCs w:val="24"/>
          <w:lang w:val="en-US" w:eastAsia="zh-CN"/>
          <w:woUserID w:val="1"/>
        </w:rPr>
        <w:footnoteReference w:id="5"/>
      </w:r>
      <w:r>
        <w:rPr>
          <w:rFonts w:hint="eastAsia" w:ascii="宋体" w:hAnsi="宋体" w:eastAsia="宋体" w:cs="宋体"/>
          <w:sz w:val="24"/>
          <w:szCs w:val="24"/>
          <w:lang w:eastAsia="zh"/>
          <w:woUserID w:val="1"/>
        </w:rPr>
        <w:t>对于</w:t>
      </w:r>
      <w:r>
        <w:rPr>
          <w:rFonts w:ascii="宋体" w:hAnsi="宋体" w:eastAsia="宋体" w:cs="宋体"/>
          <w:sz w:val="24"/>
          <w:szCs w:val="24"/>
          <w:woUserID w:val="1"/>
        </w:rPr>
        <w:t>DAI等算法或超额抵押型稳定币，由于缺乏明确的发行主体，传统债权理论难以适用</w:t>
      </w:r>
      <w:r>
        <w:rPr>
          <w:rFonts w:hint="eastAsia" w:ascii="宋体" w:hAnsi="宋体" w:eastAsia="宋体" w:cs="宋体"/>
          <w:sz w:val="24"/>
          <w:szCs w:val="24"/>
          <w:lang w:eastAsia="zh"/>
          <w:woUserID w:val="1"/>
        </w:rPr>
        <w:t>，</w:t>
      </w:r>
      <w:r>
        <w:rPr>
          <w:rFonts w:ascii="宋体" w:hAnsi="宋体" w:eastAsia="宋体" w:cs="宋体"/>
          <w:sz w:val="24"/>
          <w:szCs w:val="24"/>
          <w:woUserID w:val="1"/>
        </w:rPr>
        <w:t>这类稳定币被视为一种具有经济价值的数字化资产</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6"/>
      </w:r>
    </w:p>
    <w:p w14:paraId="4C4155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rPr>
      </w:pPr>
      <w:r>
        <w:rPr>
          <w:rFonts w:hint="eastAsia" w:ascii="宋体" w:hAnsi="宋体" w:eastAsia="宋体" w:cs="宋体"/>
          <w:sz w:val="24"/>
          <w:szCs w:val="24"/>
          <w:lang w:eastAsia="zh"/>
          <w:woUserID w:val="1"/>
        </w:rPr>
        <w:t>“</w:t>
      </w:r>
      <w:r>
        <w:rPr>
          <w:rFonts w:ascii="宋体" w:hAnsi="宋体" w:eastAsia="宋体" w:cs="宋体"/>
          <w:sz w:val="24"/>
          <w:szCs w:val="24"/>
          <w:woUserID w:val="1"/>
        </w:rPr>
        <w:t>物权性权利说</w:t>
      </w: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lang w:val="en-US" w:eastAsia="zh"/>
          <w:woUserID w:val="1"/>
        </w:rPr>
        <w:t>在信托隔离机制下，</w:t>
      </w:r>
      <w:r>
        <w:rPr>
          <w:rFonts w:ascii="宋体" w:hAnsi="宋体" w:eastAsia="宋体" w:cs="宋体"/>
          <w:sz w:val="24"/>
          <w:szCs w:val="24"/>
          <w:woUserID w:val="1"/>
        </w:rPr>
        <w:t>发行人必须将储备资产通过信托方式与自有资产隔离。在发行人破产时，稳定币持有者不作为一般债权人，而是享有优先清偿权，这在实质上赋予了稳定币类似于“取回权”的准物权属性</w:t>
      </w:r>
      <w:r>
        <w:rPr>
          <w:rFonts w:hint="eastAsia" w:ascii="宋体" w:hAnsi="宋体" w:eastAsia="宋体" w:cs="宋体"/>
          <w:sz w:val="24"/>
          <w:szCs w:val="24"/>
          <w:lang w:eastAsia="zh"/>
          <w:woUserID w:val="1"/>
        </w:rPr>
        <w:t>；对于</w:t>
      </w:r>
      <w:r>
        <w:rPr>
          <w:rFonts w:ascii="宋体" w:hAnsi="宋体" w:eastAsia="宋体" w:cs="宋体"/>
          <w:sz w:val="24"/>
          <w:szCs w:val="24"/>
          <w:woUserID w:val="1"/>
        </w:rPr>
        <w:t>DAI等算法或超额抵押型稳定币</w:t>
      </w:r>
      <w:r>
        <w:rPr>
          <w:rFonts w:hint="eastAsia" w:ascii="宋体" w:hAnsi="宋体" w:eastAsia="宋体" w:cs="宋体"/>
          <w:sz w:val="24"/>
          <w:szCs w:val="24"/>
          <w:lang w:eastAsia="zh"/>
          <w:woUserID w:val="1"/>
        </w:rPr>
        <w:t>，</w:t>
      </w:r>
      <w:r>
        <w:rPr>
          <w:rFonts w:ascii="宋体" w:hAnsi="宋体" w:eastAsia="宋体" w:cs="宋体"/>
          <w:sz w:val="24"/>
          <w:szCs w:val="24"/>
          <w:woUserID w:val="1"/>
        </w:rPr>
        <w:t>虽然不是物理意义上的“物”，但因其</w:t>
      </w:r>
      <w:r>
        <w:rPr>
          <w:rFonts w:hint="eastAsia" w:ascii="宋体" w:hAnsi="宋体" w:eastAsia="宋体" w:cs="宋体"/>
          <w:sz w:val="24"/>
          <w:szCs w:val="24"/>
          <w:lang w:eastAsia="zh"/>
          <w:woUserID w:val="1"/>
        </w:rPr>
        <w:t>通过</w:t>
      </w:r>
      <w:r>
        <w:rPr>
          <w:rFonts w:ascii="宋体" w:hAnsi="宋体" w:eastAsia="宋体" w:cs="宋体"/>
          <w:sz w:val="24"/>
          <w:szCs w:val="24"/>
          <w:woUserID w:val="1"/>
        </w:rPr>
        <w:t>私钥控制</w:t>
      </w:r>
      <w:r>
        <w:rPr>
          <w:rFonts w:hint="eastAsia" w:ascii="宋体" w:hAnsi="宋体" w:eastAsia="宋体" w:cs="宋体"/>
          <w:sz w:val="24"/>
          <w:szCs w:val="24"/>
          <w:lang w:eastAsia="zh"/>
          <w:woUserID w:val="1"/>
        </w:rPr>
        <w:t>的</w:t>
      </w:r>
      <w:r>
        <w:rPr>
          <w:rFonts w:ascii="宋体" w:hAnsi="宋体" w:eastAsia="宋体" w:cs="宋体"/>
          <w:sz w:val="24"/>
          <w:szCs w:val="24"/>
          <w:woUserID w:val="1"/>
        </w:rPr>
        <w:t>排他性占有和独立经济价值，被纳入《民法典》中“财产权益”的保护范畴</w:t>
      </w:r>
      <w:r>
        <w:rPr>
          <w:rFonts w:hint="eastAsia" w:ascii="宋体" w:hAnsi="宋体" w:eastAsia="宋体" w:cs="宋体"/>
          <w:sz w:val="24"/>
          <w:szCs w:val="24"/>
          <w:lang w:eastAsia="zh"/>
          <w:woUserID w:val="1"/>
        </w:rPr>
        <w:t>，</w:t>
      </w:r>
      <w:r>
        <w:rPr>
          <w:rFonts w:ascii="宋体" w:hAnsi="宋体" w:eastAsia="宋体" w:cs="宋体"/>
          <w:sz w:val="24"/>
          <w:szCs w:val="24"/>
          <w:woUserID w:val="1"/>
        </w:rPr>
        <w:t>在纠纷处置中，倾向于承认其作为民事法律关系客体的合法性。</w:t>
      </w:r>
      <w:r>
        <w:rPr>
          <w:rStyle w:val="17"/>
          <w:rFonts w:ascii="宋体" w:hAnsi="宋体" w:eastAsia="宋体" w:cs="宋体"/>
          <w:sz w:val="24"/>
          <w:szCs w:val="24"/>
          <w:woUserID w:val="1"/>
        </w:rPr>
        <w:footnoteReference w:id="7"/>
      </w:r>
    </w:p>
    <w:p w14:paraId="5C4F0560">
      <w:pPr>
        <w:pStyle w:val="2"/>
        <w:bidi w:val="0"/>
        <w:ind w:left="0" w:leftChars="0" w:firstLine="0" w:firstLineChars="0"/>
        <w:rPr>
          <w:rFonts w:hint="eastAsia" w:ascii="宋体" w:hAnsi="宋体" w:eastAsia="宋体" w:cs="宋体"/>
          <w:sz w:val="28"/>
          <w:szCs w:val="28"/>
          <w:lang w:val="en-US" w:eastAsia="zh-CN"/>
          <w:woUserID w:val="1"/>
        </w:rPr>
      </w:pPr>
      <w:r>
        <w:rPr>
          <w:rFonts w:hint="eastAsia" w:ascii="Times New Roman" w:hAnsi="Times New Roman" w:eastAsia="宋体" w:cs="宋体"/>
          <w:color w:val="000000"/>
          <w:kern w:val="0"/>
          <w:sz w:val="28"/>
          <w:szCs w:val="28"/>
          <w:lang w:val="en-US" w:eastAsia="zh-CN" w:bidi="ar"/>
          <w:woUserID w:val="1"/>
        </w:rPr>
        <w:t>DeFi生态</w:t>
      </w:r>
      <w:r>
        <w:rPr>
          <w:rFonts w:hint="eastAsia" w:ascii="Times New Roman" w:hAnsi="Times New Roman" w:cs="宋体"/>
          <w:color w:val="000000"/>
          <w:kern w:val="0"/>
          <w:sz w:val="28"/>
          <w:szCs w:val="28"/>
          <w:lang w:val="en-US" w:eastAsia="zh-CN" w:bidi="ar"/>
          <w:woUserID w:val="1"/>
        </w:rPr>
        <w:t>下</w:t>
      </w:r>
      <w:r>
        <w:rPr>
          <w:rFonts w:hint="eastAsia" w:ascii="宋体" w:hAnsi="宋体" w:eastAsia="宋体" w:cs="宋体"/>
          <w:sz w:val="28"/>
          <w:szCs w:val="28"/>
          <w:lang w:val="en-US" w:eastAsia="zh-CN"/>
          <w:woUserID w:val="1"/>
        </w:rPr>
        <w:t>数据主权与</w:t>
      </w:r>
      <w:r>
        <w:rPr>
          <w:rFonts w:hint="eastAsia" w:cs="宋体"/>
          <w:sz w:val="28"/>
          <w:szCs w:val="28"/>
          <w:lang w:val="en-US" w:eastAsia="zh-CN"/>
          <w:woUserID w:val="1"/>
        </w:rPr>
        <w:t>数据</w:t>
      </w:r>
      <w:r>
        <w:rPr>
          <w:rFonts w:hint="eastAsia" w:ascii="宋体" w:hAnsi="宋体" w:eastAsia="宋体" w:cs="宋体"/>
          <w:sz w:val="28"/>
          <w:szCs w:val="28"/>
          <w:lang w:val="en-US" w:eastAsia="zh-CN"/>
          <w:woUserID w:val="1"/>
        </w:rPr>
        <w:t>跨境流动</w:t>
      </w:r>
      <w:r>
        <w:rPr>
          <w:rFonts w:hint="eastAsia" w:cs="宋体"/>
          <w:sz w:val="28"/>
          <w:szCs w:val="28"/>
          <w:lang w:val="en-US" w:eastAsia="zh-CN"/>
          <w:woUserID w:val="1"/>
        </w:rPr>
        <w:t>规范</w:t>
      </w:r>
      <w:r>
        <w:rPr>
          <w:rFonts w:hint="eastAsia" w:ascii="宋体" w:hAnsi="宋体" w:eastAsia="宋体" w:cs="宋体"/>
          <w:sz w:val="28"/>
          <w:szCs w:val="28"/>
          <w:lang w:val="en-US" w:eastAsia="zh-CN"/>
          <w:woUserID w:val="1"/>
        </w:rPr>
        <w:t>的法理冲突</w:t>
      </w:r>
    </w:p>
    <w:p w14:paraId="7BAF5245">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kern w:val="0"/>
          <w:sz w:val="24"/>
          <w:szCs w:val="24"/>
          <w:lang w:val="en-US" w:eastAsia="zh-CN" w:bidi="ar"/>
          <w:woUserID w:val="1"/>
        </w:rPr>
      </w:pPr>
      <w:r>
        <w:rPr>
          <w:rFonts w:hint="eastAsia" w:ascii="Times New Roman" w:hAnsi="Times New Roman" w:eastAsia="宋体" w:cs="宋体"/>
          <w:color w:val="000000"/>
          <w:kern w:val="0"/>
          <w:sz w:val="24"/>
          <w:szCs w:val="24"/>
          <w:lang w:val="en-US" w:eastAsia="zh-CN" w:bidi="ar"/>
          <w:woUserID w:val="1"/>
        </w:rPr>
        <w:t>稳定币在DeFi生态中引发的规制失灵</w:t>
      </w:r>
      <w:r>
        <w:rPr>
          <w:rFonts w:hint="eastAsia" w:ascii="Times New Roman" w:hAnsi="Times New Roman" w:eastAsia="宋体" w:cs="宋体"/>
          <w:color w:val="000000"/>
          <w:kern w:val="0"/>
          <w:sz w:val="24"/>
          <w:szCs w:val="24"/>
          <w:lang w:val="en-US" w:eastAsia="zh" w:bidi="ar"/>
          <w:woUserID w:val="1"/>
        </w:rPr>
        <w:t>，本质上是</w:t>
      </w:r>
      <w:r>
        <w:rPr>
          <w:rFonts w:hint="eastAsia" w:ascii="Times New Roman" w:hAnsi="Times New Roman" w:eastAsia="宋体" w:cs="宋体"/>
          <w:color w:val="000000"/>
          <w:kern w:val="0"/>
          <w:sz w:val="24"/>
          <w:szCs w:val="24"/>
          <w:lang w:val="en-US" w:eastAsia="zh-CN" w:bidi="ar"/>
          <w:woUserID w:val="1"/>
        </w:rPr>
        <w:t>当“无国界”的算法账本遇到“有疆域”的数据主权时，法律如何界定其管辖权边界的问题。</w:t>
      </w:r>
    </w:p>
    <w:p w14:paraId="24B15AA6">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隐私保护与穿透监管的</w:t>
      </w:r>
      <w:r>
        <w:rPr>
          <w:rFonts w:hint="eastAsia" w:ascii="Times New Roman" w:hAnsi="Times New Roman" w:eastAsia="宋体" w:cs="宋体"/>
          <w:color w:val="000000"/>
          <w:sz w:val="24"/>
          <w:szCs w:val="24"/>
          <w:lang w:val="en-US" w:eastAsia="zh-CN"/>
          <w:woUserID w:val="1"/>
        </w:rPr>
        <w:t>张力</w:t>
      </w:r>
    </w:p>
    <w:p w14:paraId="752E9C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z w:val="24"/>
          <w:szCs w:val="24"/>
          <w:lang w:val="en-US" w:eastAsia="zh-CN"/>
          <w:woUserID w:val="1"/>
        </w:rPr>
      </w:pPr>
      <w:r>
        <w:rPr>
          <w:rFonts w:ascii="宋体" w:hAnsi="宋体" w:eastAsia="宋体" w:cs="宋体"/>
          <w:sz w:val="24"/>
          <w:szCs w:val="24"/>
          <w:woUserID w:val="1"/>
        </w:rPr>
        <w:t>区块链技术的底层逻辑与个人信息保护法中的删除权、更正权存在技术排他</w:t>
      </w:r>
      <w:r>
        <w:rPr>
          <w:rFonts w:hint="eastAsia" w:ascii="宋体" w:hAnsi="宋体" w:eastAsia="宋体" w:cs="宋体"/>
          <w:sz w:val="24"/>
          <w:szCs w:val="24"/>
          <w:lang w:val="en-US" w:eastAsia="zh-CN"/>
          <w:woUserID w:val="1"/>
        </w:rPr>
        <w:t>性</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
          <w:woUserID w:val="1"/>
        </w:rPr>
        <w:t>一旦交易上链，即使用户行使法定删除权，链上数据仍可能通过哈希值残留或关联分析被追溯。我国</w:t>
      </w:r>
      <w:r>
        <w:rPr>
          <w:rFonts w:hint="eastAsia" w:ascii="Times New Roman" w:hAnsi="Times New Roman" w:eastAsia="宋体" w:cs="宋体"/>
          <w:color w:val="000000"/>
          <w:sz w:val="24"/>
          <w:szCs w:val="24"/>
          <w:woUserID w:val="1"/>
        </w:rPr>
        <w:t>《个人信息保护法》</w:t>
      </w:r>
      <w:r>
        <w:rPr>
          <w:rFonts w:hint="eastAsia" w:ascii="Times New Roman" w:hAnsi="Times New Roman" w:eastAsia="宋体" w:cs="宋体"/>
          <w:color w:val="000000"/>
          <w:sz w:val="24"/>
          <w:szCs w:val="24"/>
          <w:lang w:eastAsia="zh"/>
          <w:woUserID w:val="1"/>
        </w:rPr>
        <w:t>对“删除权”进行了规定，</w:t>
      </w:r>
      <w:r>
        <w:rPr>
          <w:rStyle w:val="17"/>
          <w:rFonts w:hint="eastAsia" w:ascii="Times New Roman" w:hAnsi="Times New Roman" w:eastAsia="宋体" w:cs="宋体"/>
          <w:color w:val="000000"/>
          <w:sz w:val="24"/>
          <w:szCs w:val="24"/>
          <w:lang w:eastAsia="zh"/>
          <w:woUserID w:val="1"/>
        </w:rPr>
        <w:footnoteReference w:id="8"/>
      </w:r>
      <w:r>
        <w:rPr>
          <w:rFonts w:hint="eastAsia" w:ascii="Times New Roman" w:hAnsi="Times New Roman" w:eastAsia="宋体" w:cs="宋体"/>
          <w:color w:val="000000"/>
          <w:sz w:val="24"/>
          <w:szCs w:val="24"/>
          <w:lang w:eastAsia="zh"/>
          <w:woUserID w:val="1"/>
        </w:rPr>
        <w:t>香港</w:t>
      </w:r>
      <w:r>
        <w:rPr>
          <w:rFonts w:hint="eastAsia" w:ascii="Times New Roman" w:hAnsi="Times New Roman" w:eastAsia="宋体" w:cs="宋体"/>
          <w:color w:val="000000"/>
          <w:sz w:val="24"/>
          <w:szCs w:val="24"/>
          <w:woUserID w:val="1"/>
        </w:rPr>
        <w:t>《个人资料（私隐）条例》（PDPO）</w:t>
      </w:r>
      <w:r>
        <w:rPr>
          <w:rStyle w:val="17"/>
          <w:rFonts w:hint="eastAsia" w:ascii="Times New Roman" w:hAnsi="Times New Roman" w:eastAsia="宋体" w:cs="宋体"/>
          <w:color w:val="000000"/>
          <w:sz w:val="24"/>
          <w:szCs w:val="24"/>
          <w:woUserID w:val="1"/>
        </w:rPr>
        <w:footnoteReference w:id="9"/>
      </w:r>
      <w:r>
        <w:rPr>
          <w:rFonts w:hint="eastAsia" w:ascii="Times New Roman" w:hAnsi="Times New Roman" w:eastAsia="宋体" w:cs="宋体"/>
          <w:color w:val="000000"/>
          <w:sz w:val="24"/>
          <w:szCs w:val="24"/>
          <w:lang w:eastAsia="zh"/>
          <w:woUserID w:val="1"/>
        </w:rPr>
        <w:t>中的“被遗忘权”</w:t>
      </w:r>
      <w:r>
        <w:rPr>
          <w:rStyle w:val="17"/>
          <w:rFonts w:hint="eastAsia" w:ascii="Times New Roman" w:hAnsi="Times New Roman" w:eastAsia="宋体" w:cs="宋体"/>
          <w:color w:val="000000"/>
          <w:sz w:val="24"/>
          <w:szCs w:val="24"/>
          <w:lang w:eastAsia="zh"/>
          <w:woUserID w:val="1"/>
        </w:rPr>
        <w:footnoteReference w:id="10"/>
      </w:r>
      <w:r>
        <w:rPr>
          <w:rFonts w:hint="eastAsia" w:ascii="Times New Roman" w:hAnsi="Times New Roman" w:eastAsia="宋体" w:cs="宋体"/>
          <w:color w:val="000000"/>
          <w:sz w:val="24"/>
          <w:szCs w:val="24"/>
          <w:lang w:eastAsia="zh"/>
          <w:woUserID w:val="1"/>
        </w:rPr>
        <w:t>与“更正权”</w:t>
      </w:r>
      <w:r>
        <w:rPr>
          <w:rStyle w:val="17"/>
          <w:rFonts w:hint="eastAsia" w:ascii="Times New Roman" w:hAnsi="Times New Roman" w:eastAsia="宋体" w:cs="宋体"/>
          <w:color w:val="000000"/>
          <w:sz w:val="24"/>
          <w:szCs w:val="24"/>
          <w:lang w:eastAsia="zh"/>
          <w:woUserID w:val="1"/>
        </w:rPr>
        <w:footnoteReference w:id="11"/>
      </w:r>
      <w:r>
        <w:rPr>
          <w:rFonts w:hint="eastAsia" w:ascii="Times New Roman" w:hAnsi="Times New Roman" w:eastAsia="宋体" w:cs="宋体"/>
          <w:color w:val="000000"/>
          <w:sz w:val="24"/>
          <w:szCs w:val="24"/>
          <w:lang w:eastAsia="zh"/>
          <w:woUserID w:val="1"/>
        </w:rPr>
        <w:t>亦是基于信息保护所做的本土化制度设计，均对与这两种权利预设了资料生命周期管理</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资料控制者持续审查与修正义务。不同于</w:t>
      </w:r>
      <w:r>
        <w:rPr>
          <w:rFonts w:hint="eastAsia" w:ascii="Times New Roman" w:hAnsi="Times New Roman" w:eastAsia="宋体" w:cs="宋体"/>
          <w:color w:val="000000"/>
          <w:sz w:val="24"/>
          <w:szCs w:val="24"/>
          <w:woUserID w:val="1"/>
        </w:rPr>
        <w:t>欧盟《通用数据保护条例》(GDPR)</w:t>
      </w:r>
      <w:r>
        <w:rPr>
          <w:rFonts w:hint="eastAsia" w:ascii="Times New Roman" w:hAnsi="Times New Roman" w:eastAsia="宋体" w:cs="宋体"/>
          <w:color w:val="000000"/>
          <w:sz w:val="24"/>
          <w:szCs w:val="24"/>
          <w:lang w:eastAsia="zh"/>
          <w:woUserID w:val="1"/>
        </w:rPr>
        <w:t>对于</w:t>
      </w:r>
      <w:r>
        <w:rPr>
          <w:rFonts w:hint="eastAsia" w:ascii="Times New Roman" w:hAnsi="Times New Roman" w:eastAsia="宋体" w:cs="宋体"/>
          <w:color w:val="000000"/>
          <w:sz w:val="24"/>
          <w:szCs w:val="24"/>
          <w:woUserID w:val="1"/>
        </w:rPr>
        <w:t>更正权与被遗忘权</w:t>
      </w:r>
      <w:r>
        <w:rPr>
          <w:rFonts w:hint="eastAsia" w:ascii="Times New Roman" w:hAnsi="Times New Roman" w:eastAsia="宋体" w:cs="宋体"/>
          <w:color w:val="000000"/>
          <w:sz w:val="24"/>
          <w:szCs w:val="24"/>
          <w:lang w:eastAsia="zh"/>
          <w:woUserID w:val="1"/>
        </w:rPr>
        <w:t>的规定，国内对于这两项权利的规定更侧重于数据使用者的义务，</w:t>
      </w:r>
      <w:r>
        <w:rPr>
          <w:rFonts w:hint="eastAsia" w:ascii="Times New Roman" w:hAnsi="Times New Roman" w:eastAsia="宋体" w:cs="宋体"/>
          <w:color w:val="000000"/>
          <w:sz w:val="24"/>
          <w:szCs w:val="24"/>
          <w:woUserID w:val="1"/>
        </w:rPr>
        <w:t>而非资料当事人主动</w:t>
      </w:r>
      <w:r>
        <w:rPr>
          <w:rFonts w:hint="eastAsia" w:ascii="Times New Roman" w:hAnsi="Times New Roman" w:eastAsia="宋体" w:cs="宋体"/>
          <w:color w:val="000000"/>
          <w:sz w:val="24"/>
          <w:szCs w:val="24"/>
          <w:lang w:eastAsia="zh"/>
          <w:woUserID w:val="1"/>
        </w:rPr>
        <w:t>的</w:t>
      </w:r>
      <w:r>
        <w:rPr>
          <w:rFonts w:hint="eastAsia" w:ascii="Times New Roman" w:hAnsi="Times New Roman" w:eastAsia="宋体" w:cs="宋体"/>
          <w:color w:val="000000"/>
          <w:sz w:val="24"/>
          <w:szCs w:val="24"/>
          <w:woUserID w:val="1"/>
        </w:rPr>
        <w:t>权利</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但不可否认，</w:t>
      </w:r>
      <w:r>
        <w:rPr>
          <w:rFonts w:hint="eastAsia" w:ascii="Times New Roman" w:hAnsi="Times New Roman" w:eastAsia="宋体" w:cs="宋体"/>
          <w:color w:val="000000"/>
          <w:sz w:val="24"/>
          <w:szCs w:val="24"/>
          <w:lang w:val="en-US" w:eastAsia="zh-CN"/>
          <w:woUserID w:val="1"/>
        </w:rPr>
        <w:t>各国实践</w:t>
      </w:r>
      <w:r>
        <w:rPr>
          <w:rFonts w:hint="eastAsia" w:ascii="Times New Roman" w:hAnsi="Times New Roman" w:eastAsia="宋体" w:cs="宋体"/>
          <w:color w:val="000000"/>
          <w:sz w:val="24"/>
          <w:szCs w:val="24"/>
          <w:lang w:eastAsia="zh"/>
          <w:woUserID w:val="1"/>
        </w:rPr>
        <w:t>均以法律条文的形式，承认了</w:t>
      </w:r>
      <w:r>
        <w:rPr>
          <w:rFonts w:hint="eastAsia" w:ascii="Times New Roman" w:hAnsi="Times New Roman" w:eastAsia="宋体" w:cs="宋体"/>
          <w:color w:val="000000"/>
          <w:sz w:val="24"/>
          <w:szCs w:val="24"/>
          <w:woUserID w:val="1"/>
        </w:rPr>
        <w:t>个人资料</w:t>
      </w:r>
      <w:r>
        <w:rPr>
          <w:rFonts w:hint="eastAsia" w:ascii="Times New Roman" w:hAnsi="Times New Roman" w:eastAsia="宋体" w:cs="宋体"/>
          <w:color w:val="000000"/>
          <w:sz w:val="24"/>
          <w:szCs w:val="24"/>
          <w:lang w:val="en-US" w:eastAsia="zh-CN"/>
          <w:woUserID w:val="1"/>
        </w:rPr>
        <w:t>并</w:t>
      </w:r>
      <w:r>
        <w:rPr>
          <w:rFonts w:hint="eastAsia" w:ascii="Times New Roman" w:hAnsi="Times New Roman" w:eastAsia="宋体" w:cs="宋体"/>
          <w:color w:val="000000"/>
          <w:sz w:val="24"/>
          <w:szCs w:val="24"/>
          <w:woUserID w:val="1"/>
        </w:rPr>
        <w:t>非静态、永久的记录</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val="en-US" w:eastAsia="zh-CN"/>
          <w:woUserID w:val="1"/>
        </w:rPr>
        <w:t>而是</w:t>
      </w:r>
      <w:r>
        <w:rPr>
          <w:rFonts w:hint="eastAsia" w:ascii="Times New Roman" w:hAnsi="Times New Roman" w:eastAsia="宋体" w:cs="宋体"/>
          <w:color w:val="000000"/>
          <w:sz w:val="24"/>
          <w:szCs w:val="24"/>
          <w:woUserID w:val="1"/>
        </w:rPr>
        <w:t>具备时间性与情景性，</w:t>
      </w:r>
      <w:r>
        <w:rPr>
          <w:rFonts w:hint="eastAsia" w:ascii="Times New Roman" w:hAnsi="Times New Roman" w:eastAsia="宋体" w:cs="宋体"/>
          <w:color w:val="000000"/>
          <w:sz w:val="24"/>
          <w:szCs w:val="24"/>
        </w:rPr>
        <w:t>更构成法理上“人格发展自由”的数字延伸。</w:t>
      </w:r>
      <w:r>
        <w:rPr>
          <w:rStyle w:val="17"/>
          <w:rFonts w:hint="eastAsia" w:ascii="Times New Roman" w:hAnsi="Times New Roman" w:eastAsia="宋体" w:cs="宋体"/>
          <w:color w:val="000000"/>
          <w:sz w:val="24"/>
          <w:szCs w:val="24"/>
        </w:rPr>
        <w:footnoteReference w:id="12"/>
      </w:r>
      <w:r>
        <w:rPr>
          <w:rFonts w:hint="eastAsia" w:ascii="Times New Roman" w:hAnsi="Times New Roman" w:eastAsia="宋体" w:cs="宋体"/>
          <w:color w:val="000000"/>
          <w:kern w:val="0"/>
          <w:sz w:val="24"/>
          <w:szCs w:val="24"/>
          <w:lang w:val="en-US" w:eastAsia="zh" w:bidi="ar"/>
          <w:woUserID w:val="1"/>
        </w:rPr>
        <w:t>然而，</w:t>
      </w:r>
      <w:r>
        <w:rPr>
          <w:rFonts w:ascii="宋体" w:hAnsi="宋体" w:eastAsia="宋体" w:cs="宋体"/>
          <w:sz w:val="24"/>
          <w:szCs w:val="24"/>
          <w:woUserID w:val="1"/>
        </w:rPr>
        <w:t>分布式账本</w:t>
      </w:r>
      <w:r>
        <w:rPr>
          <w:rFonts w:hint="eastAsia" w:ascii="Times New Roman" w:hAnsi="Times New Roman" w:eastAsia="宋体" w:cs="宋体"/>
          <w:color w:val="000000"/>
          <w:kern w:val="0"/>
          <w:sz w:val="24"/>
          <w:szCs w:val="24"/>
          <w:lang w:val="en-US" w:eastAsia="zh" w:bidi="ar"/>
          <w:woUserID w:val="1"/>
        </w:rPr>
        <w:t>技术特性与法律要求的冲突在反洗钱监管中尤为突出。《旅行规则》要求金融机构在跨境交易中传递发起方和受益方的身份信息，</w:t>
      </w:r>
      <w:r>
        <w:rPr>
          <w:rStyle w:val="17"/>
          <w:rFonts w:hint="eastAsia" w:ascii="Times New Roman" w:hAnsi="Times New Roman" w:eastAsia="宋体" w:cs="宋体"/>
          <w:color w:val="000000"/>
          <w:kern w:val="0"/>
          <w:sz w:val="24"/>
          <w:szCs w:val="24"/>
          <w:lang w:val="en-US" w:eastAsia="zh-CN" w:bidi="ar"/>
          <w:woUserID w:val="1"/>
        </w:rPr>
        <w:footnoteReference w:id="13"/>
      </w:r>
      <w:r>
        <w:rPr>
          <w:rFonts w:ascii="宋体" w:hAnsi="宋体" w:eastAsia="宋体" w:cs="宋体"/>
          <w:sz w:val="24"/>
          <w:szCs w:val="24"/>
          <w:woUserID w:val="1"/>
        </w:rPr>
        <w:t>通过资金流向追溯遏制洗钱、恐怖融资等违法活动</w:t>
      </w:r>
      <w:r>
        <w:rPr>
          <w:rFonts w:hint="eastAsia" w:ascii="宋体" w:hAnsi="宋体" w:eastAsia="宋体" w:cs="宋体"/>
          <w:sz w:val="24"/>
          <w:szCs w:val="24"/>
          <w:lang w:eastAsia="zh-CN"/>
          <w:woUserID w:val="1"/>
        </w:rPr>
        <w:t>，</w:t>
      </w:r>
      <w:r>
        <w:rPr>
          <w:rFonts w:hint="eastAsia" w:ascii="Times New Roman" w:hAnsi="Times New Roman" w:eastAsia="宋体" w:cs="宋体"/>
          <w:color w:val="000000"/>
          <w:kern w:val="0"/>
          <w:sz w:val="24"/>
          <w:szCs w:val="24"/>
          <w:lang w:val="en-US" w:eastAsia="zh" w:bidi="ar"/>
          <w:woUserID w:val="1"/>
        </w:rPr>
        <w:t>以实现资金流向的可追溯性，</w:t>
      </w:r>
      <w:r>
        <w:rPr>
          <w:rFonts w:hint="eastAsia" w:ascii="Times New Roman" w:hAnsi="Times New Roman" w:eastAsia="宋体" w:cs="宋体"/>
          <w:color w:val="000000"/>
          <w:kern w:val="0"/>
          <w:sz w:val="24"/>
          <w:szCs w:val="24"/>
          <w:lang w:val="en-US" w:eastAsia="zh-CN" w:bidi="ar"/>
          <w:woUserID w:val="1"/>
        </w:rPr>
        <w:t>DeFi</w:t>
      </w:r>
      <w:r>
        <w:rPr>
          <w:rFonts w:hint="eastAsia" w:ascii="Times New Roman" w:hAnsi="Times New Roman" w:eastAsia="宋体" w:cs="宋体"/>
          <w:color w:val="000000"/>
          <w:kern w:val="0"/>
          <w:sz w:val="24"/>
          <w:szCs w:val="24"/>
          <w:lang w:val="en-US" w:eastAsia="zh" w:bidi="ar"/>
          <w:woUserID w:val="1"/>
        </w:rPr>
        <w:t>交易通过智能合约自动执行，缺乏传统金融机构作为“看门人”</w:t>
      </w:r>
      <w:r>
        <w:rPr>
          <w:rFonts w:hint="eastAsia" w:ascii="Times New Roman" w:hAnsi="Times New Roman" w:eastAsia="宋体" w:cs="宋体"/>
          <w:color w:val="000000"/>
          <w:kern w:val="0"/>
          <w:sz w:val="24"/>
          <w:szCs w:val="24"/>
          <w:lang w:val="en-US" w:eastAsia="zh-CN" w:bidi="ar"/>
          <w:woUserID w:val="1"/>
        </w:rPr>
        <w:t>以</w:t>
      </w:r>
      <w:r>
        <w:rPr>
          <w:rFonts w:hint="eastAsia" w:ascii="Times New Roman" w:hAnsi="Times New Roman" w:eastAsia="宋体" w:cs="宋体"/>
          <w:color w:val="000000"/>
          <w:kern w:val="0"/>
          <w:sz w:val="24"/>
          <w:szCs w:val="24"/>
          <w:lang w:val="en-US" w:eastAsia="zh" w:bidi="ar"/>
          <w:woUserID w:val="1"/>
        </w:rPr>
        <w:t>履行</w:t>
      </w:r>
      <w:r>
        <w:rPr>
          <w:rFonts w:hint="eastAsia" w:ascii="Times New Roman" w:hAnsi="Times New Roman" w:eastAsia="宋体" w:cs="宋体"/>
          <w:color w:val="000000"/>
          <w:kern w:val="0"/>
          <w:sz w:val="24"/>
          <w:szCs w:val="24"/>
          <w:lang w:val="en-US" w:eastAsia="zh-CN" w:bidi="ar"/>
          <w:woUserID w:val="1"/>
        </w:rPr>
        <w:t>规范</w:t>
      </w:r>
      <w:r>
        <w:rPr>
          <w:rFonts w:hint="eastAsia" w:ascii="Times New Roman" w:hAnsi="Times New Roman" w:eastAsia="宋体" w:cs="宋体"/>
          <w:color w:val="000000"/>
          <w:kern w:val="0"/>
          <w:sz w:val="24"/>
          <w:szCs w:val="24"/>
          <w:lang w:val="en-US" w:eastAsia="zh" w:bidi="ar"/>
          <w:woUserID w:val="1"/>
        </w:rPr>
        <w:t>义务。</w:t>
      </w:r>
    </w:p>
    <w:p w14:paraId="67CDF9A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 w:bidi="ar"/>
          <w:woUserID w:val="1"/>
        </w:rPr>
        <w:t>随着虚拟资产的兴起与DeFi的发展</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传统监管框架的适用缺口日益凸显。2025年6月18日，FATF全会上正式通过对第16号建议的重大修订，将标题从</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电汇</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改为</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付款或价值转移透明度</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w:t>
      </w:r>
      <w:r>
        <w:rPr>
          <w:rFonts w:hint="eastAsia" w:ascii="Times New Roman" w:hAnsi="Times New Roman" w:eastAsia="宋体" w:cs="宋体"/>
          <w:color w:val="000000"/>
          <w:kern w:val="0"/>
          <w:sz w:val="24"/>
          <w:szCs w:val="24"/>
          <w:lang w:val="en-US" w:eastAsia="zh-CN" w:bidi="ar"/>
          <w:woUserID w:val="1"/>
        </w:rPr>
        <w:t>该规则强制延伸至虚拟资产领域，明确</w:t>
      </w:r>
      <w:r>
        <w:rPr>
          <w:rFonts w:hint="eastAsia" w:ascii="Times New Roman" w:hAnsi="Times New Roman" w:eastAsia="宋体" w:cs="宋体"/>
          <w:color w:val="000000"/>
          <w:kern w:val="0"/>
          <w:sz w:val="24"/>
          <w:szCs w:val="24"/>
          <w:lang w:val="en-US" w:eastAsia="zh" w:bidi="ar"/>
          <w:woUserID w:val="1"/>
        </w:rPr>
        <w:t>支付链责任起止点，发起机构负责将完整身份信息嵌入支付报文，中间机构不得修改信息，接收机构负责核实信息完整性，</w:t>
      </w:r>
      <w:r>
        <w:rPr>
          <w:rStyle w:val="17"/>
          <w:rFonts w:hint="eastAsia" w:ascii="Times New Roman" w:hAnsi="Times New Roman" w:eastAsia="宋体" w:cs="宋体"/>
          <w:color w:val="000000"/>
          <w:kern w:val="0"/>
          <w:sz w:val="24"/>
          <w:szCs w:val="24"/>
          <w:lang w:val="en-US" w:eastAsia="zh" w:bidi="ar"/>
          <w:woUserID w:val="1"/>
        </w:rPr>
        <w:footnoteReference w:id="14"/>
      </w:r>
      <w:r>
        <w:rPr>
          <w:rFonts w:hint="eastAsia" w:ascii="Times New Roman" w:hAnsi="Times New Roman" w:eastAsia="宋体" w:cs="宋体"/>
          <w:color w:val="000000"/>
          <w:kern w:val="0"/>
          <w:sz w:val="24"/>
          <w:szCs w:val="24"/>
          <w:lang w:val="en-US" w:eastAsia="zh-CN" w:bidi="ar"/>
          <w:woUserID w:val="1"/>
        </w:rPr>
        <w:t>进而</w:t>
      </w:r>
      <w:r>
        <w:rPr>
          <w:rFonts w:ascii="宋体" w:hAnsi="宋体" w:eastAsia="宋体" w:cs="宋体"/>
          <w:sz w:val="24"/>
          <w:szCs w:val="24"/>
          <w:woUserID w:val="1"/>
        </w:rPr>
        <w:t>解决了复杂支付链中责任真空问题，为稳定币跨境转移的信息追溯提供了清晰的责任链条</w:t>
      </w:r>
      <w:r>
        <w:rPr>
          <w:rFonts w:hint="eastAsia" w:ascii="Times New Roman" w:hAnsi="Times New Roman" w:eastAsia="宋体" w:cs="宋体"/>
          <w:color w:val="000000"/>
          <w:kern w:val="0"/>
          <w:sz w:val="24"/>
          <w:szCs w:val="24"/>
          <w:lang w:val="en-US" w:eastAsia="zh-CN" w:bidi="ar"/>
        </w:rPr>
        <w:t>。</w:t>
      </w:r>
      <w:r>
        <w:rPr>
          <w:rFonts w:ascii="宋体" w:hAnsi="宋体" w:eastAsia="宋体" w:cs="宋体"/>
          <w:sz w:val="24"/>
          <w:szCs w:val="24"/>
          <w:woUserID w:val="1"/>
        </w:rPr>
        <w:t>但在去中心化场景的技术语境下，</w:t>
      </w:r>
      <w:r>
        <w:rPr>
          <w:rFonts w:hint="eastAsia" w:ascii="宋体" w:hAnsi="宋体" w:eastAsia="宋体" w:cs="宋体"/>
          <w:sz w:val="24"/>
          <w:szCs w:val="24"/>
          <w:lang w:eastAsia="zh"/>
          <w:woUserID w:val="1"/>
        </w:rPr>
        <w:t>该</w:t>
      </w:r>
      <w:r>
        <w:rPr>
          <w:rFonts w:ascii="宋体" w:hAnsi="宋体" w:eastAsia="宋体" w:cs="宋体"/>
          <w:sz w:val="24"/>
          <w:szCs w:val="24"/>
          <w:woUserID w:val="1"/>
        </w:rPr>
        <w:t>监管规则触发</w:t>
      </w:r>
      <w:r>
        <w:rPr>
          <w:rFonts w:hint="eastAsia" w:ascii="宋体" w:hAnsi="宋体" w:eastAsia="宋体" w:cs="宋体"/>
          <w:sz w:val="24"/>
          <w:szCs w:val="24"/>
          <w:lang w:eastAsia="zh"/>
          <w:woUserID w:val="1"/>
        </w:rPr>
        <w:t>了</w:t>
      </w:r>
      <w:r>
        <w:rPr>
          <w:rFonts w:ascii="宋体" w:hAnsi="宋体" w:eastAsia="宋体" w:cs="宋体"/>
          <w:sz w:val="24"/>
          <w:szCs w:val="24"/>
          <w:woUserID w:val="1"/>
        </w:rPr>
        <w:t>尖锐的制度冲突</w:t>
      </w:r>
      <w:r>
        <w:rPr>
          <w:rFonts w:hint="eastAsia" w:ascii="宋体" w:hAnsi="宋体" w:eastAsia="宋体" w:cs="宋体"/>
          <w:sz w:val="24"/>
          <w:szCs w:val="24"/>
          <w:lang w:eastAsia="zh"/>
          <w:woUserID w:val="1"/>
        </w:rPr>
        <w:t>，</w:t>
      </w:r>
      <w:r>
        <w:rPr>
          <w:rFonts w:ascii="宋体" w:hAnsi="宋体" w:eastAsia="宋体" w:cs="宋体"/>
          <w:sz w:val="24"/>
          <w:szCs w:val="24"/>
          <w:woUserID w:val="1"/>
        </w:rPr>
        <w:t>与中心化场景中虚拟资产服务提供商（VASP）可通过链下加密通道传递身份信息不同，去中心化架构缺乏传统意义上的“中心机构”，监管要求</w:t>
      </w:r>
      <w:r>
        <w:rPr>
          <w:rFonts w:hint="eastAsia" w:ascii="宋体" w:hAnsi="宋体" w:eastAsia="宋体" w:cs="宋体"/>
          <w:sz w:val="24"/>
          <w:szCs w:val="24"/>
          <w:woUserID w:val="1"/>
        </w:rPr>
        <w:t>对金额超过1000美元/欧元的点对点跨境</w:t>
      </w:r>
      <w:r>
        <w:rPr>
          <w:rFonts w:hint="eastAsia" w:ascii="宋体" w:hAnsi="宋体" w:eastAsia="宋体" w:cs="宋体"/>
          <w:sz w:val="24"/>
          <w:szCs w:val="24"/>
          <w:lang w:eastAsia="zh"/>
          <w:woUserID w:val="1"/>
        </w:rPr>
        <w:t>交易，支付信息需包含姓名、</w:t>
      </w:r>
      <w:r>
        <w:rPr>
          <w:rFonts w:ascii="宋体" w:hAnsi="宋体" w:eastAsia="宋体" w:cs="宋体"/>
          <w:sz w:val="24"/>
          <w:szCs w:val="24"/>
          <w:woUserID w:val="1"/>
        </w:rPr>
        <w:t>出生日期、完整地址</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15"/>
      </w:r>
      <w:r>
        <w:rPr>
          <w:rFonts w:hint="eastAsia" w:ascii="宋体" w:hAnsi="宋体" w:eastAsia="宋体" w:cs="宋体"/>
          <w:sz w:val="24"/>
          <w:szCs w:val="24"/>
          <w:lang w:eastAsia="zh"/>
          <w:woUserID w:val="1"/>
        </w:rPr>
        <w:t>且</w:t>
      </w:r>
      <w:r>
        <w:rPr>
          <w:rFonts w:ascii="宋体" w:hAnsi="宋体" w:eastAsia="宋体" w:cs="宋体"/>
          <w:sz w:val="24"/>
          <w:szCs w:val="24"/>
          <w:woUserID w:val="1"/>
        </w:rPr>
        <w:t>最终只能通过写入公链的方式实现传递与留存</w:t>
      </w:r>
      <w:r>
        <w:rPr>
          <w:rFonts w:hint="eastAsia" w:ascii="宋体" w:hAnsi="宋体" w:eastAsia="宋体" w:cs="宋体"/>
          <w:sz w:val="24"/>
          <w:szCs w:val="24"/>
          <w:lang w:eastAsia="zh-CN"/>
          <w:woUserID w:val="1"/>
        </w:rPr>
        <w:t>。</w:t>
      </w:r>
      <w:r>
        <w:rPr>
          <w:rFonts w:hint="eastAsia" w:ascii="宋体" w:hAnsi="宋体" w:eastAsia="宋体" w:cs="宋体"/>
          <w:sz w:val="24"/>
          <w:szCs w:val="24"/>
          <w:lang w:val="en-US" w:eastAsia="zh-CN"/>
          <w:woUserID w:val="1"/>
        </w:rPr>
        <w:t>然而，</w:t>
      </w:r>
      <w:r>
        <w:rPr>
          <w:rFonts w:ascii="宋体" w:hAnsi="宋体" w:eastAsia="宋体" w:cs="宋体"/>
          <w:sz w:val="24"/>
          <w:szCs w:val="24"/>
          <w:woUserID w:val="1"/>
        </w:rPr>
        <w:t>公链的算法特性赋予了这些敏感资料永续固化的属性</w:t>
      </w:r>
      <w:r>
        <w:rPr>
          <w:rFonts w:hint="eastAsia" w:ascii="宋体" w:hAnsi="宋体" w:eastAsia="宋体" w:cs="宋体"/>
          <w:sz w:val="24"/>
          <w:szCs w:val="24"/>
          <w:lang w:eastAsia="zh"/>
          <w:woUserID w:val="1"/>
        </w:rPr>
        <w:t>，这些信息</w:t>
      </w:r>
      <w:r>
        <w:rPr>
          <w:rFonts w:hint="eastAsia" w:ascii="Times New Roman" w:hAnsi="Times New Roman" w:eastAsia="宋体" w:cs="宋体"/>
          <w:color w:val="000000"/>
          <w:kern w:val="0"/>
          <w:sz w:val="24"/>
          <w:szCs w:val="24"/>
          <w:lang w:val="en-US" w:eastAsia="zh-CN" w:bidi="ar"/>
        </w:rPr>
        <w:t>便在算法层面获得了永续性，</w:t>
      </w:r>
      <w:r>
        <w:rPr>
          <w:rFonts w:hint="eastAsia" w:ascii="Times New Roman" w:hAnsi="Times New Roman" w:eastAsia="宋体" w:cs="宋体"/>
          <w:color w:val="000000"/>
          <w:kern w:val="0"/>
          <w:sz w:val="24"/>
          <w:szCs w:val="24"/>
          <w:lang w:val="en-US" w:eastAsia="zh" w:bidi="ar"/>
          <w:woUserID w:val="1"/>
        </w:rPr>
        <w:t>直接导致个人信息保护中删除权与更正权的失灵</w:t>
      </w:r>
      <w:r>
        <w:rPr>
          <w:rFonts w:hint="eastAsia" w:ascii="Times New Roman" w:hAnsi="Times New Roman" w:eastAsia="宋体" w:cs="宋体"/>
          <w:color w:val="000000"/>
          <w:kern w:val="0"/>
          <w:sz w:val="24"/>
          <w:szCs w:val="24"/>
          <w:lang w:val="en-US" w:eastAsia="zh-CN" w:bidi="ar"/>
        </w:rPr>
        <w:t>。至此，法律所保障的</w:t>
      </w:r>
      <w:r>
        <w:rPr>
          <w:rFonts w:hint="eastAsia" w:ascii="Times New Roman" w:hAnsi="Times New Roman" w:eastAsia="宋体" w:cs="宋体"/>
          <w:color w:val="000000"/>
          <w:kern w:val="0"/>
          <w:sz w:val="24"/>
          <w:szCs w:val="24"/>
          <w:lang w:val="en-US" w:eastAsia="zh" w:bidi="ar"/>
          <w:woUserID w:val="1"/>
        </w:rPr>
        <w:t>隐私权</w:t>
      </w:r>
      <w:r>
        <w:rPr>
          <w:rFonts w:hint="eastAsia" w:ascii="Times New Roman" w:hAnsi="Times New Roman" w:eastAsia="宋体" w:cs="宋体"/>
          <w:color w:val="000000"/>
          <w:kern w:val="0"/>
          <w:sz w:val="24"/>
          <w:szCs w:val="24"/>
          <w:lang w:val="en-US" w:eastAsia="zh-CN" w:bidi="ar"/>
        </w:rPr>
        <w:t>与技术所强化的历史固化逻辑之间形成了难以调和的对峙</w:t>
      </w:r>
      <w:r>
        <w:rPr>
          <w:rFonts w:hint="eastAsia" w:ascii="Times New Roman" w:hAnsi="Times New Roman" w:eastAsia="宋体" w:cs="宋体"/>
          <w:color w:val="000000"/>
          <w:kern w:val="0"/>
          <w:sz w:val="24"/>
          <w:szCs w:val="24"/>
          <w:lang w:val="en-US" w:eastAsia="zh" w:bidi="ar"/>
          <w:woUserID w:val="1"/>
        </w:rPr>
        <w:t>，</w:t>
      </w:r>
      <w:r>
        <w:rPr>
          <w:rFonts w:hint="eastAsia" w:ascii="Times New Roman" w:hAnsi="Times New Roman" w:eastAsia="宋体" w:cs="宋体"/>
          <w:color w:val="000000"/>
          <w:kern w:val="0"/>
          <w:sz w:val="24"/>
          <w:szCs w:val="24"/>
          <w:lang w:val="en-US" w:eastAsia="zh-CN" w:bidi="ar"/>
        </w:rPr>
        <w:t>监管穿透得越深，</w:t>
      </w:r>
      <w:r>
        <w:rPr>
          <w:rFonts w:ascii="宋体" w:hAnsi="宋体" w:eastAsia="宋体" w:cs="宋体"/>
          <w:sz w:val="24"/>
          <w:szCs w:val="24"/>
          <w:woUserID w:val="1"/>
        </w:rPr>
        <w:t>所需嵌入公链的敏感信息</w:t>
      </w:r>
      <w:r>
        <w:rPr>
          <w:rFonts w:hint="eastAsia" w:ascii="宋体" w:hAnsi="宋体" w:eastAsia="宋体" w:cs="宋体"/>
          <w:sz w:val="24"/>
          <w:szCs w:val="24"/>
          <w:lang w:val="en-US" w:eastAsia="zh-CN"/>
          <w:woUserID w:val="1"/>
        </w:rPr>
        <w:t>则</w:t>
      </w:r>
      <w:r>
        <w:rPr>
          <w:rFonts w:ascii="宋体" w:hAnsi="宋体" w:eastAsia="宋体" w:cs="宋体"/>
          <w:sz w:val="24"/>
          <w:szCs w:val="24"/>
          <w:woUserID w:val="1"/>
        </w:rPr>
        <w:t>越全面</w:t>
      </w:r>
      <w:r>
        <w:rPr>
          <w:rFonts w:hint="eastAsia" w:ascii="宋体" w:hAnsi="宋体" w:eastAsia="宋体" w:cs="宋体"/>
          <w:sz w:val="24"/>
          <w:szCs w:val="24"/>
          <w:lang w:eastAsia="zh"/>
          <w:woUserID w:val="1"/>
        </w:rPr>
        <w:t>，</w:t>
      </w:r>
      <w:r>
        <w:rPr>
          <w:rFonts w:hint="eastAsia" w:ascii="Times New Roman" w:hAnsi="Times New Roman" w:eastAsia="宋体" w:cs="宋体"/>
          <w:color w:val="000000"/>
          <w:kern w:val="0"/>
          <w:sz w:val="24"/>
          <w:szCs w:val="24"/>
          <w:lang w:val="en-US" w:eastAsia="zh-CN" w:bidi="ar"/>
        </w:rPr>
        <w:t>对个体私权边界的侵蚀便越具不可逆性。</w:t>
      </w:r>
    </w:p>
    <w:p w14:paraId="6285494F">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default" w:eastAsiaTheme="minorEastAsia"/>
          <w:lang w:val="en-US" w:eastAsia="zh-CN"/>
        </w:rPr>
      </w:pPr>
      <w:bookmarkStart w:id="3" w:name="_Toc1963750911"/>
      <w:bookmarkStart w:id="4" w:name="_Toc866145192"/>
      <w:r>
        <w:rPr>
          <w:rFonts w:hint="eastAsia" w:ascii="Times New Roman" w:hAnsi="Times New Roman" w:eastAsia="宋体" w:cs="宋体"/>
          <w:color w:val="000000"/>
          <w:sz w:val="24"/>
          <w:szCs w:val="24"/>
          <w:lang w:val="en-US" w:eastAsia="zh-CN"/>
          <w:woUserID w:val="1"/>
        </w:rPr>
        <w:t>跨境流动与属地管辖的现实背离</w:t>
      </w:r>
      <w:bookmarkEnd w:id="3"/>
      <w:bookmarkEnd w:id="4"/>
    </w:p>
    <w:p w14:paraId="3177C2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传统国际私法</w:t>
      </w:r>
      <w:r>
        <w:rPr>
          <w:rFonts w:hint="eastAsia" w:ascii="Times New Roman" w:hAnsi="Times New Roman" w:eastAsia="宋体" w:cs="宋体"/>
          <w:color w:val="000000"/>
          <w:kern w:val="2"/>
          <w:sz w:val="24"/>
          <w:szCs w:val="24"/>
          <w:lang w:val="en-US" w:eastAsia="zh-CN" w:bidi="ar-SA"/>
          <w:woUserID w:val="1"/>
        </w:rPr>
        <w:t>中</w:t>
      </w:r>
      <w:r>
        <w:rPr>
          <w:rFonts w:hint="eastAsia" w:ascii="Times New Roman" w:hAnsi="Times New Roman" w:eastAsia="宋体" w:cs="宋体"/>
          <w:color w:val="000000"/>
          <w:kern w:val="2"/>
          <w:sz w:val="24"/>
          <w:szCs w:val="24"/>
          <w:lang w:val="en-US" w:eastAsia="zh" w:bidi="ar-SA"/>
          <w:woUserID w:val="1"/>
        </w:rPr>
        <w:t>管辖权正当性，根植于</w:t>
      </w:r>
      <w:r>
        <w:rPr>
          <w:rFonts w:hint="eastAsia" w:ascii="Times New Roman" w:hAnsi="Times New Roman" w:eastAsia="宋体" w:cs="宋体"/>
          <w:color w:val="000000"/>
          <w:kern w:val="2"/>
          <w:sz w:val="24"/>
          <w:szCs w:val="24"/>
          <w:lang w:val="en-US" w:eastAsia="zh-CN" w:bidi="ar-SA"/>
          <w:woUserID w:val="1"/>
        </w:rPr>
        <w:t>属地原则</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确立了法律效力对物理空间的绝对依附。稳定币的去中心化</w:t>
      </w:r>
      <w:r>
        <w:rPr>
          <w:rFonts w:hint="eastAsia" w:ascii="Times New Roman" w:hAnsi="Times New Roman" w:eastAsia="宋体" w:cs="宋体"/>
          <w:color w:val="000000"/>
          <w:kern w:val="2"/>
          <w:sz w:val="24"/>
          <w:szCs w:val="24"/>
          <w:lang w:val="en-US" w:eastAsia="zh" w:bidi="ar-SA"/>
          <w:woUserID w:val="1"/>
        </w:rPr>
        <w:t>技术</w:t>
      </w:r>
      <w:r>
        <w:rPr>
          <w:rFonts w:hint="eastAsia" w:ascii="Times New Roman" w:hAnsi="Times New Roman" w:eastAsia="宋体" w:cs="宋体"/>
          <w:color w:val="000000"/>
          <w:kern w:val="2"/>
          <w:sz w:val="24"/>
          <w:szCs w:val="24"/>
          <w:lang w:val="en-US" w:eastAsia="zh-CN" w:bidi="ar-SA"/>
          <w:woUserID w:val="1"/>
        </w:rPr>
        <w:t>架构造成了权力与领土的实质性脱钩</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现有研究虽</w:t>
      </w:r>
      <w:r>
        <w:rPr>
          <w:rFonts w:hint="eastAsia" w:ascii="Times New Roman" w:hAnsi="Times New Roman" w:eastAsia="宋体" w:cs="宋体"/>
          <w:color w:val="000000"/>
          <w:kern w:val="2"/>
          <w:sz w:val="24"/>
          <w:szCs w:val="24"/>
          <w:lang w:val="en-US" w:eastAsia="zh" w:bidi="ar-SA"/>
          <w:woUserID w:val="1"/>
        </w:rPr>
        <w:t>更</w:t>
      </w:r>
      <w:r>
        <w:rPr>
          <w:rFonts w:hint="eastAsia" w:ascii="Times New Roman" w:hAnsi="Times New Roman" w:eastAsia="宋体" w:cs="宋体"/>
          <w:color w:val="000000"/>
          <w:kern w:val="2"/>
          <w:sz w:val="24"/>
          <w:szCs w:val="24"/>
          <w:lang w:val="en-US" w:eastAsia="zh-CN" w:bidi="ar-SA"/>
          <w:woUserID w:val="1"/>
        </w:rPr>
        <w:t>关注稳定币的技术创新和监管挑战，但对其如何从根本上消解传统管辖权理论的深层机制缺乏系统分析。特别是在算法主权兴起的背景下，代码即法律的自治模式正在创造超脱于传统法律边界的数字私有规制空间，这种技术与法律的二元对立亟需深入探讨。</w:t>
      </w:r>
    </w:p>
    <w:p w14:paraId="30F078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1.算法主权对领土边界的消解</w:t>
      </w:r>
    </w:p>
    <w:p w14:paraId="14130F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属地管辖具有两个核心要素：一是对内最高统治权，即国家在其领土内拥有排他性的最高权力；二是领土完整原则，即国界神圣不可侵犯。在国际私法中，属地管辖权以领土为连接点，主张一国对境内发生的民事纠纷具有当然管辖权。</w:t>
      </w:r>
    </w:p>
    <w:p w14:paraId="1DA036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s="宋体"/>
          <w:color w:val="000000"/>
          <w:kern w:val="2"/>
          <w:sz w:val="24"/>
          <w:szCs w:val="24"/>
          <w:lang w:val="en-US" w:eastAsia="zh-CN" w:bidi="ar-SA"/>
          <w:woUserID w:val="1"/>
        </w:rPr>
        <w:t>当数千个节点在全球范围内协同运行一个账本时，基于物理地理边界的管辖权即</w:t>
      </w:r>
      <w:r>
        <w:rPr>
          <w:rFonts w:hint="eastAsia" w:ascii="Times New Roman" w:hAnsi="Times New Roman" w:eastAsia="宋体" w:cs="宋体"/>
          <w:color w:val="000000"/>
          <w:kern w:val="2"/>
          <w:sz w:val="24"/>
          <w:szCs w:val="24"/>
          <w:lang w:val="en-US" w:eastAsia="zh" w:bidi="ar-SA"/>
          <w:woUserID w:val="1"/>
        </w:rPr>
        <w:t>被</w:t>
      </w:r>
      <w:r>
        <w:rPr>
          <w:rFonts w:hint="eastAsia" w:ascii="Times New Roman" w:hAnsi="Times New Roman" w:eastAsia="宋体" w:cs="宋体"/>
          <w:color w:val="000000"/>
          <w:kern w:val="2"/>
          <w:sz w:val="24"/>
          <w:szCs w:val="24"/>
          <w:lang w:val="en-US" w:eastAsia="zh-CN" w:bidi="ar-SA"/>
          <w:woUserID w:val="1"/>
        </w:rPr>
        <w:t>“稀释”。依据‌Ethernodes网站监测‌数据，以太坊</w:t>
      </w:r>
      <w:r>
        <w:rPr>
          <w:rFonts w:hint="eastAsia" w:ascii="Times New Roman" w:hAnsi="Times New Roman" w:eastAsia="宋体" w:cs="宋体"/>
          <w:color w:val="000000"/>
          <w:kern w:val="2"/>
          <w:sz w:val="24"/>
          <w:szCs w:val="24"/>
          <w:lang w:val="en-US" w:eastAsia="zh" w:bidi="ar-SA"/>
          <w:woUserID w:val="1"/>
        </w:rPr>
        <w:t>全节点分布在超过100个国家和地区，且动态变化频繁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vertAlign w:val="superscript"/>
          <w:lang w:val="en-US" w:eastAsia="zh-CN" w:bidi="ar-SA"/>
          <w:woUserID w:val="1"/>
        </w:rPr>
        <w:footnoteReference w:id="16"/>
      </w:r>
      <w:r>
        <w:rPr>
          <w:rFonts w:hint="eastAsia" w:ascii="Times New Roman" w:hAnsi="Times New Roman" w:eastAsia="宋体" w:cs="宋体"/>
          <w:color w:val="000000"/>
          <w:kern w:val="2"/>
          <w:sz w:val="24"/>
          <w:szCs w:val="24"/>
          <w:lang w:val="en-US" w:eastAsia="zh-CN" w:bidi="ar-SA"/>
          <w:woUserID w:val="1"/>
        </w:rPr>
        <w:t>这种全球分布式架构使得任何单一国家都难以对整个网络行使完全管辖权</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关键</w:t>
      </w:r>
      <w:r>
        <w:rPr>
          <w:rFonts w:hint="eastAsia" w:ascii="Times New Roman" w:hAnsi="Times New Roman" w:eastAsia="宋体" w:cs="宋体"/>
          <w:color w:val="000000"/>
          <w:kern w:val="2"/>
          <w:sz w:val="24"/>
          <w:szCs w:val="24"/>
          <w:lang w:val="en-US" w:eastAsia="zh" w:bidi="ar-SA"/>
          <w:woUserID w:val="1"/>
        </w:rPr>
        <w:t>点在于任何一笔稳定币交易一旦上链，便立即同步至所有参与验证的节点，形成不可篡改的共识状态。</w:t>
      </w:r>
      <w:r>
        <w:rPr>
          <w:rStyle w:val="17"/>
          <w:rFonts w:hint="eastAsia" w:ascii="Times New Roman" w:hAnsi="Times New Roman" w:eastAsia="宋体" w:cs="宋体"/>
          <w:color w:val="000000"/>
          <w:kern w:val="2"/>
          <w:sz w:val="24"/>
          <w:szCs w:val="24"/>
          <w:lang w:val="en-US" w:eastAsia="zh" w:bidi="ar-SA"/>
          <w:woUserID w:val="1"/>
        </w:rPr>
        <w:footnoteReference w:id="17"/>
      </w:r>
      <w:r>
        <w:rPr>
          <w:rFonts w:hint="eastAsia" w:ascii="Times New Roman" w:hAnsi="Times New Roman" w:eastAsia="宋体" w:cs="宋体"/>
          <w:color w:val="000000"/>
          <w:kern w:val="2"/>
          <w:sz w:val="24"/>
          <w:szCs w:val="24"/>
          <w:lang w:val="en-US" w:eastAsia="zh" w:bidi="ar-SA"/>
          <w:woUserID w:val="1"/>
        </w:rPr>
        <w:t>这意味着，即便在某一法域成功查封本地运行的节点，也无法删除或修改该交易在全球账本中的记录。</w:t>
      </w:r>
    </w:p>
    <w:p w14:paraId="2FC154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去中心化金融的本质特征是无许可性、抗审查性和地理不可知性，这使得基于领土控制的传统执法手段陷入“执行空心化”的</w:t>
      </w:r>
      <w:r>
        <w:rPr>
          <w:rFonts w:hint="eastAsia" w:ascii="Times New Roman" w:hAnsi="Times New Roman" w:eastAsia="宋体" w:cs="宋体"/>
          <w:color w:val="000000"/>
          <w:kern w:val="2"/>
          <w:sz w:val="24"/>
          <w:szCs w:val="24"/>
          <w:lang w:val="en-US" w:eastAsia="zh-CN" w:bidi="ar-SA"/>
          <w:woUserID w:val="1"/>
        </w:rPr>
        <w:t>泥潭</w:t>
      </w:r>
      <w:r>
        <w:rPr>
          <w:rFonts w:hint="eastAsia" w:ascii="Times New Roman" w:hAnsi="Times New Roman" w:eastAsia="宋体" w:cs="宋体"/>
          <w:color w:val="000000"/>
          <w:kern w:val="2"/>
          <w:sz w:val="24"/>
          <w:szCs w:val="24"/>
          <w:lang w:val="en-US" w:eastAsia="zh" w:bidi="ar-SA"/>
          <w:woUserID w:val="1"/>
        </w:rPr>
        <w:t>。</w:t>
      </w:r>
      <w:r>
        <w:rPr>
          <w:rStyle w:val="17"/>
          <w:rFonts w:hint="eastAsia" w:ascii="Times New Roman" w:hAnsi="Times New Roman" w:eastAsia="宋体" w:cs="宋体"/>
          <w:color w:val="000000"/>
          <w:kern w:val="2"/>
          <w:sz w:val="24"/>
          <w:szCs w:val="24"/>
          <w:lang w:val="en-US" w:eastAsia="zh" w:bidi="ar-SA"/>
          <w:woUserID w:val="1"/>
        </w:rPr>
        <w:footnoteReference w:id="18"/>
      </w:r>
      <w:r>
        <w:rPr>
          <w:rFonts w:hint="eastAsia" w:ascii="Times New Roman" w:hAnsi="Times New Roman" w:eastAsia="宋体" w:cs="宋体"/>
          <w:color w:val="000000"/>
          <w:kern w:val="2"/>
          <w:sz w:val="24"/>
          <w:szCs w:val="24"/>
          <w:lang w:val="en-US" w:eastAsia="zh" w:bidi="ar-SA"/>
          <w:woUserID w:val="1"/>
        </w:rPr>
        <w:t>文章已开始提到的TUSD</w:t>
      </w:r>
      <w:r>
        <w:rPr>
          <w:rFonts w:hint="eastAsia" w:ascii="Times New Roman" w:hAnsi="Times New Roman" w:eastAsia="宋体" w:cs="宋体"/>
          <w:color w:val="000000"/>
          <w:kern w:val="2"/>
          <w:sz w:val="24"/>
          <w:szCs w:val="24"/>
          <w:lang w:val="en-US" w:eastAsia="zh-CN" w:bidi="ar-SA"/>
          <w:woUserID w:val="1"/>
        </w:rPr>
        <w:t xml:space="preserve"> </w:t>
      </w:r>
      <w:r>
        <w:rPr>
          <w:rFonts w:hint="eastAsia" w:ascii="Times New Roman" w:hAnsi="Times New Roman" w:eastAsia="宋体" w:cs="宋体"/>
          <w:color w:val="000000"/>
          <w:kern w:val="2"/>
          <w:sz w:val="24"/>
          <w:szCs w:val="24"/>
          <w:lang w:val="en-US" w:eastAsia="zh" w:bidi="ar-SA"/>
          <w:woUserID w:val="1"/>
        </w:rPr>
        <w:t>4.56 亿美元储备金争夺战，就是是管辖权</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稀释</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的典型案例</w:t>
      </w:r>
      <w:r>
        <w:rPr>
          <w:rFonts w:hint="eastAsia" w:ascii="Times New Roman" w:hAnsi="Times New Roman" w:eastAsia="宋体" w:cs="宋体"/>
          <w:color w:val="000000"/>
          <w:kern w:val="2"/>
          <w:sz w:val="24"/>
          <w:szCs w:val="24"/>
          <w:lang w:val="en-US" w:eastAsia="zh-CN" w:bidi="ar-SA"/>
          <w:woUserID w:val="1"/>
        </w:rPr>
        <w:t>。</w:t>
      </w:r>
      <w:r>
        <w:rPr>
          <w:rStyle w:val="17"/>
          <w:rFonts w:hint="eastAsia" w:ascii="Times New Roman" w:hAnsi="Times New Roman" w:eastAsia="宋体" w:cs="宋体"/>
          <w:color w:val="000000"/>
          <w:kern w:val="2"/>
          <w:sz w:val="24"/>
          <w:szCs w:val="24"/>
          <w:lang w:val="en-US" w:eastAsia="zh-CN" w:bidi="ar-SA"/>
          <w:woUserID w:val="1"/>
        </w:rPr>
        <w:footnoteReference w:id="19"/>
      </w:r>
      <w:r>
        <w:rPr>
          <w:rFonts w:hint="eastAsia" w:ascii="Times New Roman" w:hAnsi="Times New Roman" w:eastAsia="宋体" w:cs="宋体"/>
          <w:color w:val="000000"/>
          <w:kern w:val="2"/>
          <w:sz w:val="24"/>
          <w:szCs w:val="24"/>
          <w:lang w:val="en-US" w:eastAsia="zh-CN" w:bidi="ar-SA"/>
          <w:woUserID w:val="1"/>
        </w:rPr>
        <w:t>香港法院认为其作为主要利益中心，可对欺诈性转移行为行使管辖权；而迪拜国际金融中心法院（DIFC）认定相关行为威胁金融稳定，突破传统信托法框架，直接冻结资产。2025年10月，DIFC法院作出历史性裁决，对被告发布无限期全球资产冻结令</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充分展示了稳定币全球化运营特征与传统属地管辖原则之间存在根本性矛盾</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正如学者所指出的，“互联网服务无视国界的性质侵蚀了传统主权和领土管辖权的概念，地理界限在‘云</w:t>
      </w:r>
      <w:r>
        <w:rPr>
          <w:rFonts w:hint="default"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CN" w:bidi="ar-SA"/>
          <w:woUserID w:val="1"/>
        </w:rPr>
        <w:t>中失去意义”。</w:t>
      </w:r>
      <w:r>
        <w:rPr>
          <w:rStyle w:val="17"/>
          <w:rFonts w:hint="eastAsia" w:ascii="Times New Roman" w:hAnsi="Times New Roman" w:eastAsia="宋体" w:cs="宋体"/>
          <w:color w:val="000000"/>
          <w:kern w:val="2"/>
          <w:sz w:val="24"/>
          <w:szCs w:val="24"/>
          <w:lang w:val="en-US" w:eastAsia="zh-CN" w:bidi="ar-SA"/>
          <w:woUserID w:val="1"/>
        </w:rPr>
        <w:footnoteReference w:id="20"/>
      </w:r>
    </w:p>
    <w:p w14:paraId="43019B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2</w:t>
      </w:r>
      <w:r>
        <w:rPr>
          <w:rFonts w:hint="default"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CN" w:bidi="ar-SA"/>
          <w:woUserID w:val="1"/>
        </w:rPr>
        <w:t>储备资产托管的物理锚定困境</w:t>
      </w:r>
    </w:p>
    <w:p w14:paraId="18EC29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面对稳定币带来的监管挑战，香港通过立法试图将分散的技术事实重新嵌入可问责的法律关系之中。</w:t>
      </w:r>
      <w:r>
        <w:rPr>
          <w:rFonts w:hint="eastAsia" w:ascii="Times New Roman" w:hAnsi="Times New Roman" w:eastAsia="宋体" w:cs="宋体"/>
          <w:color w:val="000000"/>
          <w:kern w:val="2"/>
          <w:sz w:val="24"/>
          <w:szCs w:val="24"/>
          <w:lang w:val="en-US" w:eastAsia="zh-CN" w:bidi="ar-SA"/>
          <w:woUserID w:val="1"/>
        </w:rPr>
        <w:t>金管局明确，信托安排包括指定独立受托人或对储备资产作出信托声明。此外，根据《条例》要求，储备资产必须与发行人自有资产隔离，通过信托安排保护，并由合格托管人保管，还规定了“指定稳定币实体”制度，将虽未在香港特区设立但于本地具有“显著使用量”的发行人纳入监管，赋予了条例的域外管辖效力。这意味着，即使是境外机构发行的稳定币，只要跟港元挂钩或者向香港用户推广，就必须到香港金管局申领牌照，并设立了惩罚措施。</w:t>
      </w:r>
      <w:r>
        <w:rPr>
          <w:rFonts w:hint="eastAsia" w:ascii="Times New Roman" w:hAnsi="Times New Roman" w:eastAsia="宋体" w:cs="宋体"/>
          <w:color w:val="000000"/>
          <w:kern w:val="2"/>
          <w:sz w:val="24"/>
          <w:szCs w:val="24"/>
          <w:lang w:val="en-US" w:eastAsia="zh" w:bidi="ar-SA"/>
          <w:woUserID w:val="1"/>
        </w:rPr>
        <w:t>香港稳定币</w:t>
      </w:r>
      <w:r>
        <w:rPr>
          <w:rFonts w:ascii="宋体" w:hAnsi="宋体" w:eastAsia="宋体" w:cs="宋体"/>
          <w:sz w:val="24"/>
          <w:szCs w:val="24"/>
          <w:woUserID w:val="1"/>
        </w:rPr>
        <w:t>通过信托架构将储备资产从发行人自有财产中剥离，实际上在法律效果上完成了从</w:t>
      </w:r>
      <w:r>
        <w:rPr>
          <w:rFonts w:hint="eastAsia" w:ascii="宋体" w:hAnsi="宋体" w:eastAsia="宋体" w:cs="宋体"/>
          <w:sz w:val="24"/>
          <w:szCs w:val="24"/>
          <w:lang w:eastAsia="zh"/>
          <w:woUserID w:val="1"/>
        </w:rPr>
        <w:t>“</w:t>
      </w:r>
      <w:r>
        <w:rPr>
          <w:rFonts w:ascii="宋体" w:hAnsi="宋体" w:eastAsia="宋体" w:cs="宋体"/>
          <w:sz w:val="24"/>
          <w:szCs w:val="24"/>
          <w:woUserID w:val="1"/>
        </w:rPr>
        <w:t>一般债权请求权</w:t>
      </w:r>
      <w:r>
        <w:rPr>
          <w:rFonts w:hint="eastAsia" w:ascii="宋体" w:hAnsi="宋体" w:eastAsia="宋体" w:cs="宋体"/>
          <w:sz w:val="24"/>
          <w:szCs w:val="24"/>
          <w:lang w:eastAsia="zh"/>
          <w:woUserID w:val="1"/>
        </w:rPr>
        <w:t>“</w:t>
      </w:r>
      <w:r>
        <w:rPr>
          <w:rFonts w:ascii="宋体" w:hAnsi="宋体" w:eastAsia="宋体" w:cs="宋体"/>
          <w:sz w:val="24"/>
          <w:szCs w:val="24"/>
          <w:woUserID w:val="1"/>
        </w:rPr>
        <w:t>向</w:t>
      </w:r>
      <w:r>
        <w:rPr>
          <w:rFonts w:hint="eastAsia" w:ascii="宋体" w:hAnsi="宋体" w:eastAsia="宋体" w:cs="宋体"/>
          <w:sz w:val="24"/>
          <w:szCs w:val="24"/>
          <w:lang w:eastAsia="zh"/>
          <w:woUserID w:val="1"/>
        </w:rPr>
        <w:t>“</w:t>
      </w:r>
      <w:r>
        <w:rPr>
          <w:rFonts w:ascii="宋体" w:hAnsi="宋体" w:eastAsia="宋体" w:cs="宋体"/>
          <w:sz w:val="24"/>
          <w:szCs w:val="24"/>
          <w:woUserID w:val="1"/>
        </w:rPr>
        <w:t>具有排他性优先受偿权</w:t>
      </w:r>
      <w:r>
        <w:rPr>
          <w:rFonts w:hint="eastAsia" w:ascii="宋体" w:hAnsi="宋体" w:eastAsia="宋体" w:cs="宋体"/>
          <w:sz w:val="24"/>
          <w:szCs w:val="24"/>
          <w:lang w:eastAsia="zh"/>
          <w:woUserID w:val="1"/>
        </w:rPr>
        <w:t>”</w:t>
      </w:r>
      <w:r>
        <w:rPr>
          <w:rFonts w:ascii="宋体" w:hAnsi="宋体" w:eastAsia="宋体" w:cs="宋体"/>
          <w:sz w:val="24"/>
          <w:szCs w:val="24"/>
          <w:woUserID w:val="1"/>
        </w:rPr>
        <w:t>的转化。这不仅是对稳定币私法权利属性的法律确证，更是对其作为‘数字支付手段’所必备的价值稳定性提供的底层私法保障。</w:t>
      </w:r>
    </w:p>
    <w:p w14:paraId="7B0CCA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但此类努力本质上是一种“再中心化”修补，</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难以应对纯粹的、跨协议组合型DeFi场景。若一个用户将由Circle公司发行的美元稳定币USDC存入去中心化借贷协议Aave</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获取基于以太坊的代币化存款凭证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aUSDC</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，再</w:t>
      </w:r>
      <w:r>
        <w:rPr>
          <w:rFonts w:hint="eastAsia" w:ascii="Times New Roman" w:hAnsi="Times New Roman" w:eastAsia="宋体" w:cs="宋体"/>
          <w:color w:val="000000"/>
          <w:kern w:val="2"/>
          <w:sz w:val="24"/>
          <w:szCs w:val="24"/>
          <w:lang w:val="en-US" w:eastAsia="zh-CN" w:bidi="ar-SA"/>
          <w:woUserID w:val="1"/>
        </w:rPr>
        <w:t>通过以</w:t>
      </w:r>
      <w:r>
        <w:rPr>
          <w:rFonts w:hint="eastAsia" w:ascii="Times New Roman" w:hAnsi="Times New Roman" w:eastAsia="宋体" w:cs="宋体"/>
          <w:color w:val="000000"/>
          <w:kern w:val="2"/>
          <w:sz w:val="24"/>
          <w:szCs w:val="24"/>
          <w:lang w:val="en-US" w:eastAsia="zh" w:bidi="ar-SA"/>
          <w:woUserID w:val="1"/>
        </w:rPr>
        <w:t>太坊2.0的质押协议</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Lido</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换取流动性质押代币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stETH</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，最后在链上流动性操作系统</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Uniswap</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上创建流动性池，这一系列涉及多个司法辖区与去中心化协议的操作，使得风险敞口已无法归因于任一单一主体。这种复杂的跨协议操作模式在实践中已经引发了多起争议案例。MakerDAO的发展历程尤其能说明问题。面对监管压力，MakerDAO 被迫更名</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Sky</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并探索</w:t>
      </w:r>
      <w:r>
        <w:rPr>
          <w:rFonts w:hint="eastAsia" w:ascii="Times New Roman" w:hAnsi="Times New Roman" w:eastAsia="宋体" w:cs="宋体"/>
          <w:color w:val="000000"/>
          <w:kern w:val="2"/>
          <w:sz w:val="24"/>
          <w:szCs w:val="24"/>
          <w:lang w:val="en-US" w:eastAsia="zh-CN" w:bidi="ar-SA"/>
          <w:woUserID w:val="1"/>
        </w:rPr>
        <w:t>破局</w:t>
      </w:r>
      <w:r>
        <w:rPr>
          <w:rFonts w:hint="eastAsia" w:ascii="Times New Roman" w:hAnsi="Times New Roman" w:eastAsia="宋体" w:cs="宋体"/>
          <w:color w:val="000000"/>
          <w:kern w:val="2"/>
          <w:sz w:val="24"/>
          <w:szCs w:val="24"/>
          <w:lang w:val="en-US" w:eastAsia="zh" w:bidi="ar-SA"/>
          <w:woUserID w:val="1"/>
        </w:rPr>
        <w:t>路径，其加密抵押模式与法币储备要求存在根本性冲突。2025 年的升级中，DAI 将引入类似于中心化稳定币 USDT 和 USDC 的冻结功能，这一改变被社区认为违背了 DeFi 的去中心化初衷。本质而言，这种监管模式试图将离岸、脱域的技术事实强行拉入属地、持牌的法律框架，但在多协议、跨链的动态嵌套下，其管辖效力仍面临深刻困境。这种对象虚无化的现状，构成了数字时代对威斯特伐利亚主权秩序的严峻挑战</w:t>
      </w:r>
      <w:r>
        <w:rPr>
          <w:rFonts w:hint="eastAsia" w:ascii="Times New Roman" w:hAnsi="Times New Roman" w:eastAsia="宋体" w:cs="宋体"/>
          <w:color w:val="000000"/>
          <w:kern w:val="2"/>
          <w:sz w:val="24"/>
          <w:szCs w:val="24"/>
          <w:lang w:val="en-US" w:eastAsia="zh-CN" w:bidi="ar-SA"/>
          <w:woUserID w:val="1"/>
        </w:rPr>
        <w:t>。</w:t>
      </w:r>
    </w:p>
    <w:p w14:paraId="740CFBDC">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3.代码即法律的自治挑战</w:t>
      </w:r>
    </w:p>
    <w:p w14:paraId="6154ED7C">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right="0" w:firstLine="480" w:firstLineChars="200"/>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更深层次的危机在于算法主权对国家公共权力的隐形侵蚀，其</w:t>
      </w:r>
      <w:r>
        <w:rPr>
          <w:rFonts w:hint="eastAsia" w:ascii="Times New Roman" w:hAnsi="Times New Roman" w:eastAsia="宋体" w:cs="宋体"/>
          <w:b w:val="0"/>
          <w:bCs w:val="0"/>
          <w:color w:val="000000"/>
          <w:kern w:val="2"/>
          <w:sz w:val="24"/>
          <w:szCs w:val="24"/>
          <w:lang w:val="en-US" w:eastAsia="zh-CN" w:bidi="ar-SA"/>
          <w:woUserID w:val="1"/>
        </w:rPr>
        <w:t>核心要义在于主权国家对境内数据流转与算法演进的实质控制。</w:t>
      </w:r>
      <w:r>
        <w:rPr>
          <w:rFonts w:hint="eastAsia" w:ascii="Times New Roman" w:hAnsi="Times New Roman" w:eastAsia="宋体" w:cs="宋体"/>
          <w:color w:val="000000"/>
          <w:kern w:val="2"/>
          <w:sz w:val="24"/>
          <w:szCs w:val="24"/>
          <w:lang w:val="en-US" w:eastAsia="zh-CN" w:bidi="ar-SA"/>
          <w:woUserID w:val="1"/>
        </w:rPr>
        <w:t>在由智能合约驱动的稳定币生态中，</w:t>
      </w:r>
      <w:r>
        <w:rPr>
          <w:rFonts w:hint="eastAsia" w:ascii="Times New Roman" w:hAnsi="Times New Roman" w:eastAsia="宋体" w:cs="宋体"/>
          <w:color w:val="000000"/>
          <w:kern w:val="2"/>
          <w:sz w:val="24"/>
          <w:szCs w:val="24"/>
          <w:lang w:val="en-US" w:eastAsia="zh" w:bidi="ar-SA"/>
          <w:woUserID w:val="1"/>
        </w:rPr>
        <w:t>规则不</w:t>
      </w:r>
      <w:r>
        <w:rPr>
          <w:rFonts w:hint="eastAsia" w:ascii="Times New Roman" w:hAnsi="Times New Roman" w:eastAsia="宋体" w:cs="宋体"/>
          <w:color w:val="000000"/>
          <w:kern w:val="2"/>
          <w:sz w:val="24"/>
          <w:szCs w:val="24"/>
          <w:lang w:val="en-US" w:eastAsia="zh-CN" w:bidi="ar-SA"/>
          <w:woUserID w:val="1"/>
        </w:rPr>
        <w:t>再</w:t>
      </w:r>
      <w:r>
        <w:rPr>
          <w:rFonts w:hint="eastAsia" w:ascii="Times New Roman" w:hAnsi="Times New Roman" w:eastAsia="宋体" w:cs="宋体"/>
          <w:color w:val="000000"/>
          <w:kern w:val="2"/>
          <w:sz w:val="24"/>
          <w:szCs w:val="24"/>
          <w:lang w:val="en-US" w:eastAsia="zh" w:bidi="ar-SA"/>
          <w:woUserID w:val="1"/>
        </w:rPr>
        <w:t>以自然语言</w:t>
      </w:r>
      <w:r>
        <w:rPr>
          <w:rFonts w:hint="eastAsia" w:ascii="Times New Roman" w:hAnsi="Times New Roman" w:eastAsia="宋体" w:cs="宋体"/>
          <w:color w:val="000000"/>
          <w:kern w:val="2"/>
          <w:sz w:val="24"/>
          <w:szCs w:val="24"/>
          <w:lang w:val="en-US" w:eastAsia="zh-CN" w:bidi="ar-SA"/>
          <w:woUserID w:val="1"/>
        </w:rPr>
        <w:t>呈现</w:t>
      </w:r>
      <w:r>
        <w:rPr>
          <w:rFonts w:hint="eastAsia" w:ascii="Times New Roman" w:hAnsi="Times New Roman" w:eastAsia="宋体" w:cs="宋体"/>
          <w:color w:val="000000"/>
          <w:kern w:val="2"/>
          <w:sz w:val="24"/>
          <w:szCs w:val="24"/>
          <w:lang w:val="en-US" w:eastAsia="zh" w:bidi="ar-SA"/>
          <w:woUserID w:val="1"/>
        </w:rPr>
        <w:t>，而是编码为可自动执行的程序，</w:t>
      </w:r>
      <w:r>
        <w:rPr>
          <w:rFonts w:hint="eastAsia" w:ascii="Times New Roman" w:hAnsi="Times New Roman" w:eastAsia="宋体" w:cs="宋体"/>
          <w:color w:val="000000"/>
          <w:kern w:val="2"/>
          <w:sz w:val="24"/>
          <w:szCs w:val="24"/>
          <w:lang w:val="en-US" w:eastAsia="zh-CN" w:bidi="ar-SA"/>
          <w:woUserID w:val="1"/>
        </w:rPr>
        <w:t>进而形成一个超脱于传统法律边界的数字私有规制空间。</w:t>
      </w:r>
    </w:p>
    <w:p w14:paraId="5F98C2E7">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right="0" w:firstLine="480" w:firstLineChars="200"/>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这种“代码即法律”的模式创造了一个事实上的自治领域，技术规则取代了法律规则成为行为规范的主要来源。当国家主权权力试图进入该空间执行数据调取、资产冻结或确权指令时，</w:t>
      </w:r>
      <w:r>
        <w:rPr>
          <w:rFonts w:hint="eastAsia" w:ascii="Times New Roman" w:hAnsi="Times New Roman" w:eastAsia="宋体" w:cs="宋体"/>
          <w:color w:val="000000"/>
          <w:kern w:val="2"/>
          <w:sz w:val="24"/>
          <w:szCs w:val="24"/>
          <w:lang w:val="en-US" w:eastAsia="zh" w:bidi="ar-SA"/>
          <w:woUserID w:val="1"/>
        </w:rPr>
        <w:t>面对的是去主体化的代码逻辑而非可责的主体</w:t>
      </w:r>
      <w:r>
        <w:rPr>
          <w:rFonts w:hint="eastAsia" w:ascii="Times New Roman" w:hAnsi="Times New Roman" w:eastAsia="宋体" w:cs="宋体"/>
          <w:color w:val="000000"/>
          <w:kern w:val="2"/>
          <w:sz w:val="24"/>
          <w:szCs w:val="24"/>
          <w:lang w:val="en-US" w:eastAsia="zh-CN" w:bidi="ar-SA"/>
          <w:woUserID w:val="1"/>
        </w:rPr>
        <w:t>。由MakerDAO协议在以太坊区块链上发行的去中心化稳定币</w:t>
      </w:r>
      <w:r>
        <w:rPr>
          <w:rFonts w:hint="eastAsia" w:ascii="Times New Roman" w:hAnsi="Times New Roman" w:eastAsia="宋体" w:cs="宋体"/>
          <w:color w:val="000000"/>
          <w:kern w:val="2"/>
          <w:sz w:val="24"/>
          <w:szCs w:val="24"/>
          <w:lang w:val="en-US" w:eastAsia="zh" w:bidi="ar-SA"/>
          <w:woUserID w:val="1"/>
        </w:rPr>
        <w:t>DAI</w:t>
      </w:r>
      <w:r>
        <w:rPr>
          <w:rFonts w:hint="eastAsia" w:ascii="Times New Roman" w:hAnsi="Times New Roman" w:eastAsia="宋体" w:cs="宋体"/>
          <w:color w:val="000000"/>
          <w:kern w:val="2"/>
          <w:sz w:val="24"/>
          <w:szCs w:val="24"/>
          <w:lang w:val="en-US" w:eastAsia="zh-CN" w:bidi="ar-SA"/>
          <w:woUserID w:val="1"/>
        </w:rPr>
        <w:t>为例，其</w:t>
      </w:r>
      <w:r>
        <w:rPr>
          <w:rFonts w:hint="eastAsia" w:ascii="Times New Roman" w:hAnsi="Times New Roman" w:eastAsia="宋体" w:cs="宋体"/>
          <w:color w:val="000000"/>
          <w:kern w:val="2"/>
          <w:sz w:val="24"/>
          <w:szCs w:val="24"/>
          <w:lang w:val="en-US" w:eastAsia="zh" w:bidi="ar-SA"/>
          <w:woUserID w:val="1"/>
        </w:rPr>
        <w:t>生成、清算与利率调整均由预设算法完成，无需任何人工干预。这种完全自动化的运行模式使得传统的法律监管手段失去了作用对象</w:t>
      </w:r>
      <w:r>
        <w:rPr>
          <w:rFonts w:hint="eastAsia" w:ascii="Times New Roman" w:hAnsi="Times New Roman" w:eastAsia="宋体" w:cs="宋体"/>
          <w:color w:val="000000"/>
          <w:kern w:val="2"/>
          <w:sz w:val="24"/>
          <w:szCs w:val="24"/>
          <w:lang w:val="en-US" w:eastAsia="zh-CN" w:bidi="ar-SA"/>
          <w:woUserID w:val="1"/>
        </w:rPr>
        <w:t>，剥离了主权国家对金融数据流动的话语权，导致了数字时代背景下国家强制力与技术自治力之间的功能性脱钩。这种“算法边界”对“地理边界”的替代，构成了当前香港乃至全球稳定币监管</w:t>
      </w:r>
      <w:r>
        <w:rPr>
          <w:rFonts w:hint="eastAsia" w:ascii="Times New Roman" w:hAnsi="Times New Roman" w:eastAsia="宋体" w:cs="宋体"/>
          <w:color w:val="000000"/>
          <w:kern w:val="2"/>
          <w:sz w:val="24"/>
          <w:szCs w:val="24"/>
          <w:lang w:val="en-US" w:eastAsia="zh" w:bidi="ar-SA"/>
          <w:woUserID w:val="1"/>
        </w:rPr>
        <w:t>的</w:t>
      </w:r>
      <w:r>
        <w:rPr>
          <w:rFonts w:hint="eastAsia" w:ascii="Times New Roman" w:hAnsi="Times New Roman" w:eastAsia="宋体" w:cs="宋体"/>
          <w:color w:val="000000"/>
          <w:kern w:val="2"/>
          <w:sz w:val="24"/>
          <w:szCs w:val="24"/>
          <w:lang w:val="en-US" w:eastAsia="zh-CN" w:bidi="ar-SA"/>
          <w:woUserID w:val="1"/>
        </w:rPr>
        <w:t>核心困境。</w:t>
      </w:r>
    </w:p>
    <w:p w14:paraId="53AF5DFC">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
          <w:woUserID w:val="1"/>
        </w:rPr>
      </w:pPr>
      <w:bookmarkStart w:id="5" w:name="_Toc396025613"/>
      <w:bookmarkStart w:id="6" w:name="_Toc36795061"/>
      <w:r>
        <w:rPr>
          <w:rFonts w:hint="eastAsia" w:ascii="Times New Roman" w:hAnsi="Times New Roman" w:eastAsia="宋体" w:cs="宋体"/>
          <w:color w:val="000000"/>
          <w:sz w:val="24"/>
          <w:szCs w:val="24"/>
          <w:lang w:val="en-US" w:eastAsia="zh"/>
          <w:woUserID w:val="1"/>
        </w:rPr>
        <w:t>长臂管辖与监管套利的秩序博弈</w:t>
      </w:r>
      <w:bookmarkEnd w:id="5"/>
      <w:bookmarkEnd w:id="6"/>
    </w:p>
    <w:p w14:paraId="1B7AF0DF">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在DeFi语境下，稳定币的跨境流动性与底层资产的中心化托管，共同引发数字空间中“长臂管辖权”对国家数据主权的侵蚀，这种博弈不仅体现为单边规制权力的域外扩张，更表现在全球监管碎片化所引致的制度套利。</w:t>
      </w:r>
    </w:p>
    <w:p w14:paraId="2C76824F">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480" w:firstLineChars="200"/>
        <w:textAlignment w:val="auto"/>
        <w:outlineLvl w:val="2"/>
        <w:rPr>
          <w:rFonts w:hint="eastAsia" w:ascii="Times New Roman" w:hAnsi="Times New Roman" w:eastAsia="宋体" w:cs="宋体"/>
          <w:color w:val="000000"/>
          <w:kern w:val="2"/>
          <w:sz w:val="24"/>
          <w:szCs w:val="24"/>
          <w:lang w:val="en-US" w:eastAsia="zh" w:bidi="ar-SA"/>
          <w:woUserID w:val="1"/>
        </w:rPr>
      </w:pPr>
      <w:bookmarkStart w:id="7" w:name="_Toc1298188777"/>
      <w:r>
        <w:rPr>
          <w:rFonts w:hint="eastAsia" w:ascii="Times New Roman" w:hAnsi="Times New Roman" w:eastAsia="宋体" w:cs="宋体"/>
          <w:color w:val="000000"/>
          <w:kern w:val="2"/>
          <w:sz w:val="24"/>
          <w:szCs w:val="24"/>
          <w:lang w:val="en-US" w:eastAsia="zh" w:bidi="ar-SA"/>
          <w:woUserID w:val="1"/>
        </w:rPr>
        <w:t>1.美元稳定币的规制霸权与长臂管辖扩张</w:t>
      </w:r>
      <w:bookmarkEnd w:id="7"/>
    </w:p>
    <w:p w14:paraId="6A3CA1F1">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当前世界主流稳定币USDT、USDC的</w:t>
      </w:r>
      <w:r>
        <w:rPr>
          <w:rFonts w:hint="eastAsia" w:ascii="Times New Roman" w:hAnsi="Times New Roman" w:eastAsia="宋体" w:cs="宋体"/>
          <w:color w:val="000000"/>
          <w:kern w:val="2"/>
          <w:sz w:val="24"/>
          <w:szCs w:val="24"/>
          <w:lang w:val="en-US" w:eastAsia="zh-CN" w:bidi="ar-SA"/>
          <w:woUserID w:val="1"/>
        </w:rPr>
        <w:t>价值锚定、发行赎回、储备验证等关键功能</w:t>
      </w:r>
      <w:r>
        <w:rPr>
          <w:rFonts w:hint="eastAsia" w:ascii="Times New Roman" w:hAnsi="Times New Roman" w:eastAsia="宋体" w:cs="宋体"/>
          <w:color w:val="000000"/>
          <w:kern w:val="2"/>
          <w:sz w:val="24"/>
          <w:szCs w:val="24"/>
          <w:lang w:val="en-US" w:eastAsia="zh" w:bidi="ar-SA"/>
          <w:woUserID w:val="1"/>
        </w:rPr>
        <w:t>高度依赖美元结算体系，这种架构使其内生性地受制于美国《海外反腐败法》及财政部外国资产控制办公室（OFAC）的制裁。</w:t>
      </w:r>
      <w:r>
        <w:rPr>
          <w:rFonts w:hint="eastAsia" w:ascii="Times New Roman" w:hAnsi="Times New Roman" w:eastAsia="宋体" w:cs="宋体"/>
          <w:color w:val="000000"/>
          <w:kern w:val="2"/>
          <w:sz w:val="24"/>
          <w:szCs w:val="24"/>
          <w:lang w:val="en-US" w:eastAsia="zh-CN" w:bidi="ar-SA"/>
          <w:woUserID w:val="1"/>
        </w:rPr>
        <w:t>2025年美国哥伦比亚特区联邦巡回法院在In re Tether Holdings Ltd.</w:t>
      </w:r>
      <w:r>
        <w:rPr>
          <w:rStyle w:val="17"/>
          <w:rFonts w:hint="eastAsia" w:ascii="Times New Roman" w:hAnsi="Times New Roman" w:eastAsia="宋体" w:cs="宋体"/>
          <w:color w:val="000000"/>
          <w:kern w:val="2"/>
          <w:sz w:val="24"/>
          <w:szCs w:val="24"/>
          <w:lang w:val="en-US" w:eastAsia="zh-CN" w:bidi="ar-SA"/>
          <w:woUserID w:val="1"/>
        </w:rPr>
        <w:footnoteReference w:id="21"/>
      </w:r>
      <w:r>
        <w:rPr>
          <w:rFonts w:hint="eastAsia" w:ascii="Times New Roman" w:hAnsi="Times New Roman" w:eastAsia="宋体" w:cs="宋体"/>
          <w:color w:val="000000"/>
          <w:kern w:val="2"/>
          <w:sz w:val="24"/>
          <w:szCs w:val="24"/>
          <w:lang w:val="en-US" w:eastAsia="zh-CN" w:bidi="ar-SA"/>
          <w:woUserID w:val="1"/>
        </w:rPr>
        <w:t>一案中明确，只要稳定币发行方在美设有“实质性业务联系”且储备资产</w:t>
      </w:r>
      <w:r>
        <w:rPr>
          <w:rFonts w:hint="eastAsia" w:ascii="Times New Roman" w:hAnsi="Times New Roman" w:eastAsia="宋体" w:cs="宋体"/>
          <w:color w:val="000000"/>
          <w:kern w:val="2"/>
          <w:sz w:val="24"/>
          <w:szCs w:val="24"/>
          <w:lang w:val="en-US" w:eastAsia="zh" w:bidi="ar-SA"/>
          <w:woUserID w:val="1"/>
        </w:rPr>
        <w:t>存放</w:t>
      </w:r>
      <w:r>
        <w:rPr>
          <w:rFonts w:hint="eastAsia" w:ascii="Times New Roman" w:hAnsi="Times New Roman" w:eastAsia="宋体" w:cs="宋体"/>
          <w:color w:val="000000"/>
          <w:kern w:val="2"/>
          <w:sz w:val="24"/>
          <w:szCs w:val="24"/>
          <w:lang w:val="en-US" w:eastAsia="zh-CN" w:bidi="ar-SA"/>
          <w:woUserID w:val="1"/>
        </w:rPr>
        <w:t>于美国金融机构，则该资产无论在物理层面存放于何处，均构成美国管辖下的财产，可被单边冻结或强制审计。该判决</w:t>
      </w:r>
      <w:r>
        <w:rPr>
          <w:rFonts w:hint="eastAsia" w:ascii="Times New Roman" w:hAnsi="Times New Roman" w:eastAsia="宋体" w:cs="宋体"/>
          <w:color w:val="000000"/>
          <w:kern w:val="2"/>
          <w:sz w:val="24"/>
          <w:szCs w:val="24"/>
          <w:lang w:val="en-US" w:eastAsia="zh" w:bidi="ar-SA"/>
          <w:woUserID w:val="1"/>
        </w:rPr>
        <w:t>为美国监管机构通过“效果原则”行使域外管辖提供了依据</w:t>
      </w:r>
      <w:r>
        <w:rPr>
          <w:rFonts w:hint="eastAsia" w:ascii="Times New Roman" w:hAnsi="Times New Roman" w:eastAsia="宋体" w:cs="宋体"/>
          <w:color w:val="000000"/>
          <w:kern w:val="2"/>
          <w:sz w:val="24"/>
          <w:szCs w:val="24"/>
          <w:lang w:val="en-US" w:eastAsia="zh-CN" w:bidi="ar-SA"/>
          <w:woUserID w:val="1"/>
        </w:rPr>
        <w:t>，此后行为发生在美国境内将不再成为硬性条件，仅需要证明行为效果可实质影响美国金融稳定，即可触发管辖权自动延伸</w:t>
      </w:r>
      <w:r>
        <w:rPr>
          <w:rFonts w:hint="eastAsia" w:ascii="Times New Roman" w:hAnsi="Times New Roman" w:eastAsia="宋体" w:cs="宋体"/>
          <w:color w:val="000000"/>
          <w:kern w:val="2"/>
          <w:sz w:val="24"/>
          <w:szCs w:val="24"/>
          <w:lang w:val="en-US" w:eastAsia="zh" w:bidi="ar-SA"/>
          <w:woUserID w:val="1"/>
        </w:rPr>
        <w:t>。</w:t>
      </w:r>
    </w:p>
    <w:p w14:paraId="664CAA89">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管辖权单边扩张一般通过结算路径</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储备资产</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基础设施穿透</w:t>
      </w:r>
      <w:r>
        <w:rPr>
          <w:rFonts w:hint="eastAsia" w:ascii="Times New Roman" w:hAnsi="Times New Roman" w:eastAsia="宋体" w:cs="宋体"/>
          <w:color w:val="000000"/>
          <w:kern w:val="2"/>
          <w:sz w:val="24"/>
          <w:szCs w:val="24"/>
          <w:lang w:val="en-US" w:eastAsia="zh-CN" w:bidi="ar-SA"/>
          <w:woUserID w:val="1"/>
        </w:rPr>
        <w:t>三</w:t>
      </w:r>
      <w:r>
        <w:rPr>
          <w:rFonts w:hint="eastAsia" w:ascii="Times New Roman" w:hAnsi="Times New Roman" w:eastAsia="宋体" w:cs="宋体"/>
          <w:color w:val="000000"/>
          <w:kern w:val="2"/>
          <w:sz w:val="24"/>
          <w:szCs w:val="24"/>
          <w:lang w:val="en-US" w:eastAsia="zh" w:bidi="ar-SA"/>
          <w:woUserID w:val="1"/>
        </w:rPr>
        <w:t>种</w:t>
      </w:r>
      <w:r>
        <w:rPr>
          <w:rFonts w:hint="eastAsia" w:ascii="Times New Roman" w:hAnsi="Times New Roman" w:eastAsia="宋体" w:cs="宋体"/>
          <w:color w:val="000000"/>
          <w:kern w:val="2"/>
          <w:sz w:val="24"/>
          <w:szCs w:val="24"/>
          <w:lang w:val="en-US" w:eastAsia="zh-CN" w:bidi="ar-SA"/>
          <w:woUserID w:val="1"/>
        </w:rPr>
        <w:t>模式进行</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第一，</w:t>
      </w:r>
      <w:r>
        <w:rPr>
          <w:rFonts w:hint="eastAsia" w:ascii="Times New Roman" w:hAnsi="Times New Roman" w:eastAsia="宋体" w:cs="宋体"/>
          <w:color w:val="000000"/>
          <w:kern w:val="2"/>
          <w:sz w:val="24"/>
          <w:szCs w:val="24"/>
          <w:lang w:val="en-US" w:eastAsia="zh" w:bidi="ar-SA"/>
          <w:woUserID w:val="1"/>
        </w:rPr>
        <w:t>结算路径</w:t>
      </w:r>
      <w:r>
        <w:rPr>
          <w:rFonts w:hint="eastAsia" w:ascii="Times New Roman" w:hAnsi="Times New Roman" w:eastAsia="宋体" w:cs="宋体"/>
          <w:color w:val="000000"/>
          <w:kern w:val="2"/>
          <w:sz w:val="24"/>
          <w:szCs w:val="24"/>
          <w:lang w:val="en-US" w:eastAsia="zh-CN" w:bidi="ar-SA"/>
          <w:woUserID w:val="1"/>
        </w:rPr>
        <w:t>穿透</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即便DeFi交易发生于香港，若涉及USDC等资产支付或经由特定预言机获取汇率，其链上哈希必然关联至受</w:t>
      </w:r>
      <w:r>
        <w:rPr>
          <w:rFonts w:hint="eastAsia" w:ascii="Times New Roman" w:hAnsi="Times New Roman" w:eastAsia="宋体" w:cs="宋体"/>
          <w:color w:val="000000"/>
          <w:kern w:val="2"/>
          <w:sz w:val="24"/>
          <w:szCs w:val="24"/>
          <w:lang w:val="en-US" w:eastAsia="zh" w:bidi="ar-SA"/>
          <w:woUserID w:val="1"/>
        </w:rPr>
        <w:t>美国</w:t>
      </w:r>
      <w:r>
        <w:rPr>
          <w:rFonts w:hint="eastAsia" w:ascii="Times New Roman" w:hAnsi="Times New Roman" w:eastAsia="宋体" w:cs="宋体"/>
          <w:color w:val="000000"/>
          <w:kern w:val="2"/>
          <w:sz w:val="24"/>
          <w:szCs w:val="24"/>
          <w:lang w:val="en-US" w:eastAsia="zh-CN" w:bidi="ar-SA"/>
          <w:woUserID w:val="1"/>
        </w:rPr>
        <w:t>规制主体控制的智能合约地址</w:t>
      </w:r>
      <w:r>
        <w:rPr>
          <w:rFonts w:hint="eastAsia" w:ascii="Times New Roman" w:hAnsi="Times New Roman" w:eastAsia="宋体" w:cs="宋体"/>
          <w:color w:val="000000"/>
          <w:kern w:val="2"/>
          <w:sz w:val="24"/>
          <w:szCs w:val="24"/>
          <w:lang w:val="en-US" w:eastAsia="zh" w:bidi="ar-SA"/>
          <w:woUserID w:val="1"/>
        </w:rPr>
        <w:t>；第二，储备资产穿透，Tether公司2025年Q4财报披露，Tether总储备规模达1929亿美元，其中美国国债持仓1416亿美元，占比超73%，该规模使其跻身全球前20大美国国债持有者行列，超过沙特阿拉伯与德国等主权国家。</w:t>
      </w:r>
      <w:r>
        <w:rPr>
          <w:rStyle w:val="17"/>
          <w:rFonts w:hint="eastAsia" w:ascii="Times New Roman" w:hAnsi="Times New Roman" w:eastAsia="宋体" w:cs="宋体"/>
          <w:color w:val="000000"/>
          <w:kern w:val="2"/>
          <w:sz w:val="24"/>
          <w:szCs w:val="24"/>
          <w:lang w:val="en-US" w:eastAsia="zh" w:bidi="ar-SA"/>
          <w:woUserID w:val="1"/>
        </w:rPr>
        <w:footnoteReference w:id="22"/>
      </w:r>
    </w:p>
    <w:p w14:paraId="5ED6F63D">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0" w:firstLineChars="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美国国债作为美联储贴现窗口的合格抵押品，若托管机构为存款类金融机构，其可将托管的美债作为抵押品申请贴现窗口贷款，这一机制构成美联储货币政策执行的组成部分，</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意味着任何对Tether储备真实性的质疑，均可通过司法途径转化为对美联储货币政策执行有效性的合规性质询；第三，基础设施穿透，USDC生态高度依赖Coinbase Custody作为核心托管方，而Coinbase Custody系经美国纽约州银行法特许设立的“合格托管人”，须按《1940年投资顾问法》第206条向美国证监会实时上传所有客户资产变动记录。香港证券及期货事务监察委员会（SFC）于2025年推动实施虚拟资产服务提供商发牌机制，香港持牌虚拟资产服务提供商若使用USDC结算，需同时满足SEC的托管合规要求与美国财政部外国资产控制办公室（OFAC）的制裁名单筛查义务，</w:t>
      </w:r>
      <w:r>
        <w:rPr>
          <w:rFonts w:hint="eastAsia" w:ascii="Times New Roman" w:hAnsi="Times New Roman" w:eastAsia="宋体" w:cs="宋体"/>
          <w:color w:val="000000"/>
          <w:kern w:val="2"/>
          <w:sz w:val="24"/>
          <w:szCs w:val="24"/>
          <w:lang w:val="en-US" w:eastAsia="zh-CN" w:bidi="ar-SA"/>
          <w:woUserID w:val="1"/>
        </w:rPr>
        <w:t>由此形成的</w:t>
      </w:r>
      <w:r>
        <w:rPr>
          <w:rFonts w:hint="eastAsia" w:ascii="Times New Roman" w:hAnsi="Times New Roman" w:eastAsia="宋体" w:cs="宋体"/>
          <w:color w:val="000000"/>
          <w:kern w:val="2"/>
          <w:sz w:val="24"/>
          <w:szCs w:val="24"/>
          <w:lang w:val="en-US" w:eastAsia="zh" w:bidi="ar-SA"/>
          <w:woUserID w:val="1"/>
        </w:rPr>
        <w:t>跨境双重合规框架导致</w:t>
      </w:r>
      <w:r>
        <w:rPr>
          <w:rFonts w:hint="eastAsia" w:ascii="Times New Roman" w:hAnsi="Times New Roman" w:eastAsia="宋体" w:cs="宋体"/>
          <w:color w:val="000000"/>
          <w:kern w:val="2"/>
          <w:sz w:val="24"/>
          <w:szCs w:val="24"/>
          <w:lang w:val="en-US" w:eastAsia="zh-CN" w:bidi="ar-SA"/>
          <w:woUserID w:val="1"/>
        </w:rPr>
        <w:t>了</w:t>
      </w:r>
      <w:r>
        <w:rPr>
          <w:rFonts w:hint="eastAsia" w:ascii="Times New Roman" w:hAnsi="Times New Roman" w:eastAsia="宋体" w:cs="宋体"/>
          <w:color w:val="000000"/>
          <w:kern w:val="2"/>
          <w:sz w:val="24"/>
          <w:szCs w:val="24"/>
          <w:lang w:val="en-US" w:eastAsia="zh" w:bidi="ar-SA"/>
          <w:woUserID w:val="1"/>
        </w:rPr>
        <w:t>香港本地监管规则的适用效力被部分架空。</w:t>
      </w:r>
      <w:r>
        <w:rPr>
          <w:rFonts w:hint="eastAsia" w:ascii="Times New Roman" w:hAnsi="Times New Roman" w:eastAsia="宋体" w:cs="宋体"/>
          <w:color w:val="000000"/>
          <w:kern w:val="2"/>
          <w:sz w:val="24"/>
          <w:szCs w:val="24"/>
          <w:lang w:val="en-US" w:eastAsia="zh-CN" w:bidi="ar-SA"/>
          <w:woUserID w:val="1"/>
        </w:rPr>
        <w:t>职是之故，此种</w:t>
      </w:r>
      <w:r>
        <w:rPr>
          <w:rFonts w:hint="eastAsia" w:ascii="Times New Roman" w:hAnsi="Times New Roman" w:eastAsia="宋体" w:cs="宋体"/>
          <w:color w:val="000000"/>
          <w:kern w:val="2"/>
          <w:sz w:val="24"/>
          <w:szCs w:val="24"/>
          <w:lang w:val="en-US" w:eastAsia="zh" w:bidi="ar-SA"/>
          <w:woUserID w:val="1"/>
        </w:rPr>
        <w:t>国际法视野下的规制霸权使得香港等新兴金融中心在行使自主规制权时，不得不面临被动兼容外部法域规则的窘境。</w:t>
      </w:r>
    </w:p>
    <w:p w14:paraId="0D9AA1F9">
      <w:pPr>
        <w:pStyle w:val="11"/>
        <w:keepNext w:val="0"/>
        <w:keepLines w:val="0"/>
        <w:pageBreakBefore w:val="0"/>
        <w:widowControl/>
        <w:numPr>
          <w:ilvl w:val="0"/>
          <w:numId w:val="3"/>
        </w:numPr>
        <w:suppressLineNumbers w:val="0"/>
        <w:kinsoku/>
        <w:wordWrap/>
        <w:overflowPunct/>
        <w:topLinePunct w:val="0"/>
        <w:autoSpaceDN/>
        <w:bidi w:val="0"/>
        <w:adjustRightInd/>
        <w:snapToGrid/>
        <w:spacing w:before="0" w:beforeAutospacing="0" w:after="0" w:afterAutospacing="0" w:line="360" w:lineRule="auto"/>
        <w:ind w:left="0" w:leftChars="0" w:right="0" w:rightChars="0" w:firstLine="480" w:firstLineChars="200"/>
        <w:jc w:val="both"/>
        <w:textAlignment w:val="auto"/>
        <w:outlineLvl w:val="2"/>
        <w:rPr>
          <w:rFonts w:hint="eastAsia" w:ascii="Times New Roman" w:hAnsi="Times New Roman" w:eastAsia="宋体" w:cs="宋体"/>
          <w:color w:val="000000"/>
          <w:kern w:val="2"/>
          <w:sz w:val="24"/>
          <w:szCs w:val="24"/>
          <w:lang w:val="en-US" w:eastAsia="zh" w:bidi="ar-SA"/>
          <w:woUserID w:val="1"/>
        </w:rPr>
      </w:pPr>
      <w:bookmarkStart w:id="8" w:name="_Toc1790266620"/>
      <w:r>
        <w:rPr>
          <w:rFonts w:hint="eastAsia" w:ascii="Times New Roman" w:hAnsi="Times New Roman" w:eastAsia="宋体" w:cs="宋体"/>
          <w:color w:val="000000"/>
          <w:kern w:val="2"/>
          <w:sz w:val="24"/>
          <w:szCs w:val="24"/>
          <w:lang w:val="en-US" w:eastAsia="zh" w:bidi="ar-SA"/>
          <w:woUserID w:val="1"/>
        </w:rPr>
        <w:t>碎片化规制下的监管套利与逐底竞争</w:t>
      </w:r>
      <w:bookmarkEnd w:id="8"/>
    </w:p>
    <w:p w14:paraId="6CB7D601">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与规制霸权并行的是全球范围内因认定标准缺失而引发的监管套利博弈。在国际经济法缺乏统一等效性认定标准的背景下，稳定币发行人倾向于利用不同法域间对稳定币定性的差异，将核心数据与算法部署至“数据避风港”</w:t>
      </w:r>
      <w:r>
        <w:rPr>
          <w:rStyle w:val="17"/>
          <w:rFonts w:hint="eastAsia" w:ascii="Times New Roman" w:hAnsi="Times New Roman" w:eastAsia="宋体" w:cs="宋体"/>
          <w:color w:val="000000"/>
          <w:kern w:val="2"/>
          <w:sz w:val="24"/>
          <w:szCs w:val="24"/>
          <w:lang w:val="en-US" w:eastAsia="zh" w:bidi="ar-SA"/>
          <w:woUserID w:val="1"/>
        </w:rPr>
        <w:footnoteReference w:id="23"/>
      </w:r>
      <w:r>
        <w:rPr>
          <w:rFonts w:hint="eastAsia" w:ascii="Times New Roman" w:hAnsi="Times New Roman" w:eastAsia="宋体" w:cs="宋体"/>
          <w:color w:val="000000"/>
          <w:kern w:val="2"/>
          <w:sz w:val="24"/>
          <w:szCs w:val="24"/>
          <w:lang w:val="en-US" w:eastAsia="zh" w:bidi="ar-SA"/>
          <w:woUserID w:val="1"/>
        </w:rPr>
        <w:t>，这种以地理不可知性逃避高标准监管的“逐底竞争”，不仅削弱了主权国家的数据追索与风险处置能力，更在宏观层面加剧了全球数字金融治理的无序感。</w:t>
      </w:r>
    </w:p>
    <w:p w14:paraId="10EEA799">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这种制度性困境的根源在于，传统国际金融治理体系建立在领土主权与机构属地管辖的基础上，而数字金融的“去中心化”特性从根本上解构了物理空间的监管边界。当稳定币的智能合约可编程性允许其绕过国界限制时，主权国家</w:t>
      </w:r>
      <w:r>
        <w:rPr>
          <w:rFonts w:hint="eastAsia" w:ascii="Times New Roman" w:hAnsi="Times New Roman" w:eastAsia="宋体" w:cs="宋体"/>
          <w:color w:val="000000"/>
          <w:kern w:val="2"/>
          <w:sz w:val="24"/>
          <w:szCs w:val="24"/>
          <w:lang w:val="en-US" w:eastAsia="zh-CN" w:bidi="ar-SA"/>
          <w:woUserID w:val="1"/>
        </w:rPr>
        <w:t>诸</w:t>
      </w:r>
      <w:r>
        <w:rPr>
          <w:rFonts w:hint="eastAsia" w:ascii="Times New Roman" w:hAnsi="Times New Roman" w:eastAsia="宋体" w:cs="宋体"/>
          <w:color w:val="000000"/>
          <w:kern w:val="2"/>
          <w:sz w:val="24"/>
          <w:szCs w:val="24"/>
          <w:lang w:val="en-US" w:eastAsia="zh" w:bidi="ar-SA"/>
          <w:woUserID w:val="1"/>
        </w:rPr>
        <w:t>如资本管制、数据本地化</w:t>
      </w:r>
      <w:r>
        <w:rPr>
          <w:rFonts w:hint="eastAsia" w:ascii="Times New Roman" w:hAnsi="Times New Roman" w:eastAsia="宋体" w:cs="宋体"/>
          <w:color w:val="000000"/>
          <w:kern w:val="2"/>
          <w:sz w:val="24"/>
          <w:szCs w:val="24"/>
          <w:lang w:val="en-US" w:eastAsia="zh-CN" w:bidi="ar-SA"/>
          <w:woUserID w:val="1"/>
        </w:rPr>
        <w:t>等</w:t>
      </w:r>
      <w:r>
        <w:rPr>
          <w:rFonts w:hint="eastAsia" w:ascii="Times New Roman" w:hAnsi="Times New Roman" w:eastAsia="宋体" w:cs="宋体"/>
          <w:color w:val="000000"/>
          <w:kern w:val="2"/>
          <w:sz w:val="24"/>
          <w:szCs w:val="24"/>
          <w:lang w:val="en-US" w:eastAsia="zh" w:bidi="ar-SA"/>
          <w:woUserID w:val="1"/>
        </w:rPr>
        <w:t>规制工具在算法空间中</w:t>
      </w:r>
      <w:r>
        <w:rPr>
          <w:rFonts w:hint="eastAsia" w:ascii="Times New Roman" w:hAnsi="Times New Roman" w:eastAsia="宋体" w:cs="宋体"/>
          <w:color w:val="000000"/>
          <w:kern w:val="2"/>
          <w:sz w:val="24"/>
          <w:szCs w:val="24"/>
          <w:lang w:val="en-US" w:eastAsia="zh-CN" w:bidi="ar-SA"/>
          <w:woUserID w:val="1"/>
        </w:rPr>
        <w:t>会</w:t>
      </w:r>
      <w:r>
        <w:rPr>
          <w:rFonts w:hint="eastAsia" w:ascii="Times New Roman" w:hAnsi="Times New Roman" w:eastAsia="宋体" w:cs="宋体"/>
          <w:color w:val="000000"/>
          <w:kern w:val="2"/>
          <w:sz w:val="24"/>
          <w:szCs w:val="24"/>
          <w:lang w:val="en-US" w:eastAsia="zh" w:bidi="ar-SA"/>
          <w:woUserID w:val="1"/>
        </w:rPr>
        <w:t>呈现出显著的效力衰减。当单一主权国家通过技术穿透行使规制霸权，其他金融中心在行使自主规制权时不得不陷入被动兼容的窘境。</w:t>
      </w:r>
      <w:r>
        <w:rPr>
          <w:rStyle w:val="17"/>
          <w:rFonts w:hint="eastAsia" w:ascii="Times New Roman" w:hAnsi="Times New Roman" w:eastAsia="宋体" w:cs="宋体"/>
          <w:color w:val="000000"/>
          <w:kern w:val="2"/>
          <w:sz w:val="24"/>
          <w:szCs w:val="24"/>
          <w:lang w:val="en-US" w:eastAsia="zh" w:bidi="ar-SA"/>
          <w:woUserID w:val="1"/>
        </w:rPr>
        <w:footnoteReference w:id="24"/>
      </w:r>
      <w:r>
        <w:rPr>
          <w:rFonts w:hint="eastAsia" w:ascii="Times New Roman" w:hAnsi="Times New Roman" w:eastAsia="宋体" w:cs="宋体"/>
          <w:color w:val="000000"/>
          <w:kern w:val="2"/>
          <w:sz w:val="24"/>
          <w:szCs w:val="24"/>
          <w:lang w:val="en-US" w:eastAsia="zh" w:bidi="ar-SA"/>
          <w:woUserID w:val="1"/>
        </w:rPr>
        <w:t>这种规制权力的非对称性，不仅阻断了稳定币的全球普惠效能，更迫使各司法区在碎片化的博弈中寻求一种超越单边主义的柔性管辖与协作范式，这</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构成了当前香港等国际金融中心必须面对的制度性挑战。</w:t>
      </w:r>
    </w:p>
    <w:p w14:paraId="6E78ED5B">
      <w:pPr>
        <w:pStyle w:val="2"/>
        <w:bidi w:val="0"/>
        <w:ind w:left="0" w:leftChars="0" w:firstLine="0" w:firstLineChars="0"/>
        <w:rPr>
          <w:rFonts w:hint="eastAsia" w:ascii="Times New Roman" w:hAnsi="Times New Roman" w:eastAsia="宋体" w:cs="宋体"/>
          <w:color w:val="000000"/>
          <w:kern w:val="2"/>
          <w:sz w:val="24"/>
          <w:szCs w:val="24"/>
          <w:lang w:val="en-US" w:eastAsia="zh" w:bidi="ar-SA"/>
          <w:woUserID w:val="1"/>
        </w:rPr>
      </w:pPr>
      <w:bookmarkStart w:id="9" w:name="_Toc1896628198"/>
      <w:bookmarkStart w:id="10" w:name="_Toc1245301050"/>
      <w:r>
        <w:rPr>
          <w:rFonts w:hint="eastAsia" w:ascii="宋体" w:hAnsi="宋体" w:eastAsia="宋体" w:cs="宋体"/>
          <w:sz w:val="28"/>
          <w:szCs w:val="28"/>
          <w:lang w:val="en-US" w:eastAsia="zh"/>
          <w:woUserID w:val="1"/>
        </w:rPr>
        <w:t>香港稳定币监管困境的制度响应</w:t>
      </w:r>
      <w:bookmarkEnd w:id="9"/>
      <w:bookmarkEnd w:id="10"/>
    </w:p>
    <w:p w14:paraId="09AF8DFD">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CN"/>
          <w:woUserID w:val="1"/>
        </w:rPr>
      </w:pPr>
      <w:bookmarkStart w:id="11" w:name="_Toc1110917518"/>
      <w:bookmarkStart w:id="12" w:name="_Toc1242639742"/>
      <w:r>
        <w:rPr>
          <w:rFonts w:hint="eastAsia" w:ascii="Times New Roman" w:hAnsi="Times New Roman" w:eastAsia="宋体" w:cs="宋体"/>
          <w:color w:val="000000"/>
          <w:sz w:val="24"/>
          <w:szCs w:val="24"/>
          <w:lang w:val="en-US" w:eastAsia="zh"/>
          <w:woUserID w:val="1"/>
        </w:rPr>
        <w:t>隐私保护与穿透监管冲突的技术化解</w:t>
      </w:r>
      <w:bookmarkEnd w:id="11"/>
      <w:bookmarkEnd w:id="12"/>
    </w:p>
    <w:p w14:paraId="38936F7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0"/>
          <w:sz w:val="24"/>
          <w:szCs w:val="24"/>
          <w:lang w:val="en-US" w:eastAsia="zh" w:bidi="ar"/>
          <w:woUserID w:val="1"/>
        </w:rPr>
        <w:t>在</w:t>
      </w:r>
      <w:r>
        <w:rPr>
          <w:rFonts w:hint="eastAsia" w:ascii="Times New Roman" w:hAnsi="Times New Roman" w:eastAsia="宋体" w:cs="宋体"/>
          <w:color w:val="000000"/>
          <w:kern w:val="0"/>
          <w:sz w:val="24"/>
          <w:szCs w:val="24"/>
          <w:lang w:val="en-US" w:eastAsia="zh-CN" w:bidi="ar"/>
        </w:rPr>
        <w:t>人格发展自由下的动态</w:t>
      </w:r>
      <w:r>
        <w:rPr>
          <w:rFonts w:hint="eastAsia" w:ascii="Times New Roman" w:hAnsi="Times New Roman" w:eastAsia="宋体" w:cs="宋体"/>
          <w:color w:val="000000"/>
          <w:kern w:val="0"/>
          <w:sz w:val="24"/>
          <w:szCs w:val="24"/>
          <w:lang w:val="en-US" w:eastAsia="zh" w:bidi="ar"/>
          <w:woUserID w:val="1"/>
        </w:rPr>
        <w:t>权利</w:t>
      </w:r>
      <w:r>
        <w:rPr>
          <w:rFonts w:hint="eastAsia" w:ascii="Times New Roman" w:hAnsi="Times New Roman" w:eastAsia="宋体" w:cs="宋体"/>
          <w:color w:val="000000"/>
          <w:kern w:val="0"/>
          <w:sz w:val="24"/>
          <w:szCs w:val="24"/>
          <w:lang w:val="en-US" w:eastAsia="zh-CN" w:bidi="ar"/>
        </w:rPr>
        <w:t>治理与区块链</w:t>
      </w:r>
      <w:r>
        <w:rPr>
          <w:rFonts w:hint="eastAsia" w:ascii="Times New Roman" w:hAnsi="Times New Roman" w:eastAsia="宋体" w:cs="宋体"/>
          <w:color w:val="000000"/>
          <w:kern w:val="0"/>
          <w:sz w:val="24"/>
          <w:szCs w:val="24"/>
          <w:lang w:val="en-US" w:eastAsia="zh" w:bidi="ar"/>
          <w:woUserID w:val="1"/>
        </w:rPr>
        <w:t>技术本身的</w:t>
      </w:r>
      <w:r>
        <w:rPr>
          <w:rFonts w:hint="eastAsia" w:ascii="Times New Roman" w:hAnsi="Times New Roman" w:eastAsia="宋体" w:cs="宋体"/>
          <w:color w:val="000000"/>
          <w:kern w:val="0"/>
          <w:sz w:val="24"/>
          <w:szCs w:val="24"/>
          <w:lang w:val="en-US" w:eastAsia="zh-CN" w:bidi="ar"/>
        </w:rPr>
        <w:t>逻辑</w:t>
      </w:r>
      <w:r>
        <w:rPr>
          <w:rFonts w:hint="eastAsia" w:ascii="Times New Roman" w:hAnsi="Times New Roman" w:eastAsia="宋体" w:cs="宋体"/>
          <w:color w:val="000000"/>
          <w:kern w:val="0"/>
          <w:sz w:val="24"/>
          <w:szCs w:val="24"/>
          <w:lang w:val="en-US" w:eastAsia="zh" w:bidi="ar"/>
          <w:woUserID w:val="1"/>
        </w:rPr>
        <w:t>存在</w:t>
      </w:r>
      <w:r>
        <w:rPr>
          <w:rFonts w:hint="eastAsia" w:ascii="Times New Roman" w:hAnsi="Times New Roman" w:eastAsia="宋体" w:cs="宋体"/>
          <w:color w:val="000000"/>
          <w:kern w:val="0"/>
          <w:sz w:val="24"/>
          <w:szCs w:val="24"/>
          <w:lang w:val="en-US" w:eastAsia="zh-CN" w:bidi="ar"/>
        </w:rPr>
        <w:t>背离，</w:t>
      </w:r>
      <w:r>
        <w:rPr>
          <w:rFonts w:hint="eastAsia" w:ascii="Times New Roman" w:hAnsi="Times New Roman" w:eastAsia="宋体" w:cs="宋体"/>
          <w:color w:val="000000"/>
          <w:kern w:val="0"/>
          <w:sz w:val="24"/>
          <w:szCs w:val="24"/>
          <w:lang w:val="en-US" w:eastAsia="zh" w:bidi="ar"/>
          <w:woUserID w:val="1"/>
        </w:rPr>
        <w:t>香港《条例》并未采取教条式的规范剥离，而是依托技术嵌入与数据解耦的实务路径实现了规制协同。</w:t>
      </w:r>
    </w:p>
    <w:p w14:paraId="29E02181">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kern w:val="2"/>
          <w:sz w:val="24"/>
          <w:szCs w:val="24"/>
          <w:lang w:val="en-US" w:eastAsia="zh" w:bidi="ar-SA"/>
          <w:woUserID w:val="1"/>
        </w:rPr>
      </w:pPr>
      <w:bookmarkStart w:id="13" w:name="_Toc986259229"/>
      <w:r>
        <w:rPr>
          <w:rFonts w:hint="eastAsia" w:ascii="Times New Roman" w:hAnsi="Times New Roman" w:eastAsia="宋体" w:cs="宋体"/>
          <w:color w:val="000000"/>
          <w:kern w:val="2"/>
          <w:sz w:val="24"/>
          <w:szCs w:val="24"/>
          <w:lang w:val="en-US" w:eastAsia="zh" w:bidi="ar-SA"/>
          <w:woUserID w:val="1"/>
        </w:rPr>
        <w:t>为解决区块链网络中各节点共享账户导致隐私数据暴露，以及隐私数据加密导致审计无法追溯的问题，</w:t>
      </w:r>
      <w:bookmarkEnd w:id="13"/>
      <w:r>
        <w:rPr>
          <w:rFonts w:hint="eastAsia" w:ascii="Times New Roman" w:hAnsi="Times New Roman" w:eastAsia="宋体" w:cs="宋体"/>
          <w:color w:val="000000"/>
          <w:kern w:val="2"/>
          <w:sz w:val="24"/>
          <w:szCs w:val="24"/>
          <w:lang w:val="en-US" w:eastAsia="zh-CN" w:bidi="ar-SA"/>
          <w:woUserID w:val="1"/>
        </w:rPr>
        <w:t>金管局</w:t>
      </w:r>
      <w:r>
        <w:rPr>
          <w:rFonts w:hint="eastAsia" w:ascii="Times New Roman" w:hAnsi="Times New Roman" w:eastAsia="宋体" w:cs="宋体"/>
          <w:color w:val="000000"/>
          <w:kern w:val="2"/>
          <w:sz w:val="24"/>
          <w:szCs w:val="24"/>
          <w:lang w:val="en-US" w:eastAsia="zh" w:bidi="ar-SA"/>
          <w:woUserID w:val="1"/>
        </w:rPr>
        <w:t>要求，稳定币沙盒参与者必须在风险可控的有限环境内开展测试，并将用户保护作为核心控制领域。</w:t>
      </w:r>
      <w:r>
        <w:rPr>
          <w:rStyle w:val="17"/>
          <w:rFonts w:hint="eastAsia" w:ascii="Times New Roman" w:hAnsi="Times New Roman" w:eastAsia="宋体" w:cs="宋体"/>
          <w:color w:val="000000"/>
          <w:kern w:val="2"/>
          <w:sz w:val="24"/>
          <w:szCs w:val="24"/>
          <w:lang w:val="en-US" w:eastAsia="zh" w:bidi="ar-SA"/>
          <w:woUserID w:val="1"/>
        </w:rPr>
        <w:footnoteReference w:id="25"/>
      </w:r>
      <w:r>
        <w:rPr>
          <w:rFonts w:hint="eastAsia" w:ascii="Times New Roman" w:hAnsi="Times New Roman" w:eastAsia="宋体" w:cs="宋体"/>
          <w:color w:val="000000"/>
          <w:kern w:val="2"/>
          <w:sz w:val="24"/>
          <w:szCs w:val="24"/>
          <w:lang w:val="en-US" w:eastAsia="zh-CN" w:bidi="ar-SA"/>
          <w:woUserID w:val="1"/>
        </w:rPr>
        <w:t>此外，持牌稳定币发行人监管指引（以下简称</w:t>
      </w:r>
      <w:r>
        <w:rPr>
          <w:rFonts w:hint="eastAsia" w:ascii="Times New Roman" w:hAnsi="Times New Roman" w:eastAsia="宋体" w:cs="宋体"/>
          <w:color w:val="000000"/>
          <w:kern w:val="2"/>
          <w:sz w:val="24"/>
          <w:szCs w:val="24"/>
          <w:lang w:val="en-US" w:eastAsia="zh" w:bidi="ar-SA"/>
          <w:woUserID w:val="1"/>
        </w:rPr>
        <w:t>《指引》</w:t>
      </w:r>
      <w:r>
        <w:rPr>
          <w:rFonts w:hint="eastAsia" w:ascii="Times New Roman" w:hAnsi="Times New Roman" w:eastAsia="宋体" w:cs="宋体"/>
          <w:color w:val="000000"/>
          <w:kern w:val="2"/>
          <w:sz w:val="24"/>
          <w:szCs w:val="24"/>
          <w:lang w:val="en-US" w:eastAsia="zh-CN" w:bidi="ar-SA"/>
          <w:woUserID w:val="1"/>
        </w:rPr>
        <w:t>）还要求</w:t>
      </w:r>
      <w:r>
        <w:rPr>
          <w:rFonts w:hint="eastAsia" w:ascii="Times New Roman" w:hAnsi="Times New Roman" w:eastAsia="宋体" w:cs="宋体"/>
          <w:color w:val="000000"/>
          <w:kern w:val="2"/>
          <w:sz w:val="24"/>
          <w:szCs w:val="24"/>
          <w:lang w:val="en-US" w:eastAsia="zh" w:bidi="ar-SA"/>
          <w:woUserID w:val="1"/>
        </w:rPr>
        <w:t>参与者需遵守</w:t>
      </w:r>
      <w:r>
        <w:rPr>
          <w:rFonts w:hint="eastAsia" w:ascii="Times New Roman" w:hAnsi="Times New Roman" w:eastAsia="宋体" w:cs="宋体"/>
          <w:color w:val="000000"/>
          <w:kern w:val="2"/>
          <w:sz w:val="24"/>
          <w:szCs w:val="24"/>
          <w:lang w:val="en-US" w:eastAsia="zh-CN" w:bidi="ar-SA"/>
          <w:woUserID w:val="1"/>
        </w:rPr>
        <w:t>PDPO</w:t>
      </w:r>
      <w:r>
        <w:rPr>
          <w:rFonts w:hint="eastAsia" w:ascii="Times New Roman" w:hAnsi="Times New Roman" w:eastAsia="宋体" w:cs="宋体"/>
          <w:color w:val="000000"/>
          <w:kern w:val="2"/>
          <w:sz w:val="24"/>
          <w:szCs w:val="24"/>
          <w:lang w:val="en-US" w:eastAsia="zh" w:bidi="ar-SA"/>
          <w:woUserID w:val="1"/>
        </w:rPr>
        <w:t>关于资料删除与更正的要求，并完整记录链上及链下资讯。</w:t>
      </w:r>
      <w:r>
        <w:rPr>
          <w:rStyle w:val="17"/>
          <w:rFonts w:hint="eastAsia" w:ascii="Times New Roman" w:hAnsi="Times New Roman" w:eastAsia="宋体" w:cs="宋体"/>
          <w:color w:val="000000"/>
          <w:kern w:val="2"/>
          <w:sz w:val="24"/>
          <w:szCs w:val="24"/>
          <w:lang w:val="en-US" w:eastAsia="zh" w:bidi="ar-SA"/>
          <w:woUserID w:val="1"/>
        </w:rPr>
        <w:footnoteReference w:id="26"/>
      </w:r>
      <w:r>
        <w:rPr>
          <w:rFonts w:hint="eastAsia" w:ascii="Times New Roman" w:hAnsi="Times New Roman" w:eastAsia="宋体" w:cs="宋体"/>
          <w:color w:val="000000"/>
          <w:kern w:val="2"/>
          <w:sz w:val="24"/>
          <w:szCs w:val="24"/>
          <w:lang w:val="en-US" w:eastAsia="zh" w:bidi="ar-SA"/>
          <w:woUserID w:val="1"/>
        </w:rPr>
        <w:t>这一监管组合形成了明确持牌发行人不得将用户隐私资料直接写入不可篡改的公链底层</w:t>
      </w:r>
      <w:r>
        <w:rPr>
          <w:rFonts w:hint="eastAsia" w:ascii="Times New Roman" w:hAnsi="Times New Roman" w:eastAsia="宋体" w:cs="宋体"/>
          <w:color w:val="000000"/>
          <w:kern w:val="2"/>
          <w:sz w:val="24"/>
          <w:szCs w:val="24"/>
          <w:lang w:val="en-US" w:eastAsia="zh-CN" w:bidi="ar-SA"/>
          <w:woUserID w:val="1"/>
        </w:rPr>
        <w:t>制度</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其</w:t>
      </w:r>
      <w:r>
        <w:rPr>
          <w:rFonts w:hint="eastAsia" w:ascii="Times New Roman" w:hAnsi="Times New Roman" w:eastAsia="宋体" w:cs="宋体"/>
          <w:color w:val="000000"/>
          <w:kern w:val="2"/>
          <w:sz w:val="24"/>
          <w:szCs w:val="24"/>
          <w:lang w:val="en-US" w:eastAsia="zh" w:bidi="ar-SA"/>
          <w:woUserID w:val="1"/>
        </w:rPr>
        <w:t>须通过链上链下解耦技术，将敏感资料存储于可控的离链数据库，以满足资料生命周期管理的法定要求。</w:t>
      </w:r>
    </w:p>
    <w:p w14:paraId="71FF97D6">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针对FATF《旅行规则》引发的永久记忆困境，</w:t>
      </w:r>
      <w:r>
        <w:rPr>
          <w:rFonts w:hint="eastAsia" w:ascii="Times New Roman" w:hAnsi="Times New Roman" w:eastAsia="宋体" w:cs="宋体"/>
          <w:color w:val="000000"/>
          <w:kern w:val="2"/>
          <w:sz w:val="24"/>
          <w:szCs w:val="24"/>
          <w:lang w:val="en-US" w:eastAsia="zh" w:bidi="ar-SA"/>
          <w:woUserID w:val="1"/>
        </w:rPr>
        <w:t>目前有学者构建了基于有向图和零知识的可审计追溯额度区块链隐私保护模型</w:t>
      </w:r>
      <w:r>
        <w:rPr>
          <w:rFonts w:hint="eastAsia" w:ascii="Times New Roman" w:hAnsi="Times New Roman" w:eastAsia="宋体" w:cs="宋体"/>
          <w:color w:val="000000"/>
          <w:kern w:val="2"/>
          <w:sz w:val="24"/>
          <w:szCs w:val="24"/>
          <w:lang w:val="en-US" w:eastAsia="zh-CN" w:bidi="ar-SA"/>
          <w:woUserID w:val="1"/>
        </w:rPr>
        <w:t>，从而</w:t>
      </w:r>
      <w:r>
        <w:rPr>
          <w:rFonts w:hint="eastAsia" w:ascii="Times New Roman" w:hAnsi="Times New Roman" w:eastAsia="宋体" w:cs="宋体"/>
          <w:color w:val="000000"/>
          <w:kern w:val="2"/>
          <w:sz w:val="24"/>
          <w:szCs w:val="24"/>
          <w:lang w:val="en-US" w:eastAsia="zh" w:bidi="ar-SA"/>
          <w:woUserID w:val="1"/>
        </w:rPr>
        <w:t>实现</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10%以内吞吐量为代价，</w:t>
      </w:r>
      <w:r>
        <w:rPr>
          <w:rFonts w:hint="eastAsia" w:ascii="Times New Roman" w:hAnsi="Times New Roman" w:eastAsia="宋体" w:cs="宋体"/>
          <w:color w:val="000000"/>
          <w:kern w:val="2"/>
          <w:sz w:val="24"/>
          <w:szCs w:val="24"/>
          <w:lang w:val="en-US" w:eastAsia="zh-CN" w:bidi="ar-SA"/>
          <w:woUserID w:val="1"/>
        </w:rPr>
        <w:t>在不暴露交易双方明文身份的前提下，向监管接口证明交易的合法性</w:t>
      </w:r>
      <w:r>
        <w:rPr>
          <w:rFonts w:hint="eastAsia" w:ascii="Times New Roman" w:hAnsi="Times New Roman" w:eastAsia="宋体" w:cs="宋体"/>
          <w:color w:val="000000"/>
          <w:kern w:val="2"/>
          <w:sz w:val="24"/>
          <w:szCs w:val="24"/>
          <w:lang w:val="en-US" w:eastAsia="zh" w:bidi="ar-SA"/>
          <w:woUserID w:val="1"/>
        </w:rPr>
        <w:t>并实现完整的审计和可追</w:t>
      </w:r>
      <w:r>
        <w:rPr>
          <w:rFonts w:hint="eastAsia" w:ascii="Times New Roman" w:hAnsi="Times New Roman" w:eastAsia="宋体" w:cs="宋体"/>
          <w:color w:val="000000"/>
          <w:kern w:val="2"/>
          <w:sz w:val="24"/>
          <w:szCs w:val="24"/>
          <w:highlight w:val="none"/>
          <w:lang w:val="en-US" w:eastAsia="zh" w:bidi="ar-SA"/>
          <w:woUserID w:val="1"/>
        </w:rPr>
        <w:t>溯。</w:t>
      </w:r>
      <w:r>
        <w:rPr>
          <w:rStyle w:val="17"/>
          <w:rFonts w:hint="eastAsia" w:ascii="Times New Roman" w:hAnsi="Times New Roman" w:eastAsia="宋体" w:cs="宋体"/>
          <w:color w:val="000000"/>
          <w:kern w:val="2"/>
          <w:sz w:val="24"/>
          <w:szCs w:val="24"/>
          <w:highlight w:val="none"/>
          <w:lang w:val="en-US" w:eastAsia="zh" w:bidi="ar-SA"/>
          <w:woUserID w:val="1"/>
        </w:rPr>
        <w:footnoteReference w:id="27"/>
      </w:r>
      <w:r>
        <w:rPr>
          <w:rFonts w:hint="eastAsia" w:ascii="Times New Roman" w:hAnsi="Times New Roman" w:eastAsia="宋体" w:cs="宋体"/>
          <w:color w:val="000000"/>
          <w:kern w:val="2"/>
          <w:sz w:val="24"/>
          <w:szCs w:val="24"/>
          <w:lang w:val="en-US" w:eastAsia="zh-CN" w:bidi="ar-SA"/>
          <w:woUserID w:val="1"/>
        </w:rPr>
        <w:t>这种路径将全量式穿透转化为触发式穿透，即仅当算法识别到特定风险特征时，监管机构方可调用密钥进行定向穿透。这从实务层面化解了监管权力扩张对私权预期的过度侵蚀，实现了穿透式监管需求与个体隐私预期的逻辑兼容。</w:t>
      </w:r>
    </w:p>
    <w:p w14:paraId="25C28F85">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宋体" w:hAnsi="宋体" w:eastAsia="宋体" w:cs="宋体"/>
          <w:sz w:val="24"/>
          <w:szCs w:val="24"/>
          <w:lang w:eastAsia="zh"/>
          <w:woUserID w:val="1"/>
        </w:rPr>
      </w:pPr>
      <w:bookmarkStart w:id="14" w:name="_Toc1286835759"/>
      <w:bookmarkStart w:id="15" w:name="_Toc1017662284"/>
      <w:r>
        <w:rPr>
          <w:rFonts w:ascii="宋体" w:hAnsi="宋体" w:eastAsia="宋体" w:cs="宋体"/>
          <w:sz w:val="24"/>
          <w:szCs w:val="24"/>
          <w:woUserID w:val="1"/>
        </w:rPr>
        <w:t>香港稳定币规制范式的技术嵌入与物理锚定</w:t>
      </w:r>
      <w:bookmarkEnd w:id="14"/>
      <w:bookmarkEnd w:id="15"/>
    </w:p>
    <w:p w14:paraId="5EC74A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sz w:val="24"/>
          <w:szCs w:val="24"/>
          <w:lang w:eastAsia="zh"/>
          <w:woUserID w:val="1"/>
        </w:rPr>
        <w:t>1.</w:t>
      </w:r>
      <w:r>
        <w:rPr>
          <w:rFonts w:ascii="宋体" w:hAnsi="宋体" w:eastAsia="宋体" w:cs="宋体"/>
          <w:sz w:val="24"/>
          <w:szCs w:val="24"/>
          <w:woUserID w:val="1"/>
        </w:rPr>
        <w:t>监管规则代码化</w:t>
      </w:r>
      <w:r>
        <w:rPr>
          <w:rFonts w:hint="eastAsia" w:ascii="宋体" w:hAnsi="宋体" w:eastAsia="宋体" w:cs="宋体"/>
          <w:sz w:val="24"/>
          <w:szCs w:val="24"/>
          <w:lang w:val="en-US" w:eastAsia="zh-CN"/>
          <w:woUserID w:val="1"/>
        </w:rPr>
        <w:t>以实现</w:t>
      </w:r>
      <w:r>
        <w:rPr>
          <w:rFonts w:ascii="宋体" w:hAnsi="宋体" w:eastAsia="宋体" w:cs="宋体"/>
          <w:sz w:val="24"/>
          <w:szCs w:val="24"/>
          <w:woUserID w:val="1"/>
        </w:rPr>
        <w:t>合规前置</w:t>
      </w:r>
    </w:p>
    <w:p w14:paraId="47C4DCB6">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ascii="宋体" w:hAnsi="宋体" w:eastAsia="宋体" w:cs="宋体"/>
          <w:sz w:val="24"/>
          <w:szCs w:val="24"/>
          <w:woUserID w:val="1"/>
        </w:rPr>
      </w:pPr>
      <w:r>
        <w:rPr>
          <w:rFonts w:hint="eastAsia" w:ascii="Times New Roman" w:hAnsi="Times New Roman" w:eastAsia="宋体" w:cs="宋体"/>
          <w:color w:val="000000"/>
          <w:kern w:val="2"/>
          <w:sz w:val="24"/>
          <w:szCs w:val="24"/>
          <w:lang w:val="en-US" w:eastAsia="zh-CN" w:bidi="ar-SA"/>
          <w:woUserID w:val="1"/>
        </w:rPr>
        <w:t>香港在金融科技创新和监管方面一直走在前沿，在2025年8月发布的</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条例</w:t>
      </w:r>
      <w:r>
        <w:rPr>
          <w:rFonts w:hint="eastAsia" w:ascii="Times New Roman" w:hAnsi="Times New Roman" w:eastAsia="宋体" w:cs="宋体"/>
          <w:color w:val="000000"/>
          <w:kern w:val="2"/>
          <w:sz w:val="24"/>
          <w:szCs w:val="24"/>
          <w:lang w:val="en-US" w:eastAsia="zh" w:bidi="ar-SA"/>
          <w:woUserID w:val="1"/>
        </w:rPr>
        <w:t>》及相关规定</w:t>
      </w:r>
      <w:r>
        <w:rPr>
          <w:rFonts w:hint="eastAsia" w:ascii="Times New Roman" w:hAnsi="Times New Roman" w:eastAsia="宋体" w:cs="宋体"/>
          <w:color w:val="000000"/>
          <w:kern w:val="2"/>
          <w:sz w:val="24"/>
          <w:szCs w:val="24"/>
          <w:lang w:val="en-US" w:eastAsia="zh-CN" w:bidi="ar-SA"/>
          <w:woUserID w:val="1"/>
        </w:rPr>
        <w:t>中展示了“监管规则代码化”</w:t>
      </w:r>
      <w:r>
        <w:rPr>
          <w:rStyle w:val="17"/>
          <w:rFonts w:hint="eastAsia" w:ascii="Times New Roman" w:hAnsi="Times New Roman" w:eastAsia="宋体" w:cs="宋体"/>
          <w:color w:val="000000"/>
          <w:kern w:val="2"/>
          <w:sz w:val="24"/>
          <w:szCs w:val="24"/>
          <w:lang w:val="en-US" w:eastAsia="zh-CN" w:bidi="ar-SA"/>
          <w:woUserID w:val="1"/>
        </w:rPr>
        <w:footnoteReference w:id="28"/>
      </w:r>
      <w:r>
        <w:rPr>
          <w:rFonts w:hint="eastAsia" w:ascii="Times New Roman" w:hAnsi="Times New Roman" w:eastAsia="宋体" w:cs="宋体"/>
          <w:color w:val="000000"/>
          <w:kern w:val="2"/>
          <w:sz w:val="24"/>
          <w:szCs w:val="24"/>
          <w:lang w:val="en-US" w:eastAsia="zh-CN" w:bidi="ar-SA"/>
          <w:woUserID w:val="2"/>
        </w:rPr>
        <w:t>的趋势，</w:t>
      </w:r>
      <w:r>
        <w:rPr>
          <w:rFonts w:hint="eastAsia" w:ascii="Times New Roman" w:hAnsi="Times New Roman" w:eastAsia="宋体" w:cs="宋体"/>
          <w:color w:val="000000"/>
          <w:kern w:val="2"/>
          <w:sz w:val="24"/>
          <w:szCs w:val="24"/>
          <w:lang w:val="en-US" w:eastAsia="zh-CN" w:bidi="ar-SA"/>
          <w:woUserID w:val="1"/>
        </w:rPr>
        <w:t>即</w:t>
      </w:r>
      <w:r>
        <w:rPr>
          <w:rFonts w:hint="eastAsia" w:ascii="Times New Roman" w:hAnsi="Times New Roman" w:eastAsia="宋体" w:cs="宋体"/>
          <w:color w:val="000000"/>
          <w:kern w:val="2"/>
          <w:sz w:val="24"/>
          <w:szCs w:val="24"/>
          <w:lang w:val="en-US" w:eastAsia="zh-CN" w:bidi="ar-SA"/>
          <w:woUserID w:val="2"/>
        </w:rPr>
        <w:t>将法律条文从人类自然语言转译为机器可读、可自动执行的代码</w:t>
      </w:r>
      <w:r>
        <w:rPr>
          <w:rFonts w:hint="eastAsia" w:ascii="Times New Roman" w:hAnsi="Times New Roman" w:eastAsia="宋体" w:cs="宋体"/>
          <w:color w:val="000000"/>
          <w:kern w:val="2"/>
          <w:sz w:val="24"/>
          <w:szCs w:val="24"/>
          <w:lang w:val="en-US" w:eastAsia="zh" w:bidi="ar-SA"/>
          <w:woUserID w:val="1"/>
        </w:rPr>
        <w:t>，其</w:t>
      </w:r>
      <w:r>
        <w:rPr>
          <w:rFonts w:hint="eastAsia" w:ascii="Times New Roman" w:hAnsi="Times New Roman" w:eastAsia="宋体" w:cs="宋体"/>
          <w:color w:val="000000"/>
          <w:kern w:val="2"/>
          <w:sz w:val="24"/>
          <w:szCs w:val="24"/>
          <w:lang w:val="en-US" w:eastAsia="zh-CN" w:bidi="ar-SA"/>
          <w:woUserID w:val="2"/>
        </w:rPr>
        <w:t>本质</w:t>
      </w:r>
      <w:r>
        <w:rPr>
          <w:rFonts w:hint="eastAsia" w:ascii="Times New Roman" w:hAnsi="Times New Roman" w:eastAsia="宋体" w:cs="宋体"/>
          <w:color w:val="000000"/>
          <w:kern w:val="2"/>
          <w:sz w:val="24"/>
          <w:szCs w:val="24"/>
          <w:lang w:val="en-US" w:eastAsia="zh" w:bidi="ar-SA"/>
          <w:woUserID w:val="1"/>
        </w:rPr>
        <w:t>就</w:t>
      </w:r>
      <w:r>
        <w:rPr>
          <w:rFonts w:hint="eastAsia" w:ascii="Times New Roman" w:hAnsi="Times New Roman" w:eastAsia="宋体" w:cs="宋体"/>
          <w:color w:val="000000"/>
          <w:kern w:val="2"/>
          <w:sz w:val="24"/>
          <w:szCs w:val="24"/>
          <w:lang w:val="en-US" w:eastAsia="zh-CN" w:bidi="ar-SA"/>
          <w:woUserID w:val="2"/>
        </w:rPr>
        <w:t>是实现</w:t>
      </w:r>
      <w:r>
        <w:rPr>
          <w:rFonts w:hint="eastAsia" w:ascii="Times New Roman" w:hAnsi="Times New Roman" w:eastAsia="宋体" w:cs="宋体"/>
          <w:color w:val="000000"/>
          <w:kern w:val="2"/>
          <w:sz w:val="24"/>
          <w:szCs w:val="24"/>
          <w:lang w:val="en-US" w:eastAsia="zh" w:bidi="ar-SA"/>
          <w:woUserID w:val="1"/>
        </w:rPr>
        <w:t>代码</w:t>
      </w:r>
      <w:r>
        <w:rPr>
          <w:rFonts w:hint="eastAsia" w:ascii="Times New Roman" w:hAnsi="Times New Roman" w:eastAsia="宋体" w:cs="宋体"/>
          <w:color w:val="000000"/>
          <w:kern w:val="2"/>
          <w:sz w:val="24"/>
          <w:szCs w:val="24"/>
          <w:lang w:val="en-US" w:eastAsia="zh-CN" w:bidi="ar-SA"/>
          <w:woUserID w:val="2"/>
        </w:rPr>
        <w:t>合规内嵌</w:t>
      </w:r>
      <w:r>
        <w:rPr>
          <w:rFonts w:hint="eastAsia" w:ascii="Times New Roman" w:hAnsi="Times New Roman" w:eastAsia="宋体" w:cs="宋体"/>
          <w:color w:val="000000"/>
          <w:kern w:val="2"/>
          <w:sz w:val="24"/>
          <w:szCs w:val="24"/>
          <w:lang w:val="en-US" w:eastAsia="zh" w:bidi="ar-SA"/>
          <w:woUserID w:val="1"/>
        </w:rPr>
        <w:t>。将</w:t>
      </w:r>
      <w:r>
        <w:rPr>
          <w:rFonts w:hint="eastAsia" w:ascii="Times New Roman" w:hAnsi="Times New Roman" w:eastAsia="宋体" w:cs="宋体"/>
          <w:color w:val="000000"/>
          <w:kern w:val="2"/>
          <w:sz w:val="24"/>
          <w:szCs w:val="24"/>
          <w:lang w:val="en-US" w:eastAsia="zh-CN" w:bidi="ar-SA"/>
          <w:woUserID w:val="2"/>
        </w:rPr>
        <w:t>合规要求前置于业务流程的设计阶段，通过技术手段将规则固化到系统和智能合约中，从而变被动、滞后的监管响应为主动、实时的自动化合规</w:t>
      </w:r>
      <w:r>
        <w:rPr>
          <w:rFonts w:hint="eastAsia" w:ascii="Times New Roman" w:hAnsi="Times New Roman" w:eastAsia="宋体" w:cs="宋体"/>
          <w:color w:val="000000"/>
          <w:kern w:val="2"/>
          <w:sz w:val="24"/>
          <w:szCs w:val="24"/>
          <w:lang w:val="en-US" w:eastAsia="zh" w:bidi="ar-SA"/>
          <w:woUserID w:val="1"/>
        </w:rPr>
        <w:t>，</w:t>
      </w:r>
      <w:r>
        <w:rPr>
          <w:rStyle w:val="17"/>
          <w:rFonts w:hint="eastAsia" w:ascii="Times New Roman" w:hAnsi="Times New Roman" w:eastAsia="宋体" w:cs="宋体"/>
          <w:color w:val="000000"/>
          <w:kern w:val="2"/>
          <w:sz w:val="24"/>
          <w:szCs w:val="24"/>
          <w:lang w:val="en-US" w:eastAsia="zh" w:bidi="ar-SA"/>
          <w:woUserID w:val="1"/>
        </w:rPr>
        <w:footnoteReference w:id="29"/>
      </w:r>
      <w:r>
        <w:rPr>
          <w:rFonts w:ascii="宋体" w:hAnsi="宋体" w:eastAsia="宋体" w:cs="宋体"/>
          <w:sz w:val="24"/>
          <w:szCs w:val="24"/>
          <w:woUserID w:val="1"/>
        </w:rPr>
        <w:t>将事后惩处转向事前预防，有效弥合了技术脱域与法律属地性之间的断裂。</w:t>
      </w:r>
    </w:p>
    <w:p w14:paraId="7D041FA8">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宋体" w:hAnsi="宋体" w:eastAsia="宋体" w:cs="宋体"/>
          <w:sz w:val="24"/>
          <w:szCs w:val="24"/>
          <w:lang w:val="en-US" w:eastAsia="zh-CN"/>
          <w:woUserID w:val="1"/>
        </w:rPr>
        <w:t>2.</w:t>
      </w:r>
      <w:r>
        <w:rPr>
          <w:rFonts w:ascii="宋体" w:hAnsi="宋体" w:eastAsia="宋体" w:cs="宋体"/>
          <w:sz w:val="24"/>
          <w:szCs w:val="24"/>
          <w:woUserID w:val="1"/>
        </w:rPr>
        <w:t>物理锚定</w:t>
      </w:r>
      <w:r>
        <w:rPr>
          <w:rFonts w:hint="eastAsia" w:ascii="宋体" w:hAnsi="宋体" w:eastAsia="宋体" w:cs="宋体"/>
          <w:sz w:val="24"/>
          <w:szCs w:val="24"/>
          <w:lang w:val="en-US" w:eastAsia="zh-CN"/>
          <w:woUserID w:val="1"/>
        </w:rPr>
        <w:t>管理重心</w:t>
      </w:r>
      <w:r>
        <w:rPr>
          <w:rFonts w:ascii="宋体" w:hAnsi="宋体" w:eastAsia="宋体" w:cs="宋体"/>
          <w:sz w:val="24"/>
          <w:szCs w:val="24"/>
          <w:woUserID w:val="1"/>
        </w:rPr>
        <w:t>与信托隔离架构</w:t>
      </w:r>
    </w:p>
    <w:p w14:paraId="498E2B5E">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在制度层面，</w:t>
      </w:r>
      <w:r>
        <w:rPr>
          <w:rFonts w:hint="eastAsia" w:ascii="Times New Roman" w:hAnsi="Times New Roman" w:eastAsia="宋体" w:cs="宋体"/>
          <w:color w:val="000000"/>
          <w:sz w:val="24"/>
          <w:szCs w:val="24"/>
          <w:lang w:val="en-US" w:eastAsia="zh-CN"/>
          <w:woUserID w:val="1"/>
        </w:rPr>
        <w:t>香港</w:t>
      </w:r>
      <w:r>
        <w:rPr>
          <w:rFonts w:hint="eastAsia" w:ascii="Times New Roman" w:hAnsi="Times New Roman" w:eastAsia="宋体" w:cs="宋体"/>
          <w:color w:val="000000"/>
          <w:sz w:val="24"/>
          <w:szCs w:val="24"/>
          <w:lang w:val="en-US" w:eastAsia="zh"/>
          <w:woUserID w:val="1"/>
        </w:rPr>
        <w:t>重塑</w:t>
      </w:r>
      <w:r>
        <w:rPr>
          <w:rFonts w:hint="eastAsia" w:ascii="Times New Roman" w:hAnsi="Times New Roman" w:eastAsia="宋体" w:cs="宋体"/>
          <w:color w:val="000000"/>
          <w:sz w:val="24"/>
          <w:szCs w:val="24"/>
          <w:lang w:val="en-US" w:eastAsia="zh-CN"/>
          <w:woUserID w:val="1"/>
        </w:rPr>
        <w:t>了</w:t>
      </w:r>
      <w:r>
        <w:rPr>
          <w:rFonts w:hint="eastAsia" w:ascii="Times New Roman" w:hAnsi="Times New Roman" w:eastAsia="宋体" w:cs="宋体"/>
          <w:color w:val="000000"/>
          <w:sz w:val="24"/>
          <w:szCs w:val="24"/>
          <w:lang w:val="en-US" w:eastAsia="zh"/>
          <w:woUserID w:val="1"/>
        </w:rPr>
        <w:t>属地管辖权的执行</w:t>
      </w:r>
      <w:r>
        <w:rPr>
          <w:rFonts w:hint="eastAsia" w:ascii="Times New Roman" w:hAnsi="Times New Roman" w:eastAsia="宋体" w:cs="宋体"/>
          <w:color w:val="000000"/>
          <w:sz w:val="24"/>
          <w:szCs w:val="24"/>
          <w:lang w:val="en-US" w:eastAsia="zh-CN"/>
          <w:woUserID w:val="1"/>
        </w:rPr>
        <w:t>机制</w:t>
      </w:r>
      <w:r>
        <w:rPr>
          <w:rFonts w:hint="eastAsia" w:ascii="Times New Roman" w:hAnsi="Times New Roman" w:eastAsia="宋体" w:cs="宋体"/>
          <w:color w:val="000000"/>
          <w:sz w:val="24"/>
          <w:szCs w:val="24"/>
          <w:lang w:val="en-US" w:eastAsia="zh"/>
          <w:woUserID w:val="1"/>
        </w:rPr>
        <w:t>，实现了规制</w:t>
      </w:r>
      <w:r>
        <w:rPr>
          <w:rFonts w:hint="eastAsia" w:ascii="Times New Roman" w:hAnsi="Times New Roman" w:eastAsia="宋体" w:cs="宋体"/>
          <w:color w:val="000000"/>
          <w:sz w:val="24"/>
          <w:szCs w:val="24"/>
          <w:lang w:val="en-US" w:eastAsia="zh-CN"/>
          <w:woUserID w:val="1"/>
        </w:rPr>
        <w:t>范围</w:t>
      </w:r>
      <w:r>
        <w:rPr>
          <w:rFonts w:hint="eastAsia" w:ascii="Times New Roman" w:hAnsi="Times New Roman" w:eastAsia="宋体" w:cs="宋体"/>
          <w:color w:val="000000"/>
          <w:sz w:val="24"/>
          <w:szCs w:val="24"/>
          <w:lang w:val="en-US" w:eastAsia="zh"/>
          <w:woUserID w:val="1"/>
        </w:rPr>
        <w:t>从物理疆域向算法空间的延伸。《条例》要求持牌发行人需为根据香港法律成立的法团，</w:t>
      </w:r>
      <w:r>
        <w:rPr>
          <w:rStyle w:val="17"/>
          <w:rFonts w:hint="eastAsia" w:ascii="Times New Roman" w:hAnsi="Times New Roman" w:eastAsia="宋体" w:cs="宋体"/>
          <w:color w:val="000000"/>
          <w:sz w:val="24"/>
          <w:szCs w:val="24"/>
          <w:lang w:val="en-US" w:eastAsia="zh"/>
          <w:woUserID w:val="1"/>
        </w:rPr>
        <w:footnoteReference w:id="30"/>
      </w:r>
      <w:r>
        <w:rPr>
          <w:rFonts w:hint="eastAsia" w:ascii="Times New Roman" w:hAnsi="Times New Roman" w:eastAsia="宋体" w:cs="宋体"/>
          <w:color w:val="000000"/>
          <w:sz w:val="24"/>
          <w:szCs w:val="24"/>
          <w:lang w:val="en-US" w:eastAsia="zh"/>
          <w:woUserID w:val="1"/>
        </w:rPr>
        <w:t>且其首席执行官及高级管理人员必须常驻香港，</w:t>
      </w:r>
      <w:r>
        <w:rPr>
          <w:rStyle w:val="17"/>
          <w:rFonts w:hint="eastAsia" w:ascii="Times New Roman" w:hAnsi="Times New Roman" w:eastAsia="宋体" w:cs="宋体"/>
          <w:color w:val="000000"/>
          <w:sz w:val="24"/>
          <w:szCs w:val="24"/>
          <w:lang w:val="en-US" w:eastAsia="zh"/>
          <w:woUserID w:val="1"/>
        </w:rPr>
        <w:footnoteReference w:id="31"/>
      </w:r>
      <w:r>
        <w:rPr>
          <w:rFonts w:hint="eastAsia" w:ascii="Times New Roman" w:hAnsi="Times New Roman" w:eastAsia="宋体" w:cs="宋体"/>
          <w:color w:val="000000"/>
          <w:sz w:val="24"/>
          <w:szCs w:val="24"/>
          <w:lang w:val="en-US" w:eastAsia="zh"/>
          <w:woUserID w:val="1"/>
        </w:rPr>
        <w:t>通过对管理与控制中心的物理锚定，将无国界的算法运行主体转为可以问责的本地法律主体，当算法导致数据调取或者资产冻结指令失效时，金管局等监管机构可以直接对本地法团及其管理层施加法律压力，实现了从“管辖数据”向管辖主体的转移，在一定程度上，修复了属地管辖原则与脱域技术实施之间的断裂。</w:t>
      </w:r>
      <w:r>
        <w:rPr>
          <w:rFonts w:ascii="宋体" w:hAnsi="宋体" w:eastAsia="宋体" w:cs="宋体"/>
          <w:sz w:val="24"/>
          <w:szCs w:val="24"/>
          <w:woUserID w:val="1"/>
        </w:rPr>
        <w:t>这种信托隔离</w:t>
      </w:r>
      <w:r>
        <w:rPr>
          <w:rFonts w:hint="eastAsia" w:ascii="宋体" w:hAnsi="宋体" w:eastAsia="宋体" w:cs="宋体"/>
          <w:sz w:val="24"/>
          <w:szCs w:val="24"/>
          <w:lang w:eastAsia="zh"/>
          <w:woUserID w:val="1"/>
        </w:rPr>
        <w:t>的设计，是对上述提及</w:t>
      </w:r>
      <w:r>
        <w:rPr>
          <w:rFonts w:ascii="宋体" w:hAnsi="宋体" w:eastAsia="宋体" w:cs="宋体"/>
          <w:sz w:val="24"/>
          <w:szCs w:val="24"/>
          <w:woUserID w:val="1"/>
        </w:rPr>
        <w:t>稳定币私法维度</w:t>
      </w:r>
      <w:r>
        <w:rPr>
          <w:rFonts w:hint="eastAsia" w:ascii="宋体" w:hAnsi="宋体" w:eastAsia="宋体" w:cs="宋体"/>
          <w:sz w:val="24"/>
          <w:szCs w:val="24"/>
          <w:lang w:eastAsia="zh"/>
          <w:woUserID w:val="1"/>
        </w:rPr>
        <w:t>“</w:t>
      </w:r>
      <w:r>
        <w:rPr>
          <w:rFonts w:ascii="宋体" w:hAnsi="宋体" w:eastAsia="宋体" w:cs="宋体"/>
          <w:sz w:val="24"/>
          <w:szCs w:val="24"/>
          <w:woUserID w:val="1"/>
        </w:rPr>
        <w:t>数字化债权</w:t>
      </w:r>
      <w:r>
        <w:rPr>
          <w:rFonts w:hint="eastAsia" w:ascii="宋体" w:hAnsi="宋体" w:eastAsia="宋体" w:cs="宋体"/>
          <w:sz w:val="24"/>
          <w:szCs w:val="24"/>
          <w:lang w:eastAsia="zh"/>
          <w:woUserID w:val="1"/>
        </w:rPr>
        <w:t>“法律性质</w:t>
      </w:r>
      <w:r>
        <w:rPr>
          <w:rFonts w:ascii="宋体" w:hAnsi="宋体" w:eastAsia="宋体" w:cs="宋体"/>
          <w:sz w:val="24"/>
          <w:szCs w:val="24"/>
          <w:woUserID w:val="1"/>
        </w:rPr>
        <w:t>的加固</w:t>
      </w:r>
      <w:r>
        <w:rPr>
          <w:rFonts w:hint="eastAsia" w:ascii="宋体" w:hAnsi="宋体" w:eastAsia="宋体" w:cs="宋体"/>
          <w:sz w:val="24"/>
          <w:szCs w:val="24"/>
          <w:lang w:eastAsia="zh"/>
          <w:woUserID w:val="1"/>
        </w:rPr>
        <w:t>，</w:t>
      </w:r>
      <w:r>
        <w:rPr>
          <w:rFonts w:ascii="宋体" w:hAnsi="宋体" w:eastAsia="宋体" w:cs="宋体"/>
          <w:sz w:val="24"/>
          <w:szCs w:val="24"/>
          <w:woUserID w:val="1"/>
        </w:rPr>
        <w:t>将算法资产强制锚定于受托财产，将持有者的权益从不确定的代码期待转化为了具有排他性的破产隔离权。</w:t>
      </w:r>
    </w:p>
    <w:p w14:paraId="65FD67AF">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从更深层意义看，</w:t>
      </w:r>
      <w:r>
        <w:rPr>
          <w:rFonts w:hint="eastAsia" w:ascii="Times New Roman" w:hAnsi="Times New Roman" w:eastAsia="宋体" w:cs="宋体"/>
          <w:color w:val="000000"/>
          <w:sz w:val="24"/>
          <w:szCs w:val="24"/>
          <w:lang w:val="en-US" w:eastAsia="zh-CN"/>
          <w:woUserID w:val="1"/>
        </w:rPr>
        <w:t>此两点</w:t>
      </w:r>
      <w:r>
        <w:rPr>
          <w:rFonts w:hint="eastAsia" w:ascii="Times New Roman" w:hAnsi="Times New Roman" w:eastAsia="宋体" w:cs="宋体"/>
          <w:color w:val="000000"/>
          <w:sz w:val="24"/>
          <w:szCs w:val="24"/>
          <w:lang w:val="en-US" w:eastAsia="zh"/>
          <w:woUserID w:val="1"/>
        </w:rPr>
        <w:t>规制范式完成了双重空间权力的重构</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
          <w:woUserID w:val="1"/>
        </w:rPr>
        <w:t>一方面通过代码嵌入实现合规要求的虚拟空间渗透，另一方面通过如对本地法团的直接管辖</w:t>
      </w:r>
      <w:r>
        <w:rPr>
          <w:rFonts w:hint="eastAsia" w:ascii="Times New Roman" w:hAnsi="Times New Roman" w:eastAsia="宋体" w:cs="宋体"/>
          <w:color w:val="000000"/>
          <w:sz w:val="24"/>
          <w:szCs w:val="24"/>
          <w:lang w:val="en-US" w:eastAsia="zh-CN"/>
          <w:woUserID w:val="1"/>
        </w:rPr>
        <w:t>的</w:t>
      </w:r>
      <w:r>
        <w:rPr>
          <w:rFonts w:hint="eastAsia" w:ascii="Times New Roman" w:hAnsi="Times New Roman" w:eastAsia="宋体" w:cs="宋体"/>
          <w:color w:val="000000"/>
          <w:sz w:val="24"/>
          <w:szCs w:val="24"/>
          <w:lang w:val="en-US" w:eastAsia="zh"/>
          <w:woUserID w:val="1"/>
        </w:rPr>
        <w:t>主体锚定</w:t>
      </w:r>
      <w:r>
        <w:rPr>
          <w:rFonts w:hint="eastAsia" w:ascii="Times New Roman" w:hAnsi="Times New Roman" w:eastAsia="宋体" w:cs="宋体"/>
          <w:color w:val="000000"/>
          <w:sz w:val="24"/>
          <w:szCs w:val="24"/>
          <w:lang w:val="en-US" w:eastAsia="zh-CN"/>
          <w:woUserID w:val="1"/>
        </w:rPr>
        <w:t>手段</w:t>
      </w:r>
      <w:r>
        <w:rPr>
          <w:rFonts w:hint="eastAsia" w:ascii="Times New Roman" w:hAnsi="Times New Roman" w:eastAsia="宋体" w:cs="宋体"/>
          <w:color w:val="000000"/>
          <w:sz w:val="24"/>
          <w:szCs w:val="24"/>
          <w:lang w:val="en-US" w:eastAsia="zh"/>
          <w:woUserID w:val="1"/>
        </w:rPr>
        <w:t>完成物理空间的权力延伸。二者的叠加形成了独特的</w:t>
      </w:r>
      <w:r>
        <w:rPr>
          <w:rFonts w:hint="eastAsia" w:ascii="Times New Roman" w:hAnsi="Times New Roman" w:eastAsia="宋体" w:cs="宋体"/>
          <w:color w:val="000000"/>
          <w:sz w:val="24"/>
          <w:szCs w:val="24"/>
          <w:lang w:val="en-US" w:eastAsia="zh-CN"/>
          <w:woUserID w:val="1"/>
        </w:rPr>
        <w:t>虚实结合的</w:t>
      </w:r>
      <w:r>
        <w:rPr>
          <w:rFonts w:hint="eastAsia" w:ascii="Times New Roman" w:hAnsi="Times New Roman" w:eastAsia="宋体" w:cs="宋体"/>
          <w:color w:val="000000"/>
          <w:sz w:val="24"/>
          <w:szCs w:val="24"/>
          <w:lang w:val="en-US" w:eastAsia="zh"/>
          <w:woUserID w:val="1"/>
        </w:rPr>
        <w:t>监管架构，既尊重了区块链技术去中心化的运行逻辑，又通过法律主体的物理存在确保了主权规制的有效性。</w:t>
      </w:r>
      <w:r>
        <w:rPr>
          <w:rFonts w:ascii="宋体" w:hAnsi="宋体" w:eastAsia="宋体" w:cs="宋体"/>
          <w:sz w:val="24"/>
          <w:szCs w:val="24"/>
          <w:woUserID w:val="1"/>
        </w:rPr>
        <w:t>这种锚定不仅是财务层面的保障，更是通过法律技术手段，将第二部分所述的虚拟债权转化为受属地法保护的具象债权，从而消解了算法资产在私法权属上的不确定性。</w:t>
      </w:r>
    </w:p>
    <w:p w14:paraId="1FB04BAC">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CN"/>
          <w:woUserID w:val="1"/>
        </w:rPr>
      </w:pPr>
      <w:bookmarkStart w:id="16" w:name="_Toc115416794"/>
      <w:bookmarkStart w:id="17" w:name="_Toc1098822215"/>
      <w:r>
        <w:rPr>
          <w:rFonts w:hint="eastAsia" w:ascii="Times New Roman" w:hAnsi="Times New Roman" w:eastAsia="宋体" w:cs="宋体"/>
          <w:color w:val="000000"/>
          <w:sz w:val="24"/>
          <w:szCs w:val="24"/>
          <w:lang w:val="en-US" w:eastAsia="zh-CN"/>
          <w:woUserID w:val="1"/>
        </w:rPr>
        <w:t>长臂管辖应对与等效性规则互认</w:t>
      </w:r>
      <w:bookmarkEnd w:id="16"/>
      <w:bookmarkEnd w:id="17"/>
    </w:p>
    <w:p w14:paraId="2C33560D">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一直以来，对于全球范围内美国稳定币单边长臂管辖扩张与全球监管套利的僵局，我国在《条例》实施过程中保持着积极开放的态度，推动等效性互认机制，</w:t>
      </w:r>
      <w:r>
        <w:rPr>
          <w:rFonts w:hint="eastAsia" w:ascii="Times New Roman" w:hAnsi="Times New Roman" w:eastAsia="宋体" w:cs="宋体"/>
          <w:color w:val="000000"/>
          <w:sz w:val="24"/>
          <w:szCs w:val="24"/>
          <w:lang w:val="en-US" w:eastAsia="zh-CN"/>
          <w:woUserID w:val="1"/>
        </w:rPr>
        <w:t>以期</w:t>
      </w:r>
      <w:r>
        <w:rPr>
          <w:rFonts w:hint="eastAsia" w:ascii="Times New Roman" w:hAnsi="Times New Roman" w:eastAsia="宋体" w:cs="宋体"/>
          <w:color w:val="000000"/>
          <w:sz w:val="24"/>
          <w:szCs w:val="24"/>
          <w:lang w:eastAsia="zh"/>
          <w:woUserID w:val="1"/>
        </w:rPr>
        <w:t>重塑香港在国际金融中心在数字空间的话语权。</w:t>
      </w:r>
    </w:p>
    <w:p w14:paraId="52BCD6D3">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1.金融基础设施搭建与风险缓冲</w:t>
      </w:r>
    </w:p>
    <w:p w14:paraId="17252A56">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在资产储备层面，《条例》虽然允许美元资产的锚定，</w:t>
      </w:r>
      <w:r>
        <w:rPr>
          <w:rStyle w:val="17"/>
          <w:rFonts w:hint="eastAsia" w:ascii="Times New Roman" w:hAnsi="Times New Roman" w:eastAsia="宋体" w:cs="宋体"/>
          <w:color w:val="000000"/>
          <w:sz w:val="24"/>
          <w:szCs w:val="24"/>
          <w:lang w:eastAsia="zh"/>
          <w:woUserID w:val="1"/>
        </w:rPr>
        <w:footnoteReference w:id="32"/>
      </w:r>
      <w:r>
        <w:rPr>
          <w:rFonts w:hint="eastAsia" w:ascii="Times New Roman" w:hAnsi="Times New Roman" w:eastAsia="宋体" w:cs="宋体"/>
          <w:color w:val="000000"/>
          <w:sz w:val="24"/>
          <w:szCs w:val="24"/>
          <w:lang w:eastAsia="zh"/>
          <w:woUserID w:val="1"/>
        </w:rPr>
        <w:t>但鼓励发行人通过资产组合多元化降低对单一结算体系的内生性依赖。</w:t>
      </w:r>
      <w:r>
        <w:rPr>
          <w:rStyle w:val="17"/>
          <w:rFonts w:hint="eastAsia" w:ascii="Times New Roman" w:hAnsi="Times New Roman" w:eastAsia="宋体" w:cs="宋体"/>
          <w:color w:val="000000"/>
          <w:sz w:val="24"/>
          <w:szCs w:val="24"/>
          <w:lang w:eastAsia="zh"/>
          <w:woUserID w:val="1"/>
        </w:rPr>
        <w:footnoteReference w:id="33"/>
      </w:r>
      <w:r>
        <w:rPr>
          <w:rFonts w:hint="eastAsia" w:ascii="Times New Roman" w:hAnsi="Times New Roman" w:eastAsia="宋体" w:cs="宋体"/>
          <w:color w:val="000000"/>
          <w:sz w:val="24"/>
          <w:szCs w:val="24"/>
          <w:lang w:eastAsia="zh"/>
          <w:woUserID w:val="1"/>
        </w:rPr>
        <w:t>2024年8月，香港金管局启动沙盒（</w:t>
      </w:r>
      <w:r>
        <w:rPr>
          <w:rFonts w:hint="eastAsia" w:ascii="Times New Roman" w:hAnsi="Times New Roman" w:eastAsia="宋体" w:cs="宋体"/>
          <w:color w:val="000000"/>
          <w:sz w:val="24"/>
          <w:szCs w:val="24"/>
          <w:woUserID w:val="1"/>
        </w:rPr>
        <w:t xml:space="preserve">Project Ensemble </w:t>
      </w:r>
      <w:r>
        <w:rPr>
          <w:rFonts w:hint="eastAsia" w:ascii="Times New Roman" w:hAnsi="Times New Roman" w:eastAsia="宋体" w:cs="宋体"/>
          <w:color w:val="000000"/>
          <w:sz w:val="24"/>
          <w:szCs w:val="24"/>
          <w:lang w:eastAsia="zh"/>
          <w:woUserID w:val="1"/>
        </w:rPr>
        <w:t>Sandbox）平台，探索</w:t>
      </w:r>
      <w:r>
        <w:rPr>
          <w:rFonts w:hint="eastAsia" w:ascii="Times New Roman" w:hAnsi="Times New Roman" w:eastAsia="宋体" w:cs="宋体"/>
          <w:color w:val="000000"/>
          <w:sz w:val="24"/>
          <w:szCs w:val="24"/>
          <w:woUserID w:val="1"/>
        </w:rPr>
        <w:t>批发</w:t>
      </w:r>
      <w:r>
        <w:rPr>
          <w:rFonts w:hint="eastAsia" w:ascii="Times New Roman" w:hAnsi="Times New Roman" w:eastAsia="宋体" w:cs="宋体"/>
          <w:color w:val="000000"/>
          <w:sz w:val="24"/>
          <w:szCs w:val="24"/>
          <w:lang w:val="en-US" w:eastAsia="zh-CN"/>
          <w:woUserID w:val="1"/>
        </w:rPr>
        <w:t>以</w:t>
      </w:r>
      <w:r>
        <w:rPr>
          <w:rFonts w:hint="eastAsia" w:ascii="Times New Roman" w:hAnsi="Times New Roman" w:eastAsia="宋体" w:cs="宋体"/>
          <w:color w:val="000000"/>
          <w:sz w:val="24"/>
          <w:szCs w:val="24"/>
          <w:woUserID w:val="1"/>
        </w:rPr>
        <w:t>央行数字货币（wCBDC）</w:t>
      </w:r>
      <w:r>
        <w:rPr>
          <w:rFonts w:hint="eastAsia" w:ascii="Times New Roman" w:hAnsi="Times New Roman" w:eastAsia="宋体" w:cs="宋体"/>
          <w:color w:val="000000"/>
          <w:sz w:val="24"/>
          <w:szCs w:val="24"/>
          <w:lang w:eastAsia="zh"/>
          <w:woUserID w:val="1"/>
        </w:rPr>
        <w:t>为核心的创新金融市场基建，支持代币化货币银行同业结算，</w:t>
      </w:r>
      <w:r>
        <w:rPr>
          <w:rFonts w:hint="eastAsia" w:ascii="Times New Roman" w:hAnsi="Times New Roman" w:eastAsia="宋体" w:cs="宋体"/>
          <w:color w:val="000000"/>
          <w:sz w:val="24"/>
          <w:szCs w:val="24"/>
          <w:lang w:val="en-US" w:eastAsia="zh-CN"/>
          <w:woUserID w:val="1"/>
        </w:rPr>
        <w:t>其中也</w:t>
      </w:r>
      <w:r>
        <w:rPr>
          <w:rFonts w:hint="eastAsia" w:ascii="Times New Roman" w:hAnsi="Times New Roman" w:eastAsia="宋体" w:cs="宋体"/>
          <w:color w:val="000000"/>
          <w:sz w:val="24"/>
          <w:szCs w:val="24"/>
          <w:lang w:eastAsia="zh"/>
          <w:woUserID w:val="1"/>
        </w:rPr>
        <w:t>包括支持稳定币在内的代币化生态发展</w:t>
      </w:r>
      <w:r>
        <w:rPr>
          <w:rFonts w:hint="eastAsia" w:ascii="Times New Roman" w:hAnsi="Times New Roman" w:eastAsia="宋体" w:cs="宋体"/>
          <w:color w:val="000000"/>
          <w:sz w:val="24"/>
          <w:szCs w:val="24"/>
          <w:lang w:eastAsia="zh-CN"/>
          <w:woUserID w:val="1"/>
        </w:rPr>
        <w:t>。</w:t>
      </w:r>
      <w:r>
        <w:rPr>
          <w:rStyle w:val="17"/>
          <w:rFonts w:hint="eastAsia" w:ascii="Times New Roman" w:hAnsi="Times New Roman" w:eastAsia="宋体" w:cs="宋体"/>
          <w:color w:val="000000"/>
          <w:sz w:val="24"/>
          <w:szCs w:val="24"/>
          <w:lang w:eastAsia="zh"/>
          <w:woUserID w:val="1"/>
        </w:rPr>
        <w:footnoteReference w:id="34"/>
      </w:r>
      <w:r>
        <w:rPr>
          <w:rFonts w:hint="eastAsia" w:ascii="Times New Roman" w:hAnsi="Times New Roman" w:eastAsia="宋体" w:cs="宋体"/>
          <w:color w:val="000000"/>
          <w:sz w:val="24"/>
          <w:szCs w:val="24"/>
          <w:lang w:val="en-US" w:eastAsia="zh-CN"/>
          <w:woUserID w:val="1"/>
        </w:rPr>
        <w:t>并于</w:t>
      </w:r>
      <w:r>
        <w:rPr>
          <w:rFonts w:hint="eastAsia" w:ascii="Times New Roman" w:hAnsi="Times New Roman" w:eastAsia="宋体" w:cs="宋体"/>
          <w:color w:val="000000"/>
          <w:sz w:val="24"/>
          <w:szCs w:val="24"/>
          <w:lang w:eastAsia="zh"/>
          <w:woUserID w:val="1"/>
        </w:rPr>
        <w:t>2025年11月推出Ensemble TX（试行阶段）以提供合规且独立的本地清算选项，降低监管对单一结算体系以来的导向，</w:t>
      </w:r>
      <w:r>
        <w:rPr>
          <w:rStyle w:val="17"/>
          <w:rFonts w:hint="eastAsia" w:ascii="Times New Roman" w:hAnsi="Times New Roman" w:eastAsia="宋体" w:cs="宋体"/>
          <w:color w:val="000000"/>
          <w:sz w:val="24"/>
          <w:szCs w:val="24"/>
          <w:lang w:eastAsia="zh"/>
          <w:woUserID w:val="1"/>
        </w:rPr>
        <w:footnoteReference w:id="35"/>
      </w:r>
      <w:r>
        <w:rPr>
          <w:rFonts w:hint="eastAsia" w:ascii="Times New Roman" w:hAnsi="Times New Roman" w:eastAsia="宋体" w:cs="宋体"/>
          <w:color w:val="000000"/>
          <w:sz w:val="24"/>
          <w:szCs w:val="24"/>
          <w:lang w:val="en-US" w:eastAsia="zh-CN"/>
          <w:woUserID w:val="1"/>
        </w:rPr>
        <w:t>为</w:t>
      </w:r>
      <w:r>
        <w:rPr>
          <w:rFonts w:hint="eastAsia" w:ascii="Times New Roman" w:hAnsi="Times New Roman" w:eastAsia="宋体" w:cs="宋体"/>
          <w:color w:val="000000"/>
          <w:sz w:val="24"/>
          <w:szCs w:val="24"/>
          <w:lang w:eastAsia="zh"/>
          <w:woUserID w:val="1"/>
        </w:rPr>
        <w:t>外围稳定币提供了独立且清晰的本地清算路径。</w:t>
      </w:r>
      <w:r>
        <w:rPr>
          <w:rFonts w:hint="eastAsia" w:ascii="Times New Roman" w:hAnsi="Times New Roman" w:eastAsia="宋体" w:cs="宋体"/>
          <w:color w:val="000000"/>
          <w:sz w:val="24"/>
          <w:szCs w:val="24"/>
          <w:lang w:val="en-US" w:eastAsia="zh-CN"/>
          <w:woUserID w:val="1"/>
        </w:rPr>
        <w:t>具言之，其</w:t>
      </w:r>
      <w:r>
        <w:rPr>
          <w:rFonts w:hint="eastAsia" w:ascii="Times New Roman" w:hAnsi="Times New Roman" w:eastAsia="宋体" w:cs="宋体"/>
          <w:color w:val="000000"/>
          <w:sz w:val="24"/>
          <w:szCs w:val="24"/>
          <w:lang w:eastAsia="zh"/>
          <w:woUserID w:val="1"/>
        </w:rPr>
        <w:t>在物理层面削弱了结算路径的穿透风险，通过构建自主可控的数字金融基础设施，为香港稳定币确立了对应单边制裁和域外管辖的法律缓冲带。</w:t>
      </w:r>
    </w:p>
    <w:p w14:paraId="5CE1F814">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sz w:val="24"/>
          <w:szCs w:val="24"/>
          <w:lang w:val="en-US" w:eastAsia="zh"/>
          <w:woUserID w:val="1"/>
        </w:rPr>
      </w:pPr>
      <w:bookmarkStart w:id="18" w:name="_Toc1041587215"/>
      <w:r>
        <w:rPr>
          <w:rFonts w:hint="eastAsia" w:ascii="Times New Roman" w:hAnsi="Times New Roman" w:eastAsia="宋体" w:cs="宋体"/>
          <w:color w:val="000000"/>
          <w:sz w:val="24"/>
          <w:szCs w:val="24"/>
          <w:lang w:val="en-US" w:eastAsia="zh"/>
          <w:woUserID w:val="1"/>
        </w:rPr>
        <w:t>2.高标准司法辖区的等效性互认博弈</w:t>
      </w:r>
      <w:bookmarkEnd w:id="18"/>
    </w:p>
    <w:p w14:paraId="0C5F0E61">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sz w:val="24"/>
          <w:szCs w:val="24"/>
          <w:lang w:val="en-US" w:eastAsia="zh"/>
          <w:woUserID w:val="1"/>
        </w:rPr>
        <w:t>在国际法、区域法以及国内外不同法域之间的协调与互认中，等效性互认</w:t>
      </w:r>
      <w:r>
        <w:rPr>
          <w:rFonts w:hint="eastAsia" w:ascii="Times New Roman" w:hAnsi="Times New Roman" w:eastAsia="宋体" w:cs="宋体"/>
          <w:color w:val="000000"/>
          <w:sz w:val="24"/>
          <w:szCs w:val="24"/>
          <w:lang w:val="en-US" w:eastAsia="zh-CN"/>
          <w:woUserID w:val="1"/>
        </w:rPr>
        <w:t>一直是</w:t>
      </w:r>
      <w:r>
        <w:rPr>
          <w:rFonts w:hint="eastAsia" w:ascii="Times New Roman" w:hAnsi="Times New Roman" w:eastAsia="宋体" w:cs="宋体"/>
          <w:color w:val="000000"/>
          <w:sz w:val="24"/>
          <w:szCs w:val="24"/>
          <w:lang w:val="en-US" w:eastAsia="zh"/>
          <w:woUserID w:val="1"/>
        </w:rPr>
        <w:t>关键</w:t>
      </w:r>
      <w:r>
        <w:rPr>
          <w:rFonts w:hint="eastAsia" w:ascii="Times New Roman" w:hAnsi="Times New Roman" w:eastAsia="宋体" w:cs="宋体"/>
          <w:color w:val="000000"/>
          <w:sz w:val="24"/>
          <w:szCs w:val="24"/>
          <w:lang w:val="en-US" w:eastAsia="zh-CN"/>
          <w:woUserID w:val="1"/>
        </w:rPr>
        <w:t>所在</w:t>
      </w:r>
      <w:r>
        <w:rPr>
          <w:rFonts w:hint="eastAsia" w:ascii="Times New Roman" w:hAnsi="Times New Roman" w:eastAsia="宋体" w:cs="宋体"/>
          <w:color w:val="000000"/>
          <w:sz w:val="24"/>
          <w:szCs w:val="24"/>
          <w:lang w:val="en-US" w:eastAsia="zh"/>
          <w:woUserID w:val="1"/>
        </w:rPr>
        <w:t>。《条例》建立了一个高标准的司法管辖区，</w:t>
      </w:r>
      <w:r>
        <w:rPr>
          <w:rFonts w:hint="eastAsia" w:ascii="Times New Roman" w:hAnsi="Times New Roman" w:eastAsia="宋体" w:cs="宋体"/>
          <w:color w:val="000000"/>
          <w:sz w:val="24"/>
          <w:szCs w:val="24"/>
          <w:lang w:val="en-US" w:eastAsia="zh-CN"/>
          <w:woUserID w:val="1"/>
        </w:rPr>
        <w:t>与之具有</w:t>
      </w:r>
      <w:r>
        <w:rPr>
          <w:rFonts w:hint="eastAsia" w:ascii="Times New Roman" w:hAnsi="Times New Roman" w:eastAsia="宋体" w:cs="宋体"/>
          <w:color w:val="000000"/>
          <w:sz w:val="24"/>
          <w:szCs w:val="24"/>
          <w:lang w:val="en-US" w:eastAsia="zh"/>
          <w:woUserID w:val="1"/>
        </w:rPr>
        <w:t>同样标准的还有欧盟</w:t>
      </w:r>
      <w:r>
        <w:rPr>
          <w:rFonts w:hint="eastAsia" w:ascii="Times New Roman" w:hAnsi="Times New Roman" w:eastAsia="宋体" w:cs="宋体"/>
          <w:color w:val="000000"/>
          <w:sz w:val="24"/>
          <w:szCs w:val="24"/>
          <w:woUserID w:val="1"/>
        </w:rPr>
        <w:t>MiCA、新加坡</w:t>
      </w:r>
      <w:r>
        <w:rPr>
          <w:rFonts w:hint="eastAsia" w:ascii="Times New Roman" w:hAnsi="Times New Roman" w:eastAsia="宋体" w:cs="宋体"/>
          <w:color w:val="000000"/>
          <w:sz w:val="24"/>
          <w:szCs w:val="24"/>
          <w:lang w:eastAsia="zh"/>
          <w:woUserID w:val="1"/>
        </w:rPr>
        <w:t>SCS</w:t>
      </w:r>
      <w:r>
        <w:rPr>
          <w:rFonts w:hint="eastAsia" w:ascii="Times New Roman" w:hAnsi="Times New Roman" w:eastAsia="宋体" w:cs="宋体"/>
          <w:color w:val="000000"/>
          <w:sz w:val="24"/>
          <w:szCs w:val="24"/>
          <w:woUserID w:val="1"/>
        </w:rPr>
        <w:t>等</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《条例》中明确了香港地区的高标准互认规则，金融管理专员可应持牌申请人或者牌照申请人的申请，使用最低准则进行变通或者宽免，</w:t>
      </w:r>
      <w:r>
        <w:rPr>
          <w:rStyle w:val="17"/>
          <w:rFonts w:hint="eastAsia" w:ascii="Times New Roman" w:hAnsi="Times New Roman" w:eastAsia="宋体" w:cs="宋体"/>
          <w:color w:val="000000"/>
          <w:sz w:val="24"/>
          <w:szCs w:val="24"/>
          <w:lang w:eastAsia="zh"/>
          <w:woUserID w:val="1"/>
        </w:rPr>
        <w:footnoteReference w:id="36"/>
      </w:r>
      <w:r>
        <w:rPr>
          <w:rFonts w:hint="eastAsia" w:ascii="Times New Roman" w:hAnsi="Times New Roman" w:eastAsia="宋体" w:cs="宋体"/>
          <w:color w:val="000000"/>
          <w:sz w:val="24"/>
          <w:szCs w:val="24"/>
          <w:lang w:eastAsia="zh"/>
          <w:woUserID w:val="1"/>
        </w:rPr>
        <w:t>但</w:t>
      </w:r>
      <w:r>
        <w:rPr>
          <w:rFonts w:hint="eastAsia" w:ascii="Times New Roman" w:hAnsi="Times New Roman" w:eastAsia="宋体" w:cs="宋体"/>
          <w:color w:val="000000"/>
          <w:sz w:val="24"/>
          <w:szCs w:val="24"/>
          <w:lang w:val="en-US" w:eastAsia="zh-CN"/>
          <w:woUserID w:val="1"/>
        </w:rPr>
        <w:t>前提是</w:t>
      </w:r>
      <w:r>
        <w:rPr>
          <w:rFonts w:hint="eastAsia" w:ascii="Times New Roman" w:hAnsi="Times New Roman" w:eastAsia="宋体" w:cs="宋体"/>
          <w:color w:val="000000"/>
          <w:sz w:val="24"/>
          <w:szCs w:val="24"/>
          <w:lang w:eastAsia="zh"/>
          <w:woUserID w:val="1"/>
        </w:rPr>
        <w:t>申请人应在香港以外地区受到足够监管，同时境外监管机构应当</w:t>
      </w:r>
      <w:r>
        <w:rPr>
          <w:rFonts w:hint="eastAsia" w:ascii="Times New Roman" w:hAnsi="Times New Roman" w:eastAsia="宋体" w:cs="宋体"/>
          <w:color w:val="000000"/>
          <w:sz w:val="24"/>
          <w:szCs w:val="24"/>
          <w:lang w:val="en-US" w:eastAsia="zh-CN"/>
          <w:woUserID w:val="1"/>
        </w:rPr>
        <w:t>满足</w:t>
      </w:r>
      <w:r>
        <w:rPr>
          <w:rFonts w:hint="eastAsia" w:ascii="Times New Roman" w:hAnsi="Times New Roman" w:eastAsia="宋体" w:cs="宋体"/>
          <w:color w:val="000000"/>
          <w:sz w:val="24"/>
          <w:szCs w:val="24"/>
          <w:lang w:eastAsia="zh"/>
          <w:woUserID w:val="1"/>
        </w:rPr>
        <w:t>与金融管理员</w:t>
      </w:r>
      <w:r>
        <w:rPr>
          <w:rFonts w:hint="eastAsia" w:ascii="Times New Roman" w:hAnsi="Times New Roman" w:eastAsia="宋体" w:cs="宋体"/>
          <w:color w:val="000000"/>
          <w:sz w:val="24"/>
          <w:szCs w:val="24"/>
          <w:lang w:val="en-US" w:eastAsia="zh-CN"/>
          <w:woUserID w:val="1"/>
        </w:rPr>
        <w:t>具有</w:t>
      </w:r>
      <w:r>
        <w:rPr>
          <w:rFonts w:hint="eastAsia" w:ascii="Times New Roman" w:hAnsi="Times New Roman" w:eastAsia="宋体" w:cs="宋体"/>
          <w:color w:val="000000"/>
          <w:sz w:val="24"/>
          <w:szCs w:val="24"/>
          <w:lang w:eastAsia="zh"/>
          <w:woUserID w:val="1"/>
        </w:rPr>
        <w:t>类似职能且无重大风险</w:t>
      </w:r>
      <w:r>
        <w:rPr>
          <w:rFonts w:hint="eastAsia" w:ascii="Times New Roman" w:hAnsi="Times New Roman" w:eastAsia="宋体" w:cs="宋体"/>
          <w:color w:val="000000"/>
          <w:sz w:val="24"/>
          <w:szCs w:val="24"/>
          <w:lang w:eastAsia="zh-CN"/>
          <w:woUserID w:val="1"/>
        </w:rPr>
        <w:t>的</w:t>
      </w:r>
      <w:r>
        <w:rPr>
          <w:rFonts w:hint="eastAsia" w:ascii="Times New Roman" w:hAnsi="Times New Roman" w:eastAsia="宋体" w:cs="宋体"/>
          <w:color w:val="000000"/>
          <w:sz w:val="24"/>
          <w:szCs w:val="24"/>
          <w:lang w:val="en-US" w:eastAsia="zh-CN"/>
          <w:woUserID w:val="1"/>
        </w:rPr>
        <w:t>条件</w:t>
      </w:r>
      <w:r>
        <w:rPr>
          <w:rFonts w:hint="eastAsia" w:ascii="Times New Roman" w:hAnsi="Times New Roman" w:eastAsia="宋体" w:cs="宋体"/>
          <w:color w:val="000000"/>
          <w:sz w:val="24"/>
          <w:szCs w:val="24"/>
          <w:lang w:val="en-US" w:eastAsia="zh"/>
          <w:woUserID w:val="1"/>
        </w:rPr>
        <w:t>；</w:t>
      </w:r>
      <w:r>
        <w:rPr>
          <w:rStyle w:val="17"/>
          <w:rFonts w:hint="eastAsia" w:ascii="Times New Roman" w:hAnsi="Times New Roman" w:eastAsia="宋体" w:cs="宋体"/>
          <w:color w:val="000000"/>
          <w:sz w:val="24"/>
          <w:szCs w:val="24"/>
          <w:lang w:eastAsia="zh"/>
          <w:woUserID w:val="1"/>
        </w:rPr>
        <w:footnoteReference w:id="37"/>
      </w:r>
      <w:r>
        <w:rPr>
          <w:rFonts w:hint="eastAsia" w:ascii="Times New Roman" w:hAnsi="Times New Roman" w:eastAsia="宋体" w:cs="宋体"/>
          <w:color w:val="000000"/>
          <w:sz w:val="24"/>
          <w:szCs w:val="24"/>
          <w:lang w:eastAsia="zh"/>
          <w:woUserID w:val="1"/>
        </w:rPr>
        <w:t>欧盟</w:t>
      </w:r>
      <w:r>
        <w:rPr>
          <w:rFonts w:hint="eastAsia" w:ascii="Times New Roman" w:hAnsi="Times New Roman" w:eastAsia="宋体" w:cs="宋体"/>
          <w:color w:val="000000"/>
          <w:sz w:val="24"/>
          <w:szCs w:val="24"/>
          <w:woUserID w:val="1"/>
        </w:rPr>
        <w:t>MiCA</w:t>
      </w:r>
      <w:r>
        <w:rPr>
          <w:rFonts w:hint="eastAsia" w:ascii="Times New Roman" w:hAnsi="Times New Roman" w:eastAsia="宋体" w:cs="宋体"/>
          <w:color w:val="000000"/>
          <w:sz w:val="24"/>
          <w:szCs w:val="24"/>
          <w:lang w:eastAsia="zh"/>
          <w:woUserID w:val="1"/>
        </w:rPr>
        <w:t>提出了更高的要求，要求境外监管与</w:t>
      </w:r>
      <w:r>
        <w:rPr>
          <w:rFonts w:hint="eastAsia" w:ascii="Times New Roman" w:hAnsi="Times New Roman" w:eastAsia="宋体" w:cs="宋体"/>
          <w:color w:val="000000"/>
          <w:sz w:val="24"/>
          <w:szCs w:val="24"/>
          <w:woUserID w:val="1"/>
        </w:rPr>
        <w:t>MiCA</w:t>
      </w:r>
      <w:r>
        <w:rPr>
          <w:rFonts w:hint="eastAsia" w:ascii="Times New Roman" w:hAnsi="Times New Roman" w:eastAsia="宋体" w:cs="宋体"/>
          <w:color w:val="000000"/>
          <w:sz w:val="24"/>
          <w:szCs w:val="24"/>
          <w:lang w:eastAsia="zh"/>
          <w:woUserID w:val="1"/>
        </w:rPr>
        <w:t>完全对标，</w:t>
      </w:r>
      <w:r>
        <w:rPr>
          <w:rFonts w:hint="eastAsia" w:ascii="Times New Roman" w:hAnsi="Times New Roman" w:eastAsia="宋体" w:cs="宋体"/>
          <w:color w:val="000000"/>
          <w:sz w:val="24"/>
          <w:szCs w:val="24"/>
          <w:lang w:val="en-US" w:eastAsia="zh-CN"/>
          <w:woUserID w:val="1"/>
        </w:rPr>
        <w:t>其条件</w:t>
      </w:r>
      <w:r>
        <w:rPr>
          <w:rFonts w:hint="eastAsia" w:ascii="Times New Roman" w:hAnsi="Times New Roman" w:eastAsia="宋体" w:cs="宋体"/>
          <w:color w:val="000000"/>
          <w:sz w:val="24"/>
          <w:szCs w:val="24"/>
          <w:lang w:eastAsia="zh"/>
          <w:woUserID w:val="1"/>
        </w:rPr>
        <w:t>包括</w:t>
      </w:r>
      <w:r>
        <w:rPr>
          <w:rFonts w:hint="eastAsia" w:ascii="Times New Roman" w:hAnsi="Times New Roman" w:eastAsia="宋体" w:cs="宋体"/>
          <w:color w:val="000000"/>
          <w:sz w:val="24"/>
          <w:szCs w:val="24"/>
          <w:lang w:val="en-US" w:eastAsia="zh-CN"/>
          <w:woUserID w:val="1"/>
        </w:rPr>
        <w:t>保持</w:t>
      </w:r>
      <w:r>
        <w:rPr>
          <w:rFonts w:hint="eastAsia" w:ascii="Times New Roman" w:hAnsi="Times New Roman" w:eastAsia="宋体" w:cs="宋体"/>
          <w:color w:val="000000"/>
          <w:sz w:val="24"/>
          <w:szCs w:val="24"/>
          <w:lang w:eastAsia="zh"/>
          <w:woUserID w:val="1"/>
        </w:rPr>
        <w:t>储备资产1:1、做到资产分离保管、每日流动性测试等；</w:t>
      </w:r>
      <w:r>
        <w:rPr>
          <w:rFonts w:hint="eastAsia" w:ascii="Times New Roman" w:hAnsi="Times New Roman" w:eastAsia="宋体" w:cs="宋体"/>
          <w:color w:val="000000"/>
          <w:sz w:val="24"/>
          <w:szCs w:val="24"/>
          <w:lang w:val="en-US" w:eastAsia="zh-CN"/>
          <w:woUserID w:val="1"/>
        </w:rPr>
        <w:t>而</w:t>
      </w:r>
      <w:r>
        <w:rPr>
          <w:rFonts w:hint="eastAsia" w:ascii="Times New Roman" w:hAnsi="Times New Roman" w:eastAsia="宋体" w:cs="宋体"/>
          <w:color w:val="000000"/>
          <w:kern w:val="2"/>
          <w:sz w:val="24"/>
          <w:szCs w:val="24"/>
          <w:lang w:val="en-US" w:eastAsia="zh" w:bidi="ar-SA"/>
          <w:woUserID w:val="1"/>
        </w:rPr>
        <w:t>新加坡SCS</w:t>
      </w:r>
      <w:r>
        <w:rPr>
          <w:rFonts w:hint="eastAsia" w:ascii="Times New Roman" w:hAnsi="Times New Roman" w:eastAsia="宋体" w:cs="宋体"/>
          <w:color w:val="000000"/>
          <w:kern w:val="2"/>
          <w:sz w:val="24"/>
          <w:szCs w:val="24"/>
          <w:lang w:val="en-US" w:eastAsia="zh-CN" w:bidi="ar-SA"/>
          <w:woUserID w:val="1"/>
        </w:rPr>
        <w:t>更加</w:t>
      </w:r>
      <w:r>
        <w:rPr>
          <w:rFonts w:hint="eastAsia" w:ascii="Times New Roman" w:hAnsi="Times New Roman" w:eastAsia="宋体" w:cs="宋体"/>
          <w:color w:val="000000"/>
          <w:kern w:val="2"/>
          <w:sz w:val="24"/>
          <w:szCs w:val="24"/>
          <w:lang w:val="en-US" w:eastAsia="zh" w:bidi="ar-SA"/>
          <w:woUserID w:val="1"/>
        </w:rPr>
        <w:t>强调经济实质穿透，要求境外监管</w:t>
      </w:r>
      <w:r>
        <w:rPr>
          <w:rFonts w:hint="eastAsia" w:ascii="Times New Roman" w:hAnsi="Times New Roman" w:eastAsia="宋体" w:cs="宋体"/>
          <w:color w:val="000000"/>
          <w:kern w:val="2"/>
          <w:sz w:val="24"/>
          <w:szCs w:val="24"/>
          <w:lang w:val="en-US" w:eastAsia="zh-CN" w:bidi="ar-SA"/>
          <w:woUserID w:val="1"/>
        </w:rPr>
        <w:t>应具备</w:t>
      </w:r>
      <w:r>
        <w:rPr>
          <w:rFonts w:hint="eastAsia" w:ascii="Times New Roman" w:hAnsi="Times New Roman" w:eastAsia="宋体" w:cs="宋体"/>
          <w:color w:val="000000"/>
          <w:kern w:val="2"/>
          <w:sz w:val="24"/>
          <w:szCs w:val="24"/>
          <w:lang w:val="en-US" w:eastAsia="zh" w:bidi="ar-SA"/>
          <w:woUserID w:val="1"/>
        </w:rPr>
        <w:t>覆盖储备资产、赎回义务和流动性等核心要求。这种互认机制本质上是在高标准发育之间构建一个合规范本，以协同抬高准入门槛的方式挤压离岸数据避风港的空间。同时也证明了应对套利的最优路径，</w:t>
      </w:r>
      <w:r>
        <w:rPr>
          <w:rFonts w:hint="eastAsia" w:ascii="Times New Roman" w:hAnsi="Times New Roman" w:eastAsia="宋体" w:cs="宋体"/>
          <w:color w:val="000000"/>
          <w:kern w:val="2"/>
          <w:sz w:val="24"/>
          <w:szCs w:val="24"/>
          <w:lang w:val="en-US" w:eastAsia="zh-CN" w:bidi="ar-SA"/>
          <w:woUserID w:val="1"/>
        </w:rPr>
        <w:t>其</w:t>
      </w:r>
      <w:r>
        <w:rPr>
          <w:rFonts w:hint="eastAsia" w:ascii="Times New Roman" w:hAnsi="Times New Roman" w:eastAsia="宋体" w:cs="宋体"/>
          <w:color w:val="000000"/>
          <w:kern w:val="2"/>
          <w:sz w:val="24"/>
          <w:szCs w:val="24"/>
          <w:lang w:val="en-US" w:eastAsia="zh" w:bidi="ar-SA"/>
          <w:woUserID w:val="1"/>
        </w:rPr>
        <w:t>并非</w:t>
      </w:r>
      <w:r>
        <w:rPr>
          <w:rFonts w:hint="eastAsia" w:ascii="Times New Roman" w:hAnsi="Times New Roman" w:eastAsia="宋体" w:cs="宋体"/>
          <w:color w:val="000000"/>
          <w:kern w:val="2"/>
          <w:sz w:val="24"/>
          <w:szCs w:val="24"/>
          <w:lang w:val="en-US" w:eastAsia="zh-CN" w:bidi="ar-SA"/>
          <w:woUserID w:val="1"/>
        </w:rPr>
        <w:t>只是</w:t>
      </w:r>
      <w:r>
        <w:rPr>
          <w:rFonts w:hint="eastAsia" w:ascii="Times New Roman" w:hAnsi="Times New Roman" w:eastAsia="宋体" w:cs="宋体"/>
          <w:color w:val="000000"/>
          <w:kern w:val="2"/>
          <w:sz w:val="24"/>
          <w:szCs w:val="24"/>
          <w:lang w:val="en-US" w:eastAsia="zh" w:bidi="ar-SA"/>
          <w:woUserID w:val="1"/>
        </w:rPr>
        <w:t>单边壁垒，而</w:t>
      </w:r>
      <w:r>
        <w:rPr>
          <w:rFonts w:hint="eastAsia" w:ascii="Times New Roman" w:hAnsi="Times New Roman" w:eastAsia="宋体" w:cs="宋体"/>
          <w:color w:val="000000"/>
          <w:kern w:val="2"/>
          <w:sz w:val="24"/>
          <w:szCs w:val="24"/>
          <w:lang w:val="en-US" w:eastAsia="zh-CN" w:bidi="ar-SA"/>
          <w:woUserID w:val="1"/>
        </w:rPr>
        <w:t>应</w:t>
      </w:r>
      <w:r>
        <w:rPr>
          <w:rFonts w:hint="eastAsia" w:ascii="Times New Roman" w:hAnsi="Times New Roman" w:eastAsia="宋体" w:cs="宋体"/>
          <w:color w:val="000000"/>
          <w:kern w:val="2"/>
          <w:sz w:val="24"/>
          <w:szCs w:val="24"/>
          <w:lang w:val="en-US" w:eastAsia="zh" w:bidi="ar-SA"/>
          <w:woUserID w:val="1"/>
        </w:rPr>
        <w:t>通过主权国家间的规则共振实现对与全球套利机会的系统系封堵。</w:t>
      </w:r>
      <w:r>
        <w:rPr>
          <w:rStyle w:val="17"/>
          <w:rFonts w:hint="eastAsia" w:ascii="Times New Roman" w:hAnsi="Times New Roman" w:eastAsia="宋体" w:cs="宋体"/>
          <w:color w:val="000000"/>
          <w:kern w:val="2"/>
          <w:sz w:val="24"/>
          <w:szCs w:val="24"/>
          <w:lang w:val="en-US" w:eastAsia="zh" w:bidi="ar-SA"/>
          <w:woUserID w:val="1"/>
        </w:rPr>
        <w:footnoteReference w:id="38"/>
      </w:r>
      <w:r>
        <w:rPr>
          <w:rFonts w:hint="eastAsia" w:ascii="Times New Roman" w:hAnsi="Times New Roman" w:eastAsia="宋体" w:cs="宋体"/>
          <w:color w:val="000000"/>
          <w:kern w:val="2"/>
          <w:sz w:val="24"/>
          <w:szCs w:val="24"/>
          <w:lang w:val="en-US" w:eastAsia="zh" w:bidi="ar-SA"/>
          <w:woUserID w:val="1"/>
        </w:rPr>
        <w:t xml:space="preserve">       </w:t>
      </w:r>
    </w:p>
    <w:p w14:paraId="42ADC1CA">
      <w:pPr>
        <w:keepNext w:val="0"/>
        <w:keepLines w:val="0"/>
        <w:widowControl/>
        <w:suppressLineNumbers w:val="0"/>
        <w:spacing w:beforeAutospacing="0" w:afterAutospacing="0" w:line="360" w:lineRule="auto"/>
        <w:ind w:left="0" w:leftChars="0" w:firstLine="440" w:firstLineChars="200"/>
        <w:jc w:val="left"/>
        <w:rPr>
          <w:rStyle w:val="15"/>
          <w:rFonts w:hint="eastAsia" w:ascii="Times New Roman" w:hAnsi="Times New Roman" w:eastAsia="宋体" w:cs="宋体"/>
          <w:color w:val="000000"/>
          <w:kern w:val="2"/>
          <w:sz w:val="24"/>
          <w:szCs w:val="24"/>
          <w:lang w:val="en-US" w:eastAsia="zh" w:bidi="ar-SA"/>
          <w:woUserID w:val="1"/>
        </w:rPr>
      </w:pPr>
      <w:r>
        <w:rPr>
          <w:rFonts w:hint="eastAsia"/>
          <w:sz w:val="22"/>
          <w:szCs w:val="28"/>
        </w:rPr>
        <w:t>数字时代的全球治理需要构建</w:t>
      </w:r>
      <w:r>
        <w:rPr>
          <w:rFonts w:hint="eastAsia"/>
          <w:sz w:val="22"/>
          <w:szCs w:val="28"/>
          <w:lang w:eastAsia="zh-CN"/>
        </w:rPr>
        <w:t>“</w:t>
      </w:r>
      <w:r>
        <w:rPr>
          <w:rFonts w:hint="eastAsia"/>
          <w:sz w:val="22"/>
          <w:szCs w:val="28"/>
        </w:rPr>
        <w:t>弹性规则带</w:t>
      </w:r>
      <w:r>
        <w:rPr>
          <w:rFonts w:hint="eastAsia"/>
          <w:sz w:val="22"/>
          <w:szCs w:val="28"/>
          <w:lang w:eastAsia="zh-CN"/>
        </w:rPr>
        <w:t>”，</w:t>
      </w:r>
      <w:r>
        <w:rPr>
          <w:rFonts w:hint="eastAsia"/>
          <w:sz w:val="22"/>
          <w:szCs w:val="28"/>
        </w:rPr>
        <w:t>通过智能合约条款</w:t>
      </w:r>
      <w:r>
        <w:rPr>
          <w:rFonts w:hint="eastAsia"/>
          <w:sz w:val="22"/>
          <w:szCs w:val="28"/>
          <w:lang w:val="en-US" w:eastAsia="zh-CN"/>
        </w:rPr>
        <w:t>等</w:t>
      </w:r>
      <w:r>
        <w:rPr>
          <w:rFonts w:hint="eastAsia"/>
          <w:sz w:val="22"/>
          <w:szCs w:val="28"/>
        </w:rPr>
        <w:t>技术嵌入</w:t>
      </w:r>
      <w:r>
        <w:rPr>
          <w:rFonts w:hint="eastAsia"/>
          <w:sz w:val="22"/>
          <w:szCs w:val="28"/>
          <w:lang w:val="en-US" w:eastAsia="zh-CN"/>
        </w:rPr>
        <w:t>手段</w:t>
      </w:r>
      <w:r>
        <w:rPr>
          <w:rFonts w:hint="eastAsia"/>
          <w:sz w:val="22"/>
          <w:szCs w:val="28"/>
        </w:rPr>
        <w:t>、</w:t>
      </w:r>
      <w:r>
        <w:rPr>
          <w:rFonts w:hint="eastAsia"/>
          <w:sz w:val="22"/>
          <w:szCs w:val="28"/>
          <w:lang w:val="en-US" w:eastAsia="zh-CN"/>
        </w:rPr>
        <w:t>以</w:t>
      </w:r>
      <w:r>
        <w:rPr>
          <w:rFonts w:hint="eastAsia"/>
          <w:sz w:val="22"/>
          <w:szCs w:val="28"/>
        </w:rPr>
        <w:t>等效性互认</w:t>
      </w:r>
      <w:r>
        <w:rPr>
          <w:rFonts w:hint="eastAsia"/>
          <w:sz w:val="22"/>
          <w:szCs w:val="28"/>
          <w:lang w:val="en-US" w:eastAsia="zh-CN"/>
        </w:rPr>
        <w:t>实现</w:t>
      </w:r>
      <w:r>
        <w:rPr>
          <w:rFonts w:hint="eastAsia"/>
          <w:sz w:val="22"/>
          <w:szCs w:val="28"/>
        </w:rPr>
        <w:t>制度共振</w:t>
      </w:r>
      <w:r>
        <w:rPr>
          <w:rFonts w:hint="eastAsia"/>
          <w:sz w:val="22"/>
          <w:szCs w:val="28"/>
          <w:lang w:eastAsia="zh-CN"/>
        </w:rPr>
        <w:t>，</w:t>
      </w:r>
      <w:r>
        <w:rPr>
          <w:rFonts w:hint="eastAsia"/>
          <w:sz w:val="22"/>
          <w:szCs w:val="28"/>
          <w:lang w:val="en-US" w:eastAsia="zh-CN"/>
        </w:rPr>
        <w:t>加诸</w:t>
      </w:r>
      <w:r>
        <w:rPr>
          <w:rFonts w:hint="eastAsia"/>
          <w:sz w:val="22"/>
          <w:szCs w:val="28"/>
        </w:rPr>
        <w:t>本地托管要求</w:t>
      </w:r>
      <w:r>
        <w:rPr>
          <w:rFonts w:hint="eastAsia"/>
          <w:sz w:val="22"/>
          <w:szCs w:val="28"/>
          <w:lang w:val="en-US" w:eastAsia="zh-CN"/>
        </w:rPr>
        <w:t>以</w:t>
      </w:r>
      <w:r>
        <w:rPr>
          <w:rFonts w:hint="eastAsia"/>
          <w:sz w:val="22"/>
          <w:szCs w:val="28"/>
        </w:rPr>
        <w:t>锚定主权</w:t>
      </w:r>
      <w:r>
        <w:rPr>
          <w:rFonts w:hint="eastAsia"/>
          <w:sz w:val="22"/>
          <w:szCs w:val="28"/>
          <w:lang w:eastAsia="zh-CN"/>
        </w:rPr>
        <w:t>，</w:t>
      </w:r>
      <w:r>
        <w:rPr>
          <w:rFonts w:hint="eastAsia"/>
          <w:sz w:val="22"/>
          <w:szCs w:val="28"/>
        </w:rPr>
        <w:t>在算法自治与法律规制、全球效率与本土主权的张力中寻求动态平衡，这或许正是香港实践为全球数字金融治理提供的</w:t>
      </w:r>
      <w:r>
        <w:rPr>
          <w:rFonts w:hint="eastAsia"/>
          <w:sz w:val="22"/>
          <w:szCs w:val="28"/>
          <w:lang w:eastAsia="zh-CN"/>
        </w:rPr>
        <w:t>“</w:t>
      </w:r>
      <w:r>
        <w:rPr>
          <w:rFonts w:hint="eastAsia"/>
          <w:sz w:val="22"/>
          <w:szCs w:val="28"/>
        </w:rPr>
        <w:t>中国方案</w:t>
      </w:r>
      <w:r>
        <w:rPr>
          <w:rFonts w:hint="eastAsia"/>
          <w:sz w:val="22"/>
          <w:szCs w:val="28"/>
          <w:lang w:eastAsia="zh-CN"/>
        </w:rPr>
        <w:t>”</w:t>
      </w:r>
      <w:r>
        <w:rPr>
          <w:rFonts w:hint="eastAsia"/>
          <w:sz w:val="22"/>
          <w:szCs w:val="28"/>
        </w:rPr>
        <w:t>。</w:t>
      </w:r>
    </w:p>
    <w:p w14:paraId="1697E9B7">
      <w:pPr>
        <w:pStyle w:val="2"/>
        <w:bidi w:val="0"/>
        <w:ind w:left="0" w:leftChars="0" w:firstLine="0" w:firstLineChars="0"/>
        <w:rPr>
          <w:rFonts w:hint="default" w:ascii="宋体" w:hAnsi="宋体" w:eastAsia="宋体" w:cs="宋体"/>
          <w:sz w:val="28"/>
          <w:szCs w:val="28"/>
          <w:lang w:val="en-US" w:eastAsia="zh-CN"/>
          <w:woUserID w:val="1"/>
        </w:rPr>
      </w:pPr>
      <w:r>
        <w:rPr>
          <w:rFonts w:hint="eastAsia" w:ascii="宋体" w:hAnsi="宋体" w:eastAsia="宋体" w:cs="宋体"/>
          <w:sz w:val="28"/>
          <w:szCs w:val="28"/>
          <w:lang w:val="en-US" w:eastAsia="zh-CN"/>
          <w:woUserID w:val="1"/>
        </w:rPr>
        <w:t>香港</w:t>
      </w:r>
      <w:r>
        <w:rPr>
          <w:rFonts w:hint="eastAsia" w:ascii="宋体" w:hAnsi="宋体" w:eastAsia="宋体" w:cs="宋体"/>
          <w:sz w:val="28"/>
          <w:szCs w:val="28"/>
          <w:lang w:val="en-US" w:eastAsia="zh"/>
          <w:woUserID w:val="1"/>
        </w:rPr>
        <w:t>规制范式转型的法理证成</w:t>
      </w:r>
      <w:r>
        <w:rPr>
          <w:rFonts w:hint="eastAsia" w:ascii="宋体" w:hAnsi="宋体" w:eastAsia="宋体" w:cs="宋体"/>
          <w:sz w:val="28"/>
          <w:szCs w:val="28"/>
          <w:lang w:val="en-US" w:eastAsia="zh-CN"/>
          <w:woUserID w:val="1"/>
        </w:rPr>
        <w:t>与</w:t>
      </w:r>
      <w:r>
        <w:rPr>
          <w:rFonts w:hint="eastAsia" w:ascii="宋体" w:hAnsi="宋体" w:eastAsia="宋体" w:cs="宋体"/>
          <w:sz w:val="28"/>
          <w:szCs w:val="28"/>
          <w:lang w:val="en-US" w:eastAsia="zh"/>
          <w:woUserID w:val="1"/>
        </w:rPr>
        <w:t>全球示范意义</w:t>
      </w:r>
    </w:p>
    <w:p w14:paraId="29258DCA">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eastAsia" w:asciiTheme="minorHAnsi" w:hAnsiTheme="minorHAnsi" w:eastAsiaTheme="minorEastAsia" w:cstheme="minorBidi"/>
          <w:kern w:val="2"/>
          <w:sz w:val="22"/>
          <w:szCs w:val="28"/>
          <w:lang w:val="en-US" w:eastAsia="zh-CN" w:bidi="ar-SA"/>
        </w:rPr>
        <w:t>香港《条例》的</w:t>
      </w:r>
      <w:r>
        <w:rPr>
          <w:rFonts w:hint="eastAsia" w:cstheme="minorBidi"/>
          <w:kern w:val="2"/>
          <w:sz w:val="22"/>
          <w:szCs w:val="28"/>
          <w:lang w:val="en-US" w:eastAsia="zh-CN" w:bidi="ar-SA"/>
        </w:rPr>
        <w:t>生效</w:t>
      </w:r>
      <w:r>
        <w:rPr>
          <w:rFonts w:hint="eastAsia" w:asciiTheme="minorHAnsi" w:hAnsiTheme="minorHAnsi" w:eastAsiaTheme="minorEastAsia" w:cstheme="minorBidi"/>
          <w:kern w:val="2"/>
          <w:sz w:val="22"/>
          <w:szCs w:val="28"/>
          <w:lang w:val="en-US" w:eastAsia="zh-CN" w:bidi="ar-SA"/>
        </w:rPr>
        <w:t>，标志着全球首个针对法定货币锚定稳定币的全面监管框架在亚洲落地，是我国在数字金融领域的重大突破，更是对传统监管范式的根本性重构。面对区块链技术架构与传统法律框架之间的深刻矛盾，《条例》通过制度创新实现了从物理管控向规则创新、从</w:t>
      </w:r>
      <w:r>
        <w:rPr>
          <w:rFonts w:hint="default" w:asciiTheme="minorHAnsi" w:hAnsiTheme="minorHAnsi" w:eastAsiaTheme="minorEastAsia" w:cstheme="minorBidi"/>
          <w:kern w:val="2"/>
          <w:sz w:val="22"/>
          <w:szCs w:val="28"/>
          <w:lang w:val="en-US" w:eastAsia="zh-CN" w:bidi="ar-SA"/>
        </w:rPr>
        <w:t>主权对抗到规则共振</w:t>
      </w:r>
      <w:r>
        <w:rPr>
          <w:rFonts w:hint="eastAsia" w:asciiTheme="minorHAnsi" w:hAnsiTheme="minorHAnsi" w:eastAsiaTheme="minorEastAsia" w:cstheme="minorBidi"/>
          <w:kern w:val="2"/>
          <w:sz w:val="22"/>
          <w:szCs w:val="28"/>
          <w:lang w:val="en-US" w:eastAsia="zh-CN" w:bidi="ar-SA"/>
        </w:rPr>
        <w:t>、从传统地域管辖到逻辑共识创新的三重转变，为全球数字金融治理提公里具有普世价值的</w:t>
      </w:r>
      <w:r>
        <w:rPr>
          <w:rFonts w:hint="eastAsia" w:cstheme="minorBidi"/>
          <w:kern w:val="2"/>
          <w:sz w:val="22"/>
          <w:szCs w:val="28"/>
          <w:lang w:val="en-US" w:eastAsia="zh-CN" w:bidi="ar-SA"/>
        </w:rPr>
        <w:t>东方范式</w:t>
      </w:r>
      <w:r>
        <w:rPr>
          <w:rFonts w:hint="eastAsia" w:asciiTheme="minorHAnsi" w:hAnsiTheme="minorHAnsi" w:eastAsiaTheme="minorEastAsia" w:cstheme="minorBidi"/>
          <w:kern w:val="2"/>
          <w:sz w:val="22"/>
          <w:szCs w:val="28"/>
          <w:lang w:val="en-US" w:eastAsia="zh-CN" w:bidi="ar-SA"/>
        </w:rPr>
        <w:t>。</w:t>
      </w:r>
    </w:p>
    <w:p w14:paraId="5E4574C6">
      <w:pPr>
        <w:pStyle w:val="11"/>
        <w:keepNext w:val="0"/>
        <w:keepLines w:val="0"/>
        <w:pageBreakBefore w:val="0"/>
        <w:widowControl/>
        <w:numPr>
          <w:ilvl w:val="0"/>
          <w:numId w:val="5"/>
        </w:numPr>
        <w:suppressLineNumbers w:val="0"/>
        <w:kinsoku/>
        <w:wordWrap/>
        <w:overflowPunct/>
        <w:topLinePunct w:val="0"/>
        <w:autoSpaceDN/>
        <w:bidi w:val="0"/>
        <w:adjustRightInd/>
        <w:snapToGrid/>
        <w:spacing w:before="0" w:beforeAutospacing="0" w:after="0" w:afterAutospacing="0" w:line="360" w:lineRule="auto"/>
        <w:ind w:left="0" w:leftChars="0" w:right="0" w:firstLine="482" w:firstLineChars="200"/>
        <w:jc w:val="both"/>
        <w:textAlignment w:val="auto"/>
        <w:rPr>
          <w:rFonts w:hint="eastAsia"/>
          <w:b/>
          <w:bCs/>
          <w:sz w:val="24"/>
          <w:szCs w:val="32"/>
        </w:rPr>
      </w:pPr>
      <w:r>
        <w:rPr>
          <w:rFonts w:hint="eastAsia"/>
          <w:b/>
          <w:bCs/>
          <w:sz w:val="24"/>
          <w:szCs w:val="32"/>
        </w:rPr>
        <w:t>从物理管控到规则创新</w:t>
      </w:r>
    </w:p>
    <w:p w14:paraId="659DA000">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asciiTheme="minorHAnsi" w:hAnsiTheme="minorHAnsi" w:eastAsiaTheme="minorEastAsia" w:cstheme="minorBidi"/>
          <w:kern w:val="2"/>
          <w:sz w:val="22"/>
          <w:szCs w:val="28"/>
          <w:lang w:val="en-US" w:eastAsia="zh-CN" w:bidi="ar-SA"/>
        </w:rPr>
      </w:pPr>
      <w:r>
        <w:rPr>
          <w:rFonts w:hint="eastAsia" w:cstheme="minorBidi"/>
          <w:kern w:val="2"/>
          <w:sz w:val="22"/>
          <w:szCs w:val="28"/>
          <w:lang w:val="en-US" w:eastAsia="zh-CN" w:bidi="ar-SA"/>
        </w:rPr>
        <w:t>1.</w:t>
      </w:r>
      <w:r>
        <w:rPr>
          <w:rFonts w:hint="eastAsia" w:asciiTheme="minorHAnsi" w:hAnsiTheme="minorHAnsi" w:eastAsiaTheme="minorEastAsia" w:cstheme="minorBidi"/>
          <w:kern w:val="2"/>
          <w:sz w:val="22"/>
          <w:szCs w:val="28"/>
          <w:lang w:val="en-US" w:eastAsia="zh-CN" w:bidi="ar-SA"/>
        </w:rPr>
        <w:t>规则设计的本土化调适​</w:t>
      </w:r>
    </w:p>
    <w:p w14:paraId="1B8EE11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eastAsia" w:asciiTheme="minorHAnsi" w:hAnsiTheme="minorHAnsi" w:eastAsiaTheme="minorEastAsia" w:cstheme="minorBidi"/>
          <w:kern w:val="2"/>
          <w:sz w:val="22"/>
          <w:szCs w:val="28"/>
          <w:lang w:val="en-US" w:eastAsia="zh-CN" w:bidi="ar-SA"/>
        </w:rPr>
        <w:t>针对稳定币“无国界性”与“匿名性”特征，《条例》建立“持牌准入+信托隔离”双轨制</w:t>
      </w:r>
      <w:r>
        <w:rPr>
          <w:rFonts w:hint="eastAsia" w:cstheme="minorBidi"/>
          <w:kern w:val="2"/>
          <w:sz w:val="22"/>
          <w:szCs w:val="28"/>
          <w:lang w:val="en-US" w:eastAsia="zh-CN" w:bidi="ar-SA"/>
        </w:rPr>
        <w:t>监管体系。</w:t>
      </w:r>
      <w:r>
        <w:rPr>
          <w:rFonts w:hint="eastAsia" w:cstheme="minorBidi"/>
          <w:kern w:val="2"/>
          <w:sz w:val="22"/>
          <w:szCs w:val="28"/>
          <w:lang w:val="en-US" w:eastAsia="zh" w:bidi="ar-SA"/>
          <w:woUserID w:val="1"/>
        </w:rPr>
        <w:t>关于持牌与准入规定中，</w:t>
      </w:r>
      <w:r>
        <w:rPr>
          <w:rFonts w:hint="eastAsia" w:cstheme="minorBidi"/>
          <w:kern w:val="2"/>
          <w:sz w:val="22"/>
          <w:szCs w:val="28"/>
          <w:lang w:val="en-US" w:eastAsia="zh-CN" w:bidi="ar-SA"/>
        </w:rPr>
        <w:t>任何持牌人就其发行的每一“指明稳定币”类别，必须设立独立且唯一的指明储备资产组合，该组合的市值在任何时点不得低于相应稳定币尚未赎回的流通总量之面值，实行严格1:1全额兑付。</w:t>
      </w:r>
      <w:r>
        <w:rPr>
          <w:rStyle w:val="17"/>
          <w:rFonts w:hint="eastAsia" w:cstheme="minorBidi"/>
          <w:kern w:val="2"/>
          <w:sz w:val="22"/>
          <w:szCs w:val="28"/>
          <w:lang w:val="en-US" w:eastAsia="zh-CN" w:bidi="ar-SA"/>
        </w:rPr>
        <w:footnoteReference w:id="39"/>
      </w:r>
      <w:r>
        <w:rPr>
          <w:rFonts w:hint="default" w:asciiTheme="minorHAnsi" w:hAnsiTheme="minorHAnsi" w:eastAsiaTheme="minorEastAsia" w:cstheme="minorBidi"/>
          <w:kern w:val="2"/>
          <w:sz w:val="22"/>
          <w:szCs w:val="28"/>
          <w:lang w:val="en-US" w:eastAsia="zh-CN" w:bidi="ar-SA"/>
        </w:rPr>
        <w:t>在准入机制上，采用强制发牌制度，要求稳定币发行人均需向金管局提交申请，通过资本充足率、风险管理体系、公司治理结构</w:t>
      </w:r>
      <w:r>
        <w:rPr>
          <w:rFonts w:hint="eastAsia" w:cstheme="minorBidi"/>
          <w:kern w:val="2"/>
          <w:sz w:val="22"/>
          <w:szCs w:val="28"/>
          <w:lang w:val="en-US" w:eastAsia="zh-CN" w:bidi="ar-SA"/>
        </w:rPr>
        <w:t>的</w:t>
      </w:r>
      <w:r>
        <w:rPr>
          <w:rFonts w:hint="default" w:asciiTheme="minorHAnsi" w:hAnsiTheme="minorHAnsi" w:eastAsiaTheme="minorEastAsia" w:cstheme="minorBidi"/>
          <w:kern w:val="2"/>
          <w:sz w:val="22"/>
          <w:szCs w:val="28"/>
          <w:lang w:val="en-US" w:eastAsia="zh-CN" w:bidi="ar-SA"/>
        </w:rPr>
        <w:t>多维度审查</w:t>
      </w:r>
      <w:r>
        <w:rPr>
          <w:rFonts w:hint="eastAsia" w:cstheme="minorBidi"/>
          <w:kern w:val="2"/>
          <w:sz w:val="22"/>
          <w:szCs w:val="28"/>
          <w:lang w:val="en-US" w:eastAsia="zh-CN" w:bidi="ar-SA"/>
        </w:rPr>
        <w:t>。</w:t>
      </w:r>
      <w:r>
        <w:rPr>
          <w:rStyle w:val="17"/>
          <w:rFonts w:hint="eastAsia" w:cstheme="minorBidi"/>
          <w:kern w:val="2"/>
          <w:sz w:val="22"/>
          <w:szCs w:val="28"/>
          <w:lang w:val="en-US" w:eastAsia="zh-CN" w:bidi="ar-SA"/>
        </w:rPr>
        <w:footnoteReference w:id="40"/>
      </w:r>
      <w:r>
        <w:rPr>
          <w:rFonts w:hint="eastAsia" w:cstheme="minorBidi"/>
          <w:kern w:val="2"/>
          <w:sz w:val="22"/>
          <w:szCs w:val="28"/>
          <w:lang w:val="en-US" w:eastAsia="zh-CN" w:bidi="ar-SA"/>
        </w:rPr>
        <w:t>同时，</w:t>
      </w:r>
      <w:r>
        <w:rPr>
          <w:rFonts w:hint="default" w:asciiTheme="minorHAnsi" w:hAnsiTheme="minorHAnsi" w:eastAsiaTheme="minorEastAsia" w:cstheme="minorBidi"/>
          <w:kern w:val="2"/>
          <w:sz w:val="22"/>
          <w:szCs w:val="28"/>
          <w:lang w:val="en-US" w:eastAsia="zh-CN" w:bidi="ar-SA"/>
        </w:rPr>
        <w:t>持牌人须在任何时候确保其维持的已缴股本不少于2500万港元，或款额相等且经金融管理专员批准的其他财政资源</w:t>
      </w:r>
      <w:r>
        <w:rPr>
          <w:rFonts w:hint="eastAsia" w:cstheme="minorBidi"/>
          <w:kern w:val="2"/>
          <w:sz w:val="22"/>
          <w:szCs w:val="28"/>
          <w:lang w:val="en-US" w:eastAsia="zh-CN" w:bidi="ar-SA"/>
        </w:rPr>
        <w:t>，</w:t>
      </w:r>
      <w:r>
        <w:rPr>
          <w:rStyle w:val="17"/>
          <w:rFonts w:hint="default" w:asciiTheme="minorHAnsi" w:hAnsiTheme="minorHAnsi" w:eastAsiaTheme="minorEastAsia" w:cstheme="minorBidi"/>
          <w:kern w:val="2"/>
          <w:sz w:val="22"/>
          <w:szCs w:val="28"/>
          <w:lang w:val="en-US" w:eastAsia="zh-CN" w:bidi="ar-SA"/>
        </w:rPr>
        <w:footnoteReference w:id="41"/>
      </w:r>
      <w:r>
        <w:rPr>
          <w:rFonts w:hint="eastAsia" w:cstheme="minorBidi"/>
          <w:kern w:val="2"/>
          <w:sz w:val="22"/>
          <w:szCs w:val="28"/>
          <w:lang w:val="en-US" w:eastAsia="zh-CN" w:bidi="ar-SA"/>
        </w:rPr>
        <w:t>通过提升保</w:t>
      </w:r>
      <w:r>
        <w:rPr>
          <w:rFonts w:hint="default" w:asciiTheme="minorHAnsi" w:hAnsiTheme="minorHAnsi" w:eastAsiaTheme="minorEastAsia" w:cstheme="minorBidi"/>
          <w:kern w:val="2"/>
          <w:sz w:val="22"/>
          <w:szCs w:val="28"/>
          <w:lang w:val="en-US" w:eastAsia="zh-CN" w:bidi="ar-SA"/>
        </w:rPr>
        <w:t>资本</w:t>
      </w:r>
      <w:r>
        <w:rPr>
          <w:rFonts w:hint="eastAsia" w:cstheme="minorBidi"/>
          <w:kern w:val="2"/>
          <w:sz w:val="22"/>
          <w:szCs w:val="28"/>
          <w:lang w:val="en-US" w:eastAsia="zh-CN" w:bidi="ar-SA"/>
        </w:rPr>
        <w:t>准入</w:t>
      </w:r>
      <w:r>
        <w:rPr>
          <w:rFonts w:hint="default" w:asciiTheme="minorHAnsi" w:hAnsiTheme="minorHAnsi" w:eastAsiaTheme="minorEastAsia" w:cstheme="minorBidi"/>
          <w:kern w:val="2"/>
          <w:sz w:val="22"/>
          <w:szCs w:val="28"/>
          <w:lang w:val="en-US" w:eastAsia="zh-CN" w:bidi="ar-SA"/>
        </w:rPr>
        <w:t>门槛</w:t>
      </w:r>
      <w:r>
        <w:rPr>
          <w:rFonts w:hint="eastAsia" w:cstheme="minorBidi"/>
          <w:kern w:val="2"/>
          <w:sz w:val="22"/>
          <w:szCs w:val="28"/>
          <w:lang w:val="en-US" w:eastAsia="zh-CN" w:bidi="ar-SA"/>
        </w:rPr>
        <w:t>的方式来</w:t>
      </w:r>
      <w:r>
        <w:rPr>
          <w:rFonts w:hint="default" w:asciiTheme="minorHAnsi" w:hAnsiTheme="minorHAnsi" w:eastAsiaTheme="minorEastAsia" w:cstheme="minorBidi"/>
          <w:kern w:val="2"/>
          <w:sz w:val="22"/>
          <w:szCs w:val="28"/>
          <w:lang w:val="en-US" w:eastAsia="zh-CN" w:bidi="ar-SA"/>
        </w:rPr>
        <w:t>确保发行人具备风险抵御能力。</w:t>
      </w:r>
      <w:r>
        <w:rPr>
          <w:rFonts w:hint="eastAsia" w:cstheme="minorBidi"/>
          <w:kern w:val="2"/>
          <w:sz w:val="22"/>
          <w:szCs w:val="28"/>
          <w:lang w:val="en-US" w:eastAsia="zh" w:bidi="ar-SA"/>
          <w:woUserID w:val="1"/>
        </w:rPr>
        <w:t>在信托</w:t>
      </w:r>
      <w:r>
        <w:rPr>
          <w:rFonts w:hint="eastAsia" w:asciiTheme="minorHAnsi" w:hAnsiTheme="minorHAnsi" w:eastAsiaTheme="minorEastAsia" w:cstheme="minorBidi"/>
          <w:kern w:val="2"/>
          <w:sz w:val="22"/>
          <w:szCs w:val="28"/>
          <w:lang w:val="en-US" w:eastAsia="zh-CN" w:bidi="ar-SA"/>
          <w:woUserID w:val="1"/>
        </w:rPr>
        <w:t>隔离</w:t>
      </w:r>
      <w:r>
        <w:rPr>
          <w:rFonts w:hint="eastAsia" w:cstheme="minorBidi"/>
          <w:kern w:val="2"/>
          <w:sz w:val="22"/>
          <w:szCs w:val="28"/>
          <w:lang w:val="en-US" w:eastAsia="zh" w:bidi="ar-SA"/>
          <w:woUserID w:val="1"/>
        </w:rPr>
        <w:t>规定中，无论是对于储备资产的隔离还是对于资产托管人的选择人，《条例》都做了明确要求。</w:t>
      </w:r>
      <w:r>
        <w:rPr>
          <w:rFonts w:hint="eastAsia" w:cstheme="minorBidi"/>
          <w:kern w:val="2"/>
          <w:sz w:val="22"/>
          <w:szCs w:val="28"/>
          <w:lang w:val="en-US" w:eastAsia="zh-CN" w:bidi="ar-SA"/>
        </w:rPr>
        <w:t>但现实操作中，储备资产与流通量之间确实存在时空错位的问题</w:t>
      </w:r>
      <w:r>
        <w:rPr>
          <w:rFonts w:hint="eastAsia" w:cstheme="minorBidi"/>
          <w:kern w:val="2"/>
          <w:sz w:val="22"/>
          <w:szCs w:val="28"/>
          <w:lang w:val="en-US" w:eastAsia="zh" w:bidi="ar-SA"/>
          <w:woUserID w:val="1"/>
        </w:rPr>
        <w:t>，现阶段，无论是香港、英国还是美国，对该问题的解决方案均为独立审计，</w:t>
      </w:r>
      <w:r>
        <w:rPr>
          <w:rFonts w:hint="eastAsia" w:cstheme="minorBidi"/>
          <w:kern w:val="2"/>
          <w:sz w:val="22"/>
          <w:szCs w:val="28"/>
          <w:lang w:val="en-US" w:eastAsia="zh-CN" w:bidi="ar-SA"/>
          <w:woUserID w:val="1"/>
        </w:rPr>
        <w:t>以审计师出具的审计报告为准</w:t>
      </w:r>
      <w:r>
        <w:rPr>
          <w:rFonts w:hint="eastAsia" w:cstheme="minorBidi"/>
          <w:kern w:val="2"/>
          <w:sz w:val="22"/>
          <w:szCs w:val="28"/>
          <w:lang w:val="en-US" w:eastAsia="zh" w:bidi="ar-SA"/>
          <w:woUserID w:val="1"/>
        </w:rPr>
        <w:t>。</w:t>
      </w:r>
      <w:r>
        <w:rPr>
          <w:rFonts w:hint="eastAsia" w:cstheme="minorBidi"/>
          <w:kern w:val="2"/>
          <w:sz w:val="22"/>
          <w:szCs w:val="28"/>
          <w:lang w:val="en-US" w:eastAsia="zh-CN" w:bidi="ar-SA"/>
          <w:woUserID w:val="1"/>
        </w:rPr>
        <w:t>目前</w:t>
      </w:r>
      <w:r>
        <w:rPr>
          <w:rFonts w:hint="eastAsia" w:cstheme="minorBidi"/>
          <w:kern w:val="2"/>
          <w:sz w:val="22"/>
          <w:szCs w:val="28"/>
          <w:lang w:val="en-US" w:eastAsia="zh" w:bidi="ar-SA"/>
          <w:woUserID w:val="1"/>
        </w:rPr>
        <w:t>，</w:t>
      </w:r>
      <w:r>
        <w:rPr>
          <w:rFonts w:hint="eastAsia" w:cstheme="minorBidi"/>
          <w:kern w:val="2"/>
          <w:sz w:val="22"/>
          <w:szCs w:val="28"/>
          <w:lang w:val="en-US" w:eastAsia="zh-CN" w:bidi="ar-SA"/>
          <w:woUserID w:val="1"/>
        </w:rPr>
        <w:t>USDC由Deloitte出具审计报告，</w:t>
      </w:r>
      <w:r>
        <w:rPr>
          <w:rStyle w:val="17"/>
          <w:rFonts w:hint="eastAsia" w:cstheme="minorBidi"/>
          <w:kern w:val="2"/>
          <w:sz w:val="22"/>
          <w:szCs w:val="28"/>
          <w:lang w:val="en-US" w:eastAsia="zh-CN" w:bidi="ar-SA"/>
          <w:woUserID w:val="1"/>
        </w:rPr>
        <w:footnoteReference w:id="42"/>
      </w:r>
      <w:r>
        <w:rPr>
          <w:rFonts w:hint="eastAsia" w:cstheme="minorBidi"/>
          <w:kern w:val="2"/>
          <w:sz w:val="22"/>
          <w:szCs w:val="28"/>
          <w:lang w:val="en-US" w:eastAsia="zh-CN" w:bidi="ar-SA"/>
          <w:woUserID w:val="1"/>
        </w:rPr>
        <w:t>USDT则由BDO Italia出具，</w:t>
      </w:r>
      <w:r>
        <w:rPr>
          <w:rStyle w:val="17"/>
          <w:rFonts w:hint="eastAsia" w:cstheme="minorBidi"/>
          <w:kern w:val="2"/>
          <w:sz w:val="22"/>
          <w:szCs w:val="28"/>
          <w:lang w:val="en-US" w:eastAsia="zh-CN" w:bidi="ar-SA"/>
          <w:woUserID w:val="1"/>
        </w:rPr>
        <w:footnoteReference w:id="43"/>
      </w:r>
      <w:r>
        <w:rPr>
          <w:rFonts w:hint="eastAsia" w:cstheme="minorBidi"/>
          <w:kern w:val="2"/>
          <w:sz w:val="22"/>
          <w:szCs w:val="28"/>
          <w:lang w:val="en-US" w:eastAsia="zh-CN" w:bidi="ar-SA"/>
          <w:woUserID w:val="1"/>
        </w:rPr>
        <w:t>通过报告明确审计室通过核对银行账单、托管账户信息与链上供应量来确认1:1挂钩，仅有Chainlink与某些DeFi项目合作极少数使用预言机进行“准备金证明”的实时链上验证。</w:t>
      </w:r>
      <w:r>
        <w:rPr>
          <w:rStyle w:val="17"/>
          <w:rFonts w:hint="eastAsia" w:cstheme="minorBidi"/>
          <w:kern w:val="2"/>
          <w:sz w:val="22"/>
          <w:szCs w:val="28"/>
          <w:lang w:val="en-US" w:eastAsia="zh-CN" w:bidi="ar-SA"/>
          <w:woUserID w:val="1"/>
        </w:rPr>
        <w:footnoteReference w:id="44"/>
      </w:r>
      <w:r>
        <w:rPr>
          <w:rFonts w:hint="eastAsia" w:cstheme="minorBidi"/>
          <w:kern w:val="2"/>
          <w:sz w:val="22"/>
          <w:szCs w:val="28"/>
          <w:lang w:val="en-US" w:eastAsia="zh" w:bidi="ar-SA"/>
          <w:woUserID w:val="1"/>
        </w:rPr>
        <w:t>为解决这一问题，更好的适配稳定币交易快速高效且透明的特点，香港可以创新性试探所</w:t>
      </w:r>
      <w:r>
        <w:rPr>
          <w:rFonts w:hint="eastAsia" w:cstheme="minorBidi"/>
          <w:kern w:val="2"/>
          <w:sz w:val="22"/>
          <w:szCs w:val="28"/>
          <w:lang w:val="en-US" w:eastAsia="zh-CN" w:bidi="ar-SA"/>
        </w:rPr>
        <w:t>通过沙盒模式，</w:t>
      </w:r>
      <w:r>
        <w:rPr>
          <w:rFonts w:hint="eastAsia" w:cstheme="minorBidi"/>
          <w:kern w:val="2"/>
          <w:sz w:val="22"/>
          <w:szCs w:val="28"/>
          <w:lang w:val="en-US" w:eastAsia="zh" w:bidi="ar-SA"/>
          <w:woUserID w:val="1"/>
        </w:rPr>
        <w:t>由稳定币发行人</w:t>
      </w:r>
      <w:r>
        <w:rPr>
          <w:rFonts w:hint="eastAsia" w:cstheme="minorBidi"/>
          <w:kern w:val="2"/>
          <w:sz w:val="22"/>
          <w:szCs w:val="28"/>
          <w:lang w:val="en-US" w:eastAsia="zh-CN" w:bidi="ar-SA"/>
        </w:rPr>
        <w:t>建立“预言机（Oracle）数据验证机制”。该机制</w:t>
      </w:r>
      <w:r>
        <w:rPr>
          <w:rFonts w:hint="eastAsia" w:cstheme="minorBidi"/>
          <w:kern w:val="2"/>
          <w:sz w:val="22"/>
          <w:szCs w:val="28"/>
          <w:lang w:val="en-US" w:eastAsia="zh" w:bidi="ar-SA"/>
          <w:woUserID w:val="1"/>
        </w:rPr>
        <w:t>可以</w:t>
      </w:r>
      <w:r>
        <w:rPr>
          <w:rFonts w:hint="eastAsia" w:cstheme="minorBidi"/>
          <w:kern w:val="2"/>
          <w:sz w:val="22"/>
          <w:szCs w:val="28"/>
          <w:lang w:val="en-US" w:eastAsia="zh-CN" w:bidi="ar-SA"/>
        </w:rPr>
        <w:t>通过将链下银行账户的法定货币余额或高流动性资产估值，与链上稳定币的实时供应量进行自动对冲校验，确保储备资产的透明性与实时性。</w:t>
      </w:r>
    </w:p>
    <w:p w14:paraId="1D07A6F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cstheme="minorBidi"/>
          <w:kern w:val="2"/>
          <w:sz w:val="22"/>
          <w:szCs w:val="28"/>
          <w:lang w:val="en-US" w:eastAsia="zh-CN" w:bidi="ar-SA"/>
        </w:rPr>
      </w:pPr>
      <w:r>
        <w:rPr>
          <w:rFonts w:hint="eastAsia" w:cstheme="minorBidi"/>
          <w:kern w:val="2"/>
          <w:sz w:val="22"/>
          <w:szCs w:val="28"/>
          <w:lang w:val="en-US" w:eastAsia="zh-CN" w:bidi="ar-SA"/>
        </w:rPr>
        <w:t>从发展中得以窥见，《条例》正探索现实由周期性书面审查到实时化数据的跃迁，但目前在实务中仍侧重于依赖审计师的定期验证，且要求储备资产市值在“任何时间”均须达标的严苛规定，实际上为技术嵌入式监管预留了演进空间。针对传统审计在时间轴上的滞后性，引入“预言机实时核验机制”作为制度补强，将链下托管银行的资产数据与链上稳定币发行合约进行高频同步。当储备资产因市场波动跌破法定阈值时，监管系统可实现毫秒级的自动预警甚至干预。这种从“事后存证”向“事中监控”的范式转型，不仅是技术手段的更迭，更是对《条例》全额拨备原则在数字法治语境下的深度落实。</w:t>
      </w:r>
    </w:p>
    <w:p w14:paraId="61A0E21A">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default" w:asciiTheme="minorHAnsi" w:hAnsiTheme="minorHAnsi" w:eastAsiaTheme="minorEastAsia" w:cstheme="minorBidi"/>
          <w:kern w:val="2"/>
          <w:sz w:val="22"/>
          <w:szCs w:val="28"/>
          <w:lang w:val="en-US" w:eastAsia="zh-CN" w:bidi="ar-SA"/>
        </w:rPr>
        <w:t>2.制度创新的试验田效应​</w:t>
      </w:r>
    </w:p>
    <w:p w14:paraId="0D4771F0">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cstheme="minorBidi"/>
          <w:kern w:val="2"/>
          <w:sz w:val="22"/>
          <w:szCs w:val="28"/>
          <w:lang w:val="en-US" w:eastAsia="zh-CN" w:bidi="ar-SA"/>
        </w:rPr>
      </w:pPr>
      <w:r>
        <w:rPr>
          <w:rFonts w:hint="eastAsia" w:cstheme="minorBidi"/>
          <w:kern w:val="2"/>
          <w:sz w:val="22"/>
          <w:szCs w:val="28"/>
          <w:lang w:val="en-US" w:eastAsia="zh-CN" w:bidi="ar-SA"/>
        </w:rPr>
        <w:t>香港财经事务及库务局局长提到：“我们会继续与本地及海外监管机构保持紧密联系，并对于海外监管机构定里互认机制持开放态度，以促进跨境金融创新，同时保持监管无缝。”</w:t>
      </w:r>
      <w:r>
        <w:rPr>
          <w:rStyle w:val="17"/>
          <w:rFonts w:hint="eastAsia" w:cstheme="minorBidi"/>
          <w:kern w:val="2"/>
          <w:sz w:val="22"/>
          <w:szCs w:val="28"/>
          <w:lang w:val="en-US" w:eastAsia="zh-CN" w:bidi="ar-SA"/>
        </w:rPr>
        <w:footnoteReference w:id="45"/>
      </w:r>
      <w:r>
        <w:rPr>
          <w:rFonts w:hint="eastAsia" w:cstheme="minorBidi"/>
          <w:kern w:val="2"/>
          <w:sz w:val="22"/>
          <w:szCs w:val="28"/>
          <w:lang w:val="en-US" w:eastAsia="zh-CN" w:bidi="ar-SA"/>
        </w:rPr>
        <w:t>香港与新加坡、欧盟对于等效监管互认通道仍处于开放探索的阶段。这一机制的核心在于对不同国家和地域“同等监管”认可，</w:t>
      </w:r>
      <w:r>
        <w:rPr>
          <w:rFonts w:hint="eastAsia" w:cstheme="minorBidi"/>
          <w:kern w:val="2"/>
          <w:sz w:val="22"/>
          <w:szCs w:val="28"/>
          <w:lang w:val="en-US" w:eastAsia="zh" w:bidi="ar-SA"/>
          <w:woUserID w:val="1"/>
        </w:rPr>
        <w:t>但</w:t>
      </w:r>
      <w:r>
        <w:rPr>
          <w:rFonts w:hint="eastAsia" w:cstheme="minorBidi"/>
          <w:kern w:val="2"/>
          <w:sz w:val="22"/>
          <w:szCs w:val="28"/>
          <w:lang w:val="en-US" w:eastAsia="zh-CN" w:bidi="ar-SA"/>
        </w:rPr>
        <w:t>互认不是简单的法律亦是，而是基于结果导向的等效评估。推动互认通道多边协议的制定，在储备资产管理、反洗钱核查等重复性领域提供绿色审批通道，不仅</w:t>
      </w:r>
      <w:r>
        <w:rPr>
          <w:rFonts w:hint="eastAsia" w:cstheme="minorBidi"/>
          <w:kern w:val="2"/>
          <w:sz w:val="22"/>
          <w:szCs w:val="28"/>
          <w:lang w:val="en-US" w:eastAsia="zh" w:bidi="ar-SA"/>
          <w:woUserID w:val="1"/>
        </w:rPr>
        <w:t>可以降低</w:t>
      </w:r>
      <w:r>
        <w:rPr>
          <w:rFonts w:hint="eastAsia" w:cstheme="minorBidi"/>
          <w:kern w:val="2"/>
          <w:sz w:val="22"/>
          <w:szCs w:val="28"/>
          <w:lang w:val="en-US" w:eastAsia="zh-CN" w:bidi="ar-SA"/>
        </w:rPr>
        <w:t>全球合规发行人的制度摩擦成本，更</w:t>
      </w:r>
      <w:r>
        <w:rPr>
          <w:rFonts w:hint="eastAsia" w:cstheme="minorBidi"/>
          <w:kern w:val="2"/>
          <w:sz w:val="22"/>
          <w:szCs w:val="28"/>
          <w:lang w:val="en-US" w:eastAsia="zh" w:bidi="ar-SA"/>
          <w:woUserID w:val="1"/>
        </w:rPr>
        <w:t>能</w:t>
      </w:r>
      <w:r>
        <w:rPr>
          <w:rFonts w:hint="eastAsia" w:cstheme="minorBidi"/>
          <w:kern w:val="2"/>
          <w:sz w:val="22"/>
          <w:szCs w:val="28"/>
          <w:lang w:val="en-US" w:eastAsia="zh-CN" w:bidi="ar-SA"/>
        </w:rPr>
        <w:t>使香港成为连接东西Web3金融生态的转接桥，实现监管主权与全球化流动的平衡。</w:t>
      </w:r>
    </w:p>
    <w:p w14:paraId="49C7829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80" w:firstLineChars="200"/>
        <w:jc w:val="both"/>
        <w:textAlignment w:val="auto"/>
        <w:rPr>
          <w:rFonts w:hint="eastAsia" w:cstheme="minorBidi"/>
          <w:kern w:val="2"/>
          <w:sz w:val="22"/>
          <w:szCs w:val="28"/>
          <w:lang w:val="en-US" w:eastAsia="zh-CN" w:bidi="ar-SA"/>
        </w:rPr>
      </w:pPr>
      <w:r>
        <w:rPr>
          <w:rFonts w:ascii="宋体" w:hAnsi="宋体" w:eastAsia="宋体" w:cs="宋体"/>
          <w:sz w:val="24"/>
          <w:szCs w:val="24"/>
          <w:woUserID w:val="1"/>
        </w:rPr>
        <w:t>为确保监管框架的生命力，《条例》确立了根据</w:t>
      </w:r>
      <w:r>
        <w:rPr>
          <w:rFonts w:hint="eastAsia" w:ascii="宋体" w:hAnsi="宋体" w:eastAsia="宋体" w:cs="宋体"/>
          <w:sz w:val="24"/>
          <w:szCs w:val="24"/>
          <w:lang w:eastAsia="zh"/>
          <w:woUserID w:val="1"/>
        </w:rPr>
        <w:t>金融稳定委员会（以下简称</w:t>
      </w:r>
      <w:r>
        <w:rPr>
          <w:rFonts w:ascii="宋体" w:hAnsi="宋体" w:eastAsia="宋体" w:cs="宋体"/>
          <w:sz w:val="24"/>
          <w:szCs w:val="24"/>
          <w:woUserID w:val="1"/>
        </w:rPr>
        <w:t>FSB</w:t>
      </w:r>
      <w:r>
        <w:rPr>
          <w:rFonts w:hint="eastAsia" w:ascii="宋体" w:hAnsi="宋体" w:eastAsia="宋体" w:cs="宋体"/>
          <w:sz w:val="24"/>
          <w:szCs w:val="24"/>
          <w:lang w:eastAsia="zh"/>
          <w:woUserID w:val="1"/>
        </w:rPr>
        <w:t>）</w:t>
      </w:r>
      <w:r>
        <w:rPr>
          <w:rFonts w:ascii="宋体" w:hAnsi="宋体" w:eastAsia="宋体" w:cs="宋体"/>
          <w:sz w:val="24"/>
          <w:szCs w:val="24"/>
          <w:woUserID w:val="1"/>
        </w:rPr>
        <w:t>评估结果进行“动态适配”的路径。虽然法律主文保持相对稳定，但金管局牌照条件附加权</w:t>
      </w:r>
      <w:r>
        <w:rPr>
          <w:rFonts w:hint="eastAsia" w:ascii="宋体" w:hAnsi="宋体" w:eastAsia="宋体" w:cs="宋体"/>
          <w:sz w:val="24"/>
          <w:szCs w:val="24"/>
          <w:lang w:eastAsia="zh"/>
          <w:woUserID w:val="1"/>
        </w:rPr>
        <w:t>和</w:t>
      </w:r>
      <w:r>
        <w:rPr>
          <w:rFonts w:ascii="宋体" w:hAnsi="宋体" w:eastAsia="宋体" w:cs="宋体"/>
          <w:sz w:val="24"/>
          <w:szCs w:val="24"/>
          <w:woUserID w:val="1"/>
        </w:rPr>
        <w:t>指引发布权，实现了规则的敏捷迭代 ，每当FSB针对全球稳定币（GSC）发布年度评估报告或监管建议时，金管局无需经由漫长的立法修订，即可通过书面通知更改或附加牌照条件 ，使香港的持牌门槛与全球最高标准实时同步。</w:t>
      </w:r>
      <w:r>
        <w:rPr>
          <w:rStyle w:val="17"/>
          <w:rFonts w:hint="eastAsia" w:cstheme="minorBidi"/>
          <w:kern w:val="2"/>
          <w:sz w:val="22"/>
          <w:szCs w:val="28"/>
          <w:lang w:val="en-US" w:eastAsia="zh-CN" w:bidi="ar-SA"/>
          <w:woUserID w:val="1"/>
        </w:rPr>
        <w:footnoteReference w:id="46"/>
      </w:r>
      <w:r>
        <w:rPr>
          <w:rFonts w:ascii="宋体" w:hAnsi="宋体" w:eastAsia="宋体" w:cs="宋体"/>
          <w:sz w:val="24"/>
          <w:szCs w:val="24"/>
          <w:woUserID w:val="1"/>
        </w:rPr>
        <w:t>这种“原则导向、细则滚动”的模式，解决了成文法滞后于技术创新的难题。</w:t>
      </w:r>
    </w:p>
    <w:p w14:paraId="6D07F1FE">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80" w:firstLineChars="200"/>
        <w:jc w:val="both"/>
        <w:textAlignment w:val="auto"/>
        <w:rPr>
          <w:rFonts w:hint="default" w:asciiTheme="minorHAnsi" w:hAnsiTheme="minorHAnsi" w:eastAsiaTheme="minorEastAsia" w:cstheme="minorBidi"/>
          <w:kern w:val="2"/>
          <w:sz w:val="22"/>
          <w:szCs w:val="28"/>
          <w:lang w:val="en-US" w:eastAsia="zh-CN" w:bidi="ar-SA"/>
        </w:rPr>
      </w:pPr>
      <w:r>
        <w:rPr>
          <w:rFonts w:ascii="宋体" w:hAnsi="宋体" w:eastAsia="宋体" w:cs="宋体"/>
          <w:sz w:val="24"/>
          <w:szCs w:val="24"/>
          <w:woUserID w:val="1"/>
        </w:rPr>
        <w:t>在内部治理层面</w:t>
      </w:r>
      <w:r>
        <w:rPr>
          <w:rFonts w:hint="default" w:asciiTheme="minorHAnsi" w:hAnsiTheme="minorHAnsi" w:eastAsiaTheme="minorEastAsia" w:cstheme="minorBidi"/>
          <w:kern w:val="2"/>
          <w:sz w:val="22"/>
          <w:szCs w:val="28"/>
          <w:lang w:val="en-US" w:eastAsia="zh-CN" w:bidi="ar-SA"/>
          <w:woUserID w:val="1"/>
        </w:rPr>
        <w:t>，</w:t>
      </w:r>
      <w:r>
        <w:rPr>
          <w:rFonts w:hint="default" w:asciiTheme="minorHAnsi" w:hAnsiTheme="minorHAnsi" w:eastAsiaTheme="minorEastAsia" w:cstheme="minorBidi"/>
          <w:kern w:val="2"/>
          <w:sz w:val="22"/>
          <w:szCs w:val="28"/>
          <w:lang w:val="en-US" w:eastAsia="zh-CN" w:bidi="ar-SA"/>
        </w:rPr>
        <w:t>香港建立了</w:t>
      </w:r>
      <w:r>
        <w:rPr>
          <w:rFonts w:hint="eastAsia" w:asciiTheme="minorHAnsi" w:hAnsiTheme="minorHAnsi" w:eastAsiaTheme="minorEastAsia" w:cstheme="minorBidi"/>
          <w:kern w:val="2"/>
          <w:sz w:val="22"/>
          <w:szCs w:val="28"/>
          <w:lang w:val="en-US" w:eastAsia="zh-CN" w:bidi="ar-SA"/>
        </w:rPr>
        <w:t>“</w:t>
      </w:r>
      <w:r>
        <w:rPr>
          <w:rFonts w:hint="default" w:asciiTheme="minorHAnsi" w:hAnsiTheme="minorHAnsi" w:eastAsiaTheme="minorEastAsia" w:cstheme="minorBidi"/>
          <w:kern w:val="2"/>
          <w:sz w:val="22"/>
          <w:szCs w:val="28"/>
          <w:lang w:val="en-US" w:eastAsia="zh-CN" w:bidi="ar-SA"/>
        </w:rPr>
        <w:t>双峰监管</w:t>
      </w:r>
      <w:r>
        <w:rPr>
          <w:rFonts w:hint="eastAsia" w:asciiTheme="minorHAnsi" w:hAnsiTheme="minorHAnsi" w:eastAsiaTheme="minorEastAsia" w:cstheme="minorBidi"/>
          <w:kern w:val="2"/>
          <w:sz w:val="22"/>
          <w:szCs w:val="28"/>
          <w:lang w:val="en-US" w:eastAsia="zh-CN" w:bidi="ar-SA"/>
        </w:rPr>
        <w:t>”</w:t>
      </w:r>
      <w:r>
        <w:rPr>
          <w:rFonts w:hint="default" w:asciiTheme="minorHAnsi" w:hAnsiTheme="minorHAnsi" w:eastAsiaTheme="minorEastAsia" w:cstheme="minorBidi"/>
          <w:kern w:val="2"/>
          <w:sz w:val="22"/>
          <w:szCs w:val="28"/>
          <w:lang w:val="en-US" w:eastAsia="zh-CN" w:bidi="ar-SA"/>
        </w:rPr>
        <w:t>（Twin Peaks）模式</w:t>
      </w:r>
      <w:r>
        <w:rPr>
          <w:rFonts w:hint="eastAsia" w:asciiTheme="minorHAnsi" w:hAnsiTheme="minorHAnsi" w:eastAsiaTheme="minorEastAsia" w:cstheme="minorBidi"/>
          <w:kern w:val="2"/>
          <w:sz w:val="22"/>
          <w:szCs w:val="28"/>
          <w:lang w:val="en-US" w:eastAsia="zh-CN" w:bidi="ar-SA"/>
        </w:rPr>
        <w:t>，由香港证券及</w:t>
      </w:r>
      <w:r>
        <w:rPr>
          <w:rFonts w:hint="eastAsia" w:cstheme="minorBidi"/>
          <w:kern w:val="2"/>
          <w:sz w:val="22"/>
          <w:szCs w:val="28"/>
          <w:lang w:val="en-US" w:eastAsia="zh-CN" w:bidi="ar-SA"/>
        </w:rPr>
        <w:t>期货</w:t>
      </w:r>
      <w:r>
        <w:rPr>
          <w:rFonts w:hint="eastAsia" w:asciiTheme="minorHAnsi" w:hAnsiTheme="minorHAnsi" w:eastAsiaTheme="minorEastAsia" w:cstheme="minorBidi"/>
          <w:kern w:val="2"/>
          <w:sz w:val="22"/>
          <w:szCs w:val="28"/>
          <w:lang w:val="en-US" w:eastAsia="zh-CN" w:bidi="ar-SA"/>
        </w:rPr>
        <w:t>事务监察委员会（SFC）与金管局两大机构分工协作</w:t>
      </w:r>
      <w:r>
        <w:rPr>
          <w:rFonts w:hint="default" w:asciiTheme="minorHAnsi" w:hAnsiTheme="minorHAnsi" w:eastAsiaTheme="minorEastAsia" w:cstheme="minorBidi"/>
          <w:kern w:val="2"/>
          <w:sz w:val="22"/>
          <w:szCs w:val="28"/>
          <w:lang w:val="en-US" w:eastAsia="zh-CN" w:bidi="ar-SA"/>
        </w:rPr>
        <w:t>。</w:t>
      </w:r>
      <w:r>
        <w:rPr>
          <w:rFonts w:hint="eastAsia" w:asciiTheme="minorHAnsi" w:hAnsiTheme="minorHAnsi" w:eastAsiaTheme="minorEastAsia" w:cstheme="minorBidi"/>
          <w:kern w:val="2"/>
          <w:sz w:val="22"/>
          <w:szCs w:val="28"/>
          <w:lang w:val="en-US" w:eastAsia="zh-CN" w:bidi="ar-SA"/>
        </w:rPr>
        <w:t>金管局，在发行侧，侧重于稳定币的货币属性、储备金信托架构以及对银行业系统的风险监管；证监会在交易侧，侧重于稳定币在虚拟资产交易平台（VASP）中的定价、流通、投资者保护以及AML行为监测。</w:t>
      </w:r>
      <w:r>
        <w:rPr>
          <w:rFonts w:hint="eastAsia" w:asciiTheme="minorHAnsi" w:hAnsiTheme="minorHAnsi" w:eastAsiaTheme="minorEastAsia" w:cstheme="minorBidi"/>
          <w:kern w:val="2"/>
          <w:sz w:val="22"/>
          <w:szCs w:val="28"/>
          <w:lang w:val="en-US" w:eastAsia="zh-CN" w:bidi="ar-SA"/>
          <w:woUserID w:val="1"/>
        </w:rPr>
        <w:t>然而，在早期的沙盒测试中，依然暴露出若干监管空白</w:t>
      </w:r>
      <w:r>
        <w:rPr>
          <w:rFonts w:hint="eastAsia" w:cstheme="minorBidi"/>
          <w:kern w:val="2"/>
          <w:sz w:val="22"/>
          <w:szCs w:val="28"/>
          <w:lang w:val="en-US" w:eastAsia="zh" w:bidi="ar-SA"/>
          <w:woUserID w:val="1"/>
        </w:rPr>
        <w:t>，</w:t>
      </w:r>
      <w:r>
        <w:rPr>
          <w:rFonts w:hint="eastAsia" w:asciiTheme="minorHAnsi" w:hAnsiTheme="minorHAnsi" w:eastAsiaTheme="minorEastAsia" w:cstheme="minorBidi"/>
          <w:kern w:val="2"/>
          <w:sz w:val="22"/>
          <w:szCs w:val="28"/>
          <w:lang w:val="en-US" w:eastAsia="zh-CN" w:bidi="ar-SA"/>
          <w:woUserID w:val="1"/>
        </w:rPr>
        <w:t>最为显著的是DeFi场景下的责任主体不明</w:t>
      </w:r>
      <w:r>
        <w:rPr>
          <w:rFonts w:hint="eastAsia" w:cstheme="minorBidi"/>
          <w:kern w:val="2"/>
          <w:sz w:val="22"/>
          <w:szCs w:val="28"/>
          <w:lang w:val="en-US" w:eastAsia="zh" w:bidi="ar-SA"/>
          <w:woUserID w:val="1"/>
        </w:rPr>
        <w:t>和</w:t>
      </w:r>
      <w:r>
        <w:rPr>
          <w:rFonts w:ascii="宋体" w:hAnsi="宋体" w:eastAsia="宋体" w:cs="宋体"/>
          <w:sz w:val="24"/>
          <w:szCs w:val="24"/>
          <w:woUserID w:val="1"/>
        </w:rPr>
        <w:t>算法脱锚的熔断</w:t>
      </w:r>
      <w:r>
        <w:rPr>
          <w:rFonts w:hint="eastAsia" w:ascii="宋体" w:hAnsi="宋体" w:eastAsia="宋体" w:cs="宋体"/>
          <w:sz w:val="24"/>
          <w:szCs w:val="24"/>
          <w:lang w:eastAsia="zh"/>
          <w:woUserID w:val="1"/>
        </w:rPr>
        <w:t>风险</w:t>
      </w:r>
      <w:r>
        <w:rPr>
          <w:rFonts w:hint="eastAsia" w:asciiTheme="minorHAnsi" w:hAnsiTheme="minorHAnsi" w:eastAsiaTheme="minorEastAsia" w:cstheme="minorBidi"/>
          <w:kern w:val="2"/>
          <w:sz w:val="22"/>
          <w:szCs w:val="28"/>
          <w:lang w:val="en-US" w:eastAsia="zh-CN" w:bidi="ar-SA"/>
          <w:woUserID w:val="1"/>
        </w:rPr>
        <w:t>。</w:t>
      </w:r>
      <w:r>
        <w:rPr>
          <w:rFonts w:ascii="宋体" w:hAnsi="宋体" w:eastAsia="宋体" w:cs="宋体"/>
          <w:sz w:val="24"/>
          <w:szCs w:val="24"/>
          <w:woUserID w:val="1"/>
        </w:rPr>
        <w:t xml:space="preserve">《条例》设定了基于法人实体的发牌逻辑，要求持牌人必须是香港成立的公司 </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47"/>
      </w:r>
      <w:r>
        <w:rPr>
          <w:rFonts w:ascii="宋体" w:hAnsi="宋体" w:eastAsia="宋体" w:cs="宋体"/>
          <w:sz w:val="24"/>
          <w:szCs w:val="24"/>
          <w:woUserID w:val="1"/>
        </w:rPr>
        <w:t>但在去中心化协议中，由于缺乏清晰的物理主体，传统的</w:t>
      </w:r>
      <w:r>
        <w:rPr>
          <w:rFonts w:hint="eastAsia" w:ascii="宋体" w:hAnsi="宋体" w:eastAsia="宋体" w:cs="宋体"/>
          <w:sz w:val="24"/>
          <w:szCs w:val="24"/>
          <w:lang w:eastAsia="zh"/>
          <w:woUserID w:val="1"/>
        </w:rPr>
        <w:t>资料索取权</w:t>
      </w:r>
      <w:r>
        <w:rPr>
          <w:rStyle w:val="17"/>
          <w:rFonts w:ascii="宋体" w:hAnsi="宋体" w:eastAsia="宋体" w:cs="宋体"/>
          <w:sz w:val="24"/>
          <w:szCs w:val="24"/>
          <w:woUserID w:val="1"/>
        </w:rPr>
        <w:footnoteReference w:id="48"/>
      </w:r>
      <w:r>
        <w:rPr>
          <w:rFonts w:ascii="宋体" w:hAnsi="宋体" w:eastAsia="宋体" w:cs="宋体"/>
          <w:sz w:val="24"/>
          <w:szCs w:val="24"/>
          <w:woUserID w:val="1"/>
        </w:rPr>
        <w:t>往往面临</w:t>
      </w:r>
      <w:r>
        <w:rPr>
          <w:rFonts w:hint="eastAsia" w:ascii="宋体" w:hAnsi="宋体" w:eastAsia="宋体" w:cs="宋体"/>
          <w:sz w:val="24"/>
          <w:szCs w:val="24"/>
          <w:lang w:eastAsia="zh"/>
          <w:woUserID w:val="1"/>
        </w:rPr>
        <w:t>无法找到相对人</w:t>
      </w:r>
      <w:r>
        <w:rPr>
          <w:rFonts w:ascii="宋体" w:hAnsi="宋体" w:eastAsia="宋体" w:cs="宋体"/>
          <w:sz w:val="24"/>
          <w:szCs w:val="24"/>
          <w:woUserID w:val="1"/>
        </w:rPr>
        <w:t>的困境</w:t>
      </w:r>
      <w:r>
        <w:rPr>
          <w:rFonts w:hint="eastAsia" w:ascii="宋体" w:hAnsi="宋体" w:eastAsia="宋体" w:cs="宋体"/>
          <w:sz w:val="24"/>
          <w:szCs w:val="24"/>
          <w:lang w:eastAsia="zh"/>
          <w:woUserID w:val="1"/>
        </w:rPr>
        <w:t>。</w:t>
      </w:r>
      <w:r>
        <w:rPr>
          <w:rFonts w:ascii="宋体" w:hAnsi="宋体" w:eastAsia="宋体" w:cs="宋体"/>
          <w:sz w:val="24"/>
          <w:szCs w:val="24"/>
          <w:woUserID w:val="1"/>
        </w:rPr>
        <w:t>针对此类空白，香港正在探索功能性监管的填补路径</w:t>
      </w:r>
      <w:r>
        <w:rPr>
          <w:rFonts w:hint="eastAsia" w:ascii="宋体" w:hAnsi="宋体" w:eastAsia="宋体" w:cs="宋体"/>
          <w:sz w:val="24"/>
          <w:szCs w:val="24"/>
          <w:lang w:eastAsia="zh"/>
          <w:woUserID w:val="1"/>
        </w:rPr>
        <w:t>，</w:t>
      </w:r>
      <w:r>
        <w:rPr>
          <w:rFonts w:ascii="宋体" w:hAnsi="宋体" w:eastAsia="宋体" w:cs="宋体"/>
          <w:sz w:val="24"/>
          <w:szCs w:val="24"/>
          <w:woUserID w:val="1"/>
        </w:rPr>
        <w:t>既然无法定位</w:t>
      </w:r>
      <w:r>
        <w:rPr>
          <w:rFonts w:hint="eastAsia" w:ascii="宋体" w:hAnsi="宋体" w:eastAsia="宋体" w:cs="宋体"/>
          <w:sz w:val="24"/>
          <w:szCs w:val="24"/>
          <w:lang w:eastAsia="zh"/>
          <w:woUserID w:val="1"/>
        </w:rPr>
        <w:t>到</w:t>
      </w:r>
      <w:r>
        <w:rPr>
          <w:rFonts w:ascii="宋体" w:hAnsi="宋体" w:eastAsia="宋体" w:cs="宋体"/>
          <w:sz w:val="24"/>
          <w:szCs w:val="24"/>
          <w:woUserID w:val="1"/>
        </w:rPr>
        <w:t>物理主体，则通过沙盒尝试将监管触角延伸至提供稳定币前端服务的持牌中介，利用其作</w:t>
      </w:r>
      <w:r>
        <w:rPr>
          <w:rFonts w:hint="eastAsia" w:ascii="宋体" w:hAnsi="宋体" w:eastAsia="宋体" w:cs="宋体"/>
          <w:sz w:val="24"/>
          <w:szCs w:val="24"/>
          <w:lang w:eastAsia="zh"/>
          <w:woUserID w:val="1"/>
        </w:rPr>
        <w:t>物理连接点，实现技术穿透</w:t>
      </w:r>
      <w:r>
        <w:rPr>
          <w:rFonts w:ascii="宋体" w:hAnsi="宋体" w:eastAsia="宋体" w:cs="宋体"/>
          <w:sz w:val="24"/>
          <w:szCs w:val="24"/>
          <w:woUserID w:val="1"/>
        </w:rPr>
        <w:t>。当二级市场发生剧烈脱锚，发行人的赎回系统因技术压力瘫痪时，</w:t>
      </w:r>
      <w:r>
        <w:rPr>
          <w:rFonts w:hint="eastAsia" w:ascii="宋体" w:hAnsi="宋体" w:eastAsia="宋体" w:cs="宋体"/>
          <w:sz w:val="24"/>
          <w:szCs w:val="24"/>
          <w:lang w:eastAsia="zh"/>
          <w:woUserID w:val="1"/>
        </w:rPr>
        <w:t>可以</w:t>
      </w:r>
      <w:r>
        <w:rPr>
          <w:rFonts w:ascii="宋体" w:hAnsi="宋体" w:eastAsia="宋体" w:cs="宋体"/>
          <w:sz w:val="24"/>
          <w:szCs w:val="24"/>
          <w:woUserID w:val="1"/>
        </w:rPr>
        <w:t>利用沙盒数据建立流动性压力测试标准，强制要求持牌人在发牌条件中加入二级市场干预协议 。</w:t>
      </w:r>
    </w:p>
    <w:p w14:paraId="335B77A0">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eastAsia" w:ascii="宋体" w:hAnsi="宋体" w:eastAsia="宋体" w:cs="宋体"/>
          <w:b/>
          <w:bCs/>
          <w:kern w:val="2"/>
          <w:sz w:val="24"/>
          <w:szCs w:val="24"/>
          <w:lang w:val="en-US" w:eastAsia="zh-CN" w:bidi="ar"/>
          <w:woUserID w:val="1"/>
        </w:rPr>
        <w:t>（二）从主权对抗到规则共振</w:t>
      </w:r>
    </w:p>
    <w:p w14:paraId="37BA7F6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全球法域内对于稳定币的监管一种是通过严苛的属地壁垒形成监管对抗，另一种是放松规则制造监管洼地，最终陷入“一管就死、一放就乱”的困局与跨境监管套利的恶性循环。《条例》创新点在于跳出了“主权排他”与“监管放任”的二元对立，实现了本地监管主权与全球通行规则的动态平衡，以规则协同替代主权对抗，以共识构建破解套利难题。</w:t>
      </w:r>
    </w:p>
    <w:p w14:paraId="2C9A5B67">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1. </w:t>
      </w:r>
      <w:r>
        <w:rPr>
          <w:rFonts w:hint="eastAsia" w:ascii="宋体" w:hAnsi="宋体" w:eastAsia="宋体" w:cs="宋体"/>
          <w:b/>
          <w:bCs/>
          <w:kern w:val="2"/>
          <w:sz w:val="24"/>
          <w:szCs w:val="24"/>
          <w:lang w:val="en-US" w:eastAsia="zh-CN" w:bidi="ar"/>
          <w:woUserID w:val="1"/>
        </w:rPr>
        <w:t>主权权威的柔性表达​</w:t>
      </w:r>
    </w:p>
    <w:p w14:paraId="179B976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对监管主权的维护，并未采用单边长臂管辖或全面封禁的刚性手段，而是通过制度锚点创新，将主权权威嵌入稳定币发行流通的全流程，在适配区块链技术特征的同时，实现了监管权的全覆盖、可落地、可执行，形成了刚柔并济的主权实现路径。</w:t>
      </w:r>
    </w:p>
    <w:p w14:paraId="6C288741">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其一是</w:t>
      </w:r>
      <w:r>
        <w:rPr>
          <w:rFonts w:hint="eastAsia" w:ascii="宋体" w:hAnsi="宋体" w:eastAsia="宋体" w:cs="宋体"/>
          <w:kern w:val="2"/>
          <w:sz w:val="24"/>
          <w:szCs w:val="24"/>
          <w:lang w:val="en-US" w:eastAsia="zh-CN" w:bidi="ar"/>
          <w:woUserID w:val="1"/>
        </w:rPr>
        <w:t>以“本地持牌主体”为核心连接点</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破解区块链地理不可知性难题</w:t>
      </w:r>
      <w:r>
        <w:rPr>
          <w:rFonts w:hint="eastAsia" w:ascii="宋体" w:hAnsi="宋体" w:eastAsia="宋体" w:cs="宋体"/>
          <w:kern w:val="2"/>
          <w:sz w:val="24"/>
          <w:szCs w:val="24"/>
          <w:lang w:val="en-US" w:eastAsia="zh" w:bidi="ar"/>
          <w:woUserID w:val="1"/>
        </w:rPr>
        <w:t>。</w:t>
      </w:r>
    </w:p>
    <w:p w14:paraId="3C52EAC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以机构物理所在地、交易发生地为管辖连接点，但稳定币的发行节点、服务器、交易链路均可分布于全球任意地区，传统属地规则完全失效。《条例》彻底重构了管辖逻辑，将在香港持牌的法人主体作为监管权的核心锚点，明确规定仅在香港注册成立、获得金融管理专员牌照的法人体，方可从事指明稳定币的发行、储备资产管理等受规管活动；</w:t>
      </w:r>
      <w:r>
        <w:rPr>
          <w:rFonts w:hint="eastAsia" w:ascii="宋体" w:hAnsi="宋体" w:eastAsia="宋体" w:cs="宋体"/>
          <w:kern w:val="2"/>
          <w:sz w:val="24"/>
          <w:szCs w:val="24"/>
          <w:lang w:val="en-US" w:eastAsia="zh" w:bidi="ar"/>
          <w:woUserID w:val="1"/>
        </w:rPr>
        <w:footnoteReference w:id="49"/>
      </w:r>
      <w:r>
        <w:rPr>
          <w:rFonts w:hint="eastAsia" w:ascii="宋体" w:hAnsi="宋体" w:eastAsia="宋体" w:cs="宋体"/>
          <w:kern w:val="2"/>
          <w:sz w:val="24"/>
          <w:szCs w:val="24"/>
          <w:lang w:val="en-US" w:eastAsia="zh" w:bidi="ar"/>
          <w:woUserID w:val="1"/>
        </w:rPr>
        <w:t>持牌主体必须设置至少2名常驻香港的执行董事，负责人必须常驻香港并承担首要责任。</w:t>
      </w:r>
      <w:r>
        <w:rPr>
          <w:rFonts w:hint="eastAsia" w:ascii="宋体" w:hAnsi="宋体" w:eastAsia="宋体" w:cs="宋体"/>
          <w:kern w:val="2"/>
          <w:sz w:val="24"/>
          <w:szCs w:val="24"/>
          <w:lang w:val="en-US" w:eastAsia="zh" w:bidi="ar"/>
          <w:woUserID w:val="1"/>
        </w:rPr>
        <w:footnoteReference w:id="50"/>
      </w:r>
      <w:r>
        <w:rPr>
          <w:rFonts w:hint="eastAsia" w:ascii="宋体" w:hAnsi="宋体" w:eastAsia="宋体" w:cs="宋体"/>
          <w:kern w:val="2"/>
          <w:sz w:val="24"/>
          <w:szCs w:val="24"/>
          <w:lang w:val="en-US" w:eastAsia="zh" w:bidi="ar"/>
          <w:woUserID w:val="1"/>
        </w:rPr>
        <w:t>针对“实际控制人穿透”的核心监管要求，《条例》进一步确立全链条穿透监管规则，即牌照申请人必须完整披露股权架构，穿透识别至最终实际控制人、受益所有人，即使控股主体设立于境外离岸法域，也需提交完整的身份与资质证明，金融管理专员需对最终控制人进行“适当人选”评估；</w:t>
      </w:r>
      <w:r>
        <w:rPr>
          <w:rStyle w:val="17"/>
          <w:rFonts w:hint="eastAsia" w:ascii="宋体" w:hAnsi="宋体" w:eastAsia="宋体" w:cs="宋体"/>
          <w:kern w:val="2"/>
          <w:sz w:val="24"/>
          <w:szCs w:val="24"/>
          <w:lang w:val="en-US" w:eastAsia="zh" w:bidi="ar"/>
          <w:woUserID w:val="1"/>
        </w:rPr>
        <w:footnoteReference w:id="51"/>
      </w:r>
      <w:r>
        <w:rPr>
          <w:rFonts w:hint="eastAsia" w:ascii="宋体" w:hAnsi="宋体" w:eastAsia="宋体" w:cs="宋体"/>
          <w:kern w:val="2"/>
          <w:sz w:val="24"/>
          <w:szCs w:val="24"/>
          <w:lang w:val="en-US" w:eastAsia="zh" w:bidi="ar"/>
          <w:woUserID w:val="1"/>
        </w:rPr>
        <w:t>同时明确，若境外母公司、实际控制人干预持牌主体运营、违反香港监管规则，</w:t>
      </w:r>
      <w:r>
        <w:rPr>
          <w:rStyle w:val="17"/>
          <w:rFonts w:hint="eastAsia" w:ascii="宋体" w:hAnsi="宋体" w:eastAsia="宋体" w:cs="宋体"/>
          <w:kern w:val="2"/>
          <w:sz w:val="24"/>
          <w:szCs w:val="24"/>
          <w:lang w:val="en-US" w:eastAsia="zh" w:bidi="ar"/>
          <w:woUserID w:val="1"/>
        </w:rPr>
        <w:footnoteReference w:id="52"/>
      </w:r>
      <w:r>
        <w:rPr>
          <w:rFonts w:hint="eastAsia" w:ascii="宋体" w:hAnsi="宋体" w:eastAsia="宋体" w:cs="宋体"/>
          <w:kern w:val="2"/>
          <w:sz w:val="24"/>
          <w:szCs w:val="24"/>
          <w:lang w:val="en-US" w:eastAsia="zh" w:bidi="ar"/>
          <w:woUserID w:val="1"/>
        </w:rPr>
        <w:t>金管局有权追究本地高管的连带责任，</w:t>
      </w:r>
      <w:r>
        <w:rPr>
          <w:rStyle w:val="17"/>
          <w:rFonts w:hint="eastAsia" w:ascii="宋体" w:hAnsi="宋体" w:eastAsia="宋体" w:cs="宋体"/>
          <w:kern w:val="2"/>
          <w:sz w:val="24"/>
          <w:szCs w:val="24"/>
          <w:lang w:val="en-US" w:eastAsia="zh" w:bidi="ar"/>
          <w:woUserID w:val="1"/>
        </w:rPr>
        <w:footnoteReference w:id="53"/>
      </w:r>
      <w:r>
        <w:rPr>
          <w:rFonts w:hint="eastAsia" w:ascii="宋体" w:hAnsi="宋体" w:eastAsia="宋体" w:cs="宋体"/>
          <w:kern w:val="2"/>
          <w:sz w:val="24"/>
          <w:szCs w:val="24"/>
          <w:lang w:val="en-US" w:eastAsia="zh" w:bidi="ar"/>
          <w:woUserID w:val="1"/>
        </w:rPr>
        <w:t>有权对境外责任主体采取限制准入、通报跨境监管合作机构等追责措施。</w:t>
      </w:r>
      <w:r>
        <w:rPr>
          <w:rStyle w:val="17"/>
          <w:rFonts w:hint="eastAsia" w:ascii="宋体" w:hAnsi="宋体" w:eastAsia="宋体" w:cs="宋体"/>
          <w:kern w:val="2"/>
          <w:sz w:val="24"/>
          <w:szCs w:val="24"/>
          <w:lang w:val="en-US" w:eastAsia="zh" w:bidi="ar"/>
          <w:woUserID w:val="1"/>
        </w:rPr>
        <w:footnoteReference w:id="54"/>
      </w:r>
      <w:r>
        <w:rPr>
          <w:rFonts w:hint="eastAsia" w:ascii="宋体" w:hAnsi="宋体" w:eastAsia="宋体" w:cs="宋体"/>
          <w:kern w:val="2"/>
          <w:sz w:val="24"/>
          <w:szCs w:val="24"/>
          <w:lang w:val="en-US" w:eastAsia="zh" w:bidi="ar"/>
          <w:woUserID w:val="1"/>
        </w:rPr>
        <w:t>这一设计，彻底破解了“境外注册、境内服务”的监管规避难题，将无国界的稳定币业务与香港本地的法人主体深度绑定，无论底层区块链架构分布于何处、稳定币流通覆盖多少国家，只要发行主体为香港持牌机构，香港金管局即拥有完整、无争议的监管管辖权。</w:t>
      </w:r>
    </w:p>
    <w:p w14:paraId="5D250330">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二，以“核心数据本地留存”为基础的数据主权主张，筑牢监管可追溯的底层基础。《条例》在数据主权与跨境流动之间建立了平衡规则，一方面，明确刚性的本地化存储要求，持牌发行人必须将储备资产托管记录、交易流水数据、反洗钱核查记录等核心监管数据，</w:t>
      </w:r>
      <w:r>
        <w:rPr>
          <w:rStyle w:val="17"/>
          <w:rFonts w:hint="eastAsia" w:ascii="宋体" w:hAnsi="宋体" w:eastAsia="宋体" w:cs="宋体"/>
          <w:kern w:val="2"/>
          <w:sz w:val="24"/>
          <w:szCs w:val="24"/>
          <w:lang w:val="en-US" w:eastAsia="zh" w:bidi="ar"/>
          <w:woUserID w:val="1"/>
        </w:rPr>
        <w:footnoteReference w:id="55"/>
      </w:r>
      <w:r>
        <w:rPr>
          <w:rFonts w:hint="eastAsia" w:ascii="宋体" w:hAnsi="宋体" w:eastAsia="宋体" w:cs="宋体"/>
          <w:kern w:val="2"/>
          <w:sz w:val="24"/>
          <w:szCs w:val="24"/>
          <w:lang w:val="en-US" w:eastAsia="zh" w:bidi="ar"/>
          <w:woUserID w:val="1"/>
        </w:rPr>
        <w:t>在香港本地进行全量、实时留存，法确保金融管理专员可随时、直接调取完整数据，无需依赖境外机构的配合，从根源上避免了“数据在境外、监管无抓手”的困境；</w:t>
      </w:r>
      <w:r>
        <w:rPr>
          <w:rStyle w:val="17"/>
          <w:rFonts w:hint="eastAsia" w:ascii="宋体" w:hAnsi="宋体" w:eastAsia="宋体" w:cs="宋体"/>
          <w:kern w:val="2"/>
          <w:sz w:val="24"/>
          <w:szCs w:val="24"/>
          <w:lang w:val="en-US" w:eastAsia="zh" w:bidi="ar"/>
          <w:woUserID w:val="1"/>
        </w:rPr>
        <w:footnoteReference w:id="56"/>
      </w:r>
      <w:r>
        <w:rPr>
          <w:rFonts w:hint="eastAsia" w:ascii="宋体" w:hAnsi="宋体" w:eastAsia="宋体" w:cs="宋体"/>
          <w:kern w:val="2"/>
          <w:sz w:val="24"/>
          <w:szCs w:val="24"/>
          <w:lang w:val="en-US" w:eastAsia="zh" w:bidi="ar"/>
          <w:woUserID w:val="1"/>
        </w:rPr>
        <w:t>另一方面，针对数据本地化与跨境调取的冲突，明确核心监管数据必须在香港留存正本，确需跨境传输的，不得违反香港《个人资料（私隐）条例》的规定，不得影响金管局的监管权限，不得以“数据存储于境外”为由拒绝监管检查与执法。</w:t>
      </w:r>
    </w:p>
    <w:p w14:paraId="1370DE1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三，以“行政追责+民事赔偿”为核心的双重制裁机制，构建全维度的责任约束体系。在公法层面，针对未经许可擅自开展稳定币发行、储备管理等受规管活动的主体，经公诉程序定罪，可处500万港元罚款及7年监禁，</w:t>
      </w:r>
      <w:r>
        <w:rPr>
          <w:rFonts w:ascii="宋体" w:hAnsi="宋体" w:eastAsia="宋体" w:cs="宋体"/>
          <w:sz w:val="24"/>
          <w:szCs w:val="24"/>
          <w:woUserID w:val="1"/>
        </w:rPr>
        <w:t>持续犯罪的，每日另加罚款 10 万港元</w:t>
      </w:r>
      <w:r>
        <w:rPr>
          <w:rFonts w:hint="eastAsia" w:ascii="宋体" w:hAnsi="宋体" w:eastAsia="宋体" w:cs="宋体"/>
          <w:sz w:val="24"/>
          <w:szCs w:val="24"/>
          <w:lang w:eastAsia="zh"/>
          <w:woUserID w:val="1"/>
        </w:rPr>
        <w:t>；</w:t>
      </w:r>
      <w:r>
        <w:rPr>
          <w:rStyle w:val="17"/>
          <w:rFonts w:hint="eastAsia" w:ascii="宋体" w:hAnsi="宋体" w:eastAsia="宋体" w:cs="宋体"/>
          <w:kern w:val="2"/>
          <w:sz w:val="24"/>
          <w:szCs w:val="24"/>
          <w:lang w:val="en-US" w:eastAsia="zh" w:bidi="ar"/>
          <w:woUserID w:val="1"/>
        </w:rPr>
        <w:footnoteReference w:id="57"/>
      </w:r>
      <w:r>
        <w:rPr>
          <w:rFonts w:hint="eastAsia" w:ascii="宋体" w:hAnsi="宋体" w:eastAsia="宋体" w:cs="宋体"/>
          <w:kern w:val="2"/>
          <w:sz w:val="24"/>
          <w:szCs w:val="24"/>
          <w:lang w:val="en-US" w:eastAsia="zh" w:bidi="ar"/>
          <w:woUserID w:val="1"/>
        </w:rPr>
        <w:t>持牌机构违反储备管理、信息披露、反洗钱义务的行为，金管局可采取撤销牌照、</w:t>
      </w:r>
      <w:r>
        <w:rPr>
          <w:rStyle w:val="17"/>
          <w:rFonts w:hint="eastAsia" w:ascii="宋体" w:hAnsi="宋体" w:eastAsia="宋体" w:cs="宋体"/>
          <w:kern w:val="2"/>
          <w:sz w:val="24"/>
          <w:szCs w:val="24"/>
          <w:lang w:val="en-US" w:eastAsia="zh" w:bidi="ar"/>
          <w:woUserID w:val="1"/>
        </w:rPr>
        <w:footnoteReference w:id="58"/>
      </w:r>
      <w:r>
        <w:rPr>
          <w:rFonts w:hint="eastAsia" w:ascii="宋体" w:hAnsi="宋体" w:eastAsia="宋体" w:cs="宋体"/>
          <w:kern w:val="2"/>
          <w:sz w:val="24"/>
          <w:szCs w:val="24"/>
          <w:lang w:val="en-US" w:eastAsia="zh" w:bidi="ar"/>
          <w:woUserID w:val="1"/>
        </w:rPr>
        <w:t>限制业务运营及更换高管、</w:t>
      </w:r>
      <w:r>
        <w:rPr>
          <w:rStyle w:val="17"/>
          <w:rFonts w:hint="eastAsia" w:ascii="宋体" w:hAnsi="宋体" w:eastAsia="宋体" w:cs="宋体"/>
          <w:kern w:val="2"/>
          <w:sz w:val="24"/>
          <w:szCs w:val="24"/>
          <w:lang w:val="en-US" w:eastAsia="zh" w:bidi="ar"/>
          <w:woUserID w:val="1"/>
        </w:rPr>
        <w:footnoteReference w:id="59"/>
      </w:r>
      <w:r>
        <w:rPr>
          <w:rFonts w:hint="eastAsia" w:ascii="宋体" w:hAnsi="宋体" w:eastAsia="宋体" w:cs="宋体"/>
          <w:kern w:val="2"/>
          <w:sz w:val="24"/>
          <w:szCs w:val="24"/>
          <w:lang w:val="en-US" w:eastAsia="zh" w:bidi="ar"/>
          <w:woUserID w:val="1"/>
        </w:rPr>
        <w:t>高额罚款</w:t>
      </w:r>
      <w:r>
        <w:rPr>
          <w:rStyle w:val="17"/>
          <w:rFonts w:hint="eastAsia" w:ascii="宋体" w:hAnsi="宋体" w:eastAsia="宋体" w:cs="宋体"/>
          <w:kern w:val="2"/>
          <w:sz w:val="24"/>
          <w:szCs w:val="24"/>
          <w:lang w:val="en-US" w:eastAsia="zh" w:bidi="ar"/>
          <w:woUserID w:val="1"/>
        </w:rPr>
        <w:footnoteReference w:id="60"/>
      </w:r>
      <w:r>
        <w:rPr>
          <w:rFonts w:hint="eastAsia" w:ascii="宋体" w:hAnsi="宋体" w:eastAsia="宋体" w:cs="宋体"/>
          <w:kern w:val="2"/>
          <w:sz w:val="24"/>
          <w:szCs w:val="24"/>
          <w:lang w:val="en-US" w:eastAsia="zh" w:bidi="ar"/>
          <w:woUserID w:val="1"/>
        </w:rPr>
        <w:t>等一系列行政处罚，确保监管规则的强制力。在私法层面，持牌发行人对稳定币持有人赋有无条件赎回义务，若发行人违反1:1全额储备要求、虚假信息披露等义务，导致用户赎回不能或财产损失的，用户有权向香港持牌主体提起民事诉讼，主张违约赔偿；</w:t>
      </w:r>
      <w:r>
        <w:rPr>
          <w:rStyle w:val="17"/>
          <w:rFonts w:hint="eastAsia" w:ascii="宋体" w:hAnsi="宋体" w:eastAsia="宋体" w:cs="宋体"/>
          <w:kern w:val="2"/>
          <w:sz w:val="24"/>
          <w:szCs w:val="24"/>
          <w:lang w:val="en-US" w:eastAsia="zh" w:bidi="ar"/>
          <w:woUserID w:val="1"/>
        </w:rPr>
        <w:footnoteReference w:id="61"/>
      </w:r>
      <w:r>
        <w:rPr>
          <w:rFonts w:hint="eastAsia" w:ascii="宋体" w:hAnsi="宋体" w:eastAsia="宋体" w:cs="宋体"/>
          <w:kern w:val="2"/>
          <w:sz w:val="24"/>
          <w:szCs w:val="24"/>
          <w:lang w:val="en-US" w:eastAsia="zh" w:bidi="ar"/>
          <w:woUserID w:val="1"/>
        </w:rPr>
        <w:t>持牌机构需建立反洗钱</w:t>
      </w:r>
      <w:r>
        <w:rPr>
          <w:rFonts w:ascii="宋体" w:hAnsi="宋体" w:eastAsia="宋体" w:cs="宋体"/>
          <w:sz w:val="24"/>
          <w:szCs w:val="24"/>
          <w:woUserID w:val="1"/>
        </w:rPr>
        <w:t>管控制度</w:t>
      </w:r>
      <w:r>
        <w:rPr>
          <w:rFonts w:hint="eastAsia" w:ascii="宋体" w:hAnsi="宋体" w:eastAsia="宋体" w:cs="宋体"/>
          <w:sz w:val="24"/>
          <w:szCs w:val="24"/>
          <w:lang w:eastAsia="zh"/>
          <w:woUserID w:val="1"/>
        </w:rPr>
        <w:t>，防范因违规</w:t>
      </w:r>
      <w:r>
        <w:rPr>
          <w:rFonts w:hint="eastAsia" w:ascii="宋体" w:hAnsi="宋体" w:eastAsia="宋体" w:cs="宋体"/>
          <w:kern w:val="2"/>
          <w:sz w:val="24"/>
          <w:szCs w:val="24"/>
          <w:lang w:val="en-US" w:eastAsia="zh" w:bidi="ar"/>
          <w:woUserID w:val="1"/>
        </w:rPr>
        <w:t>导致第三方损失，持牌机构承担过错赔偿责任。</w:t>
      </w:r>
      <w:r>
        <w:rPr>
          <w:rStyle w:val="17"/>
          <w:rFonts w:hint="eastAsia" w:ascii="宋体" w:hAnsi="宋体" w:eastAsia="宋体" w:cs="宋体"/>
          <w:kern w:val="2"/>
          <w:sz w:val="24"/>
          <w:szCs w:val="24"/>
          <w:lang w:val="en-US" w:eastAsia="zh" w:bidi="ar"/>
          <w:woUserID w:val="1"/>
        </w:rPr>
        <w:footnoteReference w:id="62"/>
      </w:r>
      <w:r>
        <w:rPr>
          <w:rFonts w:hint="eastAsia" w:ascii="宋体" w:hAnsi="宋体" w:eastAsia="宋体" w:cs="宋体"/>
          <w:kern w:val="2"/>
          <w:sz w:val="24"/>
          <w:szCs w:val="24"/>
          <w:lang w:val="en-US" w:eastAsia="zh" w:bidi="ar"/>
          <w:woUserID w:val="1"/>
        </w:rPr>
        <w:t>这种双重制裁机制，既通过公权力的追责维护了监管主权的权威性，又通过民事赔偿机制激活了市场主体的监督力量，形成了“监管约束+市场约束”的双重保障，相较于单一的行政处罚，更具柔性约束效力与全流程威慑力。</w:t>
      </w:r>
    </w:p>
    <w:p w14:paraId="4F73AF0C">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2. </w:t>
      </w:r>
      <w:r>
        <w:rPr>
          <w:rFonts w:hint="eastAsia" w:ascii="宋体" w:hAnsi="宋体" w:eastAsia="宋体" w:cs="宋体"/>
          <w:b/>
          <w:bCs/>
          <w:kern w:val="2"/>
          <w:sz w:val="24"/>
          <w:szCs w:val="24"/>
          <w:lang w:val="en-US" w:eastAsia="zh-CN" w:bidi="ar"/>
          <w:woUserID w:val="1"/>
        </w:rPr>
        <w:t>全球标准的本土化吸收​</w:t>
      </w:r>
    </w:p>
    <w:p w14:paraId="595707A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范式核心在于其在坚守本地金融稳定底线、维护监管主权的前提下，主动对标、吸收全球成熟的监管标准，同时通过等效互认机制推动规则协同，实现了“全球标准本土化、本土规则国际化”的双向赋能，最终促成不同法域之间的规则共振。</w:t>
      </w:r>
    </w:p>
    <w:p w14:paraId="7230BB6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《条例》严格对FSB《全球稳定币监管高级别建议》将1:1全额储备、高流动性资产配置、实时可赎回、隔离托管等核心要求，转化为具有强制力的成文法规则；</w:t>
      </w:r>
      <w:r>
        <w:rPr>
          <w:rStyle w:val="17"/>
          <w:rFonts w:hint="eastAsia" w:ascii="宋体" w:hAnsi="宋体" w:eastAsia="宋体" w:cs="宋体"/>
          <w:kern w:val="2"/>
          <w:sz w:val="24"/>
          <w:szCs w:val="24"/>
          <w:lang w:val="en-US" w:eastAsia="zh" w:bidi="ar"/>
          <w:woUserID w:val="1"/>
        </w:rPr>
        <w:footnoteReference w:id="63"/>
      </w:r>
      <w:r>
        <w:rPr>
          <w:rFonts w:hint="eastAsia" w:ascii="宋体" w:hAnsi="宋体" w:eastAsia="宋体" w:cs="宋体"/>
          <w:kern w:val="2"/>
          <w:sz w:val="24"/>
          <w:szCs w:val="24"/>
          <w:lang w:val="en-US" w:eastAsia="zh" w:bidi="ar"/>
          <w:woUserID w:val="1"/>
        </w:rPr>
        <w:t>针对反洗钱与反恐融资义务，全面落FATF旅行规则，持牌机构对稳定币转账交易全链路记录发起方与接收方的身份信息，实现交易可追溯；</w:t>
      </w:r>
      <w:r>
        <w:rPr>
          <w:rStyle w:val="17"/>
          <w:rFonts w:hint="eastAsia" w:ascii="宋体" w:hAnsi="宋体" w:eastAsia="宋体" w:cs="宋体"/>
          <w:kern w:val="2"/>
          <w:sz w:val="24"/>
          <w:szCs w:val="24"/>
          <w:lang w:val="en-US" w:eastAsia="zh" w:bidi="ar"/>
          <w:woUserID w:val="1"/>
        </w:rPr>
        <w:footnoteReference w:id="64"/>
      </w:r>
      <w:r>
        <w:rPr>
          <w:rFonts w:hint="eastAsia" w:ascii="宋体" w:hAnsi="宋体" w:eastAsia="宋体" w:cs="宋体"/>
          <w:kern w:val="2"/>
          <w:sz w:val="24"/>
          <w:szCs w:val="24"/>
          <w:lang w:val="en-US" w:eastAsia="zh" w:bidi="ar"/>
          <w:woUserID w:val="1"/>
        </w:rPr>
        <w:t>针对风险资本要求，吸纳了巴塞尔银行监管委员会《加密资产风险敞口审慎监管标准》的核心要求，设定了与风险等级匹配的资本充足率标准。</w:t>
      </w:r>
      <w:r>
        <w:rPr>
          <w:rStyle w:val="17"/>
          <w:rFonts w:hint="eastAsia" w:ascii="宋体" w:hAnsi="宋体" w:eastAsia="宋体" w:cs="宋体"/>
          <w:kern w:val="2"/>
          <w:sz w:val="24"/>
          <w:szCs w:val="24"/>
          <w:lang w:val="en-US" w:eastAsia="zh" w:bidi="ar"/>
          <w:woUserID w:val="1"/>
        </w:rPr>
        <w:footnoteReference w:id="65"/>
      </w:r>
      <w:r>
        <w:rPr>
          <w:rFonts w:hint="eastAsia" w:ascii="宋体" w:hAnsi="宋体" w:eastAsia="宋体" w:cs="宋体"/>
          <w:kern w:val="2"/>
          <w:sz w:val="24"/>
          <w:szCs w:val="24"/>
          <w:lang w:val="en-US" w:eastAsia="zh" w:bidi="ar"/>
          <w:woUserID w:val="1"/>
        </w:rPr>
        <w:t>同时，结合本地国际金融中心的定位完成了本土化优化，借鉴MiCA的储备资产分类管理规则，对港元、美元、欧元等主流锚定货币的稳定币，均设定了统一的严格监管标准，区别于MiCA对非欧元稳定币的差异化宽松要求；参考新加坡SCS的沙盒监管经验，但进一步放宽了初创机构的沙盒准入门槛，同时强化了零售投资者保护规则，形成了更适配香港市场的制度设计。</w:t>
      </w:r>
    </w:p>
    <w:p w14:paraId="16DD9BA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在此基础上，香港正依托成熟的监管范式，推动区域规则协同与标准输出，成为亚洲数字金融治理的规则标杆。依托“一带一路”倡议与粤港澳大湾区发展战略，香港与东盟多国金融监管机构签署了数字金融监管合作备忘录，主动分享稳定币监管的制度设计与实践经验，东盟国家在制定本国稳定币监管规则时，重点参考了香港的持牌准入、储备资产管理、穿透式监管等核心制度。</w:t>
      </w:r>
      <w:r>
        <w:rPr>
          <w:rStyle w:val="17"/>
          <w:rFonts w:hint="eastAsia" w:ascii="宋体" w:hAnsi="宋体" w:eastAsia="宋体" w:cs="宋体"/>
          <w:kern w:val="2"/>
          <w:sz w:val="24"/>
          <w:szCs w:val="24"/>
          <w:lang w:val="en-US" w:eastAsia="zh" w:bidi="ar"/>
          <w:woUserID w:val="1"/>
        </w:rPr>
        <w:footnoteReference w:id="66"/>
      </w:r>
      <w:r>
        <w:rPr>
          <w:rFonts w:hint="eastAsia" w:ascii="宋体" w:hAnsi="宋体" w:eastAsia="宋体" w:cs="宋体"/>
          <w:kern w:val="2"/>
          <w:sz w:val="24"/>
          <w:szCs w:val="24"/>
          <w:lang w:val="en-US" w:eastAsia="zh" w:bidi="ar"/>
          <w:woUserID w:val="1"/>
        </w:rPr>
        <w:t>相较于欧美主导的复杂监管体系，香港的监管范式兼具国际合规性与亚洲市场适配性，更契合小型开放经济体“平衡创新与安全”的监管需求，为区域数字金融规则的趋同奠定了基础。尤为关键的是，香港在跨境协作中清晰划定了监管主权的让渡边界，牌照发放权、违规行为处罚权、金融稳定维护权等核心主权绝不退让，仅在重复性合规审查、非核心监管信息共享、执法协助等领域开展对等协作，既避免了主权对抗导致的监管碎片化，也杜绝了因盲目互认导致的监管权丧失，实现了主权坚守与全球协作的有机统一。</w:t>
      </w:r>
    </w:p>
    <w:p w14:paraId="7A58EA0E">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eastAsia" w:ascii="宋体" w:hAnsi="宋体" w:eastAsia="宋体" w:cs="宋体"/>
          <w:b/>
          <w:bCs/>
          <w:kern w:val="2"/>
          <w:sz w:val="24"/>
          <w:szCs w:val="24"/>
          <w:lang w:val="en-US" w:eastAsia="zh-CN" w:bidi="ar"/>
          <w:woUserID w:val="1"/>
        </w:rPr>
        <w:t>（三）从传统地域管辖到逻辑共识创新</w:t>
      </w:r>
    </w:p>
    <w:p w14:paraId="144B9C78">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稳定币带来的监管挑战，本质上是工业时代形成的、以地理国界为基础的传统金融监管体系，与数字时代分布式、无国界的金融业态之间的底层逻辑冲突。《条例》的深层革新意义，在于其突破了传统地域管辖的路径依赖，基于区块链技术的底层逻辑，重构了以规则共识为核心的新型监管范式，推动全球稳定币治理从零和式的主权竞争转向共赢式的规则共治，为全球数字金融治理体系的重构提供了东方智慧。</w:t>
      </w:r>
    </w:p>
    <w:p w14:paraId="706E6A4E">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 w:bidi="ar"/>
          <w:woUserID w:val="1"/>
        </w:rPr>
      </w:pPr>
      <w:r>
        <w:rPr>
          <w:rFonts w:hint="default" w:ascii="Calibri" w:hAnsi="Calibri" w:eastAsia="宋体" w:cs="Calibri"/>
          <w:b/>
          <w:bCs/>
          <w:kern w:val="2"/>
          <w:sz w:val="24"/>
          <w:szCs w:val="24"/>
          <w:lang w:val="en-US" w:eastAsia="zh-CN" w:bidi="ar"/>
          <w:woUserID w:val="1"/>
        </w:rPr>
        <w:t xml:space="preserve">1. </w:t>
      </w:r>
      <w:r>
        <w:rPr>
          <w:rFonts w:hint="eastAsia" w:ascii="宋体" w:hAnsi="宋体" w:eastAsia="宋体" w:cs="宋体"/>
          <w:b/>
          <w:bCs/>
          <w:kern w:val="2"/>
          <w:sz w:val="24"/>
          <w:szCs w:val="24"/>
          <w:lang w:val="en-US" w:eastAsia="zh-CN" w:bidi="ar"/>
          <w:woUserID w:val="1"/>
        </w:rPr>
        <w:t>监管逻辑的代际跃迁​</w:t>
      </w:r>
    </w:p>
    <w:p w14:paraId="271E7EC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是属地管辖，监管权边界严格限定于地理国界之内，监管对象聚焦于本地设立的机构、本地发生的交易。而稳定币突破了地理限制，服务器可设于境外、交易可在链上匿名完成、用户可遍布全球，传统属地管辖规则几乎完全失效，或单边长臂管辖引发主权冲突。《条例》重构了管辖的底层逻辑，建立了以属人管辖为核心、行为管辖为补充的复合管辖体系。以香港持牌发行人为核心连接点，明确只要是在香港注册持牌的稳定币发行机构，无论其发行的稳定币在全球哪个国家或地区流通，底层区块链节点分布于何处，金管局均对该机构的发行运营、储备管理、信息披露等全流程行为，拥有完整且排他的监管管辖权，实现了主体在哪，监管权就在哪，摆脱了地理空间的限制。</w:t>
      </w:r>
    </w:p>
    <w:p w14:paraId="46EA3705">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条例》明确即便机构未在香港设立主体，只要其主动向香港公众推广稳定币服务、提供稳定币发行或交易服务，即属于香港的监管管辖范围，监管机构有权采取禁令、追责等措施，杜绝了境外机构向本地用户违规提供服务的监管真空。这种从管地盘到管主体、管行为的逻辑转变，从根本上适配了区块链的无国界特征，为全球解决数字金融跨境管辖难题提供可复制的思路。</w:t>
      </w:r>
    </w:p>
    <w:p w14:paraId="768A3FF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以静态、周期性监管为核心，依赖季度报告、年度审计、定期现场检查等方式，监管具有显著滞后性，难以应对稳定币不间断交易、储备资产市值实时波动、风险跨境极速传导的特征。《条例》从规则底层确立了动态监管逻辑，提出“储备资产市值在任何时点均不得低于对应稳定币流通总量的面值”的刚性要求，彻底打破了传统具体时间节点的监管，而非审计报告上的静态数字达标，改变了传统审计的时间滞后性。同时，持牌机构必须建立7×24小时的风险实时监测系统，对储备资产流动性、大额赎回、跨境资金流动等核心风险指标进行不间断监控，并与金管局的监管系统实现数据直连，确保监管机构可实时掌握风险状况，及时采取干预措施，实现了从“定期体检”到“实时监护”的根本性升级。</w:t>
      </w:r>
    </w:p>
    <w:p w14:paraId="7215DA5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ascii="宋体" w:hAnsi="宋体" w:eastAsia="宋体" w:cs="宋体"/>
          <w:sz w:val="24"/>
          <w:szCs w:val="24"/>
          <w:woUserID w:val="1"/>
        </w:rPr>
        <w:t>香港通过物理锚定将离岸算法资产在岸化，其实质是利用属地管辖权对抗美国以效果原则为核心的长臂管辖。这种制度设计不仅是金融监管的创新，更是数据主权视阈下的管辖权对冲，为我国在应对《云法案》（CLOUD Act）等外部法律风险时提供了</w:t>
      </w:r>
      <w:r>
        <w:rPr>
          <w:rFonts w:hint="eastAsia" w:ascii="宋体" w:hAnsi="宋体" w:eastAsia="宋体" w:cs="宋体"/>
          <w:sz w:val="24"/>
          <w:szCs w:val="24"/>
          <w:lang w:eastAsia="zh"/>
          <w:woUserID w:val="1"/>
        </w:rPr>
        <w:t>风险</w:t>
      </w:r>
      <w:r>
        <w:rPr>
          <w:rFonts w:ascii="宋体" w:hAnsi="宋体" w:eastAsia="宋体" w:cs="宋体"/>
          <w:sz w:val="24"/>
          <w:szCs w:val="24"/>
          <w:woUserID w:val="1"/>
        </w:rPr>
        <w:t>隔离带。</w:t>
      </w:r>
    </w:p>
    <w:p w14:paraId="2974F88B">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2. </w:t>
      </w:r>
      <w:r>
        <w:rPr>
          <w:rFonts w:hint="eastAsia" w:ascii="宋体" w:hAnsi="宋体" w:eastAsia="宋体" w:cs="宋体"/>
          <w:b/>
          <w:bCs/>
          <w:kern w:val="2"/>
          <w:sz w:val="24"/>
          <w:szCs w:val="24"/>
          <w:lang w:val="en-US" w:eastAsia="zh-CN" w:bidi="ar"/>
          <w:woUserID w:val="1"/>
        </w:rPr>
        <w:t>全球治理的范式革新​</w:t>
      </w:r>
    </w:p>
    <w:p w14:paraId="20FE929A">
      <w:pPr>
        <w:keepNext w:val="0"/>
        <w:keepLines w:val="0"/>
        <w:widowControl w:val="0"/>
        <w:numPr>
          <w:ilvl w:val="0"/>
          <w:numId w:val="0"/>
        </w:numPr>
        <w:suppressLineNumbers w:val="0"/>
        <w:spacing w:before="0" w:beforeAutospacing="0" w:after="0" w:afterAutospacing="0" w:line="360" w:lineRule="auto"/>
        <w:ind w:right="0" w:rightChars="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成熟的金融科技监管沙盒，为本地机构提供了规则试错的可控空间，《条例》发布确立了成熟监管框架，为沙盒模式从单一法域的“监管沙盒”，升级为跨法域的“治理沙盒”的升级奠定了基础。依托一国两制的制度优势，香港可联合内地金融监管机构，搭建大湾区跨境治理沙盒，在可控范围内，允许部分机构测试稳定币在跨境贸易结算、供应链金融、跨境支付等实体经济场景的应用。同时，两地监管机构建立协同监管机制，实现监管数据共享、风险联合研判、执法协同联动，探索内地与香港不同监管体系下的规则衔接与协同治理，探索跨法域的监管规则协同、风险联防联控机制，在可控范围内满足大湾区实体经济的跨境金融需求，防范跨境资金异常流动风险。</w:t>
      </w:r>
    </w:p>
    <w:p w14:paraId="481E6C5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区块链领域长期存在“代码即法律”的技术自由主义理念，认为链上智能合约的代码优先级高于现实法律，这一理念造成现实法律在数字世界的执行困境。在人工智能驱动的第五科学范</w:t>
      </w:r>
      <w:r>
        <w:rPr>
          <w:rStyle w:val="17"/>
          <w:rFonts w:hint="eastAsia" w:ascii="宋体" w:hAnsi="宋体" w:eastAsia="宋体" w:cs="宋体"/>
          <w:kern w:val="2"/>
          <w:sz w:val="24"/>
          <w:szCs w:val="24"/>
          <w:lang w:val="en-US" w:eastAsia="zh" w:bidi="ar"/>
          <w:woUserID w:val="1"/>
        </w:rPr>
        <w:footnoteReference w:id="67"/>
      </w:r>
      <w:r>
        <w:rPr>
          <w:rFonts w:hint="eastAsia" w:ascii="宋体" w:hAnsi="宋体" w:eastAsia="宋体" w:cs="宋体"/>
          <w:kern w:val="2"/>
          <w:sz w:val="24"/>
          <w:szCs w:val="24"/>
          <w:lang w:val="en-US" w:eastAsia="zh" w:bidi="ar"/>
          <w:woUserID w:val="1"/>
        </w:rPr>
        <w:t>式下，监管不再是外在的强制，而是通过算法嵌入实现实时监控与自动合规。</w:t>
      </w:r>
      <w:r>
        <w:rPr>
          <w:rStyle w:val="17"/>
          <w:rFonts w:hint="eastAsia" w:ascii="宋体" w:hAnsi="宋体" w:eastAsia="宋体" w:cs="宋体"/>
          <w:kern w:val="2"/>
          <w:sz w:val="24"/>
          <w:szCs w:val="24"/>
          <w:lang w:val="en-US" w:eastAsia="zh" w:bidi="ar"/>
          <w:woUserID w:val="1"/>
        </w:rPr>
        <w:footnoteReference w:id="68"/>
      </w:r>
      <w:r>
        <w:rPr>
          <w:rFonts w:hint="eastAsia" w:ascii="宋体" w:hAnsi="宋体" w:eastAsia="宋体" w:cs="宋体"/>
          <w:kern w:val="2"/>
          <w:sz w:val="24"/>
          <w:szCs w:val="24"/>
          <w:lang w:val="en-US" w:eastAsia="zh" w:bidi="ar"/>
          <w:woUserID w:val="1"/>
        </w:rPr>
        <w:t>《条例》确立了法律即代码的新型范式，实现监管规则与技术架构的深度融合。</w:t>
      </w:r>
      <w:r>
        <w:rPr>
          <w:rFonts w:ascii="宋体" w:hAnsi="宋体" w:eastAsia="宋体" w:cs="宋体"/>
          <w:sz w:val="24"/>
          <w:szCs w:val="24"/>
          <w:woUserID w:val="1"/>
        </w:rPr>
        <w:t>为化解穿透式监管与用户隐私保护之间的冲突，可将监管规则直接嵌入稳定币的发行智能合约，并引入零知识证明（ZKP）技术构建可审计追溯模型</w:t>
      </w:r>
      <w:r>
        <w:rPr>
          <w:rFonts w:hint="eastAsia" w:ascii="宋体" w:hAnsi="宋体" w:eastAsia="宋体" w:cs="宋体"/>
          <w:sz w:val="24"/>
          <w:szCs w:val="24"/>
          <w:lang w:eastAsia="zh"/>
          <w:woUserID w:val="1"/>
        </w:rPr>
        <w:t>。</w:t>
      </w:r>
      <w:r>
        <w:rPr>
          <w:rFonts w:ascii="宋体" w:hAnsi="宋体" w:eastAsia="宋体" w:cs="宋体"/>
          <w:sz w:val="24"/>
          <w:szCs w:val="24"/>
          <w:woUserID w:val="1"/>
        </w:rPr>
        <w:t>通过部署包含</w:t>
      </w:r>
      <w:r>
        <w:rPr>
          <w:rFonts w:ascii="宋体" w:hAnsi="宋体" w:eastAsia="宋体" w:cs="宋体"/>
          <w:b/>
          <w:bCs/>
          <w:sz w:val="24"/>
          <w:szCs w:val="24"/>
          <w:woUserID w:val="1"/>
        </w:rPr>
        <w:t>Pedersen承诺</w:t>
      </w:r>
      <w:r>
        <w:rPr>
          <w:rFonts w:ascii="宋体" w:hAnsi="宋体" w:eastAsia="宋体" w:cs="宋体"/>
          <w:sz w:val="24"/>
          <w:szCs w:val="24"/>
          <w:woUserID w:val="1"/>
        </w:rPr>
        <w:t>和</w:t>
      </w:r>
      <w:r>
        <w:rPr>
          <w:rFonts w:ascii="宋体" w:hAnsi="宋体" w:eastAsia="宋体" w:cs="宋体"/>
          <w:b/>
          <w:bCs/>
          <w:sz w:val="24"/>
          <w:szCs w:val="24"/>
          <w:woUserID w:val="1"/>
        </w:rPr>
        <w:t>Schnorr签名</w:t>
      </w:r>
      <w:r>
        <w:rPr>
          <w:rFonts w:ascii="宋体" w:hAnsi="宋体" w:eastAsia="宋体" w:cs="宋体"/>
          <w:sz w:val="24"/>
          <w:szCs w:val="24"/>
          <w:woUserID w:val="1"/>
        </w:rPr>
        <w:t>的加密协议，发行人能够在不泄露底层用户隐私及具体交易明细的前提下，向监管端提供资产储备充足性及风险画像的数学证明。</w:t>
      </w:r>
      <w:r>
        <w:rPr>
          <w:rFonts w:hint="eastAsia" w:ascii="宋体" w:hAnsi="宋体" w:eastAsia="宋体" w:cs="宋体"/>
          <w:sz w:val="24"/>
          <w:szCs w:val="24"/>
          <w:lang w:eastAsia="zh"/>
          <w:woUserID w:val="1"/>
        </w:rPr>
        <w:t>在此基础上，</w:t>
      </w:r>
      <w:r>
        <w:rPr>
          <w:rFonts w:ascii="宋体" w:hAnsi="宋体" w:eastAsia="宋体" w:cs="宋体"/>
          <w:sz w:val="24"/>
          <w:szCs w:val="24"/>
          <w:woUserID w:val="1"/>
        </w:rPr>
        <w:t>通过预言机实现链下数据与链上规则的联动，当捕获的链下数据或 ZKP 验证结果触发违规条件时，合约可自动执行暂停发行、拦截交易、预警提示等操作。这种无需监管机构人工干预的‘事前预防、事中自动执行’模式，实现了从属地管辖向算法管辖的升华，回应了公法对于去中心化金融生态下货币主权回流的深层诉求，让法定监管规则成为链上业务不可突破的底层约束，为全球数字金融的‘链上监管’提供了全新的实现路径。</w:t>
      </w:r>
    </w:p>
    <w:p w14:paraId="069CBA86">
      <w:pPr>
        <w:keepNext w:val="0"/>
        <w:keepLines w:val="0"/>
        <w:widowControl w:val="0"/>
        <w:suppressLineNumbers w:val="0"/>
        <w:spacing w:before="0" w:beforeAutospacing="0" w:after="0" w:afterAutospacing="0" w:line="360" w:lineRule="auto"/>
        <w:ind w:left="0" w:right="0" w:firstLine="480" w:firstLineChars="200"/>
        <w:jc w:val="both"/>
        <w:rPr>
          <w:rFonts w:hint="default" w:cstheme="minorBidi"/>
          <w:kern w:val="2"/>
          <w:sz w:val="22"/>
          <w:szCs w:val="28"/>
          <w:lang w:val="en-US" w:eastAsia="zh-CN" w:bidi="ar-SA"/>
          <w:woUserID w:val="1"/>
        </w:rPr>
      </w:pPr>
      <w:r>
        <w:rPr>
          <w:rFonts w:hint="eastAsia" w:ascii="宋体" w:hAnsi="宋体" w:eastAsia="宋体" w:cs="宋体"/>
          <w:kern w:val="2"/>
          <w:sz w:val="24"/>
          <w:szCs w:val="24"/>
          <w:lang w:val="en-US" w:eastAsia="zh" w:bidi="ar"/>
          <w:woUserID w:val="1"/>
        </w:rPr>
        <w:t>当前全球金融治理体系仍以欧美主导，各国之间的监管规则壁垒森严，新兴市场国家在规则制定中话语权不足，而稳定币的跨境特性，进一步放大了全球治理的碎片化困境。香港凭借一国两制的独特优势，既深度衔接国家金融发展战略，又全面接轨国际最高监管标准，其稳定币监管范式天然具备连接东西方的桥梁属性，可推动全球治理从主权竞争转向规则共治。依托一带一路倡议，香港可凭借成熟的监管规则，推动沿线国家开展稳定币监管等效互认，构建一带一路数字金融规则走廊，为沿线国家提供低成本、高效率的跨境支付与贸易结算解决方案，减少对传统美元清算体系的依赖，提升新兴市场国家在全球数字金融治理中的话语权。同时，香港的监管实践，也为全球央行数字货币的跨境应用与监管提供了重要启示，《条例》确立的监管框架，与数字人民币的离岸应用、跨境结算场景高度兼容，为央行数字货币与稳定币的协同发展、跨境流通监管提供了稳定环境与实践经验，其构建的属人管辖、实时监管、穿透式监管规则，可满足全球大部分国家CBDC的跨境监管需求。</w:t>
      </w:r>
    </w:p>
    <w:p w14:paraId="5990054B">
      <w:pPr>
        <w:pStyle w:val="2"/>
        <w:bidi w:val="0"/>
        <w:ind w:left="0" w:leftChars="0" w:firstLine="0" w:firstLineChars="0"/>
        <w:rPr>
          <w:rFonts w:hint="eastAsia" w:ascii="宋体" w:hAnsi="宋体" w:eastAsia="宋体" w:cs="宋体"/>
          <w:sz w:val="28"/>
          <w:szCs w:val="28"/>
          <w:lang w:val="en-US" w:eastAsia="zh"/>
          <w:woUserID w:val="1"/>
        </w:rPr>
      </w:pPr>
      <w:bookmarkStart w:id="19" w:name="_Toc562784574"/>
      <w:bookmarkStart w:id="20" w:name="_Toc462597601"/>
      <w:r>
        <w:rPr>
          <w:rFonts w:hint="eastAsia" w:ascii="宋体" w:hAnsi="宋体" w:eastAsia="宋体" w:cs="宋体"/>
          <w:sz w:val="28"/>
          <w:szCs w:val="28"/>
          <w:lang w:val="en-US" w:eastAsia="zh"/>
          <w:woUserID w:val="1"/>
        </w:rPr>
        <w:t>总结</w:t>
      </w:r>
      <w:bookmarkEnd w:id="19"/>
      <w:bookmarkEnd w:id="20"/>
    </w:p>
    <w:p w14:paraId="5DBBD048">
      <w:pPr>
        <w:pStyle w:val="11"/>
        <w:keepNext w:val="0"/>
        <w:keepLines w:val="0"/>
        <w:widowControl/>
        <w:suppressLineNumbers w:val="0"/>
        <w:spacing w:before="0" w:beforeAutospacing="0" w:after="0" w:afterAutospacing="0" w:line="360" w:lineRule="auto"/>
        <w:ind w:left="0" w:leftChars="0" w:right="0" w:rightChars="0" w:firstLine="480" w:firstLineChars="200"/>
        <w:outlineLvl w:val="0"/>
        <w:rPr>
          <w:rFonts w:hint="eastAsia" w:ascii="Times New Roman" w:hAnsi="Times New Roman" w:eastAsia="宋体" w:cs="宋体"/>
          <w:color w:val="000000"/>
          <w:sz w:val="24"/>
          <w:szCs w:val="24"/>
          <w:woUserID w:val="1"/>
        </w:rPr>
      </w:pPr>
      <w:bookmarkStart w:id="21" w:name="_Toc386312390"/>
      <w:bookmarkStart w:id="22" w:name="_Toc1828966954"/>
      <w:bookmarkStart w:id="23" w:name="_Toc916100606"/>
      <w:bookmarkStart w:id="24" w:name="_Toc1283665864"/>
      <w:bookmarkStart w:id="25" w:name="_Toc1231237917"/>
      <w:bookmarkStart w:id="26" w:name="_Toc1661444324"/>
      <w:r>
        <w:rPr>
          <w:rFonts w:hint="eastAsia" w:ascii="Times New Roman" w:hAnsi="Times New Roman" w:eastAsia="宋体" w:cs="宋体"/>
          <w:color w:val="000000"/>
          <w:sz w:val="24"/>
          <w:szCs w:val="24"/>
          <w:lang w:val="en-US" w:eastAsia="zh-CN"/>
          <w:woUserID w:val="1"/>
        </w:rPr>
        <w:t>与其说</w:t>
      </w:r>
      <w:r>
        <w:rPr>
          <w:rFonts w:hint="eastAsia" w:ascii="Times New Roman" w:hAnsi="Times New Roman" w:eastAsia="宋体" w:cs="宋体"/>
          <w:color w:val="000000"/>
          <w:sz w:val="24"/>
          <w:szCs w:val="24"/>
          <w:woUserID w:val="1"/>
        </w:rPr>
        <w:t>稳定币的兴起</w:t>
      </w:r>
      <w:r>
        <w:rPr>
          <w:rFonts w:hint="eastAsia" w:ascii="Times New Roman" w:hAnsi="Times New Roman" w:eastAsia="宋体" w:cs="宋体"/>
          <w:color w:val="000000"/>
          <w:sz w:val="24"/>
          <w:szCs w:val="24"/>
          <w:lang w:val="en-US" w:eastAsia="zh-CN"/>
          <w:woUserID w:val="1"/>
        </w:rPr>
        <w:t>是</w:t>
      </w:r>
      <w:r>
        <w:rPr>
          <w:rFonts w:hint="eastAsia" w:ascii="Times New Roman" w:hAnsi="Times New Roman" w:eastAsia="宋体" w:cs="宋体"/>
          <w:color w:val="000000"/>
          <w:sz w:val="24"/>
          <w:szCs w:val="24"/>
          <w:woUserID w:val="1"/>
        </w:rPr>
        <w:t>对国家主权的终极挑战，</w:t>
      </w:r>
      <w:r>
        <w:rPr>
          <w:rFonts w:hint="eastAsia" w:ascii="Times New Roman" w:hAnsi="Times New Roman" w:eastAsia="宋体" w:cs="宋体"/>
          <w:color w:val="000000"/>
          <w:sz w:val="24"/>
          <w:szCs w:val="24"/>
          <w:lang w:val="en-US" w:eastAsia="zh-CN"/>
          <w:woUserID w:val="1"/>
        </w:rPr>
        <w:t>毋宁将之视为</w:t>
      </w:r>
      <w:r>
        <w:rPr>
          <w:rFonts w:hint="eastAsia" w:ascii="Times New Roman" w:hAnsi="Times New Roman" w:eastAsia="宋体" w:cs="宋体"/>
          <w:color w:val="000000"/>
          <w:sz w:val="24"/>
          <w:szCs w:val="24"/>
          <w:woUserID w:val="1"/>
        </w:rPr>
        <w:t>一次数字时代的法治</w:t>
      </w:r>
      <w:r>
        <w:rPr>
          <w:rFonts w:hint="eastAsia" w:ascii="Times New Roman" w:hAnsi="Times New Roman" w:eastAsia="宋体" w:cs="宋体"/>
          <w:color w:val="000000"/>
          <w:sz w:val="24"/>
          <w:szCs w:val="24"/>
          <w:lang w:eastAsia="zh"/>
          <w:woUserID w:val="1"/>
        </w:rPr>
        <w:t>变革</w:t>
      </w:r>
      <w:r>
        <w:rPr>
          <w:rFonts w:hint="eastAsia" w:ascii="Times New Roman" w:hAnsi="Times New Roman" w:eastAsia="宋体" w:cs="宋体"/>
          <w:color w:val="000000"/>
          <w:sz w:val="24"/>
          <w:szCs w:val="24"/>
          <w:woUserID w:val="1"/>
        </w:rPr>
        <w:t>。通过对去中心化生态下香港监管路径的深度剖析，本文试图勾勒出主权权力在地理稀释与执行空心化困境下的生存与演进</w:t>
      </w:r>
      <w:r>
        <w:rPr>
          <w:rFonts w:hint="eastAsia" w:ascii="Times New Roman" w:hAnsi="Times New Roman" w:eastAsia="宋体" w:cs="宋体"/>
          <w:color w:val="000000"/>
          <w:sz w:val="24"/>
          <w:szCs w:val="24"/>
          <w:lang w:val="en-US" w:eastAsia="zh-CN"/>
          <w:woUserID w:val="1"/>
        </w:rPr>
        <w:t>进路</w:t>
      </w:r>
      <w:r>
        <w:rPr>
          <w:rFonts w:hint="eastAsia" w:ascii="Times New Roman" w:hAnsi="Times New Roman" w:eastAsia="宋体" w:cs="宋体"/>
          <w:color w:val="000000"/>
          <w:sz w:val="24"/>
          <w:szCs w:val="24"/>
          <w:woUserID w:val="1"/>
        </w:rPr>
        <w:t>。面对算法逻辑对领土</w:t>
      </w:r>
      <w:r>
        <w:rPr>
          <w:rFonts w:hint="eastAsia" w:ascii="Times New Roman" w:hAnsi="Times New Roman" w:eastAsia="宋体" w:cs="宋体"/>
          <w:color w:val="000000"/>
          <w:sz w:val="24"/>
          <w:szCs w:val="24"/>
          <w:lang w:eastAsia="zh"/>
          <w:woUserID w:val="1"/>
        </w:rPr>
        <w:t>主权</w:t>
      </w:r>
      <w:r>
        <w:rPr>
          <w:rFonts w:hint="eastAsia" w:ascii="Times New Roman" w:hAnsi="Times New Roman" w:eastAsia="宋体" w:cs="宋体"/>
          <w:color w:val="000000"/>
          <w:sz w:val="24"/>
          <w:szCs w:val="24"/>
          <w:woUserID w:val="1"/>
        </w:rPr>
        <w:t>的解构，法律的生命力并不在于机械的物理封锁，而在于规制逻辑的转型。</w:t>
      </w:r>
      <w:bookmarkEnd w:id="21"/>
      <w:bookmarkEnd w:id="22"/>
      <w:bookmarkEnd w:id="23"/>
      <w:bookmarkEnd w:id="24"/>
      <w:bookmarkEnd w:id="25"/>
      <w:bookmarkEnd w:id="26"/>
    </w:p>
    <w:p w14:paraId="1E2E6B49">
      <w:pPr>
        <w:pStyle w:val="11"/>
        <w:keepNext w:val="0"/>
        <w:keepLines w:val="0"/>
        <w:widowControl/>
        <w:suppressLineNumbers w:val="0"/>
        <w:spacing w:before="0" w:beforeAutospacing="0" w:after="0" w:afterAutospacing="0" w:line="360" w:lineRule="auto"/>
        <w:ind w:left="0" w:leftChars="0" w:firstLine="480" w:firstLineChars="200"/>
        <w:rPr>
          <w:rFonts w:hint="eastAsia" w:ascii="Times New Roman" w:hAnsi="Times New Roman" w:eastAsia="宋体" w:cs="宋体"/>
          <w:color w:val="000000"/>
          <w:sz w:val="24"/>
          <w:szCs w:val="24"/>
          <w:woUserID w:val="1"/>
        </w:rPr>
      </w:pPr>
      <w:r>
        <w:rPr>
          <w:rFonts w:hint="eastAsia" w:ascii="Times New Roman" w:hAnsi="Times New Roman" w:eastAsia="宋体" w:cs="宋体"/>
          <w:color w:val="000000"/>
          <w:sz w:val="24"/>
          <w:szCs w:val="24"/>
          <w:woUserID w:val="1"/>
        </w:rPr>
        <w:t>香港稳定币监管框架的建立，实质上开启了一场数字法治的</w:t>
      </w:r>
      <w:r>
        <w:rPr>
          <w:rFonts w:hint="eastAsia" w:ascii="Times New Roman" w:hAnsi="Times New Roman" w:eastAsia="宋体" w:cs="宋体"/>
          <w:color w:val="000000"/>
          <w:sz w:val="24"/>
          <w:szCs w:val="24"/>
          <w:lang w:eastAsia="zh"/>
          <w:woUserID w:val="1"/>
        </w:rPr>
        <w:t>竞赛，</w:t>
      </w:r>
      <w:r>
        <w:rPr>
          <w:rFonts w:hint="eastAsia" w:ascii="Times New Roman" w:hAnsi="Times New Roman" w:eastAsia="宋体" w:cs="宋体"/>
          <w:color w:val="000000"/>
          <w:sz w:val="24"/>
          <w:szCs w:val="24"/>
          <w:woUserID w:val="1"/>
        </w:rPr>
        <w:t>通过技术解耦、物理锚定与等效互认</w:t>
      </w:r>
      <w:r>
        <w:rPr>
          <w:rFonts w:hint="eastAsia" w:ascii="Times New Roman" w:hAnsi="Times New Roman" w:eastAsia="宋体" w:cs="宋体"/>
          <w:color w:val="000000"/>
          <w:sz w:val="24"/>
          <w:szCs w:val="24"/>
          <w:lang w:eastAsia="zh"/>
          <w:woUserID w:val="1"/>
        </w:rPr>
        <w:t>等方式，</w:t>
      </w:r>
      <w:r>
        <w:rPr>
          <w:rFonts w:hint="eastAsia" w:ascii="Times New Roman" w:hAnsi="Times New Roman" w:eastAsia="宋体" w:cs="宋体"/>
          <w:color w:val="000000"/>
          <w:sz w:val="24"/>
          <w:szCs w:val="24"/>
          <w:woUserID w:val="1"/>
        </w:rPr>
        <w:t>成功在流动的算法中嵌入了主权的确定性。这种香港范式证明了，数字时代的主权已不再仅仅表现为一种排他的领土边界，而正进化为一种具备技术穿透力与规则兼容性的协同规制力。从边境线的防御转向规则层面的共振，不仅是应对长臂管辖与监管套利的现实选择，更是国际经济法秩序在数字化浪潮中实现自我修复的必然进路。</w:t>
      </w:r>
    </w:p>
    <w:p w14:paraId="2C21C2D7">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hint="default" w:ascii="宋体" w:hAnsi="宋体" w:eastAsia="宋体" w:cs="宋体"/>
          <w:sz w:val="24"/>
          <w:szCs w:val="24"/>
          <w:lang w:val="en-US" w:eastAsia="zh-CN"/>
          <w:woUserID w:val="1"/>
        </w:rPr>
      </w:pPr>
      <w:r>
        <w:rPr>
          <w:rFonts w:hint="eastAsia" w:ascii="Times New Roman" w:hAnsi="Times New Roman" w:eastAsia="宋体" w:cs="宋体"/>
          <w:color w:val="000000"/>
          <w:sz w:val="24"/>
          <w:szCs w:val="24"/>
          <w:woUserID w:val="1"/>
        </w:rPr>
        <w:t>展望未来，算法主权与国家主权之间的博弈仍将处于动态演进之中。当人工智能与去中心化协议进一步融合，规制的对象可能更趋于虚无，但法治的价值内核不应缺位。主权国家应当以更加开放且具韧性的姿态参与全球数字金融治理，在算法的自治</w:t>
      </w:r>
      <w:r>
        <w:rPr>
          <w:rFonts w:hint="eastAsia" w:ascii="Times New Roman" w:hAnsi="Times New Roman" w:eastAsia="宋体" w:cs="宋体"/>
          <w:color w:val="000000"/>
          <w:sz w:val="24"/>
          <w:szCs w:val="24"/>
          <w:lang w:eastAsia="zh"/>
          <w:woUserID w:val="1"/>
        </w:rPr>
        <w:t>与</w:t>
      </w:r>
      <w:r>
        <w:rPr>
          <w:rFonts w:hint="eastAsia" w:ascii="Times New Roman" w:hAnsi="Times New Roman" w:eastAsia="宋体" w:cs="宋体"/>
          <w:color w:val="000000"/>
          <w:sz w:val="24"/>
          <w:szCs w:val="24"/>
          <w:woUserID w:val="1"/>
        </w:rPr>
        <w:t>法律规范空间，寻求安全与创新的动态平衡。香港的制度探索，</w:t>
      </w:r>
      <w:r>
        <w:rPr>
          <w:rFonts w:ascii="宋体" w:hAnsi="宋体" w:eastAsia="宋体" w:cs="宋体"/>
          <w:sz w:val="24"/>
          <w:szCs w:val="24"/>
          <w:woUserID w:val="1"/>
        </w:rPr>
        <w:t>并非对西方法律标准的被动兼容</w:t>
      </w:r>
      <w:r>
        <w:rPr>
          <w:rFonts w:hint="eastAsia" w:ascii="宋体" w:hAnsi="宋体" w:eastAsia="宋体" w:cs="宋体"/>
          <w:sz w:val="24"/>
          <w:szCs w:val="24"/>
          <w:lang w:eastAsia="zh"/>
          <w:woUserID w:val="1"/>
        </w:rPr>
        <w:t>，而是基于</w:t>
      </w:r>
      <w:r>
        <w:rPr>
          <w:rFonts w:ascii="宋体" w:hAnsi="宋体" w:eastAsia="宋体" w:cs="宋体"/>
          <w:sz w:val="24"/>
          <w:szCs w:val="24"/>
          <w:woUserID w:val="1"/>
        </w:rPr>
        <w:t>一国两制</w:t>
      </w:r>
      <w:r>
        <w:rPr>
          <w:rFonts w:hint="eastAsia" w:ascii="宋体" w:hAnsi="宋体" w:eastAsia="宋体" w:cs="宋体"/>
          <w:sz w:val="24"/>
          <w:szCs w:val="24"/>
          <w:lang w:eastAsia="zh"/>
          <w:woUserID w:val="1"/>
        </w:rPr>
        <w:t>的优势，</w:t>
      </w:r>
      <w:r>
        <w:rPr>
          <w:rFonts w:ascii="宋体" w:hAnsi="宋体" w:eastAsia="宋体" w:cs="宋体"/>
          <w:sz w:val="24"/>
          <w:szCs w:val="24"/>
          <w:woUserID w:val="1"/>
        </w:rPr>
        <w:t>构建</w:t>
      </w:r>
      <w:r>
        <w:rPr>
          <w:rFonts w:hint="eastAsia" w:ascii="宋体" w:hAnsi="宋体" w:eastAsia="宋体" w:cs="宋体"/>
          <w:sz w:val="24"/>
          <w:szCs w:val="24"/>
          <w:lang w:eastAsia="zh"/>
          <w:woUserID w:val="1"/>
        </w:rPr>
        <w:t>的</w:t>
      </w:r>
      <w:r>
        <w:rPr>
          <w:rFonts w:ascii="宋体" w:hAnsi="宋体" w:eastAsia="宋体" w:cs="宋体"/>
          <w:sz w:val="24"/>
          <w:szCs w:val="24"/>
          <w:woUserID w:val="1"/>
        </w:rPr>
        <w:t>一种兼具技术韧性与主权自主的数字资产治理体系</w:t>
      </w: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woUserID w:val="1"/>
        </w:rPr>
        <w:t>不仅为数字时代的</w:t>
      </w:r>
      <w:r>
        <w:rPr>
          <w:rFonts w:hint="eastAsia" w:ascii="Times New Roman" w:hAnsi="Times New Roman" w:eastAsia="宋体" w:cs="宋体"/>
          <w:color w:val="000000"/>
          <w:sz w:val="24"/>
          <w:szCs w:val="24"/>
          <w:lang w:eastAsia="zh"/>
          <w:woUserID w:val="1"/>
        </w:rPr>
        <w:t>国际</w:t>
      </w:r>
      <w:r>
        <w:rPr>
          <w:rFonts w:hint="eastAsia" w:ascii="Times New Roman" w:hAnsi="Times New Roman" w:eastAsia="宋体" w:cs="宋体"/>
          <w:color w:val="000000"/>
          <w:sz w:val="24"/>
          <w:szCs w:val="24"/>
          <w:woUserID w:val="1"/>
        </w:rPr>
        <w:t>秩序提供了当代注脚，更为全球数字经济治理的征途，标定了规范与技术共生的理性坐标。</w:t>
      </w:r>
    </w:p>
    <w:p w14:paraId="0F9369E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outlineLvl w:val="2"/>
        <w:rPr>
          <w:rFonts w:hint="eastAsia" w:ascii="Times New Roman" w:hAnsi="Times New Roman" w:eastAsia="宋体" w:cs="宋体"/>
          <w:color w:val="000000"/>
          <w:kern w:val="2"/>
          <w:sz w:val="24"/>
          <w:szCs w:val="24"/>
          <w:lang w:val="en-US" w:eastAsia="zh-CN" w:bidi="ar-SA"/>
          <w:woUserID w:val="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Times New Roman Italic">
    <w:panose1 w:val="02020503050405090304"/>
    <w:charset w:val="00"/>
    <w:family w:val="auto"/>
    <w:pitch w:val="default"/>
    <w:sig w:usb0="00000000" w:usb1="00000000" w:usb2="00000001" w:usb3="00000000" w:csb0="400001BF" w:csb1="DFF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8">
    <w:p>
      <w:r>
        <w:separator/>
      </w:r>
    </w:p>
  </w:footnote>
  <w:footnote w:type="continuationSeparator" w:id="139">
    <w:p>
      <w:r>
        <w:continuationSeparator/>
      </w:r>
    </w:p>
  </w:footnote>
  <w:footnote w:id="0">
    <w:p w14:paraId="76766443">
      <w:pPr>
        <w:pStyle w:val="10"/>
        <w:bidi w:val="0"/>
      </w:pPr>
      <w:r>
        <w:rPr>
          <w:rStyle w:val="17"/>
        </w:rPr>
        <w:footnoteRef/>
      </w:r>
      <w:r>
        <w:t xml:space="preserve"> </w:t>
      </w:r>
      <w:r>
        <w:rPr>
          <w:rFonts w:hint="eastAsia"/>
          <w:lang w:eastAsia="zh"/>
          <w:woUserID w:val="1"/>
        </w:rPr>
        <w:t>参见</w:t>
      </w:r>
      <w:r>
        <w:rPr>
          <w:rFonts w:hint="eastAsia"/>
          <w:woUserID w:val="1"/>
        </w:rPr>
        <w:t>《详解“孙宇晨控诉遭FDT诈骗4.56亿美元”始末》</w:t>
      </w:r>
      <w:r>
        <w:rPr>
          <w:rFonts w:hint="eastAsia"/>
          <w:lang w:eastAsia="zh"/>
          <w:woUserID w:val="1"/>
        </w:rPr>
        <w:t>，载《新浪财经》</w:t>
      </w:r>
      <w:r>
        <w:rPr>
          <w:rFonts w:hint="eastAsia"/>
          <w:woUserID w:val="1"/>
        </w:rPr>
        <w:t>https://finance.sina.cn/blockchain/2025-04-03/detail-inervkhc3082382.d.html</w:t>
      </w:r>
      <w:r>
        <w:rPr>
          <w:rFonts w:hint="eastAsia"/>
          <w:lang w:eastAsia="zh"/>
          <w:woUserID w:val="1"/>
        </w:rPr>
        <w:t>，最后访问于2026年3月15日；另参见</w:t>
      </w:r>
      <w:r>
        <w:rPr>
          <w:rFonts w:hint="eastAsia"/>
          <w:lang w:val="en-US" w:eastAsia="zh-CN"/>
          <w:woUserID w:val="1"/>
        </w:rPr>
        <w:t>Swati Khandelwal Tether Hacked</w:t>
      </w:r>
      <w:r>
        <w:rPr>
          <w:rFonts w:hint="eastAsia"/>
          <w:lang w:val="en-US" w:eastAsia="zh"/>
          <w:woUserID w:val="1"/>
        </w:rPr>
        <w:t>,</w:t>
      </w:r>
      <w:r>
        <w:rPr>
          <w:rFonts w:hint="eastAsia"/>
          <w:i/>
          <w:iCs/>
          <w:lang w:val="en-US" w:eastAsia="zh"/>
          <w:woUserID w:val="1"/>
        </w:rPr>
        <w:t xml:space="preserve"> </w:t>
      </w:r>
      <w:r>
        <w:rPr>
          <w:rFonts w:hint="eastAsia"/>
          <w:i/>
          <w:iCs/>
          <w:lang w:val="en-US" w:eastAsia="zh-CN"/>
          <w:woUserID w:val="1"/>
        </w:rPr>
        <w:t>Attacker Steals $31 Million of Digital Tokens</w:t>
      </w:r>
      <w:r>
        <w:rPr>
          <w:rFonts w:hint="eastAsia"/>
          <w:i/>
          <w:iCs/>
          <w:lang w:val="en-US" w:eastAsia="zh"/>
          <w:woUserID w:val="1"/>
        </w:rPr>
        <w:t>, The Hacker News(</w:t>
      </w:r>
      <w:r>
        <w:rPr>
          <w:rFonts w:hint="eastAsia"/>
          <w:lang w:val="en-US" w:eastAsia="zh-CN"/>
          <w:woUserID w:val="1"/>
        </w:rPr>
        <w:t>Nov</w:t>
      </w:r>
      <w:r>
        <w:rPr>
          <w:rFonts w:hint="eastAsia"/>
          <w:lang w:val="en-US" w:eastAsia="zh"/>
          <w:woUserID w:val="1"/>
        </w:rPr>
        <w:t>.</w:t>
      </w:r>
      <w:r>
        <w:rPr>
          <w:rFonts w:hint="eastAsia"/>
          <w:lang w:val="en-US" w:eastAsia="zh-CN"/>
          <w:woUserID w:val="1"/>
        </w:rPr>
        <w:t>21,</w:t>
      </w:r>
      <w:r>
        <w:rPr>
          <w:rFonts w:hint="eastAsia"/>
          <w:lang w:val="en-US" w:eastAsia="zh"/>
          <w:woUserID w:val="1"/>
        </w:rPr>
        <w:t xml:space="preserve"> </w:t>
      </w:r>
      <w:r>
        <w:rPr>
          <w:rFonts w:hint="eastAsia"/>
          <w:lang w:val="en-US" w:eastAsia="zh-CN"/>
          <w:woUserID w:val="1"/>
        </w:rPr>
        <w:t>2017</w:t>
      </w:r>
      <w:r>
        <w:rPr>
          <w:rFonts w:hint="eastAsia"/>
          <w:lang w:val="en-US" w:eastAsia="zh"/>
          <w:woUserID w:val="1"/>
        </w:rPr>
        <w:t>)</w:t>
      </w:r>
      <w:r>
        <w:rPr>
          <w:rFonts w:hint="eastAsia"/>
          <w:lang w:val="en-US" w:eastAsia="zh-CN"/>
          <w:woUserID w:val="1"/>
        </w:rPr>
        <w:t>，</w:t>
      </w:r>
      <w:r>
        <w:rPr>
          <w:rFonts w:hint="eastAsia"/>
          <w:lang w:val="en-US" w:eastAsia="zh"/>
          <w:woUserID w:val="1"/>
        </w:rPr>
        <w:t xml:space="preserve"> </w:t>
      </w:r>
      <w:r>
        <w:rPr>
          <w:rFonts w:hint="eastAsia"/>
          <w:lang w:val="en-US" w:eastAsia="zh"/>
          <w:woUserID w:val="1"/>
        </w:rPr>
        <w:fldChar w:fldCharType="begin"/>
      </w:r>
      <w:r>
        <w:rPr>
          <w:rFonts w:hint="eastAsia"/>
          <w:lang w:val="en-US" w:eastAsia="zh"/>
          <w:woUserID w:val="1"/>
        </w:rPr>
        <w:instrText xml:space="preserve"> HYPERLINK "https://thehackernews.com/2017/11/tether-bitcoin-hacked.html" </w:instrText>
      </w:r>
      <w:r>
        <w:rPr>
          <w:rFonts w:hint="eastAsia"/>
          <w:lang w:val="en-US" w:eastAsia="zh"/>
          <w:woUserID w:val="1"/>
        </w:rPr>
        <w:fldChar w:fldCharType="separate"/>
      </w:r>
      <w:r>
        <w:rPr>
          <w:rFonts w:hint="eastAsia"/>
          <w:lang w:val="en-US" w:eastAsia="zh"/>
          <w:woUserID w:val="1"/>
        </w:rPr>
        <w:t>https://thehackernews.com/2017/11/tether-bitcoin-hacked.html</w:t>
      </w:r>
      <w:r>
        <w:rPr>
          <w:rFonts w:hint="eastAsia"/>
          <w:lang w:val="en-US" w:eastAsia="zh"/>
          <w:woUserID w:val="1"/>
        </w:rPr>
        <w:fldChar w:fldCharType="end"/>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 </w:t>
      </w:r>
    </w:p>
  </w:footnote>
  <w:footnote w:id="1">
    <w:p w14:paraId="65C87B70">
      <w:pPr>
        <w:pStyle w:val="10"/>
        <w:bidi w:val="0"/>
        <w:rPr>
          <w:woUserID w:val="1"/>
        </w:rPr>
      </w:pPr>
      <w:r>
        <w:rPr>
          <w:rStyle w:val="17"/>
        </w:rPr>
        <w:footnoteRef/>
      </w:r>
      <w:r>
        <w:t xml:space="preserve"> </w:t>
      </w:r>
      <w:r>
        <w:rPr>
          <w:rFonts w:hint="eastAsia"/>
          <w:woUserID w:val="1"/>
        </w:rPr>
        <w:t>参见《数据：USDT总供应量突破1900亿枚续创新高》，载《PA一线》2025年12月7日，https://www.panewslab.com/zh/articles/5298c18e-5582-477b-b3c5-33525dba1ed3，最后访问于</w:t>
      </w:r>
      <w:r>
        <w:rPr>
          <w:rFonts w:hint="eastAsia"/>
          <w:lang w:val="en-US" w:eastAsia="zh-CN"/>
          <w:woUserID w:val="1"/>
        </w:rPr>
        <w:t>2025</w:t>
      </w:r>
      <w:r>
        <w:rPr>
          <w:rFonts w:hint="eastAsia"/>
          <w:woUserID w:val="1"/>
        </w:rPr>
        <w:t>年</w:t>
      </w:r>
      <w:r>
        <w:rPr>
          <w:rFonts w:hint="eastAsia"/>
          <w:lang w:val="en-US" w:eastAsia="zh-CN"/>
          <w:woUserID w:val="1"/>
        </w:rPr>
        <w:t>12</w:t>
      </w:r>
      <w:r>
        <w:rPr>
          <w:rFonts w:hint="eastAsia"/>
          <w:woUserID w:val="1"/>
        </w:rPr>
        <w:t>月</w:t>
      </w:r>
      <w:r>
        <w:rPr>
          <w:rFonts w:hint="eastAsia"/>
          <w:lang w:val="en-US" w:eastAsia="zh-CN"/>
          <w:woUserID w:val="1"/>
        </w:rPr>
        <w:t>19</w:t>
      </w:r>
      <w:r>
        <w:rPr>
          <w:rFonts w:hint="eastAsia"/>
          <w:woUserID w:val="1"/>
        </w:rPr>
        <w:t>日。</w:t>
      </w:r>
    </w:p>
    <w:p w14:paraId="3CDC7A0A">
      <w:pPr>
        <w:pStyle w:val="10"/>
        <w:snapToGrid w:val="0"/>
      </w:pPr>
    </w:p>
  </w:footnote>
  <w:footnote w:id="2">
    <w:p w14:paraId="04074BE1">
      <w:pPr>
        <w:pStyle w:val="10"/>
        <w:bidi w:val="0"/>
        <w:rPr>
          <w:rFonts w:hint="default"/>
          <w:lang w:val="en-US" w:eastAsia="zh-CN"/>
        </w:rPr>
      </w:pPr>
      <w:r>
        <w:rPr>
          <w:rStyle w:val="17"/>
        </w:rPr>
        <w:footnoteRef/>
      </w:r>
      <w:r>
        <w:t xml:space="preserve"> </w:t>
      </w:r>
      <w:r>
        <w:rPr>
          <w:rFonts w:hint="eastAsia"/>
        </w:rPr>
        <w:t>Markets in Crypto-Assets Regulation</w:t>
      </w:r>
      <w:r>
        <w:rPr>
          <w:rFonts w:hint="eastAsia"/>
          <w:lang w:val="en-US" w:eastAsia="zh-CN"/>
        </w:rPr>
        <w:t xml:space="preserve"> part 3 S</w:t>
      </w:r>
      <w:r>
        <w:rPr>
          <w:rFonts w:hint="default"/>
          <w:lang w:val="en-US" w:eastAsia="zh-CN"/>
        </w:rPr>
        <w:t>.</w:t>
      </w:r>
      <w:r>
        <w:rPr>
          <w:rFonts w:hint="eastAsia"/>
          <w:lang w:val="en-US" w:eastAsia="zh-CN"/>
        </w:rPr>
        <w:t>36（7）</w:t>
      </w:r>
      <w:r>
        <w:rPr>
          <w:rFonts w:hint="default"/>
          <w:lang w:val="en-US" w:eastAsia="zh-CN"/>
        </w:rPr>
        <w:t>.</w:t>
      </w:r>
    </w:p>
  </w:footnote>
  <w:footnote w:id="3">
    <w:p w14:paraId="449D78FC">
      <w:pPr>
        <w:pStyle w:val="10"/>
        <w:bidi w:val="0"/>
        <w:rPr>
          <w:rFonts w:hint="default"/>
          <w:lang w:val="en-US" w:eastAsia="zh-CN"/>
        </w:rPr>
      </w:pPr>
      <w:r>
        <w:rPr>
          <w:rStyle w:val="17"/>
        </w:rPr>
        <w:footnoteRef/>
      </w:r>
      <w:r>
        <w:t xml:space="preserve"> </w:t>
      </w:r>
      <w:r>
        <w:rPr>
          <w:rFonts w:hint="eastAsia"/>
          <w:lang w:eastAsia="zh"/>
          <w:woUserID w:val="1"/>
        </w:rPr>
        <w:t>参见</w:t>
      </w:r>
      <w:r>
        <w:rPr>
          <w:rFonts w:hint="eastAsia"/>
          <w:lang w:eastAsia="zh"/>
        </w:rPr>
        <w:t>《稳定币条例》</w:t>
      </w:r>
      <w:r>
        <w:rPr>
          <w:rFonts w:hint="eastAsia"/>
          <w:lang w:eastAsia="zh-CN"/>
        </w:rPr>
        <w:t>（</w:t>
      </w:r>
      <w:r>
        <w:rPr>
          <w:rFonts w:hint="eastAsia"/>
          <w:lang w:val="en-US" w:eastAsia="zh-CN"/>
        </w:rPr>
        <w:t>香港法例第2章</w:t>
      </w:r>
      <w:r>
        <w:rPr>
          <w:rFonts w:hint="eastAsia"/>
          <w:lang w:eastAsia="zh-CN"/>
        </w:rPr>
        <w:t>）</w:t>
      </w:r>
      <w:r>
        <w:rPr>
          <w:rFonts w:hint="eastAsia"/>
          <w:lang w:val="en-US" w:eastAsia="zh-CN"/>
        </w:rPr>
        <w:t>附表2第5（2）条。</w:t>
      </w:r>
    </w:p>
  </w:footnote>
  <w:footnote w:id="4">
    <w:p w14:paraId="43DD0830">
      <w:pPr>
        <w:pStyle w:val="10"/>
        <w:bidi w:val="0"/>
        <w:rPr>
          <w:rFonts w:hint="eastAsia" w:eastAsiaTheme="minorEastAsia"/>
          <w:lang w:eastAsia="zh"/>
          <w:woUserID w:val="1"/>
        </w:rPr>
      </w:pPr>
      <w:r>
        <w:rPr>
          <w:rStyle w:val="17"/>
        </w:rPr>
        <w:footnoteRef/>
      </w:r>
      <w:r>
        <w:t xml:space="preserve"> </w:t>
      </w:r>
      <w:r>
        <w:rPr>
          <w:rFonts w:hint="eastAsia"/>
          <w:woUserID w:val="1"/>
        </w:rPr>
        <w:t>Leading in a Future Economy Project</w:t>
      </w:r>
      <w:r>
        <w:rPr>
          <w:rFonts w:hint="eastAsia"/>
          <w:lang w:eastAsia="zh"/>
          <w:woUserID w:val="1"/>
        </w:rPr>
        <w:t xml:space="preserve">, </w:t>
      </w:r>
      <w:r>
        <w:rPr>
          <w:rFonts w:hint="eastAsia"/>
          <w:i/>
          <w:iCs/>
          <w:lang w:eastAsia="zh"/>
          <w:woUserID w:val="1"/>
        </w:rPr>
        <w:t>Global Regulatory Frameworks for Digital Assets: Comparative Analysis and Potential International Cooperation</w:t>
      </w:r>
      <w:r>
        <w:rPr>
          <w:rFonts w:hint="eastAsia"/>
          <w:lang w:eastAsia="zh"/>
          <w:woUserID w:val="1"/>
        </w:rPr>
        <w:t>, World Scientific Annual Review of Fintech, Vol. 1 (2023), p. 45.</w:t>
      </w:r>
    </w:p>
  </w:footnote>
  <w:footnote w:id="5">
    <w:p w14:paraId="344F6955">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参见杨东：《加密数字货币的风险分类监管研究》，载《贵州大学学报》，2025年第3期，第76-77页。</w:t>
      </w:r>
    </w:p>
  </w:footnote>
  <w:footnote w:id="6">
    <w:p w14:paraId="7A32336F">
      <w:pPr>
        <w:pStyle w:val="10"/>
        <w:snapToGrid w:val="0"/>
      </w:pPr>
      <w:r>
        <w:rPr>
          <w:rStyle w:val="17"/>
        </w:rPr>
        <w:footnoteRef/>
      </w:r>
      <w:r>
        <w:t xml:space="preserve"> </w:t>
      </w:r>
      <w:r>
        <w:rPr>
          <w:rFonts w:hint="eastAsia"/>
          <w:woUserID w:val="1"/>
        </w:rPr>
        <w:t>参见王利明:《迈进数字时代的民法》,载《比较法研究》2022 年第 4 期,第 21 页。</w:t>
      </w:r>
    </w:p>
  </w:footnote>
  <w:footnote w:id="7">
    <w:p w14:paraId="5E5E4278">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参见杨东：《涉虚拟货币民事案件裁判规则的类型化建构》，载《法律适用》第2026年第1期，第86页。</w:t>
      </w:r>
    </w:p>
  </w:footnote>
  <w:footnote w:id="8">
    <w:p w14:paraId="690811DC">
      <w:pPr>
        <w:pStyle w:val="10"/>
        <w:bidi w:val="0"/>
      </w:pPr>
      <w:r>
        <w:rPr>
          <w:rStyle w:val="17"/>
        </w:rPr>
        <w:footnoteRef/>
      </w:r>
      <w:r>
        <w:t xml:space="preserve"> </w:t>
      </w:r>
      <w:r>
        <w:rPr>
          <w:rFonts w:hint="eastAsia"/>
          <w:lang w:eastAsia="zh"/>
        </w:rPr>
        <w:t>参见</w:t>
      </w:r>
      <w:r>
        <w:rPr>
          <w:rFonts w:hint="eastAsia"/>
        </w:rPr>
        <w:t>《个人信息保护法》第44条、45条、47条、49条、50条</w:t>
      </w:r>
    </w:p>
  </w:footnote>
  <w:footnote w:id="9">
    <w:p w14:paraId="56DA8AE2">
      <w:pPr>
        <w:pStyle w:val="10"/>
        <w:bidi w:val="0"/>
        <w:rPr>
          <w:rFonts w:hint="eastAsia"/>
          <w:lang w:eastAsia="zh"/>
        </w:rPr>
      </w:pPr>
      <w:r>
        <w:rPr>
          <w:rStyle w:val="17"/>
        </w:rPr>
        <w:footnoteRef/>
      </w:r>
      <w:r>
        <w:t xml:space="preserve"> </w:t>
      </w:r>
      <w:r>
        <w:rPr>
          <w:rFonts w:hint="eastAsia"/>
          <w:lang w:eastAsia="zh"/>
        </w:rPr>
        <w:t>参见《个人资料（私隐）条例》（PDPO）第22条、23条、26条，保障资料原则第 2 条、第6条。</w:t>
      </w:r>
    </w:p>
  </w:footnote>
  <w:footnote w:id="10">
    <w:p w14:paraId="78F8A1BF">
      <w:pPr>
        <w:pStyle w:val="10"/>
        <w:bidi w:val="0"/>
      </w:pPr>
      <w:r>
        <w:rPr>
          <w:rStyle w:val="17"/>
          <w:rFonts w:ascii="Times New Roman" w:hAnsi="Times New Roman" w:eastAsia="宋体"/>
          <w:color w:val="000000"/>
          <w:szCs w:val="21"/>
        </w:rPr>
        <w:footnoteRef/>
      </w:r>
      <w:r>
        <w:t xml:space="preserve"> </w:t>
      </w:r>
      <w:r>
        <w:rPr>
          <w:rFonts w:hint="eastAsia"/>
          <w:lang w:val="en-US" w:eastAsia="zh"/>
        </w:rPr>
        <w:t>被遗忘权是指数据主体有权要求数据控制者删除与其相关的个人信息，使其不再被公众访问或传播</w:t>
      </w:r>
      <w:r>
        <w:rPr>
          <w:rFonts w:hint="eastAsia"/>
          <w:lang w:val="en-US" w:eastAsia="zh-CN"/>
        </w:rPr>
        <w:t>，用以</w:t>
      </w:r>
      <w:r>
        <w:rPr>
          <w:rFonts w:hint="eastAsia"/>
          <w:lang w:val="en-US" w:eastAsia="zh"/>
        </w:rPr>
        <w:t>应对大数据时代个人信息“永久记忆”带来的潜在风险，如个人隐私泄露、名誉损害等问题。</w:t>
      </w:r>
    </w:p>
  </w:footnote>
  <w:footnote w:id="11">
    <w:p w14:paraId="155E0A4D">
      <w:pPr>
        <w:pStyle w:val="10"/>
        <w:bidi w:val="0"/>
        <w:rPr>
          <w:rFonts w:hint="eastAsia"/>
          <w:lang w:eastAsia="zh"/>
        </w:rPr>
      </w:pPr>
      <w:r>
        <w:rPr>
          <w:rStyle w:val="17"/>
          <w:rFonts w:ascii="Times New Roman" w:hAnsi="Times New Roman" w:eastAsia="宋体"/>
          <w:color w:val="000000"/>
          <w:szCs w:val="21"/>
        </w:rPr>
        <w:footnoteRef/>
      </w:r>
      <w:r>
        <w:t xml:space="preserve"> </w:t>
      </w:r>
      <w:r>
        <w:rPr>
          <w:rFonts w:hint="eastAsia"/>
          <w:lang w:val="en-US" w:eastAsia="zh"/>
        </w:rPr>
        <w:t>更正权是至数据主体有权要求数据控制者更正预期相关的不准确或不完整的个人信息。</w:t>
      </w:r>
    </w:p>
  </w:footnote>
  <w:footnote w:id="12">
    <w:p w14:paraId="66A96BEE">
      <w:pPr>
        <w:pStyle w:val="10"/>
        <w:bidi w:val="0"/>
      </w:pPr>
      <w:r>
        <w:rPr>
          <w:rStyle w:val="17"/>
        </w:rPr>
        <w:footnoteRef/>
      </w:r>
      <w:r>
        <w:t xml:space="preserve"> </w:t>
      </w:r>
      <w:r>
        <w:rPr>
          <w:rFonts w:hint="eastAsia"/>
          <w:lang w:val="en-US" w:eastAsia="zh-CN"/>
        </w:rPr>
        <w:t>参见</w:t>
      </w:r>
      <w:r>
        <w:rPr>
          <w:rFonts w:hint="eastAsia"/>
          <w:lang w:val="en-US" w:eastAsia="zh"/>
        </w:rPr>
        <w:t>张新宝：《从隐私到个人信息: 利益再衡量的理论与制度安排》，载《</w:t>
      </w:r>
      <w:r>
        <w:rPr>
          <w:rFonts w:hint="eastAsia"/>
          <w:lang w:val="en-US" w:eastAsia="zh-CN"/>
        </w:rPr>
        <w:t>互联网金融法律评论</w:t>
      </w:r>
      <w:r>
        <w:rPr>
          <w:rFonts w:hint="eastAsia"/>
          <w:lang w:val="en-US" w:eastAsia="zh"/>
        </w:rPr>
        <w:t>》201</w:t>
      </w:r>
      <w:r>
        <w:rPr>
          <w:rFonts w:hint="eastAsia"/>
          <w:lang w:val="en-US" w:eastAsia="zh-CN"/>
        </w:rPr>
        <w:t>5</w:t>
      </w:r>
      <w:r>
        <w:rPr>
          <w:rFonts w:hint="eastAsia"/>
          <w:lang w:val="en-US" w:eastAsia="zh"/>
        </w:rPr>
        <w:t>年第</w:t>
      </w:r>
      <w:r>
        <w:rPr>
          <w:rFonts w:hint="eastAsia"/>
          <w:lang w:val="en-US" w:eastAsia="zh-CN"/>
        </w:rPr>
        <w:t>2</w:t>
      </w:r>
      <w:r>
        <w:rPr>
          <w:rFonts w:hint="eastAsia"/>
          <w:lang w:val="en-US" w:eastAsia="zh"/>
        </w:rPr>
        <w:t>期，第</w:t>
      </w:r>
      <w:r>
        <w:rPr>
          <w:rFonts w:hint="eastAsia"/>
          <w:lang w:val="en-US" w:eastAsia="zh-CN"/>
        </w:rPr>
        <w:t>20</w:t>
      </w:r>
      <w:r>
        <w:rPr>
          <w:rFonts w:hint="eastAsia"/>
          <w:lang w:val="en-US" w:eastAsia="zh"/>
        </w:rPr>
        <w:t>页。</w:t>
      </w:r>
    </w:p>
  </w:footnote>
  <w:footnote w:id="13">
    <w:p w14:paraId="2629E118">
      <w:pPr>
        <w:pStyle w:val="10"/>
        <w:bidi w:val="0"/>
      </w:pPr>
      <w:r>
        <w:rPr>
          <w:rStyle w:val="17"/>
        </w:rPr>
        <w:footnoteRef/>
      </w:r>
      <w:r>
        <w:t xml:space="preserve"> </w:t>
      </w:r>
      <w:r>
        <w:rPr>
          <w:rFonts w:hint="eastAsia"/>
          <w:lang w:eastAsia="zh"/>
          <w:woUserID w:val="1"/>
        </w:rPr>
        <w:t>参见</w:t>
      </w:r>
      <w:r>
        <w:rPr>
          <w:rFonts w:hint="eastAsia"/>
          <w:lang w:eastAsia="zh"/>
        </w:rPr>
        <w:t>金融行动特别工作组：《打击洗钱、恐怖融资与扩散融资的国际标准：FATF 建议》第 16 条，2012 年版，2019 年 6 月修订，中国人民银行译，FATF 官网，</w:t>
      </w:r>
      <w:r>
        <w:rPr>
          <w:rFonts w:hint="eastAsia"/>
          <w:lang w:eastAsia="zh"/>
        </w:rPr>
        <w:fldChar w:fldCharType="begin"/>
      </w:r>
      <w:r>
        <w:rPr>
          <w:rFonts w:hint="eastAsia"/>
          <w:lang w:eastAsia="zh"/>
        </w:rPr>
        <w:instrText xml:space="preserve"> HYPERLINK "https://www.fatf-gafi.org/content/dam/fatf-gafi/recommendations/Chinese-FATF-Recommendations-2012_(Updated June 2019).pdf" \t "_blank" </w:instrText>
      </w:r>
      <w:r>
        <w:rPr>
          <w:rFonts w:hint="eastAsia"/>
          <w:lang w:eastAsia="zh"/>
        </w:rPr>
        <w:fldChar w:fldCharType="separate"/>
      </w:r>
      <w:r>
        <w:rPr>
          <w:rFonts w:hint="eastAsia"/>
          <w:lang w:eastAsia="zh"/>
        </w:rPr>
        <w:t>https://www.fatf-gafi.org/content/dam/fatf-gafi/recommendations/Chinese-FATF-Recommendations-2012_(Updated%20June%202019).pdf</w:t>
      </w:r>
      <w:r>
        <w:rPr>
          <w:rFonts w:hint="eastAsia"/>
          <w:lang w:eastAsia="zh"/>
        </w:rPr>
        <w:fldChar w:fldCharType="end"/>
      </w:r>
      <w:r>
        <w:rPr>
          <w:rFonts w:hint="eastAsia"/>
          <w:lang w:eastAsia="zh-CN"/>
        </w:rPr>
        <w:t>，</w:t>
      </w:r>
      <w:r>
        <w:rPr>
          <w:rFonts w:hint="eastAsia"/>
          <w:lang w:val="en-US" w:eastAsia="zh-CN"/>
        </w:rPr>
        <w:t>最后访问于2026年3月8日</w:t>
      </w:r>
      <w:r>
        <w:rPr>
          <w:rFonts w:hint="eastAsia"/>
          <w:lang w:eastAsia="zh"/>
        </w:rPr>
        <w:t>。</w:t>
      </w:r>
    </w:p>
  </w:footnote>
  <w:footnote w:id="14">
    <w:p w14:paraId="70903D2B">
      <w:pPr>
        <w:pStyle w:val="10"/>
        <w:bidi w:val="0"/>
        <w:rPr>
          <w:rFonts w:hint="eastAsia"/>
          <w:lang w:eastAsia="zh"/>
        </w:rPr>
      </w:pPr>
      <w:r>
        <w:rPr>
          <w:rStyle w:val="17"/>
        </w:rPr>
        <w:footnoteRef/>
      </w:r>
      <w:r>
        <w:t xml:space="preserve"> </w:t>
      </w:r>
      <w:r>
        <w:rPr>
          <w:rFonts w:hint="eastAsia"/>
          <w:lang w:eastAsia="zh"/>
          <w:woUserID w:val="1"/>
        </w:rPr>
        <w:t>参见</w:t>
      </w:r>
      <w:r>
        <w:rPr>
          <w:rFonts w:hint="eastAsia"/>
          <w:woUserID w:val="1"/>
        </w:rPr>
        <w:t>FATF:</w:t>
      </w:r>
      <w:r>
        <w:rPr>
          <w:rFonts w:hint="eastAsia"/>
          <w:i/>
          <w:iCs/>
          <w:woUserID w:val="1"/>
        </w:rPr>
        <w:t xml:space="preserve"> International Standards on Combating Money Laundering and the Financing of Terrorism &amp; Proliferation</w:t>
      </w:r>
      <w:r>
        <w:rPr>
          <w:rFonts w:hint="eastAsia"/>
          <w:woUserID w:val="1"/>
        </w:rPr>
        <w:t xml:space="preserve">, Feb. 2025, https://www.fatf-gafi.org/content/dam/fatf-gafi/recommendations/Feburary%202025%20FATF%20Recommendations.pdf, </w:t>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w:t>
      </w:r>
    </w:p>
  </w:footnote>
  <w:footnote w:id="15">
    <w:p w14:paraId="4ECA3C35">
      <w:pPr>
        <w:pStyle w:val="10"/>
        <w:bidi w:val="0"/>
        <w:rPr>
          <w:woUserID w:val="1"/>
        </w:rPr>
      </w:pPr>
      <w:r>
        <w:rPr>
          <w:rStyle w:val="17"/>
        </w:rPr>
        <w:footnoteRef/>
      </w:r>
      <w:r>
        <w:rPr>
          <w:woUserID w:val="1"/>
        </w:rPr>
        <w:t xml:space="preserve"> </w:t>
      </w:r>
      <w:r>
        <w:rPr>
          <w:rFonts w:hint="eastAsia"/>
          <w:lang w:eastAsia="zh"/>
          <w:woUserID w:val="1"/>
        </w:rPr>
        <w:t>参见</w:t>
      </w:r>
      <w:r>
        <w:rPr>
          <w:rFonts w:hint="eastAsia"/>
          <w:woUserID w:val="1"/>
        </w:rPr>
        <w:t>FATF:</w:t>
      </w:r>
      <w:r>
        <w:rPr>
          <w:rFonts w:hint="eastAsia"/>
          <w:i/>
          <w:iCs/>
          <w:woUserID w:val="1"/>
        </w:rPr>
        <w:t xml:space="preserve"> International Standards on Combating Money Laundering and the Financing of Terrorism &amp; Proliferation</w:t>
      </w:r>
      <w:r>
        <w:rPr>
          <w:rFonts w:hint="eastAsia"/>
          <w:woUserID w:val="1"/>
        </w:rPr>
        <w:t xml:space="preserve">, Feb. 2025, https://www.fatf-gafi.org/content/dam/fatf-gafi/recommendations/Feburary%202025%20FATF%20Recommendations.pdf, </w:t>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w:t>
      </w:r>
    </w:p>
  </w:footnote>
  <w:footnote w:id="16">
    <w:p w14:paraId="04CCD108">
      <w:pPr>
        <w:pStyle w:val="10"/>
        <w:bidi w:val="0"/>
        <w:rPr>
          <w:rFonts w:hint="default"/>
          <w:lang w:val="en-US" w:eastAsia="zh-CN"/>
        </w:rPr>
      </w:pPr>
      <w:r>
        <w:rPr>
          <w:rStyle w:val="17"/>
          <w:rFonts w:ascii="Times New Roman" w:hAnsi="Times New Roman" w:eastAsia="Songti SC"/>
          <w:szCs w:val="18"/>
        </w:rPr>
        <w:footnoteRef/>
      </w:r>
      <w:r>
        <w:t xml:space="preserve"> </w:t>
      </w:r>
      <w:r>
        <w:rPr>
          <w:rFonts w:hint="eastAsia"/>
          <w:lang w:val="en-US" w:eastAsia="zh-CN"/>
        </w:rPr>
        <w:t>参见‌Ethernodes网站：https://www.ethernodes.org/，2026年3月6日访问。</w:t>
      </w:r>
    </w:p>
  </w:footnote>
  <w:footnote w:id="17">
    <w:p w14:paraId="77A68AE1">
      <w:pPr>
        <w:pStyle w:val="10"/>
        <w:bidi w:val="0"/>
        <w:rPr>
          <w:rFonts w:hint="default"/>
          <w:lang w:val="en-US" w:eastAsia="zh-CN"/>
        </w:rPr>
      </w:pPr>
      <w:r>
        <w:rPr>
          <w:rStyle w:val="17"/>
          <w:rFonts w:ascii="Times New Roman" w:hAnsi="Times New Roman" w:eastAsia="Songti SC"/>
          <w:szCs w:val="18"/>
        </w:rPr>
        <w:footnoteRef/>
      </w:r>
      <w:r>
        <w:t xml:space="preserve"> </w:t>
      </w:r>
      <w:r>
        <w:rPr>
          <w:rFonts w:hint="eastAsia"/>
          <w:lang w:val="en-US" w:eastAsia="zh-CN"/>
        </w:rPr>
        <w:t>参见李胜，陈枫，罗娜，邢斌，孙传恒：《面向量子计算威胁的区块链技术综述》，载《计算机科学与探索》2026年第8期</w:t>
      </w:r>
      <w:r>
        <w:rPr>
          <w:rFonts w:hint="eastAsia"/>
          <w:lang w:val="en-US" w:eastAsia="zh"/>
          <w:woUserID w:val="1"/>
        </w:rPr>
        <w:t>，第5页</w:t>
      </w:r>
      <w:r>
        <w:rPr>
          <w:rFonts w:hint="eastAsia"/>
          <w:lang w:val="en-US" w:eastAsia="zh-CN"/>
        </w:rPr>
        <w:t>。</w:t>
      </w:r>
    </w:p>
  </w:footnote>
  <w:footnote w:id="18">
    <w:p w14:paraId="13BBB570">
      <w:pPr>
        <w:pStyle w:val="10"/>
        <w:bidi w:val="0"/>
        <w:rPr>
          <w:rFonts w:hint="default"/>
          <w:lang w:val="en-US"/>
        </w:rPr>
      </w:pPr>
      <w:r>
        <w:rPr>
          <w:rStyle w:val="17"/>
          <w:rFonts w:ascii="Times New Roman" w:hAnsi="Times New Roman" w:eastAsia="Songti SC"/>
          <w:szCs w:val="18"/>
        </w:rPr>
        <w:footnoteRef/>
      </w:r>
      <w:r>
        <w:t xml:space="preserve"> </w:t>
      </w:r>
      <w:r>
        <w:rPr>
          <w:rFonts w:hint="eastAsia"/>
          <w:lang w:val="en-US" w:eastAsia="zh-CN"/>
        </w:rPr>
        <w:t xml:space="preserve">Agata Ferreira, </w:t>
      </w:r>
      <w:r>
        <w:rPr>
          <w:rFonts w:hint="eastAsia"/>
          <w:i/>
          <w:iCs/>
          <w:lang w:val="en-US" w:eastAsia="zh-CN"/>
        </w:rPr>
        <w:t>Decentralized finance (DeFi): the ultimate regulatory frontier?</w:t>
      </w:r>
      <w:r>
        <w:rPr>
          <w:rFonts w:hint="eastAsia"/>
          <w:lang w:val="en-US" w:eastAsia="zh"/>
          <w:woUserID w:val="1"/>
        </w:rPr>
        <w:t xml:space="preserve"> Capital Markets Law Journal，Vol. 19 (2024), pp. 242–259.</w:t>
      </w:r>
    </w:p>
  </w:footnote>
  <w:footnote w:id="19">
    <w:p w14:paraId="34202C3C">
      <w:pPr>
        <w:pStyle w:val="10"/>
        <w:bidi w:val="0"/>
        <w:rPr>
          <w:rFonts w:hint="default"/>
          <w:lang w:val="en-US" w:eastAsia="zh-CN"/>
        </w:rPr>
      </w:pPr>
      <w:r>
        <w:rPr>
          <w:rStyle w:val="17"/>
        </w:rPr>
        <w:footnoteRef/>
      </w:r>
      <w:r>
        <w:rPr>
          <w:rFonts w:hint="default"/>
          <w:lang w:val="en-US"/>
        </w:rPr>
        <w:t xml:space="preserve"> </w:t>
      </w:r>
      <w:r>
        <w:rPr>
          <w:rFonts w:hint="default"/>
          <w:lang w:val="en-US"/>
          <w:woUserID w:val="1"/>
        </w:rPr>
        <w:t>Techteryx Ltd v. Aria Commodities DMCC and Others, DIFC Courts Digital Economy Court, (21 May 2025).</w:t>
      </w:r>
    </w:p>
  </w:footnote>
  <w:footnote w:id="20">
    <w:p w14:paraId="3E2E328B">
      <w:pPr>
        <w:pStyle w:val="10"/>
        <w:bidi w:val="0"/>
        <w:rPr>
          <w:rFonts w:hint="default"/>
          <w:lang w:val="en-US" w:eastAsia="zh-CN"/>
        </w:rPr>
      </w:pPr>
      <w:r>
        <w:rPr>
          <w:rStyle w:val="17"/>
        </w:rPr>
        <w:footnoteRef/>
      </w:r>
      <w:r>
        <w:t xml:space="preserve"> </w:t>
      </w:r>
      <w:r>
        <w:rPr>
          <w:rFonts w:hint="default"/>
          <w:lang w:val="en-US"/>
        </w:rPr>
        <w:t>冉从敬</w:t>
      </w:r>
      <w:r>
        <w:rPr>
          <w:rFonts w:hint="eastAsia"/>
          <w:lang w:val="en-US" w:eastAsia="zh-CN"/>
        </w:rPr>
        <w:t>：</w:t>
      </w:r>
      <w:r>
        <w:rPr>
          <w:rFonts w:hint="eastAsia"/>
          <w:lang w:eastAsia="zh-CN"/>
        </w:rPr>
        <w:t>《</w:t>
      </w:r>
      <w:r>
        <w:rPr>
          <w:rFonts w:hint="eastAsia"/>
        </w:rPr>
        <w:t>数据主权治理的全球态势与中国应对</w:t>
      </w:r>
      <w:r>
        <w:rPr>
          <w:rFonts w:hint="eastAsia"/>
          <w:lang w:eastAsia="zh-CN"/>
        </w:rPr>
        <w:t>》，</w:t>
      </w:r>
      <w:r>
        <w:rPr>
          <w:rFonts w:hint="eastAsia"/>
          <w:lang w:val="en-US" w:eastAsia="zh-CN"/>
        </w:rPr>
        <w:t>载人民论坛网，https://politics.rmlt.com.cn/2022/0309/641656.shtml，2026年3月6日访问。</w:t>
      </w:r>
    </w:p>
    <w:p w14:paraId="2B9CA010">
      <w:pPr>
        <w:pStyle w:val="10"/>
        <w:snapToGrid w:val="0"/>
      </w:pPr>
    </w:p>
  </w:footnote>
  <w:footnote w:id="21">
    <w:p w14:paraId="643C8717">
      <w:pPr>
        <w:pStyle w:val="10"/>
        <w:bidi w:val="0"/>
      </w:pPr>
      <w:r>
        <w:rPr>
          <w:rStyle w:val="17"/>
        </w:rPr>
        <w:footnoteRef/>
      </w:r>
      <w:r>
        <w:rPr>
          <w:rFonts w:hint="eastAsia"/>
          <w:lang w:val="en-US" w:eastAsia="zh"/>
        </w:rPr>
        <w:t xml:space="preserve"> </w:t>
      </w:r>
      <w:r>
        <w:rPr>
          <w:rFonts w:hint="eastAsia"/>
          <w:lang w:val="en-US" w:eastAsia="zh-CN"/>
        </w:rPr>
        <w:t>In re Tether and Bitfinex Crypto Assets Litigation, No. 19-cv-09236 (S.D.N.Y.)</w:t>
      </w:r>
      <w:r>
        <w:rPr>
          <w:rFonts w:hint="default"/>
          <w:lang w:val="en-US" w:eastAsia="zh-CN"/>
        </w:rPr>
        <w:t>.</w:t>
      </w:r>
    </w:p>
  </w:footnote>
  <w:footnote w:id="22">
    <w:p w14:paraId="545C2023">
      <w:pPr>
        <w:pStyle w:val="10"/>
        <w:bidi w:val="0"/>
        <w:rPr>
          <w:woUserID w:val="1"/>
        </w:rPr>
      </w:pPr>
      <w:r>
        <w:rPr>
          <w:rStyle w:val="17"/>
        </w:rPr>
        <w:footnoteRef/>
      </w:r>
      <w:r>
        <w:t xml:space="preserve"> </w:t>
      </w:r>
      <w:r>
        <w:rPr>
          <w:rFonts w:hint="eastAsia"/>
          <w:woUserID w:val="1"/>
        </w:rPr>
        <w:t>Tether Holdings Limited, Assurance Opinion Once Again Re-affirms Tether’s Reserves Fully Backed, May 19, 2022, https://tether.io/news/assurance-opinion-once-again-re-affirms-tethers-reserves-fully-backed-reveals-significant-reductions-in-commercial-paper-and-increase-in-us-treasury-bills/, last visited May 15, 2026.</w:t>
      </w:r>
    </w:p>
  </w:footnote>
  <w:footnote w:id="23">
    <w:p w14:paraId="5299C166">
      <w:pPr>
        <w:pStyle w:val="10"/>
        <w:bidi w:val="0"/>
      </w:pPr>
      <w:r>
        <w:rPr>
          <w:rStyle w:val="17"/>
        </w:rPr>
        <w:footnoteRef/>
      </w:r>
      <w:r>
        <w:t xml:space="preserve"> </w:t>
      </w:r>
      <w:r>
        <w:rPr>
          <w:rFonts w:hint="eastAsia"/>
        </w:rPr>
        <w:t>美国SEC将其视注册证券”，要求发行人履行注册、披露与反欺诈义务；欧盟MiCA框架则将其归类为“电子货币代币”（electronic money token），适用更宽松的资本充足率要求；而新加坡MAS在《支付服务法》修订案中，将稳定币定义为“受监管的支付工具”，侧重反洗钱而非资本监管。</w:t>
      </w:r>
    </w:p>
  </w:footnote>
  <w:footnote w:id="24">
    <w:p w14:paraId="3D366A8D">
      <w:pPr>
        <w:pStyle w:val="10"/>
        <w:bidi w:val="0"/>
      </w:pPr>
      <w:r>
        <w:rPr>
          <w:rStyle w:val="17"/>
        </w:rPr>
        <w:footnoteRef/>
      </w:r>
      <w:r>
        <w:t xml:space="preserve"> </w:t>
      </w:r>
      <w:r>
        <w:rPr>
          <w:rFonts w:hint="eastAsia"/>
        </w:rPr>
        <w:t>参见何其生：《国际私法的数字化：变迁与趋势》，载《中国法学》2022年第2期，第230页。</w:t>
      </w:r>
    </w:p>
  </w:footnote>
  <w:footnote w:id="25">
    <w:p w14:paraId="47DE178F">
      <w:pPr>
        <w:pStyle w:val="10"/>
        <w:bidi w:val="0"/>
        <w:rPr>
          <w:rFonts w:hint="default"/>
          <w:lang w:val="en-US" w:eastAsia="zh-CN"/>
        </w:rPr>
      </w:pPr>
      <w:r>
        <w:rPr>
          <w:rStyle w:val="17"/>
        </w:rPr>
        <w:footnoteRef/>
      </w:r>
      <w:r>
        <w:t xml:space="preserve"> </w:t>
      </w:r>
      <w:r>
        <w:rPr>
          <w:rFonts w:hint="eastAsia"/>
          <w:lang w:eastAsia="zh"/>
        </w:rPr>
        <w:t>参见香港金融管理局：《Proposed Sandbox Arrangement for Stablecoin Issuers》（2024年3月发布）https://www.hkma.gov.hk/media/eng/doc/key-functions/ifc/stablecoin-issuers/Proposed-Sandbox-Arrangement_Stablecoin-Issuer.pdf</w:t>
      </w:r>
      <w:r>
        <w:rPr>
          <w:rFonts w:hint="eastAsia"/>
          <w:lang w:eastAsia="zh-CN"/>
        </w:rPr>
        <w:t>，</w:t>
      </w:r>
      <w:r>
        <w:rPr>
          <w:rFonts w:hint="eastAsia"/>
          <w:lang w:val="en-US" w:eastAsia="zh-CN"/>
        </w:rPr>
        <w:t>最后访问于2026年3月8日。</w:t>
      </w:r>
    </w:p>
  </w:footnote>
  <w:footnote w:id="26">
    <w:p w14:paraId="546CD48E">
      <w:pPr>
        <w:pStyle w:val="10"/>
        <w:bidi w:val="0"/>
        <w:rPr>
          <w:rFonts w:hint="eastAsia"/>
          <w:lang w:eastAsia="zh-CN"/>
        </w:rPr>
      </w:pPr>
      <w:r>
        <w:rPr>
          <w:rStyle w:val="17"/>
        </w:rPr>
        <w:footnoteRef/>
      </w:r>
      <w:r>
        <w:t xml:space="preserve"> </w:t>
      </w:r>
      <w:r>
        <w:rPr>
          <w:rFonts w:hint="eastAsia"/>
          <w:lang w:eastAsia="zh"/>
        </w:rPr>
        <w:t>参见香港金融管理局：《持牌稳定币发行人监管指引》</w:t>
      </w:r>
      <w:r>
        <w:rPr>
          <w:rFonts w:hint="eastAsia"/>
          <w:lang w:val="en-US" w:eastAsia="zh"/>
        </w:rPr>
        <w:t>第8.1.1条、第8.3.1条</w:t>
      </w:r>
      <w:r>
        <w:rPr>
          <w:rFonts w:hint="eastAsia"/>
          <w:lang w:val="en-US" w:eastAsia="zh-CN"/>
        </w:rPr>
        <w:t>。</w:t>
      </w:r>
    </w:p>
  </w:footnote>
  <w:footnote w:id="27">
    <w:p w14:paraId="1C8FE4D6">
      <w:pPr>
        <w:pStyle w:val="10"/>
        <w:bidi w:val="0"/>
        <w:rPr>
          <w:rFonts w:hint="default"/>
          <w:lang w:val="en-US" w:eastAsia="zh-CN"/>
        </w:rPr>
      </w:pPr>
      <w:r>
        <w:rPr>
          <w:rStyle w:val="17"/>
        </w:rPr>
        <w:footnoteRef/>
      </w:r>
      <w:r>
        <w:t xml:space="preserve"> </w:t>
      </w:r>
      <w:r>
        <w:rPr>
          <w:rFonts w:hint="eastAsia"/>
          <w:lang w:val="en-US" w:eastAsia="zh-CN"/>
        </w:rPr>
        <w:t>参见</w:t>
      </w:r>
      <w:r>
        <w:rPr>
          <w:rFonts w:hint="eastAsia"/>
        </w:rPr>
        <w:t>刘易</w:t>
      </w:r>
      <w:r>
        <w:rPr>
          <w:rFonts w:hint="eastAsia"/>
          <w:lang w:eastAsia="zh-CN"/>
        </w:rPr>
        <w:t>：《</w:t>
      </w:r>
      <w:r>
        <w:rPr>
          <w:rFonts w:hint="eastAsia"/>
        </w:rPr>
        <w:t>区块链中的零知识证明技术及其应用</w:t>
      </w:r>
      <w:r>
        <w:rPr>
          <w:rFonts w:hint="eastAsia"/>
          <w:lang w:eastAsia="zh-CN"/>
        </w:rPr>
        <w:t>》，</w:t>
      </w:r>
      <w:r>
        <w:rPr>
          <w:rFonts w:hint="eastAsia"/>
          <w:lang w:val="en-US" w:eastAsia="zh-CN"/>
        </w:rPr>
        <w:t>载</w:t>
      </w:r>
      <w:r>
        <w:rPr>
          <w:rFonts w:hint="eastAsia"/>
        </w:rPr>
        <w:t>《中国管理信息化》</w:t>
      </w:r>
      <w:r>
        <w:rPr>
          <w:rFonts w:hint="eastAsia"/>
          <w:lang w:val="en-US" w:eastAsia="zh-CN"/>
        </w:rPr>
        <w:t>2025年第7期，第161页。</w:t>
      </w:r>
    </w:p>
  </w:footnote>
  <w:footnote w:id="28">
    <w:p w14:paraId="1F7496F5">
      <w:pPr>
        <w:pStyle w:val="10"/>
        <w:bidi w:val="0"/>
        <w:rPr>
          <w:rFonts w:hint="default"/>
          <w:lang w:val="en-US" w:eastAsia="zh-CN"/>
        </w:rPr>
      </w:pPr>
      <w:r>
        <w:rPr>
          <w:rStyle w:val="17"/>
        </w:rPr>
        <w:footnoteRef/>
      </w:r>
      <w:r>
        <w:t xml:space="preserve"> </w:t>
      </w:r>
      <w:r>
        <w:rPr>
          <w:rFonts w:hint="eastAsia"/>
        </w:rPr>
        <w:t>韩喆,高娅楠,卢薇青</w:t>
      </w:r>
      <w:r>
        <w:rPr>
          <w:rFonts w:hint="eastAsia"/>
          <w:lang w:eastAsia="zh-CN"/>
        </w:rPr>
        <w:t>：《</w:t>
      </w:r>
      <w:r>
        <w:rPr>
          <w:rFonts w:hint="eastAsia"/>
        </w:rPr>
        <w:t>稳定币“监管规则代码化”实现路径研究——以中国香港</w:t>
      </w:r>
      <w:r>
        <w:rPr>
          <w:rFonts w:hint="default"/>
          <w:lang w:val="en-US"/>
        </w:rPr>
        <w:t>&lt;</w:t>
      </w:r>
      <w:r>
        <w:rPr>
          <w:rFonts w:hint="eastAsia"/>
        </w:rPr>
        <w:t>稳定币条例</w:t>
      </w:r>
      <w:r>
        <w:rPr>
          <w:rFonts w:hint="default"/>
          <w:lang w:val="en-US"/>
        </w:rPr>
        <w:t>&gt;</w:t>
      </w:r>
      <w:r>
        <w:rPr>
          <w:rFonts w:hint="eastAsia"/>
        </w:rPr>
        <w:t>为范本</w:t>
      </w:r>
      <w:r>
        <w:rPr>
          <w:rFonts w:hint="eastAsia"/>
          <w:lang w:eastAsia="zh-CN"/>
        </w:rPr>
        <w:t>》</w:t>
      </w:r>
      <w:r>
        <w:rPr>
          <w:rFonts w:hint="default"/>
          <w:lang w:val="en-US" w:eastAsia="zh-CN"/>
        </w:rPr>
        <w:t>,</w:t>
      </w:r>
      <w:r>
        <w:rPr>
          <w:rFonts w:hint="eastAsia"/>
          <w:lang w:val="en-US" w:eastAsia="zh-CN"/>
        </w:rPr>
        <w:t>载《</w:t>
      </w:r>
      <w:r>
        <w:rPr>
          <w:rFonts w:hint="eastAsia"/>
        </w:rPr>
        <w:t>上海信息化</w:t>
      </w:r>
      <w:r>
        <w:rPr>
          <w:rFonts w:hint="eastAsia"/>
          <w:lang w:val="en-US" w:eastAsia="zh-CN"/>
        </w:rPr>
        <w:t>》2025年第10期，第27页。</w:t>
      </w:r>
    </w:p>
  </w:footnote>
  <w:footnote w:id="29">
    <w:p w14:paraId="024D6CF8">
      <w:pPr>
        <w:pStyle w:val="10"/>
        <w:bidi w:val="0"/>
      </w:pPr>
      <w:r>
        <w:rPr>
          <w:rStyle w:val="17"/>
        </w:rPr>
        <w:footnoteRef/>
      </w:r>
      <w:r>
        <w:t xml:space="preserve"> </w:t>
      </w:r>
      <w:r>
        <w:rPr>
          <w:rFonts w:hint="eastAsia"/>
        </w:rPr>
        <w:t>韩喆,高娅楠,卢薇青</w:t>
      </w:r>
      <w:r>
        <w:rPr>
          <w:rFonts w:hint="eastAsia"/>
          <w:lang w:eastAsia="zh-CN"/>
        </w:rPr>
        <w:t>：《</w:t>
      </w:r>
      <w:r>
        <w:rPr>
          <w:rFonts w:hint="eastAsia"/>
        </w:rPr>
        <w:t>稳定币“监管规则代码化”实现路径研究——以中国香港</w:t>
      </w:r>
      <w:r>
        <w:rPr>
          <w:rFonts w:hint="default"/>
          <w:lang w:val="en-US"/>
        </w:rPr>
        <w:t>&lt;</w:t>
      </w:r>
      <w:r>
        <w:rPr>
          <w:rFonts w:hint="eastAsia"/>
        </w:rPr>
        <w:t>稳定币条例</w:t>
      </w:r>
      <w:r>
        <w:rPr>
          <w:rFonts w:hint="default"/>
          <w:lang w:val="en-US"/>
        </w:rPr>
        <w:t>&gt;</w:t>
      </w:r>
      <w:r>
        <w:rPr>
          <w:rFonts w:hint="eastAsia"/>
        </w:rPr>
        <w:t>为范本</w:t>
      </w:r>
      <w:r>
        <w:rPr>
          <w:rFonts w:hint="eastAsia"/>
          <w:lang w:eastAsia="zh-CN"/>
        </w:rPr>
        <w:t>》</w:t>
      </w:r>
      <w:r>
        <w:rPr>
          <w:rFonts w:hint="default"/>
          <w:lang w:val="en-US" w:eastAsia="zh-CN"/>
        </w:rPr>
        <w:t>,</w:t>
      </w:r>
      <w:r>
        <w:rPr>
          <w:rFonts w:hint="eastAsia"/>
          <w:lang w:val="en-US" w:eastAsia="zh-CN"/>
        </w:rPr>
        <w:t>载《</w:t>
      </w:r>
      <w:r>
        <w:rPr>
          <w:rFonts w:hint="eastAsia"/>
        </w:rPr>
        <w:t>上海信息化</w:t>
      </w:r>
      <w:r>
        <w:rPr>
          <w:rFonts w:hint="eastAsia"/>
          <w:lang w:val="en-US" w:eastAsia="zh-CN"/>
        </w:rPr>
        <w:t>》2025年第10期，第28页。</w:t>
      </w:r>
    </w:p>
  </w:footnote>
  <w:footnote w:id="30">
    <w:p w14:paraId="27D9C46A">
      <w:pPr>
        <w:pStyle w:val="10"/>
        <w:bidi w:val="0"/>
        <w:rPr>
          <w:rFonts w:hint="eastAsia"/>
          <w:lang w:eastAsia="zh"/>
        </w:rPr>
      </w:pPr>
      <w:r>
        <w:rPr>
          <w:rStyle w:val="17"/>
        </w:rPr>
        <w:footnoteRef/>
      </w:r>
      <w:r>
        <w:t xml:space="preserve"> </w:t>
      </w:r>
      <w:r>
        <w:rPr>
          <w:rFonts w:hint="eastAsia"/>
          <w:lang w:eastAsia="zh"/>
        </w:rPr>
        <w:t>参见香港《稳定币条例》（第11分部）附表2第3条。</w:t>
      </w:r>
    </w:p>
  </w:footnote>
  <w:footnote w:id="31">
    <w:p w14:paraId="3CF6E6C7">
      <w:pPr>
        <w:pStyle w:val="10"/>
        <w:bidi w:val="0"/>
        <w:rPr>
          <w:rFonts w:hint="eastAsia"/>
          <w:lang w:eastAsia="zh"/>
        </w:rPr>
      </w:pPr>
      <w:r>
        <w:rPr>
          <w:rStyle w:val="17"/>
        </w:rPr>
        <w:footnoteRef/>
      </w:r>
      <w:r>
        <w:t xml:space="preserve"> </w:t>
      </w:r>
      <w:r>
        <w:rPr>
          <w:rFonts w:hint="eastAsia"/>
          <w:lang w:eastAsia="zh"/>
        </w:rPr>
        <w:t>参见香港《稳定币条例》（第11分部）附表2第7条和第8条</w:t>
      </w:r>
      <w:r>
        <w:rPr>
          <w:rFonts w:hint="eastAsia"/>
          <w:lang w:eastAsia="zh-CN"/>
        </w:rPr>
        <w:t>、</w:t>
      </w:r>
      <w:r>
        <w:rPr>
          <w:rFonts w:hint="eastAsia"/>
          <w:lang w:eastAsia="zh"/>
        </w:rPr>
        <w:t>《稳定币发行人发牌制度摘要说明》第三章3.6.3。</w:t>
      </w:r>
    </w:p>
  </w:footnote>
  <w:footnote w:id="32">
    <w:p w14:paraId="3AEDD3B9">
      <w:pPr>
        <w:pStyle w:val="10"/>
        <w:bidi w:val="0"/>
      </w:pPr>
      <w:r>
        <w:rPr>
          <w:rStyle w:val="17"/>
        </w:rPr>
        <w:footnoteRef/>
      </w:r>
      <w:r>
        <w:t xml:space="preserve"> </w:t>
      </w:r>
      <w:r>
        <w:rPr>
          <w:rFonts w:hint="eastAsia"/>
          <w:lang w:eastAsia="zh"/>
        </w:rPr>
        <w:t>参见香港《稳定币条例》（第11分部）附表2第7条。</w:t>
      </w:r>
    </w:p>
  </w:footnote>
  <w:footnote w:id="33">
    <w:p w14:paraId="7DC95474">
      <w:pPr>
        <w:pStyle w:val="10"/>
        <w:bidi w:val="0"/>
        <w:rPr>
          <w:rFonts w:hint="eastAsia"/>
          <w:lang w:eastAsia="zh"/>
        </w:rPr>
      </w:pPr>
      <w:r>
        <w:rPr>
          <w:rStyle w:val="17"/>
        </w:rPr>
        <w:footnoteRef/>
      </w:r>
      <w:r>
        <w:t xml:space="preserve"> </w:t>
      </w:r>
      <w:r>
        <w:rPr>
          <w:rFonts w:hint="eastAsia"/>
          <w:lang w:eastAsia="zh"/>
        </w:rPr>
        <w:t>参见《持牌稳定币发行人监管指引》第2.2.2条。</w:t>
      </w:r>
    </w:p>
  </w:footnote>
  <w:footnote w:id="34">
    <w:p w14:paraId="58BC3636">
      <w:pPr>
        <w:pStyle w:val="10"/>
        <w:bidi w:val="0"/>
      </w:pPr>
      <w:r>
        <w:rPr>
          <w:rStyle w:val="17"/>
        </w:rPr>
        <w:footnoteRef/>
      </w:r>
      <w:r>
        <w:t xml:space="preserve"> </w:t>
      </w:r>
      <w:r>
        <w:rPr>
          <w:rFonts w:hint="eastAsia"/>
          <w:lang w:val="en-US" w:eastAsia="zh-CN"/>
        </w:rPr>
        <w:t>参见</w:t>
      </w:r>
      <w:r>
        <w:rPr>
          <w:rFonts w:hint="eastAsia"/>
        </w:rPr>
        <w:t>香港金融管理局：《HKMA launches Project Ensemble Sandbox to accelerate adoption of tokenisation》，2024年8月28日，香港金融管理局官网，https://www.hkma.gov.hk/eng/news-and-media/press-releases/2024/08/20240828-3，</w:t>
      </w:r>
      <w:r>
        <w:rPr>
          <w:rFonts w:hint="eastAsia"/>
          <w:lang w:val="en-US" w:eastAsia="zh-CN"/>
        </w:rPr>
        <w:t>最后</w:t>
      </w:r>
      <w:r>
        <w:rPr>
          <w:rFonts w:hint="eastAsia"/>
        </w:rPr>
        <w:t>访问时间：2026年2月8日。</w:t>
      </w:r>
    </w:p>
  </w:footnote>
  <w:footnote w:id="35">
    <w:p w14:paraId="5F955FAB">
      <w:pPr>
        <w:pStyle w:val="10"/>
        <w:snapToGrid w:val="0"/>
      </w:pPr>
      <w:r>
        <w:rPr>
          <w:rStyle w:val="17"/>
        </w:rPr>
        <w:footnoteRef/>
      </w:r>
      <w:r>
        <w:t xml:space="preserve"> </w:t>
      </w:r>
      <w:r>
        <w:rPr>
          <w:rFonts w:hint="eastAsia"/>
          <w:lang w:eastAsia="zh"/>
        </w:rPr>
        <w:t>香港金融管理局：《HKMA launches Project Ensemble Sandbox to accelerate adoption of tokenisation》，2024年8月28日，香港金融管理局官网，https://www.</w:t>
      </w:r>
      <w:r>
        <w:rPr>
          <w:rFonts w:hint="eastAsia"/>
          <w:lang w:val="en-US" w:eastAsia="zh"/>
        </w:rPr>
        <w:t>hkma</w:t>
      </w:r>
      <w:r>
        <w:rPr>
          <w:rFonts w:hint="eastAsia"/>
          <w:lang w:eastAsia="zh"/>
        </w:rPr>
        <w:t>.gov.hk/eng/news-and-media/press-releases/2024/08/20240828-3，</w:t>
      </w:r>
      <w:r>
        <w:rPr>
          <w:rFonts w:hint="eastAsia"/>
          <w:lang w:val="en-US" w:eastAsia="zh-CN"/>
        </w:rPr>
        <w:t>最后</w:t>
      </w:r>
      <w:r>
        <w:rPr>
          <w:rFonts w:hint="eastAsia"/>
          <w:lang w:eastAsia="zh"/>
        </w:rPr>
        <w:t>访问时间2026年2月8日。</w:t>
      </w:r>
    </w:p>
  </w:footnote>
  <w:footnote w:id="36">
    <w:p w14:paraId="28EBCDAB">
      <w:pPr>
        <w:pStyle w:val="10"/>
        <w:bidi w:val="0"/>
      </w:pPr>
      <w:r>
        <w:rPr>
          <w:rStyle w:val="17"/>
        </w:rPr>
        <w:footnoteRef/>
      </w:r>
      <w:r>
        <w:t xml:space="preserve"> </w:t>
      </w:r>
      <w:r>
        <w:rPr>
          <w:rFonts w:hint="eastAsia"/>
        </w:rPr>
        <w:t>参见《</w:t>
      </w:r>
      <w:r>
        <w:rPr>
          <w:rFonts w:hint="eastAsia"/>
          <w:lang w:eastAsia="zh"/>
        </w:rPr>
        <w:t>稳定币条例</w:t>
      </w:r>
      <w:r>
        <w:rPr>
          <w:rFonts w:hint="eastAsia"/>
        </w:rPr>
        <w:t>》</w:t>
      </w:r>
      <w:r>
        <w:rPr>
          <w:rFonts w:hint="eastAsia"/>
          <w:lang w:eastAsia="zh"/>
        </w:rPr>
        <w:t>第5分部</w:t>
      </w:r>
      <w:r>
        <w:rPr>
          <w:rFonts w:hint="eastAsia"/>
        </w:rPr>
        <w:t>第</w:t>
      </w:r>
      <w:r>
        <w:rPr>
          <w:rFonts w:hint="eastAsia"/>
          <w:lang w:eastAsia="zh"/>
        </w:rPr>
        <w:t>99</w:t>
      </w:r>
      <w:r>
        <w:rPr>
          <w:rFonts w:hint="eastAsia"/>
        </w:rPr>
        <w:t>条</w:t>
      </w:r>
      <w:r>
        <w:rPr>
          <w:rFonts w:hint="default"/>
          <w:lang w:val="en-US"/>
        </w:rPr>
        <w:t>(</w:t>
      </w:r>
      <w:r>
        <w:rPr>
          <w:rFonts w:hint="eastAsia"/>
          <w:lang w:eastAsia="zh"/>
        </w:rPr>
        <w:t>1</w:t>
      </w:r>
      <w:r>
        <w:rPr>
          <w:rFonts w:hint="default"/>
          <w:lang w:val="en-US" w:eastAsia="zh"/>
        </w:rPr>
        <w:t>)</w:t>
      </w:r>
      <w:r>
        <w:rPr>
          <w:rFonts w:hint="eastAsia"/>
        </w:rPr>
        <w:t>。</w:t>
      </w:r>
    </w:p>
  </w:footnote>
  <w:footnote w:id="37">
    <w:p w14:paraId="787B307B">
      <w:pPr>
        <w:pStyle w:val="10"/>
        <w:bidi w:val="0"/>
      </w:pPr>
      <w:r>
        <w:rPr>
          <w:rStyle w:val="17"/>
        </w:rPr>
        <w:footnoteRef/>
      </w:r>
      <w:r>
        <w:t xml:space="preserve"> </w:t>
      </w:r>
      <w:r>
        <w:rPr>
          <w:rFonts w:hint="eastAsia"/>
        </w:rPr>
        <w:t>参见《</w:t>
      </w:r>
      <w:r>
        <w:rPr>
          <w:rFonts w:hint="eastAsia"/>
          <w:lang w:eastAsia="zh"/>
        </w:rPr>
        <w:t>稳定币条例</w:t>
      </w:r>
      <w:r>
        <w:rPr>
          <w:rFonts w:hint="eastAsia"/>
        </w:rPr>
        <w:t>》</w:t>
      </w:r>
      <w:r>
        <w:rPr>
          <w:rFonts w:hint="eastAsia"/>
          <w:lang w:eastAsia="zh"/>
        </w:rPr>
        <w:t>第5分部</w:t>
      </w:r>
      <w:r>
        <w:rPr>
          <w:rFonts w:hint="eastAsia"/>
        </w:rPr>
        <w:t>第</w:t>
      </w:r>
      <w:r>
        <w:rPr>
          <w:rFonts w:hint="eastAsia"/>
          <w:lang w:eastAsia="zh"/>
        </w:rPr>
        <w:t>99</w:t>
      </w:r>
      <w:r>
        <w:rPr>
          <w:rFonts w:hint="eastAsia"/>
        </w:rPr>
        <w:t>条</w:t>
      </w:r>
      <w:r>
        <w:rPr>
          <w:rFonts w:hint="default"/>
          <w:lang w:val="en-US"/>
        </w:rPr>
        <w:t>(</w:t>
      </w:r>
      <w:r>
        <w:rPr>
          <w:rFonts w:hint="eastAsia"/>
          <w:lang w:eastAsia="zh"/>
        </w:rPr>
        <w:t>1</w:t>
      </w:r>
      <w:r>
        <w:rPr>
          <w:rFonts w:hint="default"/>
          <w:lang w:val="en-US" w:eastAsia="zh"/>
        </w:rPr>
        <w:t>)(</w:t>
      </w:r>
      <w:r>
        <w:rPr>
          <w:rFonts w:hint="eastAsia"/>
          <w:lang w:eastAsia="zh"/>
        </w:rPr>
        <w:t>a</w:t>
      </w:r>
      <w:r>
        <w:rPr>
          <w:rFonts w:hint="default"/>
          <w:lang w:val="en-US" w:eastAsia="zh"/>
        </w:rPr>
        <w:t>)</w:t>
      </w:r>
      <w:r>
        <w:rPr>
          <w:rFonts w:hint="eastAsia"/>
          <w:lang w:eastAsia="zh"/>
        </w:rPr>
        <w:t>。</w:t>
      </w:r>
    </w:p>
  </w:footnote>
  <w:footnote w:id="38">
    <w:p w14:paraId="65E82420">
      <w:pPr>
        <w:pStyle w:val="10"/>
        <w:snapToGrid w:val="0"/>
        <w:rPr>
          <w:rFonts w:hint="default" w:eastAsiaTheme="minorEastAsia"/>
          <w:lang w:val="en-US" w:eastAsia="zh-CN"/>
        </w:rPr>
      </w:pPr>
      <w:r>
        <w:rPr>
          <w:rStyle w:val="17"/>
        </w:rPr>
        <w:footnoteRef/>
      </w:r>
      <w:r>
        <w:t xml:space="preserve"> </w:t>
      </w:r>
      <w:r>
        <w:rPr>
          <w:rFonts w:hint="eastAsia"/>
        </w:rPr>
        <w:t>龙卫球,何傲翾</w:t>
      </w:r>
      <w:r>
        <w:rPr>
          <w:rFonts w:hint="eastAsia"/>
          <w:lang w:eastAsia="zh-CN"/>
        </w:rPr>
        <w:t>：《</w:t>
      </w:r>
      <w:r>
        <w:rPr>
          <w:rFonts w:hint="eastAsia"/>
        </w:rPr>
        <w:t>互联网助推司法治理能力现代化的范畴、原则与合理化机制</w:t>
      </w:r>
      <w:r>
        <w:rPr>
          <w:rFonts w:hint="eastAsia"/>
          <w:lang w:eastAsia="zh-CN"/>
        </w:rPr>
        <w:t>》，</w:t>
      </w:r>
      <w:r>
        <w:rPr>
          <w:rFonts w:hint="eastAsia"/>
          <w:lang w:val="en-US" w:eastAsia="zh-CN"/>
        </w:rPr>
        <w:t>载《</w:t>
      </w:r>
      <w:r>
        <w:rPr>
          <w:rFonts w:hint="eastAsia"/>
        </w:rPr>
        <w:t>数字法治</w:t>
      </w:r>
      <w:r>
        <w:rPr>
          <w:rFonts w:hint="eastAsia"/>
          <w:lang w:val="en-US" w:eastAsia="zh-CN"/>
        </w:rPr>
        <w:t>》203年2第1期，第80页</w:t>
      </w:r>
    </w:p>
  </w:footnote>
  <w:footnote w:id="39">
    <w:p w14:paraId="67E20895">
      <w:pPr>
        <w:pStyle w:val="10"/>
        <w:snapToGrid w:val="0"/>
        <w:rPr>
          <w:rFonts w:hint="eastAsia" w:eastAsiaTheme="minorEastAsia"/>
          <w:lang w:val="en-US" w:eastAsia="zh-CN"/>
        </w:rPr>
      </w:pPr>
      <w:r>
        <w:rPr>
          <w:rStyle w:val="17"/>
        </w:rPr>
        <w:footnoteRef/>
      </w:r>
      <w:r>
        <w:t xml:space="preserve"> </w:t>
      </w:r>
      <w:r>
        <w:rPr>
          <w:rFonts w:hint="eastAsia"/>
          <w:lang w:eastAsia="zh"/>
        </w:rPr>
        <w:t>参见香港《稳定币条例》（第11分部）附表2第</w:t>
      </w:r>
      <w:r>
        <w:rPr>
          <w:rFonts w:hint="eastAsia"/>
          <w:lang w:val="en-US" w:eastAsia="zh-CN"/>
        </w:rPr>
        <w:t>5</w:t>
      </w:r>
      <w:r>
        <w:rPr>
          <w:rFonts w:hint="eastAsia"/>
          <w:lang w:eastAsia="zh"/>
        </w:rPr>
        <w:t>条。</w:t>
      </w:r>
    </w:p>
  </w:footnote>
  <w:footnote w:id="40">
    <w:p w14:paraId="22A00545">
      <w:pPr>
        <w:pStyle w:val="10"/>
        <w:snapToGrid w:val="0"/>
        <w:rPr>
          <w:rFonts w:hint="default" w:eastAsiaTheme="minorEastAsia"/>
          <w:lang w:val="en-US" w:eastAsia="zh-CN"/>
        </w:rPr>
      </w:pPr>
      <w:r>
        <w:rPr>
          <w:rStyle w:val="17"/>
        </w:rPr>
        <w:footnoteRef/>
      </w:r>
      <w:r>
        <w:t xml:space="preserve"> </w:t>
      </w:r>
      <w:r>
        <w:rPr>
          <w:rFonts w:hint="eastAsia"/>
          <w:lang w:val="en-US" w:eastAsia="zh-CN"/>
        </w:rPr>
        <w:t>参见《稳定币发行人发牌制度摘要说明》第3章，第3.2条、第3.4.6条。</w:t>
      </w:r>
    </w:p>
  </w:footnote>
  <w:footnote w:id="41">
    <w:p w14:paraId="3F0AD1F6">
      <w:pPr>
        <w:pStyle w:val="10"/>
        <w:snapToGrid w:val="0"/>
      </w:pPr>
      <w:r>
        <w:rPr>
          <w:rStyle w:val="17"/>
        </w:rPr>
        <w:footnoteRef/>
      </w:r>
      <w:r>
        <w:t xml:space="preserve"> </w:t>
      </w:r>
      <w:r>
        <w:rPr>
          <w:rFonts w:hint="eastAsia"/>
          <w:lang w:eastAsia="zh"/>
        </w:rPr>
        <w:t>参见香港《稳定币条例》（第11分部）附表2第</w:t>
      </w:r>
      <w:r>
        <w:rPr>
          <w:rFonts w:hint="eastAsia"/>
          <w:lang w:val="en-US" w:eastAsia="zh-CN"/>
        </w:rPr>
        <w:t>3</w:t>
      </w:r>
      <w:r>
        <w:rPr>
          <w:rFonts w:hint="eastAsia"/>
          <w:lang w:eastAsia="zh"/>
        </w:rPr>
        <w:t>条。</w:t>
      </w:r>
    </w:p>
  </w:footnote>
  <w:footnote w:id="42">
    <w:p w14:paraId="4A9074A3">
      <w:pPr>
        <w:pStyle w:val="10"/>
        <w:snapToGrid w:val="0"/>
        <w:rPr>
          <w:rFonts w:hint="default" w:eastAsiaTheme="minorEastAsia"/>
          <w:lang w:val="en-US" w:eastAsia="zh-CN"/>
        </w:rPr>
      </w:pPr>
      <w:r>
        <w:rPr>
          <w:rStyle w:val="17"/>
        </w:rPr>
        <w:footnoteRef/>
      </w:r>
      <w:r>
        <w:t xml:space="preserve"> </w:t>
      </w:r>
      <w:r>
        <w:rPr>
          <w:rFonts w:hint="eastAsia"/>
          <w:lang w:val="en-US" w:eastAsia="zh-CN"/>
        </w:rPr>
        <w:t>Circle：</w:t>
      </w:r>
      <w:r>
        <w:rPr>
          <w:rFonts w:hint="default" w:ascii="Times New Roman Italic" w:hAnsi="Times New Roman Italic" w:cs="Times New Roman Italic"/>
          <w:i/>
          <w:iCs/>
        </w:rPr>
        <w:t>Transparency &amp; stability</w:t>
      </w:r>
      <w:r>
        <w:rPr>
          <w:rFonts w:hint="eastAsia"/>
          <w:lang w:eastAsia="zh-CN"/>
        </w:rPr>
        <w:t>；</w:t>
      </w:r>
      <w:r>
        <w:rPr>
          <w:rFonts w:hint="eastAsia"/>
        </w:rPr>
        <w:t>https://www.circle.com/transparency</w:t>
      </w:r>
      <w:r>
        <w:rPr>
          <w:rFonts w:hint="eastAsia"/>
          <w:lang w:eastAsia="zh-CN"/>
        </w:rPr>
        <w:t>，</w:t>
      </w:r>
      <w:r>
        <w:rPr>
          <w:rFonts w:hint="eastAsia"/>
          <w:lang w:val="en-US" w:eastAsia="zh-CN"/>
        </w:rPr>
        <w:t>最后访问时间2026年3月9日。</w:t>
      </w:r>
    </w:p>
  </w:footnote>
  <w:footnote w:id="43">
    <w:p w14:paraId="47678042">
      <w:pPr>
        <w:pStyle w:val="10"/>
        <w:snapToGrid w:val="0"/>
        <w:rPr>
          <w:rFonts w:hint="eastAsia" w:eastAsiaTheme="minorEastAsia"/>
          <w:lang w:val="en-US" w:eastAsia="zh-CN"/>
        </w:rPr>
      </w:pPr>
      <w:r>
        <w:rPr>
          <w:rStyle w:val="17"/>
        </w:rPr>
        <w:footnoteRef/>
      </w:r>
      <w:r>
        <w:t xml:space="preserve"> </w:t>
      </w:r>
      <w:r>
        <w:rPr>
          <w:rFonts w:hint="eastAsia"/>
        </w:rPr>
        <w:t>Tether Tokens in Circulation</w:t>
      </w:r>
      <w:r>
        <w:rPr>
          <w:rFonts w:hint="eastAsia"/>
          <w:lang w:eastAsia="zh-CN"/>
        </w:rPr>
        <w:t>：</w:t>
      </w:r>
      <w:r>
        <w:rPr>
          <w:rFonts w:hint="eastAsia"/>
          <w:lang w:val="en-US" w:eastAsia="zh-CN"/>
        </w:rPr>
        <w:t xml:space="preserve"> Transparency，https://tether.to/en/transparency/?tab=usdt，最后访问时间2026年3月9日。</w:t>
      </w:r>
    </w:p>
  </w:footnote>
  <w:footnote w:id="44">
    <w:p w14:paraId="4908B7CA">
      <w:pPr>
        <w:pStyle w:val="10"/>
        <w:snapToGrid w:val="0"/>
        <w:rPr>
          <w:rFonts w:hint="eastAsia" w:eastAsiaTheme="minorEastAsia"/>
          <w:lang w:eastAsia="zh-CN"/>
        </w:rPr>
      </w:pPr>
      <w:r>
        <w:rPr>
          <w:rStyle w:val="17"/>
        </w:rPr>
        <w:footnoteRef/>
      </w:r>
      <w:r>
        <w:t xml:space="preserve"> </w:t>
      </w:r>
      <w:r>
        <w:rPr>
          <w:rFonts w:hint="eastAsia"/>
        </w:rPr>
        <w:t>Chainlink 2.0: Next Steps in the Evolution of</w:t>
      </w:r>
      <w:r>
        <w:rPr>
          <w:rFonts w:hint="eastAsia"/>
          <w:lang w:val="en-US" w:eastAsia="zh-CN"/>
        </w:rPr>
        <w:t xml:space="preserve"> </w:t>
      </w:r>
      <w:r>
        <w:rPr>
          <w:rFonts w:hint="eastAsia"/>
        </w:rPr>
        <w:t>Decentralized Oracle Networks</w:t>
      </w:r>
      <w:r>
        <w:rPr>
          <w:rFonts w:hint="eastAsia"/>
          <w:lang w:eastAsia="zh-CN"/>
        </w:rPr>
        <w:t>，</w:t>
      </w:r>
      <w:r>
        <w:rPr>
          <w:rFonts w:hint="eastAsia"/>
          <w:lang w:val="en-US" w:eastAsia="zh-CN"/>
        </w:rPr>
        <w:t>Dec</w:t>
      </w:r>
      <w:r>
        <w:rPr>
          <w:rFonts w:hint="default"/>
          <w:lang w:val="en-US" w:eastAsia="zh-CN"/>
        </w:rPr>
        <w:t xml:space="preserve">. 1, 2025 </w:t>
      </w:r>
      <w:r>
        <w:rPr>
          <w:rFonts w:hint="eastAsia"/>
        </w:rPr>
        <w:t>Chainlink</w:t>
      </w:r>
      <w:r>
        <w:rPr>
          <w:rFonts w:hint="eastAsia"/>
          <w:lang w:val="en-US" w:eastAsia="zh-CN"/>
        </w:rPr>
        <w:t xml:space="preserve"> platform，</w:t>
      </w:r>
      <w:r>
        <w:rPr>
          <w:rFonts w:hint="eastAsia"/>
          <w:lang w:eastAsia="zh-CN"/>
        </w:rPr>
        <w:t>https://chain.link/whitepaper，</w:t>
      </w:r>
      <w:r>
        <w:rPr>
          <w:rFonts w:hint="eastAsia"/>
          <w:lang w:val="en-US" w:eastAsia="zh-CN"/>
        </w:rPr>
        <w:t>最后访问时间：2026年3月9日。</w:t>
      </w:r>
    </w:p>
  </w:footnote>
  <w:footnote w:id="45">
    <w:p w14:paraId="7F403E40">
      <w:pPr>
        <w:pStyle w:val="10"/>
        <w:snapToGrid w:val="0"/>
        <w:rPr>
          <w:rFonts w:hint="eastAsia" w:eastAsiaTheme="minorEastAsia"/>
          <w:lang w:eastAsia="zh-CN"/>
        </w:rPr>
      </w:pPr>
      <w:r>
        <w:rPr>
          <w:rStyle w:val="17"/>
        </w:rPr>
        <w:footnoteRef/>
      </w:r>
      <w:r>
        <w:t xml:space="preserve"> </w:t>
      </w:r>
      <w:r>
        <w:rPr>
          <w:rFonts w:hint="eastAsia"/>
        </w:rPr>
        <w:t>香港政府资讯中心</w:t>
      </w:r>
      <w:r>
        <w:rPr>
          <w:rFonts w:hint="eastAsia"/>
          <w:lang w:eastAsia="zh-CN"/>
        </w:rPr>
        <w:t>：《</w:t>
      </w:r>
      <w:r>
        <w:rPr>
          <w:rFonts w:hint="eastAsia"/>
          <w:lang w:val="en-US" w:eastAsia="zh-CN"/>
        </w:rPr>
        <w:t>财经事务及库务局局长在香港数字金融大奖2025颁奖典礼致辞全文</w:t>
      </w:r>
      <w:r>
        <w:rPr>
          <w:rFonts w:hint="eastAsia"/>
          <w:lang w:eastAsia="zh-CN"/>
        </w:rPr>
        <w:t>》，</w:t>
      </w:r>
      <w:r>
        <w:rPr>
          <w:rFonts w:hint="eastAsia"/>
          <w:lang w:val="en-US" w:eastAsia="zh-CN"/>
        </w:rPr>
        <w:t>2025年7月4日，香港政府咨询网，</w:t>
      </w:r>
      <w:r>
        <w:rPr>
          <w:rFonts w:hint="eastAsia"/>
          <w:lang w:eastAsia="zh-CN"/>
        </w:rPr>
        <w:t>https://www.info.gov.hk/gia/general/202507/04/P2025070400581p.htm，</w:t>
      </w:r>
      <w:r>
        <w:rPr>
          <w:rFonts w:hint="eastAsia"/>
          <w:lang w:val="en-US" w:eastAsia="zh-CN"/>
        </w:rPr>
        <w:t>最后访问时间：2026年3月9日。</w:t>
      </w:r>
    </w:p>
  </w:footnote>
  <w:footnote w:id="46">
    <w:p w14:paraId="2516A76C">
      <w:pPr>
        <w:pStyle w:val="10"/>
        <w:snapToGrid w:val="0"/>
        <w:rPr>
          <w:rFonts w:hint="default" w:eastAsiaTheme="minorEastAsia"/>
          <w:lang w:val="en-US" w:eastAsia="zh-CN"/>
        </w:rPr>
      </w:pPr>
      <w:r>
        <w:rPr>
          <w:rStyle w:val="17"/>
        </w:rPr>
        <w:footnoteRef/>
      </w:r>
      <w:r>
        <w:t xml:space="preserve"> </w:t>
      </w:r>
      <w:r>
        <w:rPr>
          <w:rFonts w:hint="eastAsia"/>
          <w:lang w:val="en-US" w:eastAsia="zh-CN"/>
        </w:rPr>
        <w:t>参见《在香港实施稳定币发行人监管制度的立法建议咨询总结》，从第1.7、1.9、3.2.9、4.8、5.2等和《稳定币条例》第24条、第 5(4) 条，以上条文均展示出香港的制度设计旨在与国际监管保持意志，我国亦展现出会继续积极参与国际讨论，并根据全球金融环境的变化调整监管细则的开放态度。</w:t>
      </w:r>
    </w:p>
  </w:footnote>
  <w:footnote w:id="47">
    <w:p w14:paraId="4DE72847">
      <w:pPr>
        <w:pStyle w:val="10"/>
        <w:snapToGrid w:val="0"/>
      </w:pPr>
      <w:r>
        <w:rPr>
          <w:rStyle w:val="17"/>
        </w:rPr>
        <w:footnoteRef/>
      </w:r>
      <w:r>
        <w:t xml:space="preserve"> </w:t>
      </w:r>
      <w:r>
        <w:rPr>
          <w:rFonts w:hint="eastAsia"/>
          <w:lang w:val="en-US" w:eastAsia="zh-CN"/>
          <w:woUserID w:val="1"/>
        </w:rPr>
        <w:t>参见《稳定币条例》第</w:t>
      </w:r>
      <w:r>
        <w:rPr>
          <w:rFonts w:hint="eastAsia"/>
          <w:lang w:val="en-US" w:eastAsia="zh"/>
          <w:woUserID w:val="1"/>
        </w:rPr>
        <w:t>6条和第14条。</w:t>
      </w:r>
    </w:p>
  </w:footnote>
  <w:footnote w:id="48">
    <w:p w14:paraId="3C4E59AF">
      <w:pPr>
        <w:pStyle w:val="10"/>
        <w:snapToGrid w:val="0"/>
        <w:rPr>
          <w:rFonts w:hint="eastAsia" w:eastAsiaTheme="minorEastAsia"/>
          <w:lang w:eastAsia="zh"/>
          <w:woUserID w:val="1"/>
        </w:rPr>
      </w:pPr>
      <w:r>
        <w:rPr>
          <w:rStyle w:val="17"/>
        </w:rPr>
        <w:footnoteRef/>
      </w:r>
      <w:r>
        <w:t xml:space="preserve"> </w:t>
      </w:r>
      <w:r>
        <w:rPr>
          <w:rFonts w:hint="eastAsia"/>
          <w:lang w:val="en-US" w:eastAsia="zh-CN"/>
          <w:woUserID w:val="1"/>
        </w:rPr>
        <w:t>参见《稳定币条例》第</w:t>
      </w:r>
      <w:r>
        <w:rPr>
          <w:rFonts w:hint="eastAsia"/>
          <w:lang w:val="en-US" w:eastAsia="zh"/>
          <w:woUserID w:val="1"/>
        </w:rPr>
        <w:t>110条。</w:t>
      </w:r>
    </w:p>
  </w:footnote>
  <w:footnote w:id="49">
    <w:p w14:paraId="028C7C72">
      <w:pPr>
        <w:pStyle w:val="10"/>
        <w:bidi w:val="0"/>
      </w:pPr>
      <w:r>
        <w:rPr>
          <w:rStyle w:val="17"/>
        </w:rPr>
        <w:footnoteRef/>
      </w:r>
      <w:r>
        <w:t xml:space="preserve"> </w:t>
      </w:r>
      <w:r>
        <w:rPr>
          <w:rFonts w:hint="eastAsia"/>
          <w:lang w:eastAsia="zh"/>
          <w:woUserID w:val="1"/>
        </w:rPr>
        <w:t>参见香港《稳定币条例》（第11分部）附表2第3条。</w:t>
      </w:r>
    </w:p>
  </w:footnote>
  <w:footnote w:id="50">
    <w:p w14:paraId="03D7D58A">
      <w:pPr>
        <w:pStyle w:val="10"/>
        <w:bidi w:val="0"/>
        <w:ind w:left="180" w:leftChars="0" w:hanging="180" w:hangingChars="100"/>
      </w:pPr>
      <w:r>
        <w:rPr>
          <w:rStyle w:val="17"/>
        </w:rPr>
        <w:footnoteRef/>
      </w:r>
      <w:r>
        <w:t xml:space="preserve"> </w:t>
      </w:r>
      <w:r>
        <w:rPr>
          <w:rFonts w:hint="eastAsia"/>
          <w:lang w:eastAsia="zh"/>
          <w:woUserID w:val="1"/>
        </w:rPr>
        <w:t>参见香港《稳定币条例》（第11分部）附表2第7条和第8条</w:t>
      </w:r>
      <w:r>
        <w:rPr>
          <w:rFonts w:hint="eastAsia"/>
          <w:lang w:eastAsia="zh-CN"/>
          <w:woUserID w:val="1"/>
        </w:rPr>
        <w:t>、</w:t>
      </w:r>
      <w:r>
        <w:rPr>
          <w:rFonts w:hint="eastAsia"/>
          <w:lang w:eastAsia="zh"/>
          <w:woUserID w:val="1"/>
        </w:rPr>
        <w:t>《稳定币发行人发牌制度摘要说明》第三章3.6.3。</w:t>
      </w:r>
    </w:p>
  </w:footnote>
  <w:footnote w:id="51">
    <w:p w14:paraId="5EFC54CF">
      <w:pPr>
        <w:pStyle w:val="10"/>
        <w:snapToGrid w:val="0"/>
        <w:rPr>
          <w:woUserID w:val="1"/>
        </w:rPr>
      </w:pPr>
      <w:r>
        <w:rPr>
          <w:rStyle w:val="17"/>
        </w:rPr>
        <w:footnoteRef/>
      </w:r>
      <w:r>
        <w:t xml:space="preserve"> </w:t>
      </w:r>
      <w:r>
        <w:rPr>
          <w:rFonts w:hint="eastAsia"/>
          <w:lang w:eastAsia="zh"/>
          <w:woUserID w:val="1"/>
        </w:rPr>
        <w:t>参见香港《稳定币条例》（第11分部）附表2第7条和第9条。</w:t>
      </w:r>
    </w:p>
  </w:footnote>
  <w:footnote w:id="52">
    <w:p w14:paraId="02D5EB3F">
      <w:pPr>
        <w:pStyle w:val="10"/>
        <w:snapToGrid w:val="0"/>
        <w:rPr>
          <w:woUserID w:val="1"/>
        </w:rPr>
      </w:pPr>
      <w:r>
        <w:rPr>
          <w:rStyle w:val="17"/>
        </w:rPr>
        <w:footnoteRef/>
      </w:r>
      <w:r>
        <w:t xml:space="preserve"> </w:t>
      </w:r>
      <w:r>
        <w:rPr>
          <w:rFonts w:hint="eastAsia"/>
          <w:lang w:eastAsia="zh"/>
          <w:woUserID w:val="1"/>
        </w:rPr>
        <w:t>参见《稳定币条例》第2条和第37-43条。</w:t>
      </w:r>
    </w:p>
  </w:footnote>
  <w:footnote w:id="53">
    <w:p w14:paraId="1AE62224">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参见《稳定币条例》第53-67条、第137条和第162-164条。</w:t>
      </w:r>
    </w:p>
  </w:footnote>
  <w:footnote w:id="54">
    <w:p w14:paraId="0A4A0990">
      <w:pPr>
        <w:pStyle w:val="10"/>
        <w:snapToGrid w:val="0"/>
        <w:rPr>
          <w:woUserID w:val="1"/>
        </w:rPr>
      </w:pPr>
      <w:r>
        <w:rPr>
          <w:rStyle w:val="17"/>
        </w:rPr>
        <w:footnoteRef/>
      </w:r>
      <w:r>
        <w:t xml:space="preserve"> </w:t>
      </w:r>
      <w:r>
        <w:rPr>
          <w:rFonts w:hint="eastAsia"/>
          <w:lang w:eastAsia="zh"/>
          <w:woUserID w:val="1"/>
        </w:rPr>
        <w:t>参见《稳定币条例》第37-43条、第100-107条和第127条。</w:t>
      </w:r>
    </w:p>
  </w:footnote>
  <w:footnote w:id="55">
    <w:p w14:paraId="34E4FD99">
      <w:pPr>
        <w:pStyle w:val="10"/>
        <w:snapToGrid w:val="0"/>
        <w:rPr>
          <w:woUserID w:val="1"/>
        </w:rPr>
      </w:pPr>
      <w:r>
        <w:rPr>
          <w:rStyle w:val="17"/>
        </w:rPr>
        <w:footnoteRef/>
      </w:r>
      <w:r>
        <w:t xml:space="preserve"> </w:t>
      </w:r>
      <w:r>
        <w:rPr>
          <w:rFonts w:hint="eastAsia"/>
          <w:lang w:eastAsia="zh"/>
          <w:woUserID w:val="1"/>
        </w:rPr>
        <w:t>参见《指引》第2.7.2和8.2.5条。</w:t>
      </w:r>
    </w:p>
  </w:footnote>
  <w:footnote w:id="56">
    <w:p w14:paraId="219EB646">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参见《指引》第6.5.15条。</w:t>
      </w:r>
    </w:p>
  </w:footnote>
  <w:footnote w:id="57">
    <w:p w14:paraId="724E3418">
      <w:pPr>
        <w:pStyle w:val="10"/>
        <w:snapToGrid w:val="0"/>
        <w:rPr>
          <w:woUserID w:val="1"/>
        </w:rPr>
      </w:pPr>
      <w:r>
        <w:rPr>
          <w:rStyle w:val="17"/>
        </w:rPr>
        <w:footnoteRef/>
      </w:r>
      <w:r>
        <w:t xml:space="preserve"> </w:t>
      </w:r>
      <w:r>
        <w:rPr>
          <w:rFonts w:hint="eastAsia"/>
          <w:lang w:eastAsia="zh"/>
          <w:woUserID w:val="1"/>
        </w:rPr>
        <w:t>参见《稳定币条例》第8条和第9条。</w:t>
      </w:r>
    </w:p>
  </w:footnote>
  <w:footnote w:id="58">
    <w:p w14:paraId="2987D2A2">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参见《稳定币条例》附表4。</w:t>
      </w:r>
    </w:p>
  </w:footnote>
  <w:footnote w:id="59">
    <w:p w14:paraId="362CADA5">
      <w:pPr>
        <w:pStyle w:val="10"/>
        <w:snapToGrid w:val="0"/>
        <w:rPr>
          <w:woUserID w:val="1"/>
        </w:rPr>
      </w:pPr>
      <w:r>
        <w:rPr>
          <w:rStyle w:val="17"/>
        </w:rPr>
        <w:footnoteRef/>
      </w:r>
      <w:r>
        <w:t xml:space="preserve"> </w:t>
      </w:r>
      <w:r>
        <w:rPr>
          <w:rFonts w:hint="eastAsia"/>
          <w:lang w:eastAsia="zh"/>
          <w:woUserID w:val="1"/>
        </w:rPr>
        <w:t>参见《稳定币条例》第17条、56条、61条及69条。</w:t>
      </w:r>
    </w:p>
  </w:footnote>
  <w:footnote w:id="60">
    <w:p w14:paraId="420EE1A4">
      <w:pPr>
        <w:pStyle w:val="10"/>
        <w:snapToGrid w:val="0"/>
        <w:rPr>
          <w:woUserID w:val="1"/>
        </w:rPr>
      </w:pPr>
      <w:r>
        <w:rPr>
          <w:rStyle w:val="17"/>
        </w:rPr>
        <w:footnoteRef/>
      </w:r>
      <w:r>
        <w:t xml:space="preserve"> </w:t>
      </w:r>
      <w:r>
        <w:rPr>
          <w:rFonts w:hint="eastAsia"/>
          <w:lang w:eastAsia="zh"/>
          <w:woUserID w:val="1"/>
        </w:rPr>
        <w:t>参见《稳定币条例》第131条。</w:t>
      </w:r>
    </w:p>
  </w:footnote>
  <w:footnote w:id="61">
    <w:p w14:paraId="75AF76E0">
      <w:pPr>
        <w:pStyle w:val="10"/>
        <w:snapToGrid w:val="0"/>
      </w:pPr>
      <w:r>
        <w:rPr>
          <w:rStyle w:val="17"/>
        </w:rPr>
        <w:footnoteRef/>
      </w:r>
      <w:r>
        <w:t xml:space="preserve"> </w:t>
      </w:r>
      <w:r>
        <w:rPr>
          <w:rFonts w:hint="eastAsia"/>
          <w:lang w:eastAsia="zh"/>
          <w:woUserID w:val="1"/>
        </w:rPr>
        <w:t>参见《稳定币条例》附表2第5条和第6条。</w:t>
      </w:r>
    </w:p>
  </w:footnote>
  <w:footnote w:id="62">
    <w:p w14:paraId="7864DE36">
      <w:pPr>
        <w:pStyle w:val="10"/>
        <w:snapToGrid w:val="0"/>
        <w:rPr>
          <w:rFonts w:hint="eastAsia" w:eastAsiaTheme="minorEastAsia"/>
          <w:lang w:eastAsia="zh"/>
          <w:woUserID w:val="1"/>
        </w:rPr>
      </w:pPr>
      <w:r>
        <w:rPr>
          <w:rStyle w:val="17"/>
        </w:rPr>
        <w:footnoteRef/>
      </w:r>
      <w:r>
        <w:rPr>
          <w:woUserID w:val="1"/>
        </w:rPr>
        <w:t xml:space="preserve"> </w:t>
      </w:r>
      <w:r>
        <w:rPr>
          <w:rFonts w:hint="eastAsia"/>
          <w:lang w:eastAsia="zh"/>
          <w:woUserID w:val="1"/>
        </w:rPr>
        <w:t>参见《稳定币条例》第10条。</w:t>
      </w:r>
    </w:p>
  </w:footnote>
  <w:footnote w:id="63">
    <w:p w14:paraId="5A02225D">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参见金融稳定理事会. (2023). 《全球稳定币安排监管、监督与监测高级别建议（最终报告）》，建议5-9。</w:t>
      </w:r>
    </w:p>
  </w:footnote>
  <w:footnote w:id="64">
    <w:p w14:paraId="337F06BA">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参见金融行动特别工作组. (2023). 《反洗钱、反恐怖融资及反扩散融资国际标准（FATF建议）》. 巴黎: FATF. 建议16；建议15释义，第7(b)段。</w:t>
      </w:r>
    </w:p>
  </w:footnote>
  <w:footnote w:id="65">
    <w:p w14:paraId="33335D96">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参见巴塞尔银行监管委员会. (2022). 《加密资产风险敞口审慎监管标准》（d545号文件）. 国际清算银行. SCO60.10–13、SCO60.21–47、SCO60.83–85。</w:t>
      </w:r>
    </w:p>
  </w:footnote>
  <w:footnote w:id="66">
    <w:p w14:paraId="2E883FA4">
      <w:pPr>
        <w:pStyle w:val="10"/>
        <w:snapToGrid w:val="0"/>
        <w:rPr>
          <w:rFonts w:hint="eastAsia" w:ascii="Times New Roman" w:hAnsi="Times New Roman" w:eastAsiaTheme="minorEastAsia" w:cstheme="minorBidi"/>
          <w:b w:val="0"/>
          <w:bCs w:val="0"/>
          <w:kern w:val="2"/>
          <w:sz w:val="18"/>
          <w:szCs w:val="24"/>
          <w:lang w:val="en-US" w:eastAsia="zh" w:bidi="ar-SA"/>
          <w:woUserID w:val="1"/>
        </w:rPr>
      </w:pPr>
      <w:r>
        <w:rPr>
          <w:rStyle w:val="17"/>
          <w:rFonts w:hint="eastAsia" w:eastAsia="宋体" w:cs="Times New Roman"/>
          <w:lang w:val="en-US" w:eastAsia="zh"/>
        </w:rPr>
        <w:footnoteRef/>
      </w:r>
      <w:r>
        <w:rPr>
          <w:rStyle w:val="17"/>
          <w:rFonts w:hint="eastAsia" w:eastAsia="宋体" w:cs="Times New Roman"/>
          <w:lang w:val="en-US" w:eastAsia="zh"/>
        </w:rPr>
        <w:t xml:space="preserve"> </w:t>
      </w:r>
      <w:r>
        <w:rPr>
          <w:rFonts w:hint="eastAsia" w:ascii="Times New Roman" w:hAnsi="Times New Roman" w:eastAsiaTheme="minorEastAsia" w:cstheme="minorBidi"/>
          <w:b w:val="0"/>
          <w:bCs w:val="0"/>
          <w:kern w:val="2"/>
          <w:sz w:val="18"/>
          <w:szCs w:val="24"/>
          <w:lang w:val="en-US" w:eastAsia="zh" w:bidi="ar-SA"/>
          <w:woUserID w:val="1"/>
        </w:rPr>
        <w:t>参见时杰：《全球稳定币竞争新格局与中国金融主权的战略抉择》</w:t>
      </w:r>
      <w:r>
        <w:rPr>
          <w:rFonts w:hint="eastAsia" w:cstheme="minorBidi"/>
          <w:b w:val="0"/>
          <w:bCs w:val="0"/>
          <w:kern w:val="2"/>
          <w:sz w:val="18"/>
          <w:szCs w:val="24"/>
          <w:lang w:val="en-US" w:eastAsia="zh" w:bidi="ar-SA"/>
          <w:woUserID w:val="1"/>
        </w:rPr>
        <w:t>，载《中州学刊》2025年第9期，第30-35页。</w:t>
      </w:r>
    </w:p>
  </w:footnote>
  <w:footnote w:id="67">
    <w:p w14:paraId="07BAC59E">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参见吴勐、戚湧：《零知识证明下可审计追溯区块链隐私保护模型》，载《应用科学学报》，第2024年第4期，第599页、606页-608页、611页。</w:t>
      </w:r>
    </w:p>
  </w:footnote>
  <w:footnote w:id="68">
    <w:p w14:paraId="13A7637A">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参见杨东、胡宇航：《加密数字货币监管的人工智能驱动转向———基于第五科学范式的探索》，载《山东师范大学学报（社会科学版）》，2026年第1期，第105-115页。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FDE5B"/>
    <w:multiLevelType w:val="singleLevel"/>
    <w:tmpl w:val="ADFFDE5B"/>
    <w:lvl w:ilvl="0" w:tentative="0">
      <w:start w:val="2"/>
      <w:numFmt w:val="decimal"/>
      <w:suff w:val="space"/>
      <w:lvlText w:val="%1."/>
      <w:lvlJc w:val="left"/>
    </w:lvl>
  </w:abstractNum>
  <w:abstractNum w:abstractNumId="1">
    <w:nsid w:val="DFDBD4E6"/>
    <w:multiLevelType w:val="singleLevel"/>
    <w:tmpl w:val="DFDBD4E6"/>
    <w:lvl w:ilvl="0" w:tentative="0">
      <w:start w:val="1"/>
      <w:numFmt w:val="chineseCounting"/>
      <w:suff w:val="nothing"/>
      <w:lvlText w:val="（%1）"/>
      <w:lvlJc w:val="left"/>
      <w:rPr>
        <w:rFonts w:hint="eastAsia"/>
      </w:rPr>
    </w:lvl>
  </w:abstractNum>
  <w:abstractNum w:abstractNumId="2">
    <w:nsid w:val="FFF722C6"/>
    <w:multiLevelType w:val="multilevel"/>
    <w:tmpl w:val="FFF722C6"/>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77E68F96"/>
    <w:multiLevelType w:val="singleLevel"/>
    <w:tmpl w:val="77E68F96"/>
    <w:lvl w:ilvl="0" w:tentative="0">
      <w:start w:val="1"/>
      <w:numFmt w:val="chineseCounting"/>
      <w:suff w:val="nothing"/>
      <w:lvlText w:val="（%1）"/>
      <w:lvlJc w:val="left"/>
      <w:rPr>
        <w:rFonts w:hint="eastAsia"/>
      </w:rPr>
    </w:lvl>
  </w:abstractNum>
  <w:abstractNum w:abstractNumId="4">
    <w:nsid w:val="7FFEB9F7"/>
    <w:multiLevelType w:val="singleLevel"/>
    <w:tmpl w:val="7FFEB9F7"/>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8"/>
    <w:footnote w:id="13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EA23C"/>
    <w:rsid w:val="05EFA3A6"/>
    <w:rsid w:val="186A9952"/>
    <w:rsid w:val="19FE499D"/>
    <w:rsid w:val="1B8FFA5E"/>
    <w:rsid w:val="1DFEF772"/>
    <w:rsid w:val="200D16FB"/>
    <w:rsid w:val="27F381B1"/>
    <w:rsid w:val="2E753665"/>
    <w:rsid w:val="3636D7FD"/>
    <w:rsid w:val="38D96960"/>
    <w:rsid w:val="3DEDF574"/>
    <w:rsid w:val="4CFBC9E5"/>
    <w:rsid w:val="4F3F0D6A"/>
    <w:rsid w:val="4FBE6472"/>
    <w:rsid w:val="5BDE63BC"/>
    <w:rsid w:val="5F9B9D76"/>
    <w:rsid w:val="63AB763B"/>
    <w:rsid w:val="63F556D4"/>
    <w:rsid w:val="6B0DC4CC"/>
    <w:rsid w:val="6BEA7904"/>
    <w:rsid w:val="6DF592A8"/>
    <w:rsid w:val="6F5F525C"/>
    <w:rsid w:val="6F8D892C"/>
    <w:rsid w:val="70DFF304"/>
    <w:rsid w:val="727F746D"/>
    <w:rsid w:val="735924D1"/>
    <w:rsid w:val="76FF8937"/>
    <w:rsid w:val="776FD81C"/>
    <w:rsid w:val="77D3E865"/>
    <w:rsid w:val="7B3C448F"/>
    <w:rsid w:val="7B4AAFE6"/>
    <w:rsid w:val="7B6FC13D"/>
    <w:rsid w:val="7BFB391C"/>
    <w:rsid w:val="7BFDDFBB"/>
    <w:rsid w:val="7C7B16A6"/>
    <w:rsid w:val="7DBEA23C"/>
    <w:rsid w:val="7DFB5BFF"/>
    <w:rsid w:val="7DFE019A"/>
    <w:rsid w:val="7DFE1122"/>
    <w:rsid w:val="7E24C426"/>
    <w:rsid w:val="7EFF1A22"/>
    <w:rsid w:val="7F3675FA"/>
    <w:rsid w:val="7F7E618D"/>
    <w:rsid w:val="7FFBEADD"/>
    <w:rsid w:val="7FFD525D"/>
    <w:rsid w:val="93F7C0F3"/>
    <w:rsid w:val="98DFF470"/>
    <w:rsid w:val="9F9FF4D7"/>
    <w:rsid w:val="9FBFDCB6"/>
    <w:rsid w:val="A6805F41"/>
    <w:rsid w:val="AD9AF58C"/>
    <w:rsid w:val="B54DD855"/>
    <w:rsid w:val="BD8D9A49"/>
    <w:rsid w:val="BDB6EC2F"/>
    <w:rsid w:val="BDEEDACA"/>
    <w:rsid w:val="BEFDF405"/>
    <w:rsid w:val="CFDF5C02"/>
    <w:rsid w:val="D4FD4FBB"/>
    <w:rsid w:val="D57C1A61"/>
    <w:rsid w:val="D5BAD190"/>
    <w:rsid w:val="E3F5E1AE"/>
    <w:rsid w:val="ED7D6D7A"/>
    <w:rsid w:val="ED7F397F"/>
    <w:rsid w:val="EFC21619"/>
    <w:rsid w:val="EFEB7FAA"/>
    <w:rsid w:val="F5FF065F"/>
    <w:rsid w:val="F67F561A"/>
    <w:rsid w:val="F6DFEC60"/>
    <w:rsid w:val="F6FF01D9"/>
    <w:rsid w:val="F7ECFB4E"/>
    <w:rsid w:val="F99F8873"/>
    <w:rsid w:val="F99FB263"/>
    <w:rsid w:val="F9B617F3"/>
    <w:rsid w:val="F9DD2D7D"/>
    <w:rsid w:val="F9FB58BC"/>
    <w:rsid w:val="F9FBCDFA"/>
    <w:rsid w:val="FBB5534C"/>
    <w:rsid w:val="FBFF7398"/>
    <w:rsid w:val="FC7E849D"/>
    <w:rsid w:val="FDFDC9A3"/>
    <w:rsid w:val="FDFFB9AE"/>
    <w:rsid w:val="FEB7A9B4"/>
    <w:rsid w:val="FF3F463C"/>
    <w:rsid w:val="FF3FFB19"/>
    <w:rsid w:val="FF5FA2D9"/>
    <w:rsid w:val="FF9E3915"/>
    <w:rsid w:val="FFBF8262"/>
    <w:rsid w:val="FFFB95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numPr>
        <w:ilvl w:val="3"/>
        <w:numId w:val="1"/>
      </w:numPr>
      <w:spacing w:before="0" w:beforeAutospacing="1" w:after="0" w:afterAutospacing="1"/>
      <w:ind w:firstLine="402"/>
      <w:jc w:val="left"/>
      <w:outlineLvl w:val="3"/>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endnote text"/>
    <w:basedOn w:val="1"/>
    <w:qFormat/>
    <w:uiPriority w:val="0"/>
    <w:pPr>
      <w:snapToGrid w:val="0"/>
      <w:jc w:val="left"/>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basedOn w:val="1"/>
    <w:qFormat/>
    <w:uiPriority w:val="0"/>
    <w:pPr>
      <w:keepLines/>
      <w:wordWrap w:val="0"/>
      <w:topLinePunct/>
      <w:snapToGrid w:val="0"/>
      <w:jc w:val="left"/>
    </w:pPr>
    <w:rPr>
      <w:rFonts w:ascii="Times New Roman" w:hAnsi="Times New Roman" w:eastAsiaTheme="minorEastAsia"/>
      <w:sz w:val="18"/>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Hyperlink"/>
    <w:basedOn w:val="13"/>
    <w:qFormat/>
    <w:uiPriority w:val="0"/>
    <w:rPr>
      <w:color w:val="0000FF"/>
      <w:u w:val="single"/>
    </w:rPr>
  </w:style>
  <w:style w:type="character" w:styleId="17">
    <w:name w:val="footnote reference"/>
    <w:basedOn w:val="13"/>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3977</Words>
  <Characters>4143</Characters>
  <Lines>1</Lines>
  <Paragraphs>1</Paragraphs>
  <TotalTime>1</TotalTime>
  <ScaleCrop>false</ScaleCrop>
  <LinksUpToDate>false</LinksUpToDate>
  <CharactersWithSpaces>4155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2026-03-09T05:08:00Z</dcterms:created>
  <dc:creator>梁舒琪</dc:creator>
  <cp:lastModifiedBy>winni</cp:lastModifiedBy>
  <dcterms:modified xsi:type="dcterms:W3CDTF">2026-04-27T00:01:51Z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6A7E7459E86D4A53893FD4605DADE34C_13</vt:lpwstr>
  </property>
</Properties>
</file>