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CC245">
      <w:pPr>
        <w:jc w:val="center"/>
        <w:rPr>
          <w:rFonts w:hint="eastAsia" w:ascii="黑体" w:hAnsi="黑体" w:eastAsia="黑体"/>
          <w:b/>
          <w:sz w:val="30"/>
          <w:szCs w:val="30"/>
        </w:rPr>
      </w:pPr>
      <w:r>
        <w:rPr>
          <w:rFonts w:hint="eastAsia" w:ascii="黑体" w:hAnsi="黑体" w:eastAsia="黑体"/>
          <w:b/>
          <w:sz w:val="30"/>
          <w:szCs w:val="30"/>
        </w:rPr>
        <w:t>中国政法大学研究生学报审稿评分表</w:t>
      </w:r>
    </w:p>
    <w:p w14:paraId="0340015A">
      <w:pPr>
        <w:rPr>
          <w:rFonts w:hint="eastAsia"/>
          <w:sz w:val="24"/>
        </w:rPr>
      </w:pPr>
    </w:p>
    <w:p w14:paraId="5FEF1F1F">
      <w:pPr>
        <w:rPr>
          <w:rFonts w:hint="eastAsia"/>
          <w:sz w:val="24"/>
        </w:rPr>
      </w:pPr>
      <w:r>
        <w:rPr>
          <w:rFonts w:hint="eastAsia"/>
          <w:sz w:val="24"/>
        </w:rPr>
        <w:t>论文题目：</w:t>
      </w:r>
      <w:bookmarkStart w:id="0" w:name="_GoBack"/>
      <w:r>
        <w:rPr>
          <w:rFonts w:hint="eastAsia"/>
          <w:sz w:val="24"/>
        </w:rPr>
        <w:t>算法空间中的主权重构：数据主权视阈下香港稳定币监管的法理突破</w:t>
      </w:r>
      <w:bookmarkEnd w:id="0"/>
      <w:r>
        <w:rPr>
          <w:rFonts w:hint="eastAsia"/>
          <w:sz w:val="24"/>
        </w:rPr>
        <w:t>论文作者：</w:t>
      </w:r>
    </w:p>
    <w:p w14:paraId="10E67C01">
      <w:pPr>
        <w:rPr>
          <w:rFonts w:hint="eastAsia"/>
          <w:sz w:val="24"/>
        </w:rPr>
      </w:pPr>
    </w:p>
    <w:tbl>
      <w:tblPr>
        <w:tblStyle w:val="5"/>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901"/>
        <w:gridCol w:w="5767"/>
        <w:gridCol w:w="1442"/>
      </w:tblGrid>
      <w:tr w14:paraId="1CB8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649" w:type="dxa"/>
          </w:tcPr>
          <w:p w14:paraId="7CD816D1">
            <w:pPr>
              <w:rPr>
                <w:rFonts w:hint="eastAsia"/>
                <w:b/>
                <w:sz w:val="18"/>
                <w:szCs w:val="18"/>
              </w:rPr>
            </w:pPr>
            <w:r>
              <w:rPr>
                <w:rFonts w:hint="eastAsia"/>
                <w:b/>
                <w:sz w:val="18"/>
                <w:szCs w:val="18"/>
              </w:rPr>
              <w:t>序号</w:t>
            </w:r>
          </w:p>
        </w:tc>
        <w:tc>
          <w:tcPr>
            <w:tcW w:w="901" w:type="dxa"/>
          </w:tcPr>
          <w:p w14:paraId="2C61E99C">
            <w:pPr>
              <w:rPr>
                <w:rFonts w:hint="eastAsia"/>
                <w:b/>
                <w:sz w:val="18"/>
                <w:szCs w:val="18"/>
              </w:rPr>
            </w:pPr>
            <w:r>
              <w:rPr>
                <w:rFonts w:hint="eastAsia"/>
                <w:b/>
                <w:sz w:val="18"/>
                <w:szCs w:val="18"/>
              </w:rPr>
              <w:t>评价</w:t>
            </w:r>
          </w:p>
          <w:p w14:paraId="2E929A2D">
            <w:pPr>
              <w:rPr>
                <w:rFonts w:hint="eastAsia"/>
                <w:b/>
                <w:sz w:val="18"/>
                <w:szCs w:val="18"/>
              </w:rPr>
            </w:pPr>
            <w:r>
              <w:rPr>
                <w:rFonts w:hint="eastAsia"/>
                <w:b/>
                <w:sz w:val="18"/>
                <w:szCs w:val="18"/>
              </w:rPr>
              <w:t>指标</w:t>
            </w:r>
          </w:p>
        </w:tc>
        <w:tc>
          <w:tcPr>
            <w:tcW w:w="5767" w:type="dxa"/>
          </w:tcPr>
          <w:p w14:paraId="72855455">
            <w:pPr>
              <w:jc w:val="center"/>
              <w:rPr>
                <w:rFonts w:hint="eastAsia"/>
                <w:b/>
                <w:sz w:val="18"/>
                <w:szCs w:val="18"/>
              </w:rPr>
            </w:pPr>
            <w:r>
              <w:rPr>
                <w:rFonts w:hint="eastAsia"/>
                <w:b/>
                <w:sz w:val="18"/>
                <w:szCs w:val="18"/>
              </w:rPr>
              <w:t>评价标准</w:t>
            </w:r>
          </w:p>
        </w:tc>
        <w:tc>
          <w:tcPr>
            <w:tcW w:w="1442" w:type="dxa"/>
          </w:tcPr>
          <w:p w14:paraId="7540A6E8">
            <w:pPr>
              <w:jc w:val="center"/>
              <w:rPr>
                <w:rFonts w:hint="eastAsia"/>
                <w:b/>
                <w:sz w:val="18"/>
                <w:szCs w:val="18"/>
              </w:rPr>
            </w:pPr>
            <w:r>
              <w:rPr>
                <w:rFonts w:hint="eastAsia"/>
                <w:b/>
                <w:sz w:val="18"/>
                <w:szCs w:val="18"/>
              </w:rPr>
              <w:t>分值</w:t>
            </w:r>
          </w:p>
          <w:p w14:paraId="364A95AB">
            <w:pPr>
              <w:rPr>
                <w:rFonts w:hint="eastAsia"/>
                <w:b/>
                <w:sz w:val="18"/>
                <w:szCs w:val="18"/>
              </w:rPr>
            </w:pPr>
          </w:p>
        </w:tc>
      </w:tr>
      <w:tr w14:paraId="670DE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649" w:type="dxa"/>
            <w:vMerge w:val="restart"/>
          </w:tcPr>
          <w:p w14:paraId="189AFF4B">
            <w:pPr>
              <w:jc w:val="center"/>
              <w:rPr>
                <w:rFonts w:hint="eastAsia"/>
                <w:sz w:val="18"/>
                <w:szCs w:val="18"/>
              </w:rPr>
            </w:pPr>
          </w:p>
          <w:p w14:paraId="52204D39">
            <w:pPr>
              <w:jc w:val="center"/>
              <w:rPr>
                <w:rFonts w:hint="eastAsia"/>
                <w:sz w:val="18"/>
                <w:szCs w:val="18"/>
              </w:rPr>
            </w:pPr>
            <w:r>
              <w:rPr>
                <w:rFonts w:hint="eastAsia"/>
                <w:b/>
                <w:sz w:val="18"/>
                <w:szCs w:val="18"/>
              </w:rPr>
              <w:t>1</w:t>
            </w:r>
          </w:p>
        </w:tc>
        <w:tc>
          <w:tcPr>
            <w:tcW w:w="901" w:type="dxa"/>
            <w:vMerge w:val="restart"/>
          </w:tcPr>
          <w:p w14:paraId="4B0D0886">
            <w:pPr>
              <w:jc w:val="center"/>
              <w:rPr>
                <w:rFonts w:hint="eastAsia"/>
                <w:sz w:val="18"/>
                <w:szCs w:val="18"/>
              </w:rPr>
            </w:pPr>
            <w:r>
              <w:rPr>
                <w:rFonts w:hint="eastAsia"/>
                <w:sz w:val="18"/>
                <w:szCs w:val="18"/>
              </w:rPr>
              <w:t>论文</w:t>
            </w:r>
          </w:p>
          <w:p w14:paraId="4A72B344">
            <w:pPr>
              <w:jc w:val="center"/>
              <w:rPr>
                <w:rFonts w:hint="eastAsia"/>
                <w:sz w:val="18"/>
                <w:szCs w:val="18"/>
              </w:rPr>
            </w:pPr>
            <w:r>
              <w:rPr>
                <w:rFonts w:hint="eastAsia"/>
                <w:sz w:val="18"/>
                <w:szCs w:val="18"/>
              </w:rPr>
              <w:t>选题</w:t>
            </w:r>
          </w:p>
          <w:p w14:paraId="4595A0CF">
            <w:pPr>
              <w:jc w:val="center"/>
              <w:rPr>
                <w:rFonts w:hint="eastAsia"/>
                <w:sz w:val="18"/>
                <w:szCs w:val="18"/>
              </w:rPr>
            </w:pPr>
            <w:r>
              <w:rPr>
                <w:rFonts w:hint="eastAsia"/>
                <w:sz w:val="18"/>
                <w:szCs w:val="18"/>
                <w:lang w:val="en-US" w:eastAsia="zh-CN"/>
              </w:rPr>
              <w:t>5</w:t>
            </w:r>
            <w:r>
              <w:rPr>
                <w:rFonts w:hint="eastAsia"/>
                <w:sz w:val="18"/>
                <w:szCs w:val="18"/>
              </w:rPr>
              <w:t>分</w:t>
            </w:r>
          </w:p>
        </w:tc>
        <w:tc>
          <w:tcPr>
            <w:tcW w:w="5767" w:type="dxa"/>
          </w:tcPr>
          <w:p w14:paraId="6FC00893">
            <w:pPr>
              <w:rPr>
                <w:rFonts w:hint="eastAsia"/>
                <w:sz w:val="18"/>
                <w:szCs w:val="18"/>
              </w:rPr>
            </w:pPr>
            <w:r>
              <w:rPr>
                <w:rFonts w:hint="eastAsia"/>
                <w:sz w:val="18"/>
                <w:szCs w:val="18"/>
              </w:rPr>
              <w:t>具有较高学术性、创新性、实践性和可行性</w:t>
            </w:r>
          </w:p>
        </w:tc>
        <w:tc>
          <w:tcPr>
            <w:tcW w:w="1442" w:type="dxa"/>
          </w:tcPr>
          <w:p w14:paraId="5629B268">
            <w:pPr>
              <w:jc w:val="center"/>
              <w:rPr>
                <w:rFonts w:hint="eastAsia"/>
                <w:b/>
                <w:sz w:val="18"/>
                <w:szCs w:val="18"/>
              </w:rPr>
            </w:pPr>
            <w:r>
              <w:rPr>
                <w:rFonts w:hint="eastAsia"/>
                <w:b/>
                <w:sz w:val="18"/>
                <w:szCs w:val="18"/>
              </w:rPr>
              <w:t>8-10</w:t>
            </w:r>
          </w:p>
        </w:tc>
      </w:tr>
      <w:tr w14:paraId="57D6D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649" w:type="dxa"/>
            <w:vMerge w:val="continue"/>
          </w:tcPr>
          <w:p w14:paraId="61416C59">
            <w:pPr>
              <w:jc w:val="center"/>
              <w:rPr>
                <w:rFonts w:hint="eastAsia"/>
                <w:sz w:val="18"/>
                <w:szCs w:val="18"/>
              </w:rPr>
            </w:pPr>
          </w:p>
        </w:tc>
        <w:tc>
          <w:tcPr>
            <w:tcW w:w="901" w:type="dxa"/>
            <w:vMerge w:val="continue"/>
          </w:tcPr>
          <w:p w14:paraId="0274DCAE">
            <w:pPr>
              <w:jc w:val="center"/>
              <w:rPr>
                <w:rFonts w:hint="eastAsia"/>
                <w:sz w:val="18"/>
                <w:szCs w:val="18"/>
              </w:rPr>
            </w:pPr>
          </w:p>
        </w:tc>
        <w:tc>
          <w:tcPr>
            <w:tcW w:w="5767" w:type="dxa"/>
          </w:tcPr>
          <w:p w14:paraId="15A01856">
            <w:pPr>
              <w:rPr>
                <w:rFonts w:hint="eastAsia"/>
                <w:sz w:val="18"/>
                <w:szCs w:val="18"/>
              </w:rPr>
            </w:pPr>
            <w:r>
              <w:rPr>
                <w:rFonts w:hint="eastAsia"/>
                <w:sz w:val="18"/>
                <w:szCs w:val="18"/>
              </w:rPr>
              <w:t>有一定的学术性、实践性和可行性</w:t>
            </w:r>
          </w:p>
        </w:tc>
        <w:tc>
          <w:tcPr>
            <w:tcW w:w="1442" w:type="dxa"/>
          </w:tcPr>
          <w:p w14:paraId="072A6967">
            <w:pPr>
              <w:jc w:val="center"/>
              <w:rPr>
                <w:rFonts w:hint="eastAsia"/>
                <w:b/>
                <w:sz w:val="18"/>
                <w:szCs w:val="18"/>
              </w:rPr>
            </w:pPr>
            <w:r>
              <w:rPr>
                <w:rFonts w:hint="eastAsia"/>
                <w:b/>
                <w:sz w:val="18"/>
                <w:szCs w:val="18"/>
              </w:rPr>
              <w:t>4-7</w:t>
            </w:r>
          </w:p>
        </w:tc>
      </w:tr>
      <w:tr w14:paraId="5332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3F9EA88E">
            <w:pPr>
              <w:jc w:val="center"/>
              <w:rPr>
                <w:rFonts w:hint="eastAsia"/>
                <w:sz w:val="18"/>
                <w:szCs w:val="18"/>
              </w:rPr>
            </w:pPr>
          </w:p>
        </w:tc>
        <w:tc>
          <w:tcPr>
            <w:tcW w:w="901" w:type="dxa"/>
            <w:vMerge w:val="continue"/>
          </w:tcPr>
          <w:p w14:paraId="7EA02A59">
            <w:pPr>
              <w:jc w:val="center"/>
              <w:rPr>
                <w:rFonts w:hint="eastAsia"/>
                <w:sz w:val="18"/>
                <w:szCs w:val="18"/>
              </w:rPr>
            </w:pPr>
          </w:p>
        </w:tc>
        <w:tc>
          <w:tcPr>
            <w:tcW w:w="5767" w:type="dxa"/>
          </w:tcPr>
          <w:p w14:paraId="1326284A">
            <w:pPr>
              <w:rPr>
                <w:rFonts w:hint="eastAsia"/>
                <w:sz w:val="18"/>
                <w:szCs w:val="18"/>
              </w:rPr>
            </w:pPr>
            <w:r>
              <w:rPr>
                <w:rFonts w:hint="eastAsia"/>
                <w:sz w:val="18"/>
                <w:szCs w:val="18"/>
              </w:rPr>
              <w:t>学术性、实践性、可行性较差</w:t>
            </w:r>
          </w:p>
        </w:tc>
        <w:tc>
          <w:tcPr>
            <w:tcW w:w="1442" w:type="dxa"/>
          </w:tcPr>
          <w:p w14:paraId="02BF2FBC">
            <w:pPr>
              <w:jc w:val="center"/>
              <w:rPr>
                <w:b/>
                <w:sz w:val="18"/>
                <w:szCs w:val="18"/>
              </w:rPr>
            </w:pPr>
            <w:r>
              <w:rPr>
                <w:rFonts w:hint="eastAsia"/>
                <w:b/>
                <w:sz w:val="18"/>
                <w:szCs w:val="18"/>
              </w:rPr>
              <w:t>0-3</w:t>
            </w:r>
          </w:p>
          <w:p w14:paraId="4C736781">
            <w:pPr>
              <w:jc w:val="center"/>
              <w:rPr>
                <w:rFonts w:hint="eastAsia"/>
                <w:b/>
                <w:sz w:val="18"/>
                <w:szCs w:val="18"/>
              </w:rPr>
            </w:pPr>
          </w:p>
        </w:tc>
      </w:tr>
      <w:tr w14:paraId="4245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649" w:type="dxa"/>
            <w:vMerge w:val="restart"/>
          </w:tcPr>
          <w:p w14:paraId="3915EFAA">
            <w:pPr>
              <w:rPr>
                <w:rFonts w:hint="eastAsia"/>
                <w:b/>
                <w:sz w:val="18"/>
                <w:szCs w:val="18"/>
              </w:rPr>
            </w:pPr>
          </w:p>
          <w:p w14:paraId="328E8B76">
            <w:pPr>
              <w:jc w:val="center"/>
              <w:rPr>
                <w:b/>
                <w:sz w:val="18"/>
                <w:szCs w:val="18"/>
              </w:rPr>
            </w:pPr>
            <w:r>
              <w:rPr>
                <w:rFonts w:hint="eastAsia"/>
                <w:b/>
                <w:sz w:val="18"/>
                <w:szCs w:val="18"/>
              </w:rPr>
              <w:t>2</w:t>
            </w:r>
          </w:p>
          <w:p w14:paraId="285A88FE">
            <w:pPr>
              <w:jc w:val="center"/>
              <w:rPr>
                <w:rFonts w:hint="eastAsia"/>
                <w:b/>
                <w:sz w:val="18"/>
                <w:szCs w:val="18"/>
              </w:rPr>
            </w:pPr>
          </w:p>
        </w:tc>
        <w:tc>
          <w:tcPr>
            <w:tcW w:w="901" w:type="dxa"/>
            <w:vMerge w:val="restart"/>
          </w:tcPr>
          <w:p w14:paraId="1BC1D186">
            <w:pPr>
              <w:jc w:val="center"/>
              <w:rPr>
                <w:rFonts w:hint="eastAsia"/>
                <w:sz w:val="18"/>
                <w:szCs w:val="18"/>
              </w:rPr>
            </w:pPr>
            <w:r>
              <w:rPr>
                <w:rFonts w:hint="eastAsia"/>
                <w:sz w:val="18"/>
                <w:szCs w:val="18"/>
              </w:rPr>
              <w:t>论文</w:t>
            </w:r>
          </w:p>
          <w:p w14:paraId="66E246B1">
            <w:pPr>
              <w:jc w:val="center"/>
              <w:rPr>
                <w:rFonts w:hint="eastAsia"/>
                <w:sz w:val="18"/>
                <w:szCs w:val="18"/>
              </w:rPr>
            </w:pPr>
            <w:r>
              <w:rPr>
                <w:rFonts w:hint="eastAsia"/>
                <w:sz w:val="18"/>
                <w:szCs w:val="18"/>
              </w:rPr>
              <w:t>观点</w:t>
            </w:r>
          </w:p>
          <w:p w14:paraId="55DA73D9">
            <w:pPr>
              <w:jc w:val="center"/>
              <w:rPr>
                <w:rFonts w:hint="eastAsia"/>
                <w:sz w:val="18"/>
                <w:szCs w:val="18"/>
              </w:rPr>
            </w:pPr>
            <w:r>
              <w:rPr>
                <w:rFonts w:hint="eastAsia"/>
                <w:b/>
                <w:sz w:val="18"/>
                <w:szCs w:val="18"/>
              </w:rPr>
              <w:t>1</w:t>
            </w:r>
            <w:r>
              <w:rPr>
                <w:rFonts w:hint="eastAsia"/>
                <w:b/>
                <w:sz w:val="18"/>
                <w:szCs w:val="18"/>
                <w:lang w:val="en-US" w:eastAsia="zh-CN"/>
              </w:rPr>
              <w:t>0</w:t>
            </w:r>
            <w:r>
              <w:rPr>
                <w:rFonts w:hint="eastAsia"/>
                <w:sz w:val="18"/>
                <w:szCs w:val="18"/>
              </w:rPr>
              <w:t>分</w:t>
            </w:r>
          </w:p>
        </w:tc>
        <w:tc>
          <w:tcPr>
            <w:tcW w:w="5767" w:type="dxa"/>
          </w:tcPr>
          <w:p w14:paraId="303F7CFE">
            <w:pPr>
              <w:rPr>
                <w:rFonts w:hint="eastAsia"/>
                <w:sz w:val="18"/>
                <w:szCs w:val="18"/>
              </w:rPr>
            </w:pPr>
            <w:r>
              <w:rPr>
                <w:rFonts w:hint="eastAsia"/>
                <w:sz w:val="18"/>
                <w:szCs w:val="18"/>
              </w:rPr>
              <w:t>论点鲜明，见解独到、有创新性</w:t>
            </w:r>
          </w:p>
        </w:tc>
        <w:tc>
          <w:tcPr>
            <w:tcW w:w="1442" w:type="dxa"/>
          </w:tcPr>
          <w:p w14:paraId="3E9E3FBF">
            <w:pPr>
              <w:jc w:val="center"/>
              <w:rPr>
                <w:b/>
                <w:sz w:val="18"/>
                <w:szCs w:val="18"/>
              </w:rPr>
            </w:pPr>
            <w:r>
              <w:rPr>
                <w:rFonts w:hint="eastAsia"/>
                <w:b/>
                <w:sz w:val="18"/>
                <w:szCs w:val="18"/>
              </w:rPr>
              <w:t>13-15</w:t>
            </w:r>
          </w:p>
          <w:p w14:paraId="4A8265D7">
            <w:pPr>
              <w:jc w:val="center"/>
              <w:rPr>
                <w:rFonts w:hint="eastAsia"/>
                <w:b/>
                <w:sz w:val="18"/>
                <w:szCs w:val="18"/>
              </w:rPr>
            </w:pPr>
          </w:p>
        </w:tc>
      </w:tr>
      <w:tr w14:paraId="0CEE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384C29B7">
            <w:pPr>
              <w:jc w:val="center"/>
              <w:rPr>
                <w:rFonts w:hint="eastAsia"/>
                <w:b/>
                <w:sz w:val="18"/>
                <w:szCs w:val="18"/>
              </w:rPr>
            </w:pPr>
          </w:p>
        </w:tc>
        <w:tc>
          <w:tcPr>
            <w:tcW w:w="901" w:type="dxa"/>
            <w:vMerge w:val="continue"/>
          </w:tcPr>
          <w:p w14:paraId="13453A07">
            <w:pPr>
              <w:jc w:val="center"/>
              <w:rPr>
                <w:rFonts w:hint="eastAsia"/>
                <w:sz w:val="18"/>
                <w:szCs w:val="18"/>
              </w:rPr>
            </w:pPr>
          </w:p>
        </w:tc>
        <w:tc>
          <w:tcPr>
            <w:tcW w:w="5767" w:type="dxa"/>
          </w:tcPr>
          <w:p w14:paraId="4C4C8DAE">
            <w:pPr>
              <w:rPr>
                <w:rFonts w:hint="eastAsia"/>
                <w:sz w:val="18"/>
                <w:szCs w:val="18"/>
              </w:rPr>
            </w:pPr>
            <w:r>
              <w:rPr>
                <w:rFonts w:hint="eastAsia"/>
                <w:sz w:val="18"/>
                <w:szCs w:val="18"/>
              </w:rPr>
              <w:t>论点明确，有一定新意对既有观点有较深的阐释</w:t>
            </w:r>
          </w:p>
        </w:tc>
        <w:tc>
          <w:tcPr>
            <w:tcW w:w="1442" w:type="dxa"/>
          </w:tcPr>
          <w:p w14:paraId="42DECC61">
            <w:pPr>
              <w:jc w:val="center"/>
              <w:rPr>
                <w:b/>
                <w:sz w:val="18"/>
                <w:szCs w:val="18"/>
              </w:rPr>
            </w:pPr>
            <w:r>
              <w:rPr>
                <w:rFonts w:hint="eastAsia"/>
                <w:b/>
                <w:sz w:val="18"/>
                <w:szCs w:val="18"/>
              </w:rPr>
              <w:t>5-12</w:t>
            </w:r>
          </w:p>
          <w:p w14:paraId="4BB5B35D">
            <w:pPr>
              <w:jc w:val="center"/>
              <w:rPr>
                <w:rFonts w:hint="eastAsia"/>
                <w:b/>
                <w:sz w:val="18"/>
                <w:szCs w:val="18"/>
              </w:rPr>
            </w:pPr>
          </w:p>
        </w:tc>
      </w:tr>
      <w:tr w14:paraId="2F108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49" w:type="dxa"/>
            <w:vMerge w:val="continue"/>
          </w:tcPr>
          <w:p w14:paraId="3F19348D">
            <w:pPr>
              <w:jc w:val="center"/>
              <w:rPr>
                <w:rFonts w:hint="eastAsia"/>
                <w:b/>
                <w:sz w:val="18"/>
                <w:szCs w:val="18"/>
              </w:rPr>
            </w:pPr>
          </w:p>
        </w:tc>
        <w:tc>
          <w:tcPr>
            <w:tcW w:w="901" w:type="dxa"/>
            <w:vMerge w:val="continue"/>
          </w:tcPr>
          <w:p w14:paraId="73B1256B">
            <w:pPr>
              <w:jc w:val="center"/>
              <w:rPr>
                <w:rFonts w:hint="eastAsia"/>
                <w:sz w:val="18"/>
                <w:szCs w:val="18"/>
              </w:rPr>
            </w:pPr>
          </w:p>
        </w:tc>
        <w:tc>
          <w:tcPr>
            <w:tcW w:w="5767" w:type="dxa"/>
          </w:tcPr>
          <w:p w14:paraId="7FF83969">
            <w:pPr>
              <w:rPr>
                <w:rFonts w:hint="eastAsia"/>
                <w:sz w:val="18"/>
                <w:szCs w:val="18"/>
              </w:rPr>
            </w:pPr>
            <w:r>
              <w:rPr>
                <w:rFonts w:hint="eastAsia"/>
                <w:sz w:val="18"/>
                <w:szCs w:val="18"/>
              </w:rPr>
              <w:t>论点不够明确</w:t>
            </w:r>
          </w:p>
        </w:tc>
        <w:tc>
          <w:tcPr>
            <w:tcW w:w="1442" w:type="dxa"/>
          </w:tcPr>
          <w:p w14:paraId="3C243984">
            <w:pPr>
              <w:jc w:val="center"/>
              <w:rPr>
                <w:b/>
                <w:sz w:val="18"/>
                <w:szCs w:val="18"/>
              </w:rPr>
            </w:pPr>
            <w:r>
              <w:rPr>
                <w:rFonts w:hint="eastAsia"/>
                <w:b/>
                <w:sz w:val="18"/>
                <w:szCs w:val="18"/>
              </w:rPr>
              <w:t>0-4</w:t>
            </w:r>
          </w:p>
          <w:p w14:paraId="4EE0C9BD">
            <w:pPr>
              <w:jc w:val="center"/>
              <w:rPr>
                <w:rFonts w:hint="eastAsia"/>
                <w:b/>
                <w:sz w:val="18"/>
                <w:szCs w:val="18"/>
              </w:rPr>
            </w:pPr>
          </w:p>
        </w:tc>
      </w:tr>
      <w:tr w14:paraId="1910A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restart"/>
          </w:tcPr>
          <w:p w14:paraId="4FEC1AEE">
            <w:pPr>
              <w:rPr>
                <w:rFonts w:hint="eastAsia"/>
                <w:b/>
                <w:sz w:val="18"/>
                <w:szCs w:val="18"/>
              </w:rPr>
            </w:pPr>
          </w:p>
          <w:p w14:paraId="601CEC9F">
            <w:pPr>
              <w:jc w:val="center"/>
              <w:rPr>
                <w:rFonts w:hint="eastAsia"/>
                <w:b/>
                <w:sz w:val="18"/>
                <w:szCs w:val="18"/>
              </w:rPr>
            </w:pPr>
            <w:r>
              <w:rPr>
                <w:rFonts w:hint="eastAsia"/>
                <w:b/>
                <w:sz w:val="18"/>
                <w:szCs w:val="18"/>
              </w:rPr>
              <w:t>3</w:t>
            </w:r>
          </w:p>
        </w:tc>
        <w:tc>
          <w:tcPr>
            <w:tcW w:w="901" w:type="dxa"/>
            <w:vMerge w:val="restart"/>
          </w:tcPr>
          <w:p w14:paraId="2303AA07">
            <w:pPr>
              <w:jc w:val="center"/>
              <w:rPr>
                <w:rFonts w:hint="eastAsia"/>
                <w:sz w:val="18"/>
                <w:szCs w:val="18"/>
              </w:rPr>
            </w:pPr>
          </w:p>
          <w:p w14:paraId="3F3539E8">
            <w:pPr>
              <w:jc w:val="center"/>
              <w:rPr>
                <w:rFonts w:hint="eastAsia"/>
                <w:sz w:val="18"/>
                <w:szCs w:val="18"/>
              </w:rPr>
            </w:pPr>
            <w:r>
              <w:rPr>
                <w:rFonts w:hint="eastAsia"/>
                <w:sz w:val="18"/>
                <w:szCs w:val="18"/>
              </w:rPr>
              <w:t>论文</w:t>
            </w:r>
          </w:p>
          <w:p w14:paraId="07FC7B57">
            <w:pPr>
              <w:jc w:val="center"/>
              <w:rPr>
                <w:rFonts w:hint="eastAsia"/>
                <w:sz w:val="18"/>
                <w:szCs w:val="18"/>
              </w:rPr>
            </w:pPr>
            <w:r>
              <w:rPr>
                <w:rFonts w:hint="eastAsia"/>
                <w:sz w:val="18"/>
                <w:szCs w:val="18"/>
              </w:rPr>
              <w:t>论证</w:t>
            </w:r>
          </w:p>
          <w:p w14:paraId="0F385E0A">
            <w:pPr>
              <w:jc w:val="center"/>
              <w:rPr>
                <w:rFonts w:hint="eastAsia"/>
                <w:sz w:val="18"/>
                <w:szCs w:val="18"/>
              </w:rPr>
            </w:pPr>
            <w:r>
              <w:rPr>
                <w:rFonts w:hint="eastAsia"/>
                <w:sz w:val="18"/>
                <w:szCs w:val="18"/>
                <w:lang w:val="en-US" w:eastAsia="zh-CN"/>
              </w:rPr>
              <w:t>25</w:t>
            </w:r>
            <w:r>
              <w:rPr>
                <w:rFonts w:hint="eastAsia"/>
                <w:sz w:val="18"/>
                <w:szCs w:val="18"/>
              </w:rPr>
              <w:t>分</w:t>
            </w:r>
          </w:p>
        </w:tc>
        <w:tc>
          <w:tcPr>
            <w:tcW w:w="5767" w:type="dxa"/>
          </w:tcPr>
          <w:p w14:paraId="4A38D3CE">
            <w:pPr>
              <w:rPr>
                <w:rFonts w:hint="eastAsia"/>
                <w:sz w:val="18"/>
                <w:szCs w:val="18"/>
              </w:rPr>
            </w:pPr>
            <w:r>
              <w:rPr>
                <w:rFonts w:hint="eastAsia"/>
                <w:sz w:val="18"/>
                <w:szCs w:val="18"/>
              </w:rPr>
              <w:t>方法新颖，论证充分，论据确凿，逻辑性强，对问题有较深入的分析</w:t>
            </w:r>
          </w:p>
        </w:tc>
        <w:tc>
          <w:tcPr>
            <w:tcW w:w="1442" w:type="dxa"/>
          </w:tcPr>
          <w:p w14:paraId="31839030">
            <w:pPr>
              <w:jc w:val="center"/>
              <w:rPr>
                <w:b/>
                <w:sz w:val="18"/>
                <w:szCs w:val="18"/>
              </w:rPr>
            </w:pPr>
            <w:r>
              <w:rPr>
                <w:rFonts w:hint="eastAsia"/>
                <w:b/>
                <w:sz w:val="18"/>
                <w:szCs w:val="18"/>
              </w:rPr>
              <w:t>35-40</w:t>
            </w:r>
          </w:p>
          <w:p w14:paraId="4C5FE7A3">
            <w:pPr>
              <w:jc w:val="center"/>
              <w:rPr>
                <w:rFonts w:hint="eastAsia"/>
                <w:b/>
                <w:sz w:val="18"/>
                <w:szCs w:val="18"/>
              </w:rPr>
            </w:pPr>
          </w:p>
        </w:tc>
      </w:tr>
      <w:tr w14:paraId="123C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5FABA167">
            <w:pPr>
              <w:jc w:val="center"/>
              <w:rPr>
                <w:rFonts w:hint="eastAsia"/>
                <w:b/>
                <w:sz w:val="18"/>
                <w:szCs w:val="18"/>
              </w:rPr>
            </w:pPr>
          </w:p>
        </w:tc>
        <w:tc>
          <w:tcPr>
            <w:tcW w:w="901" w:type="dxa"/>
            <w:vMerge w:val="continue"/>
          </w:tcPr>
          <w:p w14:paraId="761D6918">
            <w:pPr>
              <w:jc w:val="center"/>
              <w:rPr>
                <w:rFonts w:hint="eastAsia"/>
                <w:sz w:val="18"/>
                <w:szCs w:val="18"/>
              </w:rPr>
            </w:pPr>
          </w:p>
        </w:tc>
        <w:tc>
          <w:tcPr>
            <w:tcW w:w="5767" w:type="dxa"/>
          </w:tcPr>
          <w:p w14:paraId="422C4FF4">
            <w:pPr>
              <w:rPr>
                <w:rFonts w:hint="eastAsia"/>
                <w:sz w:val="18"/>
                <w:szCs w:val="18"/>
              </w:rPr>
            </w:pPr>
            <w:r>
              <w:rPr>
                <w:rFonts w:hint="eastAsia"/>
                <w:sz w:val="18"/>
                <w:szCs w:val="18"/>
              </w:rPr>
              <w:t>方法得当，论证比较充分，论据可靠，逻辑性比较强，分析比较深入</w:t>
            </w:r>
          </w:p>
        </w:tc>
        <w:tc>
          <w:tcPr>
            <w:tcW w:w="1442" w:type="dxa"/>
          </w:tcPr>
          <w:p w14:paraId="3C8A210A">
            <w:pPr>
              <w:jc w:val="center"/>
              <w:rPr>
                <w:b/>
                <w:sz w:val="18"/>
                <w:szCs w:val="18"/>
              </w:rPr>
            </w:pPr>
            <w:r>
              <w:rPr>
                <w:rFonts w:hint="eastAsia"/>
                <w:b/>
                <w:sz w:val="18"/>
                <w:szCs w:val="18"/>
              </w:rPr>
              <w:t>25-34</w:t>
            </w:r>
          </w:p>
          <w:p w14:paraId="0B9E04BC">
            <w:pPr>
              <w:jc w:val="center"/>
              <w:rPr>
                <w:rFonts w:hint="eastAsia"/>
                <w:b/>
                <w:sz w:val="18"/>
                <w:szCs w:val="18"/>
              </w:rPr>
            </w:pPr>
          </w:p>
        </w:tc>
      </w:tr>
      <w:tr w14:paraId="4985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573C71CA">
            <w:pPr>
              <w:jc w:val="center"/>
              <w:rPr>
                <w:rFonts w:hint="eastAsia"/>
                <w:b/>
                <w:sz w:val="18"/>
                <w:szCs w:val="18"/>
              </w:rPr>
            </w:pPr>
          </w:p>
        </w:tc>
        <w:tc>
          <w:tcPr>
            <w:tcW w:w="901" w:type="dxa"/>
            <w:vMerge w:val="continue"/>
          </w:tcPr>
          <w:p w14:paraId="0856975F">
            <w:pPr>
              <w:jc w:val="center"/>
              <w:rPr>
                <w:rFonts w:hint="eastAsia"/>
                <w:sz w:val="18"/>
                <w:szCs w:val="18"/>
              </w:rPr>
            </w:pPr>
          </w:p>
        </w:tc>
        <w:tc>
          <w:tcPr>
            <w:tcW w:w="5767" w:type="dxa"/>
          </w:tcPr>
          <w:p w14:paraId="797C3228">
            <w:pPr>
              <w:rPr>
                <w:rFonts w:hint="eastAsia"/>
                <w:sz w:val="18"/>
                <w:szCs w:val="18"/>
              </w:rPr>
            </w:pPr>
            <w:r>
              <w:rPr>
                <w:rFonts w:hint="eastAsia"/>
                <w:sz w:val="18"/>
                <w:szCs w:val="18"/>
              </w:rPr>
              <w:t>对事物有一定的分析能力和概括能力，能运用所学理论和知识阐述问题</w:t>
            </w:r>
          </w:p>
        </w:tc>
        <w:tc>
          <w:tcPr>
            <w:tcW w:w="1442" w:type="dxa"/>
          </w:tcPr>
          <w:p w14:paraId="31CA8680">
            <w:pPr>
              <w:jc w:val="center"/>
              <w:rPr>
                <w:b/>
                <w:sz w:val="18"/>
                <w:szCs w:val="18"/>
              </w:rPr>
            </w:pPr>
            <w:r>
              <w:rPr>
                <w:rFonts w:hint="eastAsia"/>
                <w:b/>
                <w:sz w:val="18"/>
                <w:szCs w:val="18"/>
              </w:rPr>
              <w:t>13-24</w:t>
            </w:r>
          </w:p>
          <w:p w14:paraId="52A6B0EB">
            <w:pPr>
              <w:jc w:val="center"/>
              <w:rPr>
                <w:rFonts w:hint="eastAsia"/>
                <w:b/>
                <w:sz w:val="18"/>
                <w:szCs w:val="18"/>
              </w:rPr>
            </w:pPr>
          </w:p>
        </w:tc>
      </w:tr>
      <w:tr w14:paraId="6583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74104EA2">
            <w:pPr>
              <w:jc w:val="center"/>
              <w:rPr>
                <w:rFonts w:hint="eastAsia"/>
                <w:b/>
                <w:sz w:val="18"/>
                <w:szCs w:val="18"/>
              </w:rPr>
            </w:pPr>
          </w:p>
        </w:tc>
        <w:tc>
          <w:tcPr>
            <w:tcW w:w="901" w:type="dxa"/>
            <w:vMerge w:val="continue"/>
          </w:tcPr>
          <w:p w14:paraId="629DFD81">
            <w:pPr>
              <w:jc w:val="center"/>
              <w:rPr>
                <w:rFonts w:hint="eastAsia"/>
                <w:sz w:val="18"/>
                <w:szCs w:val="18"/>
              </w:rPr>
            </w:pPr>
          </w:p>
        </w:tc>
        <w:tc>
          <w:tcPr>
            <w:tcW w:w="5767" w:type="dxa"/>
          </w:tcPr>
          <w:p w14:paraId="0951A915">
            <w:pPr>
              <w:rPr>
                <w:rFonts w:hint="eastAsia"/>
                <w:sz w:val="18"/>
                <w:szCs w:val="18"/>
              </w:rPr>
            </w:pPr>
            <w:r>
              <w:rPr>
                <w:rFonts w:hint="eastAsia"/>
                <w:sz w:val="18"/>
                <w:szCs w:val="18"/>
              </w:rPr>
              <w:t>论证未充分说明论点</w:t>
            </w:r>
          </w:p>
        </w:tc>
        <w:tc>
          <w:tcPr>
            <w:tcW w:w="1442" w:type="dxa"/>
          </w:tcPr>
          <w:p w14:paraId="2212C32A">
            <w:pPr>
              <w:jc w:val="center"/>
              <w:rPr>
                <w:b/>
                <w:sz w:val="18"/>
                <w:szCs w:val="18"/>
              </w:rPr>
            </w:pPr>
            <w:r>
              <w:rPr>
                <w:rFonts w:hint="eastAsia"/>
                <w:b/>
                <w:sz w:val="18"/>
                <w:szCs w:val="18"/>
              </w:rPr>
              <w:t>1-12</w:t>
            </w:r>
          </w:p>
          <w:p w14:paraId="08371E36">
            <w:pPr>
              <w:jc w:val="center"/>
              <w:rPr>
                <w:rFonts w:hint="eastAsia"/>
                <w:b/>
                <w:sz w:val="18"/>
                <w:szCs w:val="18"/>
              </w:rPr>
            </w:pPr>
          </w:p>
        </w:tc>
      </w:tr>
      <w:tr w14:paraId="2E17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49" w:type="dxa"/>
            <w:vMerge w:val="restart"/>
          </w:tcPr>
          <w:p w14:paraId="69DCA011">
            <w:pPr>
              <w:jc w:val="center"/>
              <w:rPr>
                <w:rFonts w:hint="eastAsia"/>
                <w:b/>
                <w:sz w:val="18"/>
                <w:szCs w:val="18"/>
              </w:rPr>
            </w:pPr>
          </w:p>
          <w:p w14:paraId="797DE3B4">
            <w:pPr>
              <w:jc w:val="center"/>
              <w:rPr>
                <w:rFonts w:hint="eastAsia"/>
                <w:b/>
                <w:sz w:val="18"/>
                <w:szCs w:val="18"/>
              </w:rPr>
            </w:pPr>
            <w:r>
              <w:rPr>
                <w:rFonts w:hint="eastAsia"/>
                <w:b/>
                <w:sz w:val="18"/>
                <w:szCs w:val="18"/>
              </w:rPr>
              <w:t>4</w:t>
            </w:r>
          </w:p>
        </w:tc>
        <w:tc>
          <w:tcPr>
            <w:tcW w:w="901" w:type="dxa"/>
            <w:vMerge w:val="restart"/>
          </w:tcPr>
          <w:p w14:paraId="3E6CE9BE">
            <w:pPr>
              <w:jc w:val="center"/>
              <w:rPr>
                <w:rFonts w:hint="eastAsia"/>
                <w:sz w:val="18"/>
                <w:szCs w:val="18"/>
              </w:rPr>
            </w:pPr>
            <w:r>
              <w:rPr>
                <w:rFonts w:hint="eastAsia"/>
                <w:sz w:val="18"/>
                <w:szCs w:val="18"/>
              </w:rPr>
              <w:t>论文</w:t>
            </w:r>
          </w:p>
          <w:p w14:paraId="785D2917">
            <w:pPr>
              <w:jc w:val="center"/>
              <w:rPr>
                <w:rFonts w:hint="eastAsia"/>
                <w:sz w:val="18"/>
                <w:szCs w:val="18"/>
              </w:rPr>
            </w:pPr>
            <w:r>
              <w:rPr>
                <w:rFonts w:hint="eastAsia"/>
                <w:sz w:val="18"/>
                <w:szCs w:val="18"/>
              </w:rPr>
              <w:t>规范性</w:t>
            </w:r>
          </w:p>
          <w:p w14:paraId="361C9755">
            <w:pPr>
              <w:jc w:val="center"/>
              <w:rPr>
                <w:rFonts w:hint="default" w:eastAsia="宋体"/>
                <w:sz w:val="18"/>
                <w:szCs w:val="18"/>
                <w:lang w:val="en-US" w:eastAsia="zh-CN"/>
              </w:rPr>
            </w:pPr>
            <w:r>
              <w:rPr>
                <w:rFonts w:hint="eastAsia"/>
                <w:b/>
                <w:sz w:val="18"/>
                <w:szCs w:val="18"/>
                <w:lang w:val="en-US" w:eastAsia="zh-CN"/>
              </w:rPr>
              <w:t>5分</w:t>
            </w:r>
          </w:p>
        </w:tc>
        <w:tc>
          <w:tcPr>
            <w:tcW w:w="5767" w:type="dxa"/>
          </w:tcPr>
          <w:p w14:paraId="27A4A976">
            <w:pPr>
              <w:rPr>
                <w:rFonts w:hint="eastAsia"/>
                <w:sz w:val="18"/>
                <w:szCs w:val="18"/>
              </w:rPr>
            </w:pPr>
            <w:r>
              <w:rPr>
                <w:rFonts w:hint="eastAsia"/>
                <w:sz w:val="18"/>
                <w:szCs w:val="18"/>
              </w:rPr>
              <w:t>论文的注释体例和参考文献规范、内容摘要和关键词，符合规范性</w:t>
            </w:r>
          </w:p>
        </w:tc>
        <w:tc>
          <w:tcPr>
            <w:tcW w:w="1442" w:type="dxa"/>
          </w:tcPr>
          <w:p w14:paraId="5808DA57">
            <w:pPr>
              <w:jc w:val="center"/>
              <w:rPr>
                <w:b/>
                <w:sz w:val="18"/>
                <w:szCs w:val="18"/>
              </w:rPr>
            </w:pPr>
            <w:r>
              <w:rPr>
                <w:rFonts w:hint="eastAsia"/>
                <w:b/>
                <w:sz w:val="18"/>
                <w:szCs w:val="18"/>
              </w:rPr>
              <w:t>6-10</w:t>
            </w:r>
          </w:p>
          <w:p w14:paraId="084B6AFD">
            <w:pPr>
              <w:jc w:val="center"/>
              <w:rPr>
                <w:rFonts w:hint="eastAsia"/>
                <w:b/>
                <w:sz w:val="18"/>
                <w:szCs w:val="18"/>
              </w:rPr>
            </w:pPr>
          </w:p>
        </w:tc>
      </w:tr>
      <w:tr w14:paraId="1896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649" w:type="dxa"/>
            <w:vMerge w:val="continue"/>
          </w:tcPr>
          <w:p w14:paraId="1C9AC778">
            <w:pPr>
              <w:jc w:val="center"/>
              <w:rPr>
                <w:rFonts w:hint="eastAsia"/>
                <w:b/>
                <w:sz w:val="18"/>
                <w:szCs w:val="18"/>
              </w:rPr>
            </w:pPr>
          </w:p>
        </w:tc>
        <w:tc>
          <w:tcPr>
            <w:tcW w:w="901" w:type="dxa"/>
            <w:vMerge w:val="continue"/>
          </w:tcPr>
          <w:p w14:paraId="713FCBD3">
            <w:pPr>
              <w:jc w:val="center"/>
              <w:rPr>
                <w:rFonts w:hint="eastAsia"/>
                <w:sz w:val="18"/>
                <w:szCs w:val="18"/>
              </w:rPr>
            </w:pPr>
          </w:p>
        </w:tc>
        <w:tc>
          <w:tcPr>
            <w:tcW w:w="5767" w:type="dxa"/>
          </w:tcPr>
          <w:p w14:paraId="1D6D3BCE">
            <w:pPr>
              <w:rPr>
                <w:rFonts w:hint="eastAsia"/>
                <w:sz w:val="18"/>
                <w:szCs w:val="18"/>
              </w:rPr>
            </w:pPr>
            <w:r>
              <w:rPr>
                <w:rFonts w:hint="eastAsia"/>
                <w:sz w:val="18"/>
                <w:szCs w:val="18"/>
              </w:rPr>
              <w:t>论文的注释体例和参考文献基本符合规范、内容摘要和关键词，基本符合规范性</w:t>
            </w:r>
          </w:p>
        </w:tc>
        <w:tc>
          <w:tcPr>
            <w:tcW w:w="1442" w:type="dxa"/>
          </w:tcPr>
          <w:p w14:paraId="04BD448E">
            <w:pPr>
              <w:jc w:val="center"/>
              <w:rPr>
                <w:b/>
                <w:sz w:val="18"/>
                <w:szCs w:val="18"/>
              </w:rPr>
            </w:pPr>
            <w:r>
              <w:rPr>
                <w:rFonts w:hint="eastAsia"/>
                <w:b/>
                <w:sz w:val="18"/>
                <w:szCs w:val="18"/>
              </w:rPr>
              <w:t>1-5</w:t>
            </w:r>
          </w:p>
          <w:p w14:paraId="528FD145">
            <w:pPr>
              <w:jc w:val="center"/>
              <w:rPr>
                <w:rFonts w:hint="eastAsia"/>
                <w:b/>
                <w:sz w:val="18"/>
                <w:szCs w:val="18"/>
              </w:rPr>
            </w:pPr>
          </w:p>
        </w:tc>
      </w:tr>
      <w:tr w14:paraId="2DAB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649" w:type="dxa"/>
            <w:vMerge w:val="restart"/>
          </w:tcPr>
          <w:p w14:paraId="4B196E9F">
            <w:pPr>
              <w:jc w:val="center"/>
              <w:rPr>
                <w:rFonts w:hint="eastAsia"/>
                <w:b/>
                <w:sz w:val="18"/>
                <w:szCs w:val="18"/>
              </w:rPr>
            </w:pPr>
          </w:p>
          <w:p w14:paraId="50674B49">
            <w:pPr>
              <w:jc w:val="center"/>
              <w:rPr>
                <w:rFonts w:hint="eastAsia"/>
                <w:b/>
                <w:sz w:val="18"/>
                <w:szCs w:val="18"/>
              </w:rPr>
            </w:pPr>
            <w:r>
              <w:rPr>
                <w:rFonts w:hint="eastAsia"/>
                <w:b/>
                <w:sz w:val="18"/>
                <w:szCs w:val="18"/>
              </w:rPr>
              <w:t>5</w:t>
            </w:r>
          </w:p>
        </w:tc>
        <w:tc>
          <w:tcPr>
            <w:tcW w:w="901" w:type="dxa"/>
            <w:vMerge w:val="restart"/>
          </w:tcPr>
          <w:p w14:paraId="72BDF712">
            <w:pPr>
              <w:jc w:val="center"/>
              <w:rPr>
                <w:rFonts w:hint="eastAsia"/>
                <w:sz w:val="18"/>
                <w:szCs w:val="18"/>
              </w:rPr>
            </w:pPr>
            <w:r>
              <w:rPr>
                <w:rFonts w:hint="eastAsia"/>
                <w:sz w:val="18"/>
                <w:szCs w:val="18"/>
              </w:rPr>
              <w:t>资料引用与调查实证</w:t>
            </w:r>
            <w:r>
              <w:rPr>
                <w:rFonts w:hint="eastAsia"/>
                <w:b/>
                <w:sz w:val="18"/>
                <w:szCs w:val="18"/>
              </w:rPr>
              <w:t>10</w:t>
            </w:r>
            <w:r>
              <w:rPr>
                <w:rFonts w:hint="eastAsia"/>
                <w:sz w:val="18"/>
                <w:szCs w:val="18"/>
              </w:rPr>
              <w:t>分</w:t>
            </w:r>
          </w:p>
        </w:tc>
        <w:tc>
          <w:tcPr>
            <w:tcW w:w="5767" w:type="dxa"/>
          </w:tcPr>
          <w:p w14:paraId="1633C54D">
            <w:pPr>
              <w:rPr>
                <w:rFonts w:hint="eastAsia"/>
                <w:sz w:val="18"/>
                <w:szCs w:val="18"/>
              </w:rPr>
            </w:pPr>
            <w:r>
              <w:rPr>
                <w:rFonts w:hint="eastAsia"/>
                <w:sz w:val="18"/>
                <w:szCs w:val="18"/>
              </w:rPr>
              <w:t>参考文献具有相关性、准确性和一定的专业性、权威性，或有较充分的实证调查研究</w:t>
            </w:r>
          </w:p>
        </w:tc>
        <w:tc>
          <w:tcPr>
            <w:tcW w:w="1442" w:type="dxa"/>
          </w:tcPr>
          <w:p w14:paraId="148C6084">
            <w:pPr>
              <w:jc w:val="center"/>
              <w:rPr>
                <w:b/>
                <w:sz w:val="18"/>
                <w:szCs w:val="18"/>
              </w:rPr>
            </w:pPr>
            <w:r>
              <w:rPr>
                <w:rFonts w:hint="eastAsia"/>
                <w:b/>
                <w:sz w:val="18"/>
                <w:szCs w:val="18"/>
              </w:rPr>
              <w:t>7-10</w:t>
            </w:r>
          </w:p>
          <w:p w14:paraId="2B9E8C1F">
            <w:pPr>
              <w:jc w:val="center"/>
              <w:rPr>
                <w:rFonts w:hint="eastAsia"/>
                <w:b/>
                <w:sz w:val="18"/>
                <w:szCs w:val="18"/>
              </w:rPr>
            </w:pPr>
          </w:p>
        </w:tc>
      </w:tr>
      <w:tr w14:paraId="768F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649" w:type="dxa"/>
            <w:vMerge w:val="continue"/>
          </w:tcPr>
          <w:p w14:paraId="33C89380">
            <w:pPr>
              <w:jc w:val="center"/>
              <w:rPr>
                <w:rFonts w:hint="eastAsia"/>
                <w:b/>
                <w:sz w:val="18"/>
                <w:szCs w:val="18"/>
              </w:rPr>
            </w:pPr>
          </w:p>
        </w:tc>
        <w:tc>
          <w:tcPr>
            <w:tcW w:w="901" w:type="dxa"/>
            <w:vMerge w:val="continue"/>
          </w:tcPr>
          <w:p w14:paraId="3670A9DA">
            <w:pPr>
              <w:jc w:val="center"/>
              <w:rPr>
                <w:rFonts w:hint="eastAsia"/>
                <w:sz w:val="18"/>
                <w:szCs w:val="18"/>
              </w:rPr>
            </w:pPr>
          </w:p>
        </w:tc>
        <w:tc>
          <w:tcPr>
            <w:tcW w:w="5767" w:type="dxa"/>
          </w:tcPr>
          <w:p w14:paraId="71523F59">
            <w:pPr>
              <w:rPr>
                <w:rFonts w:hint="eastAsia"/>
                <w:sz w:val="18"/>
                <w:szCs w:val="18"/>
              </w:rPr>
            </w:pPr>
            <w:r>
              <w:rPr>
                <w:rFonts w:hint="eastAsia"/>
                <w:sz w:val="18"/>
                <w:szCs w:val="18"/>
              </w:rPr>
              <w:t>参考文献相关性、准确性、专业性较不足</w:t>
            </w:r>
          </w:p>
        </w:tc>
        <w:tc>
          <w:tcPr>
            <w:tcW w:w="1442" w:type="dxa"/>
          </w:tcPr>
          <w:p w14:paraId="2673DFCE">
            <w:pPr>
              <w:jc w:val="center"/>
              <w:rPr>
                <w:b/>
                <w:sz w:val="18"/>
                <w:szCs w:val="18"/>
              </w:rPr>
            </w:pPr>
            <w:r>
              <w:rPr>
                <w:rFonts w:hint="eastAsia"/>
                <w:b/>
                <w:sz w:val="18"/>
                <w:szCs w:val="18"/>
              </w:rPr>
              <w:t>1-6</w:t>
            </w:r>
          </w:p>
          <w:p w14:paraId="74585E39">
            <w:pPr>
              <w:jc w:val="center"/>
              <w:rPr>
                <w:rFonts w:hint="eastAsia"/>
                <w:b/>
                <w:sz w:val="18"/>
                <w:szCs w:val="18"/>
              </w:rPr>
            </w:pPr>
          </w:p>
        </w:tc>
      </w:tr>
      <w:tr w14:paraId="388C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649" w:type="dxa"/>
            <w:vMerge w:val="restart"/>
          </w:tcPr>
          <w:p w14:paraId="18AEDD9C">
            <w:pPr>
              <w:jc w:val="center"/>
              <w:rPr>
                <w:rFonts w:hint="eastAsia"/>
                <w:b/>
                <w:sz w:val="18"/>
                <w:szCs w:val="18"/>
              </w:rPr>
            </w:pPr>
          </w:p>
          <w:p w14:paraId="663C4164">
            <w:pPr>
              <w:jc w:val="center"/>
              <w:rPr>
                <w:rFonts w:hint="eastAsia"/>
                <w:b/>
                <w:sz w:val="18"/>
                <w:szCs w:val="18"/>
              </w:rPr>
            </w:pPr>
            <w:r>
              <w:rPr>
                <w:rFonts w:hint="eastAsia"/>
                <w:b/>
                <w:sz w:val="18"/>
                <w:szCs w:val="18"/>
              </w:rPr>
              <w:t>6</w:t>
            </w:r>
          </w:p>
        </w:tc>
        <w:tc>
          <w:tcPr>
            <w:tcW w:w="901" w:type="dxa"/>
            <w:vMerge w:val="restart"/>
          </w:tcPr>
          <w:p w14:paraId="593E4EE9">
            <w:pPr>
              <w:jc w:val="center"/>
              <w:rPr>
                <w:rFonts w:hint="eastAsia"/>
                <w:sz w:val="18"/>
                <w:szCs w:val="18"/>
              </w:rPr>
            </w:pPr>
            <w:r>
              <w:rPr>
                <w:rFonts w:hint="eastAsia"/>
                <w:sz w:val="18"/>
                <w:szCs w:val="18"/>
              </w:rPr>
              <w:t>布局结构与文字表达</w:t>
            </w:r>
          </w:p>
          <w:p w14:paraId="4608EC8B">
            <w:pPr>
              <w:jc w:val="center"/>
              <w:rPr>
                <w:rFonts w:hint="eastAsia"/>
                <w:sz w:val="18"/>
                <w:szCs w:val="18"/>
              </w:rPr>
            </w:pPr>
            <w:r>
              <w:rPr>
                <w:rFonts w:hint="eastAsia"/>
                <w:sz w:val="18"/>
                <w:szCs w:val="18"/>
              </w:rPr>
              <w:t>（</w:t>
            </w:r>
            <w:r>
              <w:rPr>
                <w:rFonts w:hint="eastAsia"/>
                <w:sz w:val="18"/>
                <w:szCs w:val="18"/>
                <w:lang w:val="en-US" w:eastAsia="zh-CN"/>
              </w:rPr>
              <w:t>10</w:t>
            </w:r>
            <w:r>
              <w:rPr>
                <w:rFonts w:hint="eastAsia"/>
                <w:sz w:val="18"/>
                <w:szCs w:val="18"/>
              </w:rPr>
              <w:t>分）</w:t>
            </w:r>
          </w:p>
        </w:tc>
        <w:tc>
          <w:tcPr>
            <w:tcW w:w="5767" w:type="dxa"/>
          </w:tcPr>
          <w:p w14:paraId="713F306A">
            <w:pPr>
              <w:rPr>
                <w:rFonts w:hint="eastAsia"/>
                <w:sz w:val="18"/>
                <w:szCs w:val="18"/>
              </w:rPr>
            </w:pPr>
            <w:r>
              <w:rPr>
                <w:rFonts w:hint="eastAsia"/>
                <w:sz w:val="18"/>
                <w:szCs w:val="18"/>
              </w:rPr>
              <w:t>结构严谨，层次分明，论述清晰，语言流畅，表达准确</w:t>
            </w:r>
          </w:p>
        </w:tc>
        <w:tc>
          <w:tcPr>
            <w:tcW w:w="1442" w:type="dxa"/>
          </w:tcPr>
          <w:p w14:paraId="40810102">
            <w:pPr>
              <w:jc w:val="center"/>
              <w:rPr>
                <w:b/>
                <w:sz w:val="18"/>
                <w:szCs w:val="18"/>
              </w:rPr>
            </w:pPr>
            <w:r>
              <w:rPr>
                <w:rFonts w:hint="eastAsia"/>
                <w:b/>
                <w:sz w:val="18"/>
                <w:szCs w:val="18"/>
              </w:rPr>
              <w:t>12-15</w:t>
            </w:r>
          </w:p>
          <w:p w14:paraId="54203E80">
            <w:pPr>
              <w:jc w:val="center"/>
              <w:rPr>
                <w:rFonts w:hint="eastAsia"/>
                <w:b/>
                <w:sz w:val="18"/>
                <w:szCs w:val="18"/>
              </w:rPr>
            </w:pPr>
          </w:p>
        </w:tc>
      </w:tr>
      <w:tr w14:paraId="7C2B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649" w:type="dxa"/>
            <w:vMerge w:val="continue"/>
          </w:tcPr>
          <w:p w14:paraId="2CCA1A1A">
            <w:pPr>
              <w:jc w:val="center"/>
              <w:rPr>
                <w:rFonts w:hint="eastAsia"/>
                <w:sz w:val="18"/>
                <w:szCs w:val="18"/>
              </w:rPr>
            </w:pPr>
          </w:p>
        </w:tc>
        <w:tc>
          <w:tcPr>
            <w:tcW w:w="901" w:type="dxa"/>
            <w:vMerge w:val="continue"/>
          </w:tcPr>
          <w:p w14:paraId="71917CEE">
            <w:pPr>
              <w:jc w:val="center"/>
              <w:rPr>
                <w:rFonts w:hint="eastAsia"/>
                <w:sz w:val="18"/>
                <w:szCs w:val="18"/>
              </w:rPr>
            </w:pPr>
          </w:p>
        </w:tc>
        <w:tc>
          <w:tcPr>
            <w:tcW w:w="5767" w:type="dxa"/>
          </w:tcPr>
          <w:p w14:paraId="6815A556">
            <w:pPr>
              <w:rPr>
                <w:rFonts w:hint="eastAsia"/>
                <w:sz w:val="18"/>
                <w:szCs w:val="18"/>
              </w:rPr>
            </w:pPr>
            <w:r>
              <w:rPr>
                <w:rFonts w:hint="eastAsia"/>
                <w:sz w:val="18"/>
                <w:szCs w:val="18"/>
              </w:rPr>
              <w:t>结构合理，符合逻辑，语言通顺，语言表达符合基本文法</w:t>
            </w:r>
          </w:p>
        </w:tc>
        <w:tc>
          <w:tcPr>
            <w:tcW w:w="1442" w:type="dxa"/>
          </w:tcPr>
          <w:p w14:paraId="1346C786">
            <w:pPr>
              <w:jc w:val="center"/>
              <w:rPr>
                <w:b/>
                <w:sz w:val="18"/>
                <w:szCs w:val="18"/>
              </w:rPr>
            </w:pPr>
            <w:r>
              <w:rPr>
                <w:rFonts w:hint="eastAsia"/>
                <w:b/>
                <w:sz w:val="18"/>
                <w:szCs w:val="18"/>
              </w:rPr>
              <w:t>6-11</w:t>
            </w:r>
          </w:p>
          <w:p w14:paraId="177B12FD">
            <w:pPr>
              <w:jc w:val="center"/>
              <w:rPr>
                <w:rFonts w:hint="eastAsia"/>
                <w:b/>
                <w:sz w:val="18"/>
                <w:szCs w:val="18"/>
              </w:rPr>
            </w:pPr>
          </w:p>
        </w:tc>
      </w:tr>
      <w:tr w14:paraId="10D6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trPr>
        <w:tc>
          <w:tcPr>
            <w:tcW w:w="649" w:type="dxa"/>
            <w:vMerge w:val="continue"/>
          </w:tcPr>
          <w:p w14:paraId="4E4781C1">
            <w:pPr>
              <w:jc w:val="center"/>
              <w:rPr>
                <w:rFonts w:hint="eastAsia"/>
                <w:sz w:val="18"/>
                <w:szCs w:val="18"/>
              </w:rPr>
            </w:pPr>
          </w:p>
        </w:tc>
        <w:tc>
          <w:tcPr>
            <w:tcW w:w="901" w:type="dxa"/>
            <w:vMerge w:val="continue"/>
          </w:tcPr>
          <w:p w14:paraId="0594D4EE">
            <w:pPr>
              <w:jc w:val="center"/>
              <w:rPr>
                <w:rFonts w:hint="eastAsia"/>
                <w:sz w:val="18"/>
                <w:szCs w:val="18"/>
              </w:rPr>
            </w:pPr>
          </w:p>
        </w:tc>
        <w:tc>
          <w:tcPr>
            <w:tcW w:w="5767" w:type="dxa"/>
          </w:tcPr>
          <w:p w14:paraId="374D6152">
            <w:pPr>
              <w:rPr>
                <w:rFonts w:hint="eastAsia"/>
                <w:sz w:val="18"/>
                <w:szCs w:val="18"/>
              </w:rPr>
            </w:pPr>
            <w:r>
              <w:rPr>
                <w:rFonts w:hint="eastAsia"/>
                <w:sz w:val="18"/>
                <w:szCs w:val="18"/>
              </w:rPr>
              <w:t>结构不甚合理，文字语言表达较不清</w:t>
            </w:r>
          </w:p>
        </w:tc>
        <w:tc>
          <w:tcPr>
            <w:tcW w:w="1442" w:type="dxa"/>
          </w:tcPr>
          <w:p w14:paraId="1E2EA2D3">
            <w:pPr>
              <w:jc w:val="center"/>
              <w:rPr>
                <w:rFonts w:hint="eastAsia"/>
                <w:b/>
                <w:sz w:val="18"/>
                <w:szCs w:val="18"/>
              </w:rPr>
            </w:pPr>
            <w:r>
              <w:rPr>
                <w:rFonts w:hint="eastAsia"/>
                <w:b/>
                <w:sz w:val="18"/>
                <w:szCs w:val="18"/>
              </w:rPr>
              <w:t>1-5</w:t>
            </w:r>
          </w:p>
        </w:tc>
      </w:tr>
      <w:tr w14:paraId="7723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19624028">
            <w:pPr>
              <w:jc w:val="center"/>
              <w:rPr>
                <w:rFonts w:hint="eastAsia"/>
                <w:sz w:val="18"/>
                <w:szCs w:val="18"/>
              </w:rPr>
            </w:pPr>
            <w:r>
              <w:rPr>
                <w:rFonts w:hint="eastAsia"/>
                <w:sz w:val="18"/>
                <w:szCs w:val="18"/>
              </w:rPr>
              <w:t>总分</w:t>
            </w:r>
          </w:p>
        </w:tc>
        <w:tc>
          <w:tcPr>
            <w:tcW w:w="7209" w:type="dxa"/>
            <w:gridSpan w:val="2"/>
            <w:vAlign w:val="center"/>
          </w:tcPr>
          <w:p w14:paraId="18BA8117">
            <w:pPr>
              <w:jc w:val="center"/>
              <w:rPr>
                <w:rFonts w:hint="default" w:eastAsia="宋体"/>
                <w:sz w:val="18"/>
                <w:szCs w:val="18"/>
                <w:lang w:val="en-US" w:eastAsia="zh-CN"/>
              </w:rPr>
            </w:pPr>
            <w:r>
              <w:rPr>
                <w:rFonts w:hint="eastAsia"/>
                <w:sz w:val="18"/>
                <w:szCs w:val="18"/>
                <w:lang w:val="en-US" w:eastAsia="zh-CN"/>
              </w:rPr>
              <w:t>65</w:t>
            </w:r>
          </w:p>
        </w:tc>
      </w:tr>
      <w:tr w14:paraId="2CDC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261AB5F3">
            <w:pPr>
              <w:jc w:val="center"/>
              <w:rPr>
                <w:rFonts w:hint="eastAsia"/>
                <w:sz w:val="18"/>
                <w:szCs w:val="18"/>
              </w:rPr>
            </w:pPr>
            <w:r>
              <w:rPr>
                <w:rFonts w:hint="eastAsia"/>
                <w:sz w:val="18"/>
                <w:szCs w:val="18"/>
              </w:rPr>
              <w:t>审定意见</w:t>
            </w:r>
          </w:p>
        </w:tc>
        <w:tc>
          <w:tcPr>
            <w:tcW w:w="7209" w:type="dxa"/>
            <w:gridSpan w:val="2"/>
            <w:vAlign w:val="center"/>
          </w:tcPr>
          <w:p w14:paraId="05562D50">
            <w:pPr>
              <w:jc w:val="center"/>
              <w:rPr>
                <w:rFonts w:hint="eastAsia" w:eastAsia="宋体"/>
                <w:sz w:val="18"/>
                <w:szCs w:val="18"/>
                <w:lang w:val="en-US" w:eastAsia="zh-CN"/>
              </w:rPr>
            </w:pPr>
            <w:r>
              <w:rPr>
                <w:rFonts w:hint="eastAsia"/>
                <w:sz w:val="18"/>
                <w:szCs w:val="18"/>
                <w:lang w:val="en-US" w:eastAsia="zh-CN"/>
              </w:rPr>
              <w:t>退稿</w:t>
            </w:r>
          </w:p>
        </w:tc>
      </w:tr>
      <w:tr w14:paraId="3858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322DF59B">
            <w:pPr>
              <w:jc w:val="center"/>
              <w:rPr>
                <w:sz w:val="18"/>
                <w:szCs w:val="18"/>
              </w:rPr>
            </w:pPr>
          </w:p>
          <w:p w14:paraId="48A2EC7B">
            <w:pPr>
              <w:jc w:val="center"/>
              <w:rPr>
                <w:sz w:val="18"/>
                <w:szCs w:val="18"/>
              </w:rPr>
            </w:pPr>
          </w:p>
          <w:p w14:paraId="4A07B26C">
            <w:pPr>
              <w:jc w:val="center"/>
              <w:rPr>
                <w:sz w:val="18"/>
                <w:szCs w:val="18"/>
              </w:rPr>
            </w:pPr>
          </w:p>
          <w:p w14:paraId="5265CF3D">
            <w:pPr>
              <w:jc w:val="center"/>
              <w:rPr>
                <w:sz w:val="18"/>
                <w:szCs w:val="18"/>
              </w:rPr>
            </w:pPr>
          </w:p>
          <w:p w14:paraId="74FB137E">
            <w:pPr>
              <w:jc w:val="center"/>
              <w:rPr>
                <w:sz w:val="18"/>
                <w:szCs w:val="18"/>
              </w:rPr>
            </w:pPr>
          </w:p>
          <w:p w14:paraId="6E031B4A">
            <w:pPr>
              <w:jc w:val="center"/>
              <w:rPr>
                <w:sz w:val="18"/>
                <w:szCs w:val="18"/>
              </w:rPr>
            </w:pPr>
          </w:p>
          <w:p w14:paraId="64255AED">
            <w:pPr>
              <w:jc w:val="center"/>
              <w:rPr>
                <w:sz w:val="18"/>
                <w:szCs w:val="18"/>
              </w:rPr>
            </w:pPr>
          </w:p>
          <w:p w14:paraId="513E5FB6">
            <w:pPr>
              <w:jc w:val="center"/>
              <w:rPr>
                <w:sz w:val="18"/>
                <w:szCs w:val="18"/>
              </w:rPr>
            </w:pPr>
          </w:p>
          <w:p w14:paraId="4183D051">
            <w:pPr>
              <w:jc w:val="center"/>
              <w:rPr>
                <w:rFonts w:hint="eastAsia"/>
                <w:sz w:val="18"/>
                <w:szCs w:val="18"/>
              </w:rPr>
            </w:pPr>
            <w:r>
              <w:rPr>
                <w:rFonts w:hint="eastAsia"/>
                <w:sz w:val="18"/>
                <w:szCs w:val="18"/>
              </w:rPr>
              <w:t>论文评价（优点、存在问题、修改建议等）</w:t>
            </w:r>
          </w:p>
        </w:tc>
        <w:tc>
          <w:tcPr>
            <w:tcW w:w="7209" w:type="dxa"/>
            <w:gridSpan w:val="2"/>
            <w:vAlign w:val="center"/>
          </w:tcPr>
          <w:p w14:paraId="08084EE7">
            <w:pPr>
              <w:jc w:val="left"/>
              <w:rPr>
                <w:rFonts w:hint="default"/>
                <w:sz w:val="18"/>
                <w:szCs w:val="18"/>
                <w:lang w:val="en-US" w:eastAsia="zh-CN"/>
              </w:rPr>
            </w:pPr>
          </w:p>
          <w:p w14:paraId="51737911">
            <w:pPr>
              <w:numPr>
                <w:numId w:val="0"/>
              </w:numPr>
              <w:jc w:val="left"/>
              <w:rPr>
                <w:rFonts w:hint="eastAsia"/>
                <w:sz w:val="18"/>
                <w:szCs w:val="18"/>
                <w:lang w:val="en-US" w:eastAsia="zh-CN"/>
              </w:rPr>
            </w:pPr>
            <w:r>
              <w:rPr>
                <w:rFonts w:hint="eastAsia"/>
                <w:sz w:val="18"/>
                <w:szCs w:val="18"/>
                <w:lang w:val="en-US" w:eastAsia="zh-CN"/>
              </w:rPr>
              <w:t>本文选题具有重要的现实意义，敏锐地捕捉到数字时代稳定币对传统法律与金融监管体系带来的深刻挑战，并以香港《稳定币条例》为切入点展开分析，体现了作者对前沿问题的关注。文章结构完整，资料引用较为丰富。</w:t>
            </w:r>
          </w:p>
          <w:p w14:paraId="428DC7B2">
            <w:pPr>
              <w:numPr>
                <w:numId w:val="0"/>
              </w:numPr>
              <w:jc w:val="left"/>
              <w:rPr>
                <w:rFonts w:hint="default"/>
                <w:sz w:val="18"/>
                <w:szCs w:val="18"/>
                <w:lang w:val="en-US" w:eastAsia="zh-CN"/>
              </w:rPr>
            </w:pPr>
            <w:r>
              <w:rPr>
                <w:rFonts w:hint="eastAsia"/>
                <w:sz w:val="18"/>
                <w:szCs w:val="18"/>
                <w:lang w:val="en-US" w:eastAsia="zh-CN"/>
              </w:rPr>
              <w:t>该论文在理论原创性、论证深度及学术严谨性方面，与本刊所要求的发表标准存在一定差距。主要问题在于文章对核心法理困境的分析未能超越现象描述，香港范式及其“法理突破”的论证尚显薄弱，对其内在法理矛盾的剖析多停留在技术与规则冲突的现象层面，未能深入至权利基础重构、管辖理论革新或主权理论演化等更根本的法理学、国际公法或国际私法层面进行深入挖掘。理论提炼与创新不足。语言风格上，部分句子追求辞藻而稍显晦涩，影响观点的清晰传达。</w:t>
            </w:r>
          </w:p>
        </w:tc>
      </w:tr>
      <w:tr w14:paraId="07B9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550" w:type="dxa"/>
            <w:gridSpan w:val="2"/>
            <w:vAlign w:val="center"/>
          </w:tcPr>
          <w:p w14:paraId="50EF3AE3">
            <w:pPr>
              <w:jc w:val="center"/>
              <w:rPr>
                <w:sz w:val="18"/>
                <w:szCs w:val="18"/>
              </w:rPr>
            </w:pPr>
            <w:r>
              <w:rPr>
                <w:rFonts w:hint="eastAsia"/>
                <w:sz w:val="18"/>
                <w:szCs w:val="18"/>
              </w:rPr>
              <w:t>加挂导师建议</w:t>
            </w:r>
          </w:p>
          <w:p w14:paraId="6BB119B9">
            <w:pPr>
              <w:jc w:val="center"/>
              <w:rPr>
                <w:rFonts w:hint="eastAsia"/>
                <w:sz w:val="18"/>
                <w:szCs w:val="18"/>
              </w:rPr>
            </w:pPr>
            <w:r>
              <w:rPr>
                <w:rFonts w:hint="eastAsia"/>
                <w:sz w:val="18"/>
                <w:szCs w:val="18"/>
              </w:rPr>
              <w:t>（复审专用，仅适用于正常来稿情况，非必填）</w:t>
            </w:r>
          </w:p>
        </w:tc>
        <w:tc>
          <w:tcPr>
            <w:tcW w:w="7209" w:type="dxa"/>
            <w:gridSpan w:val="2"/>
            <w:vAlign w:val="center"/>
          </w:tcPr>
          <w:p w14:paraId="3801F8EB">
            <w:pPr>
              <w:rPr>
                <w:rFonts w:hint="eastAsia" w:eastAsia="宋体"/>
                <w:sz w:val="18"/>
                <w:szCs w:val="18"/>
                <w:lang w:val="en-US" w:eastAsia="zh-CN"/>
              </w:rPr>
            </w:pPr>
            <w:r>
              <w:rPr>
                <w:rFonts w:hint="eastAsia"/>
                <w:sz w:val="18"/>
                <w:szCs w:val="18"/>
              </w:rPr>
              <w:t>1.优秀硕博士论文，不建议加挂导师。</w:t>
            </w:r>
          </w:p>
          <w:p w14:paraId="74357B93">
            <w:pPr>
              <w:rPr>
                <w:sz w:val="18"/>
                <w:szCs w:val="18"/>
              </w:rPr>
            </w:pPr>
            <w:r>
              <w:rPr>
                <w:rFonts w:hint="eastAsia"/>
                <w:sz w:val="18"/>
                <w:szCs w:val="18"/>
              </w:rPr>
              <w:t>2</w:t>
            </w:r>
            <w:r>
              <w:rPr>
                <w:sz w:val="18"/>
                <w:szCs w:val="18"/>
              </w:rPr>
              <w:t>.</w:t>
            </w:r>
            <w:r>
              <w:rPr>
                <w:rFonts w:hint="eastAsia"/>
                <w:sz w:val="18"/>
                <w:szCs w:val="18"/>
              </w:rPr>
              <w:t>论文质量较高，但未达到特别优秀程度。建议加挂导师。</w:t>
            </w:r>
          </w:p>
          <w:p w14:paraId="37AA68C3">
            <w:pPr>
              <w:rPr>
                <w:sz w:val="18"/>
                <w:szCs w:val="18"/>
              </w:rPr>
            </w:pPr>
          </w:p>
          <w:p w14:paraId="0D06B724">
            <w:pPr>
              <w:jc w:val="right"/>
              <w:rPr>
                <w:rFonts w:hint="eastAsia"/>
                <w:sz w:val="18"/>
                <w:szCs w:val="18"/>
              </w:rPr>
            </w:pPr>
            <w:r>
              <w:rPr>
                <w:rFonts w:hint="eastAsia"/>
                <w:sz w:val="18"/>
                <w:szCs w:val="18"/>
              </w:rPr>
              <w:t>（如有，请在选项后打√）</w:t>
            </w:r>
          </w:p>
        </w:tc>
      </w:tr>
    </w:tbl>
    <w:p w14:paraId="304385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9F8"/>
    <w:rsid w:val="00C17DEA"/>
    <w:rsid w:val="00C749F8"/>
    <w:rsid w:val="00CF60D9"/>
    <w:rsid w:val="00DD4CD6"/>
    <w:rsid w:val="119A3908"/>
    <w:rsid w:val="3CC431C6"/>
    <w:rsid w:val="4432222C"/>
    <w:rsid w:val="4B8A3336"/>
    <w:rsid w:val="6508284B"/>
    <w:rsid w:val="6AB219F3"/>
    <w:rsid w:val="76563B1B"/>
    <w:rsid w:val="7E3A6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8"/>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qFormat/>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1403</Words>
  <Characters>1469</Characters>
  <Lines>6</Lines>
  <Paragraphs>1</Paragraphs>
  <TotalTime>24</TotalTime>
  <ScaleCrop>false</ScaleCrop>
  <LinksUpToDate>false</LinksUpToDate>
  <CharactersWithSpaces>1471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2024-01-10T08:17:00Z</dcterms:created>
  <dc:creator>admin</dc:creator>
  <cp:lastModifiedBy>winni</cp:lastModifiedBy>
  <dcterms:modified xsi:type="dcterms:W3CDTF">2026-04-27T00:19:39Z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66C80C800BFE490991E85544AFD8D318_13</vt:lpwstr>
  </property>
  <property fmtid="{D5CDD505-2E9C-101B-9397-08002B2CF9AE}" pid="4" name="KSOTemplateDocerSaveRecord">
    <vt:lpwstr>eyJoZGlkIjoiODcyMmJjNDVhMDU0ZjdjZjQyZTM4ZDUxOTU0MjVjMzAiLCJ1c2VySWQiOiI5ODk2MjUzODkifQ==</vt:lpwstr>
  </property>
</Properties>
</file>