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ECC245">
      <w:pPr>
        <w:jc w:val="center"/>
        <w:rPr>
          <w:rFonts w:hint="eastAsia"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中国政法大学研究生学报审稿评分表</w:t>
      </w:r>
    </w:p>
    <w:p w14:paraId="0340015A">
      <w:pPr>
        <w:rPr>
          <w:rFonts w:hint="eastAsia"/>
          <w:sz w:val="24"/>
        </w:rPr>
      </w:pPr>
    </w:p>
    <w:p w14:paraId="1CE7D181">
      <w:pPr>
        <w:rPr>
          <w:rFonts w:hint="eastAsia"/>
          <w:sz w:val="24"/>
        </w:rPr>
      </w:pPr>
      <w:r>
        <w:rPr>
          <w:rFonts w:hint="eastAsia"/>
          <w:sz w:val="24"/>
        </w:rPr>
        <w:t>论文题目：一般性自动化决策拒绝权的理论澄清与规范展开</w:t>
      </w:r>
    </w:p>
    <w:p w14:paraId="5FEF1F1F">
      <w:pPr>
        <w:rPr>
          <w:rFonts w:hint="eastAsia"/>
          <w:sz w:val="24"/>
        </w:rPr>
      </w:pPr>
      <w:r>
        <w:rPr>
          <w:rFonts w:hint="eastAsia"/>
          <w:sz w:val="24"/>
        </w:rPr>
        <w:t>论文作者：</w:t>
      </w:r>
    </w:p>
    <w:p w14:paraId="10E67C01">
      <w:pPr>
        <w:rPr>
          <w:rFonts w:hint="eastAsia"/>
          <w:sz w:val="24"/>
        </w:rPr>
      </w:pPr>
    </w:p>
    <w:tbl>
      <w:tblPr>
        <w:tblStyle w:val="5"/>
        <w:tblW w:w="8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901"/>
        <w:gridCol w:w="5767"/>
        <w:gridCol w:w="1442"/>
      </w:tblGrid>
      <w:tr w14:paraId="1CB8C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649" w:type="dxa"/>
          </w:tcPr>
          <w:p w14:paraId="7CD816D1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901" w:type="dxa"/>
          </w:tcPr>
          <w:p w14:paraId="2C61E99C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</w:t>
            </w:r>
          </w:p>
          <w:p w14:paraId="2E929A2D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指标</w:t>
            </w:r>
          </w:p>
        </w:tc>
        <w:tc>
          <w:tcPr>
            <w:tcW w:w="5767" w:type="dxa"/>
          </w:tcPr>
          <w:p w14:paraId="72855455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评价标准</w:t>
            </w:r>
          </w:p>
        </w:tc>
        <w:tc>
          <w:tcPr>
            <w:tcW w:w="1442" w:type="dxa"/>
          </w:tcPr>
          <w:p w14:paraId="7540A6E8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分值</w:t>
            </w:r>
          </w:p>
          <w:p w14:paraId="364A95AB">
            <w:pPr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670DE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649" w:type="dxa"/>
            <w:vMerge w:val="restart"/>
          </w:tcPr>
          <w:p w14:paraId="189AFF4B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52204D3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901" w:type="dxa"/>
            <w:vMerge w:val="restart"/>
          </w:tcPr>
          <w:p w14:paraId="4B0D088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4A72B34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选题</w:t>
            </w:r>
          </w:p>
          <w:p w14:paraId="4595A0CF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</w:t>
            </w:r>
          </w:p>
        </w:tc>
        <w:tc>
          <w:tcPr>
            <w:tcW w:w="5767" w:type="dxa"/>
          </w:tcPr>
          <w:p w14:paraId="6FC0089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具有较高学术性、创新性、实践性和可行性</w:t>
            </w:r>
          </w:p>
        </w:tc>
        <w:tc>
          <w:tcPr>
            <w:tcW w:w="1442" w:type="dxa"/>
          </w:tcPr>
          <w:p w14:paraId="5629B268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8-10</w:t>
            </w:r>
          </w:p>
        </w:tc>
      </w:tr>
      <w:tr w14:paraId="57D6D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49" w:type="dxa"/>
            <w:vMerge w:val="continue"/>
          </w:tcPr>
          <w:p w14:paraId="61416C59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0274DCAE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15A0185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有一定的学术性、实践性和可行性</w:t>
            </w:r>
          </w:p>
        </w:tc>
        <w:tc>
          <w:tcPr>
            <w:tcW w:w="1442" w:type="dxa"/>
          </w:tcPr>
          <w:p w14:paraId="072A6967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4-7</w:t>
            </w:r>
          </w:p>
        </w:tc>
      </w:tr>
      <w:tr w14:paraId="5332F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3F9EA88E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EA02A59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1326284A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学术性、实践性、可行性较差</w:t>
            </w:r>
          </w:p>
        </w:tc>
        <w:tc>
          <w:tcPr>
            <w:tcW w:w="1442" w:type="dxa"/>
          </w:tcPr>
          <w:p w14:paraId="02BF2FB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0-3</w:t>
            </w:r>
          </w:p>
          <w:p w14:paraId="4C736781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42453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649" w:type="dxa"/>
            <w:vMerge w:val="restart"/>
          </w:tcPr>
          <w:p w14:paraId="3915EFAA">
            <w:pPr>
              <w:rPr>
                <w:rFonts w:hint="eastAsia"/>
                <w:b/>
                <w:sz w:val="18"/>
                <w:szCs w:val="18"/>
              </w:rPr>
            </w:pPr>
          </w:p>
          <w:p w14:paraId="328E8B7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</w:t>
            </w:r>
          </w:p>
          <w:p w14:paraId="285A88FE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restart"/>
          </w:tcPr>
          <w:p w14:paraId="1BC1D18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66E246B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观点</w:t>
            </w:r>
          </w:p>
          <w:p w14:paraId="55DA73D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/>
                <w:sz w:val="18"/>
                <w:szCs w:val="18"/>
              </w:rPr>
              <w:t>分</w:t>
            </w:r>
          </w:p>
        </w:tc>
        <w:tc>
          <w:tcPr>
            <w:tcW w:w="5767" w:type="dxa"/>
          </w:tcPr>
          <w:p w14:paraId="303F7CF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论点鲜明，见解独到、有创新性</w:t>
            </w:r>
          </w:p>
        </w:tc>
        <w:tc>
          <w:tcPr>
            <w:tcW w:w="1442" w:type="dxa"/>
          </w:tcPr>
          <w:p w14:paraId="3E9E3FB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13-15</w:t>
            </w:r>
          </w:p>
          <w:p w14:paraId="4A8265D7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0CEE5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384C29B7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13453A07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4C4C8DA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论点明确，有一定新意对既有观点有较深的阐释</w:t>
            </w:r>
          </w:p>
        </w:tc>
        <w:tc>
          <w:tcPr>
            <w:tcW w:w="1442" w:type="dxa"/>
          </w:tcPr>
          <w:p w14:paraId="42DECC61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5-12</w:t>
            </w:r>
          </w:p>
          <w:p w14:paraId="4BB5B35D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2F108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49" w:type="dxa"/>
            <w:vMerge w:val="continue"/>
          </w:tcPr>
          <w:p w14:paraId="3F19348D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3B1256B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7FF8396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论点不够明确</w:t>
            </w:r>
          </w:p>
        </w:tc>
        <w:tc>
          <w:tcPr>
            <w:tcW w:w="1442" w:type="dxa"/>
          </w:tcPr>
          <w:p w14:paraId="3C24398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0-4</w:t>
            </w:r>
          </w:p>
          <w:p w14:paraId="4EE0C9BD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1910A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restart"/>
          </w:tcPr>
          <w:p w14:paraId="4FEC1AEE">
            <w:pPr>
              <w:rPr>
                <w:rFonts w:hint="eastAsia"/>
                <w:b/>
                <w:sz w:val="18"/>
                <w:szCs w:val="18"/>
              </w:rPr>
            </w:pPr>
          </w:p>
          <w:p w14:paraId="601CEC9F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</w:p>
        </w:tc>
        <w:tc>
          <w:tcPr>
            <w:tcW w:w="901" w:type="dxa"/>
            <w:vMerge w:val="restart"/>
          </w:tcPr>
          <w:p w14:paraId="2303AA07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3F3539E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07FC7B5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</w:t>
            </w:r>
          </w:p>
          <w:p w14:paraId="0F385E0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35</w:t>
            </w:r>
            <w:r>
              <w:rPr>
                <w:rFonts w:hint="eastAsia"/>
                <w:sz w:val="18"/>
                <w:szCs w:val="18"/>
              </w:rPr>
              <w:t>分</w:t>
            </w:r>
          </w:p>
        </w:tc>
        <w:tc>
          <w:tcPr>
            <w:tcW w:w="5767" w:type="dxa"/>
          </w:tcPr>
          <w:p w14:paraId="4A38D3C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方法新颖，论证充分，论据确凿，逻辑性强，对问题有较深入的分析</w:t>
            </w:r>
          </w:p>
        </w:tc>
        <w:tc>
          <w:tcPr>
            <w:tcW w:w="1442" w:type="dxa"/>
          </w:tcPr>
          <w:p w14:paraId="3183903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35-40</w:t>
            </w:r>
          </w:p>
          <w:p w14:paraId="4C5FE7A3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123CC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5FABA167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61D6918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422C4FF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方法得当，论证比较充分，论据可靠，逻辑性比较强，分析比较深入</w:t>
            </w:r>
          </w:p>
        </w:tc>
        <w:tc>
          <w:tcPr>
            <w:tcW w:w="1442" w:type="dxa"/>
          </w:tcPr>
          <w:p w14:paraId="3C8A210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25-34</w:t>
            </w:r>
          </w:p>
          <w:p w14:paraId="0B9E04B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49853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573C71CA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0856975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797C3228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对事物有一定的分析能力和概括能力，能运用所学理论和知识阐述问题</w:t>
            </w:r>
          </w:p>
        </w:tc>
        <w:tc>
          <w:tcPr>
            <w:tcW w:w="1442" w:type="dxa"/>
          </w:tcPr>
          <w:p w14:paraId="31CA868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13-24</w:t>
            </w:r>
          </w:p>
          <w:p w14:paraId="52A6B0EB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65838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74104EA2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629DFD8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0951A915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论证未充分说明论点</w:t>
            </w:r>
          </w:p>
        </w:tc>
        <w:tc>
          <w:tcPr>
            <w:tcW w:w="1442" w:type="dxa"/>
          </w:tcPr>
          <w:p w14:paraId="2212C32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1-12</w:t>
            </w:r>
          </w:p>
          <w:p w14:paraId="08371E36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2E173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649" w:type="dxa"/>
            <w:vMerge w:val="restart"/>
          </w:tcPr>
          <w:p w14:paraId="69DCA011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  <w:p w14:paraId="797DE3B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</w:p>
        </w:tc>
        <w:tc>
          <w:tcPr>
            <w:tcW w:w="901" w:type="dxa"/>
            <w:vMerge w:val="restart"/>
          </w:tcPr>
          <w:p w14:paraId="3E6CE9BE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785D291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规范性</w:t>
            </w:r>
          </w:p>
          <w:p w14:paraId="361C9755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8分</w:t>
            </w:r>
          </w:p>
        </w:tc>
        <w:tc>
          <w:tcPr>
            <w:tcW w:w="5767" w:type="dxa"/>
          </w:tcPr>
          <w:p w14:paraId="27A4A97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论文的注释体例和参考文献规范、内容摘要和关键词，符合规范性</w:t>
            </w:r>
          </w:p>
        </w:tc>
        <w:tc>
          <w:tcPr>
            <w:tcW w:w="1442" w:type="dxa"/>
          </w:tcPr>
          <w:p w14:paraId="5808DA5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6-10</w:t>
            </w:r>
          </w:p>
          <w:p w14:paraId="084B6AFD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1896C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649" w:type="dxa"/>
            <w:vMerge w:val="continue"/>
          </w:tcPr>
          <w:p w14:paraId="1C9AC778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13FCBD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1D6D3BC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论文的注释体例和参考文献基本符合规范、内容摘要和关键词，基本符合规范性</w:t>
            </w:r>
          </w:p>
        </w:tc>
        <w:tc>
          <w:tcPr>
            <w:tcW w:w="1442" w:type="dxa"/>
          </w:tcPr>
          <w:p w14:paraId="04BD448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  <w:p w14:paraId="528FD145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2DABA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649" w:type="dxa"/>
            <w:vMerge w:val="restart"/>
          </w:tcPr>
          <w:p w14:paraId="4B196E9F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  <w:p w14:paraId="50674B49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</w:p>
        </w:tc>
        <w:tc>
          <w:tcPr>
            <w:tcW w:w="901" w:type="dxa"/>
            <w:vMerge w:val="restart"/>
          </w:tcPr>
          <w:p w14:paraId="72BDF71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资料引用与调查实证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</w:t>
            </w:r>
          </w:p>
        </w:tc>
        <w:tc>
          <w:tcPr>
            <w:tcW w:w="5767" w:type="dxa"/>
          </w:tcPr>
          <w:p w14:paraId="1633C54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参考文献具有相关性、准确性和一定的专业性、权威性，或有较充分的实证调查研究</w:t>
            </w:r>
          </w:p>
        </w:tc>
        <w:tc>
          <w:tcPr>
            <w:tcW w:w="1442" w:type="dxa"/>
          </w:tcPr>
          <w:p w14:paraId="148C608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7-10</w:t>
            </w:r>
          </w:p>
          <w:p w14:paraId="2B9E8C1F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768F5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649" w:type="dxa"/>
            <w:vMerge w:val="continue"/>
          </w:tcPr>
          <w:p w14:paraId="33C89380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670A9DA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71523F5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参考文献相关性、准确性、专业性较不足</w:t>
            </w:r>
          </w:p>
        </w:tc>
        <w:tc>
          <w:tcPr>
            <w:tcW w:w="1442" w:type="dxa"/>
          </w:tcPr>
          <w:p w14:paraId="2673DFC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1-6</w:t>
            </w:r>
          </w:p>
          <w:p w14:paraId="74585E39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388C1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649" w:type="dxa"/>
            <w:vMerge w:val="restart"/>
          </w:tcPr>
          <w:p w14:paraId="18AEDD9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  <w:p w14:paraId="663C416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</w:p>
        </w:tc>
        <w:tc>
          <w:tcPr>
            <w:tcW w:w="901" w:type="dxa"/>
            <w:vMerge w:val="restart"/>
          </w:tcPr>
          <w:p w14:paraId="593E4EE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布局结构与文字表达</w:t>
            </w:r>
          </w:p>
          <w:p w14:paraId="4608EC8B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13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713F306A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结构严谨，层次分明，论述清晰，语言流畅，表达准确</w:t>
            </w:r>
          </w:p>
        </w:tc>
        <w:tc>
          <w:tcPr>
            <w:tcW w:w="1442" w:type="dxa"/>
          </w:tcPr>
          <w:p w14:paraId="4081010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12-15</w:t>
            </w:r>
          </w:p>
          <w:p w14:paraId="54203E80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7C2BA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2CCA1A1A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1917CEE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815A55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结构合理，符合逻辑，语言通顺，语言表达符合基本文法</w:t>
            </w:r>
          </w:p>
        </w:tc>
        <w:tc>
          <w:tcPr>
            <w:tcW w:w="1442" w:type="dxa"/>
          </w:tcPr>
          <w:p w14:paraId="1346C7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6-11</w:t>
            </w:r>
          </w:p>
          <w:p w14:paraId="177B12FD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10D6A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649" w:type="dxa"/>
            <w:vMerge w:val="continue"/>
          </w:tcPr>
          <w:p w14:paraId="4E4781C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0594D4EE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374D615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结构不甚合理，文字语言表达较不清</w:t>
            </w:r>
          </w:p>
        </w:tc>
        <w:tc>
          <w:tcPr>
            <w:tcW w:w="1442" w:type="dxa"/>
          </w:tcPr>
          <w:p w14:paraId="1E2EA2D3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</w:tc>
      </w:tr>
      <w:tr w14:paraId="77235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1962402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总分</w:t>
            </w:r>
          </w:p>
        </w:tc>
        <w:tc>
          <w:tcPr>
            <w:tcW w:w="7209" w:type="dxa"/>
            <w:gridSpan w:val="2"/>
            <w:vAlign w:val="center"/>
          </w:tcPr>
          <w:p w14:paraId="18BA8117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89</w:t>
            </w:r>
            <w:bookmarkStart w:id="0" w:name="_GoBack"/>
            <w:bookmarkEnd w:id="0"/>
          </w:p>
        </w:tc>
      </w:tr>
      <w:tr w14:paraId="2CDCE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261AB5F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审定意见</w:t>
            </w:r>
          </w:p>
        </w:tc>
        <w:tc>
          <w:tcPr>
            <w:tcW w:w="7209" w:type="dxa"/>
            <w:gridSpan w:val="2"/>
            <w:vAlign w:val="center"/>
          </w:tcPr>
          <w:p w14:paraId="05562D5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返修</w:t>
            </w:r>
          </w:p>
        </w:tc>
      </w:tr>
      <w:tr w14:paraId="38588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322DF59B">
            <w:pPr>
              <w:jc w:val="center"/>
              <w:rPr>
                <w:sz w:val="18"/>
                <w:szCs w:val="18"/>
              </w:rPr>
            </w:pPr>
          </w:p>
          <w:p w14:paraId="48A2EC7B">
            <w:pPr>
              <w:jc w:val="center"/>
              <w:rPr>
                <w:sz w:val="18"/>
                <w:szCs w:val="18"/>
              </w:rPr>
            </w:pPr>
          </w:p>
          <w:p w14:paraId="4A07B26C">
            <w:pPr>
              <w:jc w:val="center"/>
              <w:rPr>
                <w:sz w:val="18"/>
                <w:szCs w:val="18"/>
              </w:rPr>
            </w:pPr>
          </w:p>
          <w:p w14:paraId="5265CF3D">
            <w:pPr>
              <w:jc w:val="center"/>
              <w:rPr>
                <w:sz w:val="18"/>
                <w:szCs w:val="18"/>
              </w:rPr>
            </w:pPr>
          </w:p>
          <w:p w14:paraId="74FB137E">
            <w:pPr>
              <w:jc w:val="center"/>
              <w:rPr>
                <w:sz w:val="18"/>
                <w:szCs w:val="18"/>
              </w:rPr>
            </w:pPr>
          </w:p>
          <w:p w14:paraId="6E031B4A">
            <w:pPr>
              <w:jc w:val="center"/>
              <w:rPr>
                <w:sz w:val="18"/>
                <w:szCs w:val="18"/>
              </w:rPr>
            </w:pPr>
          </w:p>
          <w:p w14:paraId="64255AED">
            <w:pPr>
              <w:jc w:val="center"/>
              <w:rPr>
                <w:sz w:val="18"/>
                <w:szCs w:val="18"/>
              </w:rPr>
            </w:pPr>
          </w:p>
          <w:p w14:paraId="513E5FB6">
            <w:pPr>
              <w:jc w:val="center"/>
              <w:rPr>
                <w:sz w:val="18"/>
                <w:szCs w:val="18"/>
              </w:rPr>
            </w:pPr>
          </w:p>
          <w:p w14:paraId="4183D05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论文评价（优点、存在问题、修改建议等）</w:t>
            </w:r>
          </w:p>
        </w:tc>
        <w:tc>
          <w:tcPr>
            <w:tcW w:w="7209" w:type="dxa"/>
            <w:gridSpan w:val="2"/>
            <w:vAlign w:val="center"/>
          </w:tcPr>
          <w:p w14:paraId="08084EE7">
            <w:pPr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一、优点</w:t>
            </w:r>
          </w:p>
          <w:p w14:paraId="5E73085D">
            <w:pPr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本文选题紧扣《个人信息保护法》的前沿与实践难点，对“一般性自动化决策拒绝权”的理论渊源、规范路径、构成要件及权利性质进行了系统、深入且富有创见的探讨。文章结构清晰，论证充分，文献翔实，特别是对欧盟禁令说与赋权说的辨析，以及提出我国“禁令下的赋权说”与权利复合性质（请求权与形成诉权）的观点，具有重要的理论价值与现实意义。总体而言，本文是一篇质量很高的学术论文。</w:t>
            </w:r>
          </w:p>
          <w:p w14:paraId="284CDC6B">
            <w:pPr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二、 有待完善之处与修改建议</w:t>
            </w:r>
          </w:p>
          <w:p w14:paraId="24482948">
            <w:pPr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1. 澄清核心概念的界定</w:t>
            </w:r>
          </w:p>
          <w:p w14:paraId="16D6CB5B">
            <w:pPr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文中同时使用了“半自动化决策”与“混合自动化决策”两个术语，但未能清晰界定二者关系。建议在“自动化决策的外延之辨析”处明确：二者系同一概念的不同表述，抑或存在程度差异（如半自动化强调人类最终决策，混合自动化强调人机交互过程）。此外，“非基于用户画像的自动化决策”之排除标准与《个人信息保护法》第73条“自动分析、评估……并进行决策”的文义存在张力，建议补充说明此种限缩解释不违背立法目的的论证，避免给读者留下过度限缩保护范围的印象。</w:t>
            </w:r>
          </w:p>
          <w:p w14:paraId="71905C16">
            <w:pPr>
              <w:numPr>
                <w:ilvl w:val="0"/>
                <w:numId w:val="1"/>
              </w:numPr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作者文中建议将拒绝权定性为“形成诉权”，须经由法院行使，这与《个人信息保护法》第24条第3款“个人有权拒绝”的文义存在张力。以形成诉权限定直接拒绝权的解释方案与难以直接对应现行法文本。建议作者提供更有力的解释论依据证明第24条“有权拒绝”应理解为有权向法院起诉要求拒绝，或者承认第24条第3款确立的是得直接向处理者行使的拒绝权（兼具请求权与形成权性质），但可通过第132条权利滥用条款或具体构成要件防止滥用，而非升格为形成诉权。作者亦可以考虑形成诉权作为立法论。</w:t>
            </w:r>
          </w:p>
          <w:p w14:paraId="428DC7B2">
            <w:pPr>
              <w:numPr>
                <w:ilvl w:val="0"/>
                <w:numId w:val="1"/>
              </w:numPr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文中提出我国采禁令下的赋权说，但对其内部逻辑关系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阐述有待更加充分</w:t>
            </w:r>
            <w:r>
              <w:rPr>
                <w:rFonts w:hint="default"/>
                <w:sz w:val="18"/>
                <w:szCs w:val="18"/>
                <w:lang w:val="en-US" w:eastAsia="zh-CN"/>
              </w:rPr>
              <w:t>。建议厘清：若自动化决策原则上被禁止（需符合第13条合法性基础方可例外实施），则拒绝权应理解为对例外允许情形的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一种</w:t>
            </w:r>
            <w:r>
              <w:rPr>
                <w:rFonts w:hint="default"/>
                <w:sz w:val="18"/>
                <w:szCs w:val="18"/>
                <w:lang w:val="en-US" w:eastAsia="zh-CN"/>
              </w:rPr>
              <w:t>退出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权利</w:t>
            </w:r>
            <w:r>
              <w:rPr>
                <w:rFonts w:hint="default"/>
                <w:sz w:val="18"/>
                <w:szCs w:val="18"/>
                <w:lang w:val="en-US" w:eastAsia="zh-CN"/>
              </w:rPr>
              <w:t>，而非与禁令并行的独立权利。当前论述易使人误解为既原则上禁止，又一般性允许但可拒绝，存在逻辑张力。</w:t>
            </w:r>
          </w:p>
        </w:tc>
      </w:tr>
      <w:tr w14:paraId="07B9B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50EF3AE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加挂导师建议</w:t>
            </w:r>
          </w:p>
          <w:p w14:paraId="6BB119B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（复审专用，仅适用于正常来稿情况，非必填）</w:t>
            </w:r>
          </w:p>
        </w:tc>
        <w:tc>
          <w:tcPr>
            <w:tcW w:w="7209" w:type="dxa"/>
            <w:gridSpan w:val="2"/>
            <w:vAlign w:val="center"/>
          </w:tcPr>
          <w:p w14:paraId="3801F8EB">
            <w:pPr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1.优秀硕博士论文，不建议加挂导师。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√</w:t>
            </w:r>
          </w:p>
          <w:p w14:paraId="74357B9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</w:t>
            </w:r>
            <w:r>
              <w:rPr>
                <w:rFonts w:hint="eastAsia"/>
                <w:sz w:val="18"/>
                <w:szCs w:val="18"/>
              </w:rPr>
              <w:t>论文质量较高，但未达到特别优秀程度。建议加挂导师。</w:t>
            </w:r>
          </w:p>
          <w:p w14:paraId="37AA68C3">
            <w:pPr>
              <w:rPr>
                <w:sz w:val="18"/>
                <w:szCs w:val="18"/>
              </w:rPr>
            </w:pPr>
          </w:p>
          <w:p w14:paraId="0D06B724">
            <w:pPr>
              <w:jc w:val="righ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（如有，请在选项后打√）</w:t>
            </w:r>
          </w:p>
        </w:tc>
      </w:tr>
    </w:tbl>
    <w:p w14:paraId="3043852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CB4C6C"/>
    <w:multiLevelType w:val="singleLevel"/>
    <w:tmpl w:val="8BCB4C6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9F8"/>
    <w:rsid w:val="00C17DEA"/>
    <w:rsid w:val="00C749F8"/>
    <w:rsid w:val="00CF60D9"/>
    <w:rsid w:val="00DD4CD6"/>
    <w:rsid w:val="119A3908"/>
    <w:rsid w:val="3CC431C6"/>
    <w:rsid w:val="4432222C"/>
    <w:rsid w:val="4B8A3336"/>
    <w:rsid w:val="6508284B"/>
    <w:rsid w:val="76563B1B"/>
    <w:rsid w:val="7E3A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1403</Words>
  <Characters>1469</Characters>
  <Lines>6</Lines>
  <Paragraphs>1</Paragraphs>
  <TotalTime>15</TotalTime>
  <ScaleCrop>false</ScaleCrop>
  <LinksUpToDate>false</LinksUpToDate>
  <CharactersWithSpaces>1471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2024-01-10T08:17:00Z</dcterms:created>
  <dc:creator>admin</dc:creator>
  <cp:lastModifiedBy>winni</cp:lastModifiedBy>
  <dcterms:modified xsi:type="dcterms:W3CDTF">2026-04-11T10:12:54Z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BDAF3D2893114140BEDD7A9CA868BCA8_13</vt:lpwstr>
  </property>
  <property fmtid="{D5CDD505-2E9C-101B-9397-08002B2CF9AE}" pid="4" name="KSOTemplateDocerSaveRecord">
    <vt:lpwstr>eyJoZGlkIjoiODcyMmJjNDVhMDU0ZjdjZjQyZTM4ZDUxOTU0MjVjMzAiLCJ1c2VySWQiOiI5ODk2MjUzODkifQ==</vt:lpwstr>
  </property>
</Properties>
</file>