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CC245" w14:textId="77777777" w:rsidR="00B74525" w:rsidRDefault="00000000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中国政法大学研究生学报修改说明</w:t>
      </w:r>
    </w:p>
    <w:p w14:paraId="0340015A" w14:textId="77777777" w:rsidR="00B74525" w:rsidRDefault="00B74525">
      <w:pPr>
        <w:rPr>
          <w:sz w:val="24"/>
        </w:rPr>
      </w:pPr>
    </w:p>
    <w:p w14:paraId="1CE7D181" w14:textId="77777777" w:rsidR="00B74525" w:rsidRDefault="00000000">
      <w:pPr>
        <w:spacing w:line="36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论文题目：一般性自动化决策拒绝权的理论澄清与规范展开</w:t>
      </w:r>
    </w:p>
    <w:p w14:paraId="5FEF1F1F" w14:textId="77777777" w:rsidR="00B74525" w:rsidRDefault="00000000">
      <w:pPr>
        <w:spacing w:line="36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论文作者：崔文博</w:t>
      </w:r>
    </w:p>
    <w:tbl>
      <w:tblPr>
        <w:tblpPr w:leftFromText="180" w:rightFromText="180" w:vertAnchor="text" w:horzAnchor="page" w:tblpX="997" w:tblpY="289"/>
        <w:tblOverlap w:val="never"/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5"/>
        <w:gridCol w:w="3975"/>
        <w:gridCol w:w="10401"/>
      </w:tblGrid>
      <w:tr w:rsidR="00B74525" w14:paraId="53BEA940" w14:textId="77777777" w:rsidTr="003B1E17">
        <w:trPr>
          <w:trHeight w:val="586"/>
        </w:trPr>
        <w:tc>
          <w:tcPr>
            <w:tcW w:w="645" w:type="dxa"/>
            <w:vAlign w:val="center"/>
          </w:tcPr>
          <w:p w14:paraId="49F9574C" w14:textId="77777777" w:rsidR="00B74525" w:rsidRDefault="0000000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序号</w:t>
            </w:r>
          </w:p>
        </w:tc>
        <w:tc>
          <w:tcPr>
            <w:tcW w:w="3975" w:type="dxa"/>
            <w:vAlign w:val="center"/>
          </w:tcPr>
          <w:p w14:paraId="7E3B14B0" w14:textId="77777777" w:rsidR="00B74525" w:rsidRDefault="0000000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问题</w:t>
            </w:r>
          </w:p>
        </w:tc>
        <w:tc>
          <w:tcPr>
            <w:tcW w:w="10401" w:type="dxa"/>
            <w:vAlign w:val="center"/>
          </w:tcPr>
          <w:p w14:paraId="0139EB4B" w14:textId="77777777" w:rsidR="00B74525" w:rsidRDefault="0000000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说明情况</w:t>
            </w:r>
          </w:p>
        </w:tc>
      </w:tr>
      <w:tr w:rsidR="00B74525" w14:paraId="4370FD7E" w14:textId="77777777" w:rsidTr="003B1E17">
        <w:trPr>
          <w:trHeight w:val="468"/>
        </w:trPr>
        <w:tc>
          <w:tcPr>
            <w:tcW w:w="645" w:type="dxa"/>
            <w:vMerge w:val="restart"/>
            <w:vAlign w:val="center"/>
          </w:tcPr>
          <w:p w14:paraId="60D39769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1</w:t>
            </w:r>
          </w:p>
        </w:tc>
        <w:tc>
          <w:tcPr>
            <w:tcW w:w="3975" w:type="dxa"/>
            <w:vMerge w:val="restart"/>
            <w:vAlign w:val="center"/>
          </w:tcPr>
          <w:p w14:paraId="2D78E363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文中同时使用了“半自动化决策”与“混合自动化决策”两个术语，但未能清晰界定二者关系</w:t>
            </w:r>
          </w:p>
        </w:tc>
        <w:tc>
          <w:tcPr>
            <w:tcW w:w="10401" w:type="dxa"/>
            <w:vMerge w:val="restart"/>
            <w:vAlign w:val="center"/>
          </w:tcPr>
          <w:p w14:paraId="49DDCFBA" w14:textId="77777777" w:rsidR="00B74525" w:rsidRDefault="00000000">
            <w:pPr>
              <w:spacing w:line="360" w:lineRule="auto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笔者采纳编辑意见。</w:t>
            </w:r>
          </w:p>
          <w:p w14:paraId="3A18E5EC" w14:textId="77777777" w:rsidR="00B74525" w:rsidRDefault="00000000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在</w:t>
            </w:r>
            <w:r>
              <w:rPr>
                <w:rFonts w:hint="eastAsia"/>
                <w:b/>
                <w:sz w:val="18"/>
                <w:szCs w:val="18"/>
              </w:rPr>
              <w:t>“二、（一）</w:t>
            </w:r>
            <w:r>
              <w:rPr>
                <w:rFonts w:hint="eastAsia"/>
                <w:b/>
                <w:sz w:val="18"/>
                <w:szCs w:val="18"/>
              </w:rPr>
              <w:t>2.</w:t>
            </w:r>
            <w:r>
              <w:rPr>
                <w:rFonts w:hint="eastAsia"/>
                <w:b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rFonts w:hint="eastAsia"/>
                <w:b/>
                <w:sz w:val="18"/>
                <w:szCs w:val="18"/>
              </w:rPr>
              <w:t>）”</w:t>
            </w:r>
            <w:r>
              <w:rPr>
                <w:rFonts w:hint="eastAsia"/>
                <w:bCs/>
                <w:sz w:val="18"/>
                <w:szCs w:val="18"/>
              </w:rPr>
              <w:t>项下，新增一段关于二者关系界定的内容：</w:t>
            </w:r>
          </w:p>
          <w:p w14:paraId="551DC0C8" w14:textId="77777777" w:rsidR="00B74525" w:rsidRDefault="00000000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二者的识别标准各有侧重：“半自动化决策”的关键在于自动化系统是否实际作出决策；而“混合自动化决策”的核心则在于是否存在“有意义的人类干预”。由此，“半自动化决策”既可能属于“完全自动化决策”，也可能归属于“混合自动化决策”。</w:t>
            </w:r>
          </w:p>
        </w:tc>
      </w:tr>
      <w:tr w:rsidR="00B74525" w14:paraId="3D4BAFCE" w14:textId="77777777" w:rsidTr="003B1E17">
        <w:trPr>
          <w:trHeight w:val="468"/>
        </w:trPr>
        <w:tc>
          <w:tcPr>
            <w:tcW w:w="645" w:type="dxa"/>
            <w:vMerge/>
            <w:vAlign w:val="center"/>
          </w:tcPr>
          <w:p w14:paraId="5D33CDE7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975" w:type="dxa"/>
            <w:vMerge/>
            <w:vAlign w:val="center"/>
          </w:tcPr>
          <w:p w14:paraId="575952A0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401" w:type="dxa"/>
            <w:vMerge/>
            <w:vAlign w:val="center"/>
          </w:tcPr>
          <w:p w14:paraId="00B3A970" w14:textId="77777777" w:rsidR="00B74525" w:rsidRDefault="00B74525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</w:p>
        </w:tc>
      </w:tr>
      <w:tr w:rsidR="00B74525" w14:paraId="12488FD2" w14:textId="77777777" w:rsidTr="003B1E17">
        <w:trPr>
          <w:trHeight w:val="468"/>
        </w:trPr>
        <w:tc>
          <w:tcPr>
            <w:tcW w:w="645" w:type="dxa"/>
            <w:vMerge/>
            <w:vAlign w:val="center"/>
          </w:tcPr>
          <w:p w14:paraId="29FA460A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975" w:type="dxa"/>
            <w:vMerge/>
            <w:vAlign w:val="center"/>
          </w:tcPr>
          <w:p w14:paraId="110C8C1A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401" w:type="dxa"/>
            <w:vMerge/>
            <w:vAlign w:val="center"/>
          </w:tcPr>
          <w:p w14:paraId="79B43437" w14:textId="77777777" w:rsidR="00B74525" w:rsidRDefault="00B74525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</w:p>
        </w:tc>
      </w:tr>
      <w:tr w:rsidR="00B74525" w14:paraId="6CE09D08" w14:textId="77777777" w:rsidTr="003B1E17">
        <w:trPr>
          <w:trHeight w:val="468"/>
        </w:trPr>
        <w:tc>
          <w:tcPr>
            <w:tcW w:w="645" w:type="dxa"/>
            <w:vMerge w:val="restart"/>
            <w:vAlign w:val="center"/>
          </w:tcPr>
          <w:p w14:paraId="3F730F49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2</w:t>
            </w:r>
          </w:p>
        </w:tc>
        <w:tc>
          <w:tcPr>
            <w:tcW w:w="3975" w:type="dxa"/>
            <w:vMerge w:val="restart"/>
            <w:vAlign w:val="center"/>
          </w:tcPr>
          <w:p w14:paraId="1847A4AA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文中建议将拒绝权定性为“形成诉权”，与《个人信息保护法》第</w:t>
            </w:r>
            <w:r>
              <w:rPr>
                <w:rFonts w:hint="eastAsia"/>
                <w:bCs/>
                <w:sz w:val="18"/>
                <w:szCs w:val="18"/>
              </w:rPr>
              <w:t>24</w:t>
            </w:r>
            <w:r>
              <w:rPr>
                <w:rFonts w:hint="eastAsia"/>
                <w:bCs/>
                <w:sz w:val="18"/>
                <w:szCs w:val="18"/>
              </w:rPr>
              <w:t>条第</w:t>
            </w:r>
            <w:r>
              <w:rPr>
                <w:rFonts w:hint="eastAsia"/>
                <w:bCs/>
                <w:sz w:val="18"/>
                <w:szCs w:val="18"/>
              </w:rPr>
              <w:t>3</w:t>
            </w:r>
            <w:r>
              <w:rPr>
                <w:rFonts w:hint="eastAsia"/>
                <w:bCs/>
                <w:sz w:val="18"/>
                <w:szCs w:val="18"/>
              </w:rPr>
              <w:t>款“个人有权拒绝”的文义存在张力</w:t>
            </w:r>
          </w:p>
        </w:tc>
        <w:tc>
          <w:tcPr>
            <w:tcW w:w="10401" w:type="dxa"/>
            <w:vMerge w:val="restart"/>
            <w:vAlign w:val="center"/>
          </w:tcPr>
          <w:p w14:paraId="069C384C" w14:textId="77777777" w:rsidR="00B74525" w:rsidRDefault="00000000">
            <w:pPr>
              <w:spacing w:line="360" w:lineRule="auto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笔者采纳编辑意见。</w:t>
            </w:r>
          </w:p>
          <w:p w14:paraId="309DCFA6" w14:textId="77777777" w:rsidR="00B74525" w:rsidRDefault="00000000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在</w:t>
            </w:r>
            <w:r>
              <w:rPr>
                <w:rFonts w:hint="eastAsia"/>
                <w:b/>
                <w:sz w:val="18"/>
                <w:szCs w:val="18"/>
              </w:rPr>
              <w:t>“三、（一）</w:t>
            </w:r>
            <w:r>
              <w:rPr>
                <w:rFonts w:hint="eastAsia"/>
                <w:b/>
                <w:sz w:val="18"/>
                <w:szCs w:val="18"/>
              </w:rPr>
              <w:t>2.</w:t>
            </w:r>
            <w:r>
              <w:rPr>
                <w:rFonts w:hint="eastAsia"/>
                <w:b/>
                <w:sz w:val="18"/>
                <w:szCs w:val="18"/>
              </w:rPr>
              <w:t>”</w:t>
            </w:r>
            <w:r>
              <w:rPr>
                <w:rFonts w:hint="eastAsia"/>
                <w:bCs/>
                <w:sz w:val="18"/>
                <w:szCs w:val="18"/>
              </w:rPr>
              <w:t>项下，最后一段采纳编辑提出的立法论观点，补充如下：</w:t>
            </w:r>
          </w:p>
          <w:p w14:paraId="5069D6D6" w14:textId="77777777" w:rsidR="00B74525" w:rsidRDefault="00000000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虽然目前我国《个人信息保护法》第</w:t>
            </w:r>
            <w:r>
              <w:rPr>
                <w:rFonts w:hint="eastAsia"/>
                <w:bCs/>
                <w:sz w:val="18"/>
                <w:szCs w:val="18"/>
              </w:rPr>
              <w:t>24</w:t>
            </w:r>
            <w:r>
              <w:rPr>
                <w:rFonts w:hint="eastAsia"/>
                <w:bCs/>
                <w:sz w:val="18"/>
                <w:szCs w:val="18"/>
              </w:rPr>
              <w:t>条第</w:t>
            </w:r>
            <w:r>
              <w:rPr>
                <w:rFonts w:hint="eastAsia"/>
                <w:bCs/>
                <w:sz w:val="18"/>
                <w:szCs w:val="18"/>
              </w:rPr>
              <w:t>3</w:t>
            </w:r>
            <w:r>
              <w:rPr>
                <w:rFonts w:hint="eastAsia"/>
                <w:bCs/>
                <w:sz w:val="18"/>
                <w:szCs w:val="18"/>
              </w:rPr>
              <w:t>款尚不能被解读为具有形成诉权之效果，但若将一般性自动化决策拒绝权界定为形成权，则宜进一步将其定性为形成诉权。</w:t>
            </w:r>
          </w:p>
        </w:tc>
      </w:tr>
      <w:tr w:rsidR="00B74525" w14:paraId="0FD3ED3A" w14:textId="77777777" w:rsidTr="003B1E17">
        <w:trPr>
          <w:trHeight w:val="468"/>
        </w:trPr>
        <w:tc>
          <w:tcPr>
            <w:tcW w:w="645" w:type="dxa"/>
            <w:vMerge/>
            <w:vAlign w:val="center"/>
          </w:tcPr>
          <w:p w14:paraId="29A39FCB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975" w:type="dxa"/>
            <w:vMerge/>
            <w:vAlign w:val="center"/>
          </w:tcPr>
          <w:p w14:paraId="3F03356A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401" w:type="dxa"/>
            <w:vMerge/>
            <w:vAlign w:val="center"/>
          </w:tcPr>
          <w:p w14:paraId="4D2F6634" w14:textId="77777777" w:rsidR="00B74525" w:rsidRDefault="00B74525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</w:p>
        </w:tc>
      </w:tr>
      <w:tr w:rsidR="00B74525" w14:paraId="5F824704" w14:textId="77777777" w:rsidTr="003B1E17">
        <w:trPr>
          <w:trHeight w:val="468"/>
        </w:trPr>
        <w:tc>
          <w:tcPr>
            <w:tcW w:w="645" w:type="dxa"/>
            <w:vMerge/>
            <w:vAlign w:val="center"/>
          </w:tcPr>
          <w:p w14:paraId="3F9F6867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975" w:type="dxa"/>
            <w:vMerge/>
            <w:vAlign w:val="center"/>
          </w:tcPr>
          <w:p w14:paraId="577C88A1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401" w:type="dxa"/>
            <w:vMerge/>
            <w:vAlign w:val="center"/>
          </w:tcPr>
          <w:p w14:paraId="2CF36A9B" w14:textId="77777777" w:rsidR="00B74525" w:rsidRDefault="00B74525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</w:p>
        </w:tc>
      </w:tr>
      <w:tr w:rsidR="00B74525" w14:paraId="6E7179AA" w14:textId="77777777" w:rsidTr="003B1E17">
        <w:trPr>
          <w:trHeight w:val="468"/>
        </w:trPr>
        <w:tc>
          <w:tcPr>
            <w:tcW w:w="645" w:type="dxa"/>
            <w:vMerge w:val="restart"/>
            <w:vAlign w:val="center"/>
          </w:tcPr>
          <w:p w14:paraId="4181DB14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3</w:t>
            </w:r>
          </w:p>
        </w:tc>
        <w:tc>
          <w:tcPr>
            <w:tcW w:w="3975" w:type="dxa"/>
            <w:vMerge w:val="restart"/>
            <w:vAlign w:val="center"/>
          </w:tcPr>
          <w:p w14:paraId="7DDEA449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文中提出我国采禁令下的赋权说，但对其内部逻辑关系</w:t>
            </w:r>
            <w:r>
              <w:rPr>
                <w:rFonts w:hint="eastAsia"/>
                <w:bCs/>
                <w:sz w:val="18"/>
                <w:szCs w:val="18"/>
              </w:rPr>
              <w:t>阐述有待更加充分</w:t>
            </w:r>
          </w:p>
        </w:tc>
        <w:tc>
          <w:tcPr>
            <w:tcW w:w="10401" w:type="dxa"/>
            <w:vMerge w:val="restart"/>
            <w:vAlign w:val="center"/>
          </w:tcPr>
          <w:p w14:paraId="3C24AF98" w14:textId="77777777" w:rsidR="00B74525" w:rsidRDefault="00000000">
            <w:pPr>
              <w:spacing w:line="360" w:lineRule="auto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笔者采纳编辑意见。</w:t>
            </w:r>
          </w:p>
          <w:p w14:paraId="27123A62" w14:textId="77777777" w:rsidR="00B74525" w:rsidRDefault="00000000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在</w:t>
            </w:r>
            <w:r>
              <w:rPr>
                <w:rFonts w:hint="eastAsia"/>
                <w:b/>
                <w:sz w:val="18"/>
                <w:szCs w:val="18"/>
              </w:rPr>
              <w:t>“一、（二）</w:t>
            </w:r>
            <w:r>
              <w:rPr>
                <w:rFonts w:hint="eastAsia"/>
                <w:b/>
                <w:sz w:val="18"/>
                <w:szCs w:val="18"/>
              </w:rPr>
              <w:t>2.</w:t>
            </w:r>
            <w:r>
              <w:rPr>
                <w:rFonts w:hint="eastAsia"/>
                <w:b/>
                <w:sz w:val="18"/>
                <w:szCs w:val="18"/>
              </w:rPr>
              <w:t>”</w:t>
            </w:r>
            <w:r>
              <w:rPr>
                <w:rFonts w:hint="eastAsia"/>
                <w:bCs/>
                <w:sz w:val="18"/>
                <w:szCs w:val="18"/>
              </w:rPr>
              <w:t>项下，最后一段语言修改如下：</w:t>
            </w:r>
          </w:p>
          <w:p w14:paraId="08B6E5F7" w14:textId="77777777" w:rsidR="00B74525" w:rsidRDefault="00000000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“第三条路径”：既对自动化决策采原则禁止、例外允许的立场，又明定即使符合例外条件，个人信息主体依然享有退出的权利。</w:t>
            </w:r>
          </w:p>
        </w:tc>
      </w:tr>
      <w:tr w:rsidR="00B74525" w14:paraId="2CA6B70B" w14:textId="77777777" w:rsidTr="003B1E17">
        <w:trPr>
          <w:trHeight w:val="468"/>
        </w:trPr>
        <w:tc>
          <w:tcPr>
            <w:tcW w:w="645" w:type="dxa"/>
            <w:vMerge/>
            <w:vAlign w:val="center"/>
          </w:tcPr>
          <w:p w14:paraId="55BC0858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975" w:type="dxa"/>
            <w:vMerge/>
            <w:vAlign w:val="center"/>
          </w:tcPr>
          <w:p w14:paraId="35E85C5D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401" w:type="dxa"/>
            <w:vMerge/>
            <w:vAlign w:val="center"/>
          </w:tcPr>
          <w:p w14:paraId="733EC916" w14:textId="77777777" w:rsidR="00B74525" w:rsidRDefault="00B74525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</w:p>
        </w:tc>
      </w:tr>
      <w:tr w:rsidR="00B74525" w14:paraId="2FB471EB" w14:textId="77777777" w:rsidTr="003B1E17">
        <w:trPr>
          <w:trHeight w:val="468"/>
        </w:trPr>
        <w:tc>
          <w:tcPr>
            <w:tcW w:w="645" w:type="dxa"/>
            <w:vMerge/>
            <w:vAlign w:val="center"/>
          </w:tcPr>
          <w:p w14:paraId="6FE23470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975" w:type="dxa"/>
            <w:vMerge/>
            <w:vAlign w:val="center"/>
          </w:tcPr>
          <w:p w14:paraId="5ED0536E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401" w:type="dxa"/>
            <w:vMerge/>
            <w:vAlign w:val="center"/>
          </w:tcPr>
          <w:p w14:paraId="29BEB21C" w14:textId="77777777" w:rsidR="00B74525" w:rsidRDefault="00B74525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</w:p>
        </w:tc>
      </w:tr>
      <w:tr w:rsidR="00B74525" w14:paraId="289D445C" w14:textId="77777777" w:rsidTr="003B1E17">
        <w:trPr>
          <w:trHeight w:val="468"/>
        </w:trPr>
        <w:tc>
          <w:tcPr>
            <w:tcW w:w="645" w:type="dxa"/>
            <w:vMerge/>
            <w:vAlign w:val="center"/>
          </w:tcPr>
          <w:p w14:paraId="00F1E1DA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975" w:type="dxa"/>
            <w:vMerge/>
            <w:vAlign w:val="center"/>
          </w:tcPr>
          <w:p w14:paraId="62CE704E" w14:textId="77777777" w:rsidR="00B74525" w:rsidRDefault="00B74525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401" w:type="dxa"/>
            <w:vMerge/>
            <w:vAlign w:val="center"/>
          </w:tcPr>
          <w:p w14:paraId="66F8640D" w14:textId="77777777" w:rsidR="00B74525" w:rsidRDefault="00B74525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</w:p>
        </w:tc>
      </w:tr>
      <w:tr w:rsidR="00B74525" w14:paraId="59CB50C2" w14:textId="77777777" w:rsidTr="003B1E17">
        <w:trPr>
          <w:trHeight w:val="897"/>
        </w:trPr>
        <w:tc>
          <w:tcPr>
            <w:tcW w:w="645" w:type="dxa"/>
            <w:vAlign w:val="center"/>
          </w:tcPr>
          <w:p w14:paraId="78770C54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4</w:t>
            </w:r>
          </w:p>
        </w:tc>
        <w:tc>
          <w:tcPr>
            <w:tcW w:w="3975" w:type="dxa"/>
            <w:vAlign w:val="center"/>
          </w:tcPr>
          <w:p w14:paraId="0504B0F2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引用要求</w:t>
            </w:r>
          </w:p>
        </w:tc>
        <w:tc>
          <w:tcPr>
            <w:tcW w:w="10401" w:type="dxa"/>
            <w:vAlign w:val="center"/>
          </w:tcPr>
          <w:p w14:paraId="69F63716" w14:textId="77777777" w:rsidR="00B74525" w:rsidRDefault="00000000">
            <w:pPr>
              <w:spacing w:line="360" w:lineRule="auto"/>
              <w:jc w:val="left"/>
              <w:rPr>
                <w:rFonts w:ascii="宋体" w:hAnsi="宋体" w:cs="宋体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</w:rPr>
              <w:t>新增</w:t>
            </w:r>
            <w:r>
              <w:rPr>
                <w:rFonts w:ascii="宋体" w:hAnsi="宋体" w:cs="宋体" w:hint="eastAsia"/>
                <w:b/>
                <w:sz w:val="18"/>
                <w:szCs w:val="18"/>
              </w:rPr>
              <w:t>两处</w:t>
            </w:r>
            <w:r>
              <w:rPr>
                <w:rFonts w:ascii="宋体" w:hAnsi="宋体" w:cs="宋体" w:hint="eastAsia"/>
                <w:bCs/>
                <w:sz w:val="18"/>
                <w:szCs w:val="18"/>
              </w:rPr>
              <w:t>期刊引用：</w:t>
            </w:r>
          </w:p>
          <w:p w14:paraId="0ECE707E" w14:textId="77777777" w:rsidR="00B74525" w:rsidRDefault="00000000">
            <w:pPr>
              <w:spacing w:line="360" w:lineRule="auto"/>
              <w:jc w:val="left"/>
              <w:rPr>
                <w:rFonts w:ascii="宋体" w:hAnsi="宋体" w:cs="宋体"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</w:rPr>
              <w:t>① 马靖皓、冉富强：《“开放结构”与法律问题的唯一正确答案》，载《法大法律评论》2024年第2辑。</w:t>
            </w:r>
          </w:p>
          <w:p w14:paraId="5FF39FC7" w14:textId="77777777" w:rsidR="00B74525" w:rsidRDefault="00000000">
            <w:pPr>
              <w:spacing w:line="360" w:lineRule="auto"/>
              <w:jc w:val="left"/>
              <w:rPr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sz w:val="18"/>
                <w:szCs w:val="18"/>
              </w:rPr>
              <w:t>② 王欣辰、刘云：《布鲁塞尔效应的概念梳理与误区澄清——兼论欧盟数据监管标准全球化的中国因应》，载《中国政法大学研究生学报》2025年第1辑。</w:t>
            </w:r>
          </w:p>
        </w:tc>
      </w:tr>
      <w:tr w:rsidR="00B74525" w14:paraId="69F1CFFA" w14:textId="77777777" w:rsidTr="003B1E17">
        <w:trPr>
          <w:trHeight w:val="855"/>
        </w:trPr>
        <w:tc>
          <w:tcPr>
            <w:tcW w:w="645" w:type="dxa"/>
            <w:vAlign w:val="center"/>
          </w:tcPr>
          <w:p w14:paraId="3C946858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5</w:t>
            </w:r>
          </w:p>
        </w:tc>
        <w:tc>
          <w:tcPr>
            <w:tcW w:w="3975" w:type="dxa"/>
            <w:vAlign w:val="center"/>
          </w:tcPr>
          <w:p w14:paraId="627F245D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其他</w:t>
            </w:r>
          </w:p>
        </w:tc>
        <w:tc>
          <w:tcPr>
            <w:tcW w:w="10401" w:type="dxa"/>
            <w:vAlign w:val="center"/>
          </w:tcPr>
          <w:p w14:paraId="18DA7020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已对文稿语言以及格式进行系统优化，修改较多，此处不逐一列举。</w:t>
            </w:r>
          </w:p>
        </w:tc>
      </w:tr>
      <w:tr w:rsidR="00B74525" w14:paraId="36803C38" w14:textId="77777777" w:rsidTr="003B1E17">
        <w:trPr>
          <w:trHeight w:val="1108"/>
        </w:trPr>
        <w:tc>
          <w:tcPr>
            <w:tcW w:w="15021" w:type="dxa"/>
            <w:gridSpan w:val="3"/>
            <w:vAlign w:val="center"/>
          </w:tcPr>
          <w:p w14:paraId="0656FBE4" w14:textId="77777777" w:rsidR="00B74525" w:rsidRDefault="00000000"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注：因修订过程中更换过编辑软件账号，修订模式中出现了两个不同账号的修订标记。</w:t>
            </w:r>
          </w:p>
        </w:tc>
      </w:tr>
    </w:tbl>
    <w:p w14:paraId="2203B573" w14:textId="77777777" w:rsidR="00B74525" w:rsidRDefault="00B74525">
      <w:pPr>
        <w:jc w:val="center"/>
        <w:rPr>
          <w:b/>
          <w:sz w:val="18"/>
          <w:szCs w:val="18"/>
        </w:rPr>
      </w:pPr>
    </w:p>
    <w:p w14:paraId="3043852A" w14:textId="77777777" w:rsidR="00B74525" w:rsidRDefault="00B74525"/>
    <w:sectPr w:rsidR="00B7452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8"/>
    <w:rsid w:val="FDE792A6"/>
    <w:rsid w:val="003B1E17"/>
    <w:rsid w:val="00B74525"/>
    <w:rsid w:val="00C17DEA"/>
    <w:rsid w:val="00C749F8"/>
    <w:rsid w:val="00CF60D9"/>
    <w:rsid w:val="00DD4CD6"/>
    <w:rsid w:val="119A3908"/>
    <w:rsid w:val="3CC431C6"/>
    <w:rsid w:val="4432222C"/>
    <w:rsid w:val="4B8A3336"/>
    <w:rsid w:val="5FF74D8F"/>
    <w:rsid w:val="6508284B"/>
    <w:rsid w:val="76563B1B"/>
    <w:rsid w:val="7E3A6AB8"/>
    <w:rsid w:val="9737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DBCA736-BC02-AA41-8C7D-4EE0A32E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kq198</cp:lastModifiedBy>
  <cp:revision>3</cp:revision>
  <dcterms:created xsi:type="dcterms:W3CDTF">2024-01-11T16:17:00Z</dcterms:created>
  <dcterms:modified xsi:type="dcterms:W3CDTF">2026-04-18T11:02:00Z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BDAF3D2893114140BEDD7A9CA868BCA8_13</vt:lpwstr>
  </property>
  <property fmtid="{D5CDD505-2E9C-101B-9397-08002B2CF9AE}" pid="4" name="KSOTemplateDocerSaveRecord">
    <vt:lpwstr>eyJoZGlkIjoiODcyMmJjNDVhMDU0ZjdjZjQyZTM4ZDUxOTU0MjVjMzAiLCJ1c2VySWQiOiI5ODk2MjUzODkifQ==</vt:lpwstr>
  </property>
</Properties>
</file>