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E4F0DA">
      <w:pPr>
        <w:ind w:firstLine="0" w:firstLineChars="0"/>
        <w:jc w:val="center"/>
        <w:rPr>
          <w:rFonts w:asciiTheme="majorEastAsia" w:hAnsiTheme="majorEastAsia" w:eastAsiaTheme="majorEastAsia" w:cstheme="majorEastAsia"/>
          <w:b/>
          <w:bCs/>
          <w:sz w:val="32"/>
          <w:szCs w:val="32"/>
        </w:rPr>
      </w:pPr>
      <w:bookmarkStart w:id="0" w:name="_GoBack"/>
      <w:bookmarkEnd w:id="0"/>
      <w:r>
        <w:rPr>
          <w:rFonts w:hint="eastAsia" w:ascii="黑体" w:hAnsi="黑体" w:eastAsia="黑体" w:cs="黑体"/>
          <w:b/>
          <w:bCs/>
          <w:sz w:val="32"/>
          <w:szCs w:val="32"/>
        </w:rPr>
        <w:t>一般性自动化决策拒绝权的理论澄清与规范展开</w:t>
      </w:r>
    </w:p>
    <w:p w14:paraId="7A7EE6D2">
      <w:pPr>
        <w:ind w:firstLine="0" w:firstLineChars="0"/>
        <w:jc w:val="center"/>
        <w:rPr>
          <w:b/>
          <w:bCs/>
          <w:sz w:val="16"/>
          <w:szCs w:val="16"/>
        </w:rPr>
      </w:pPr>
      <w:r>
        <w:rPr>
          <w:rFonts w:hint="eastAsia" w:ascii="楷体" w:hAnsi="楷体" w:eastAsia="楷体" w:cs="楷体"/>
          <w:b/>
          <w:bCs/>
          <w:sz w:val="24"/>
          <w:szCs w:val="24"/>
        </w:rPr>
        <w:t>崔文博</w:t>
      </w:r>
    </w:p>
    <w:p w14:paraId="716A0C8F">
      <w:pPr>
        <w:ind w:firstLine="420" w:firstLineChars="200"/>
        <w:jc w:val="left"/>
        <w:rPr>
          <w:rFonts w:ascii="仿宋" w:hAnsi="仿宋" w:eastAsia="仿宋" w:cs="仿宋"/>
          <w:sz w:val="22"/>
          <w:szCs w:val="22"/>
        </w:rPr>
      </w:pPr>
      <w:r>
        <w:rPr>
          <w:rFonts w:hint="eastAsia" w:ascii="仿宋" w:hAnsi="仿宋" w:eastAsia="仿宋" w:cs="仿宋"/>
          <w:b w:val="0"/>
          <w:bCs w:val="0"/>
          <w:sz w:val="21"/>
          <w:szCs w:val="21"/>
        </w:rPr>
        <w:t>【</w:t>
      </w:r>
      <w:r>
        <w:rPr>
          <w:rFonts w:hint="eastAsia" w:ascii="仿宋" w:hAnsi="仿宋" w:eastAsia="仿宋" w:cs="仿宋"/>
          <w:b w:val="0"/>
          <w:bCs w:val="0"/>
          <w:sz w:val="21"/>
          <w:szCs w:val="21"/>
        </w:rPr>
        <w:t>摘</w:t>
      </w:r>
      <w:r>
        <w:rPr>
          <w:rFonts w:hint="eastAsia" w:ascii="仿宋" w:hAnsi="仿宋" w:eastAsia="仿宋" w:cs="仿宋"/>
          <w:sz w:val="21"/>
          <w:szCs w:val="21"/>
        </w:rPr>
        <w:t xml:space="preserve">  </w:t>
      </w:r>
      <w:r>
        <w:rPr>
          <w:rFonts w:hint="eastAsia" w:ascii="仿宋" w:hAnsi="仿宋" w:eastAsia="仿宋" w:cs="仿宋"/>
          <w:b w:val="0"/>
          <w:bCs w:val="0"/>
          <w:sz w:val="21"/>
          <w:szCs w:val="21"/>
        </w:rPr>
        <w:t>要</w:t>
      </w:r>
      <w:r>
        <w:rPr>
          <w:rFonts w:hint="eastAsia" w:ascii="仿宋" w:hAnsi="仿宋" w:eastAsia="仿宋" w:cs="仿宋"/>
          <w:b w:val="0"/>
          <w:bCs w:val="0"/>
          <w:sz w:val="21"/>
          <w:szCs w:val="21"/>
        </w:rPr>
        <w:t>】</w:t>
      </w:r>
      <w:r>
        <w:rPr>
          <w:rFonts w:hint="eastAsia" w:ascii="仿宋" w:hAnsi="仿宋" w:eastAsia="仿宋" w:cs="仿宋"/>
          <w:sz w:val="21"/>
          <w:szCs w:val="21"/>
        </w:rPr>
        <w:t>我国一般性自动化决策拒绝权继受于欧盟，但欧盟法上“人在环路”理念与“禁令说”“赋权说”之争在我国学界存在</w:t>
      </w:r>
      <w:r>
        <w:rPr>
          <w:rFonts w:hint="eastAsia" w:ascii="仿宋" w:hAnsi="仿宋" w:eastAsia="仿宋" w:cs="仿宋"/>
          <w:sz w:val="21"/>
          <w:szCs w:val="21"/>
        </w:rPr>
        <w:t>一定程度的</w:t>
      </w:r>
      <w:r>
        <w:rPr>
          <w:rFonts w:hint="eastAsia" w:ascii="仿宋" w:hAnsi="仿宋" w:eastAsia="仿宋" w:cs="仿宋"/>
          <w:sz w:val="21"/>
          <w:szCs w:val="21"/>
        </w:rPr>
        <w:t>高估与误读。就前者而言，“人在环路”面临人类开发的主观歧视性、干预的虚假性、审查的相对独立性及算法黑箱下的客观歧视性四重质疑。就后者而言，我国所采路径与欧盟略有不同，系“禁令下的赋权说”。基于此，在</w:t>
      </w:r>
      <w:r>
        <w:rPr>
          <w:rFonts w:hint="eastAsia" w:ascii="仿宋" w:hAnsi="仿宋" w:eastAsia="仿宋" w:cs="仿宋"/>
          <w:sz w:val="21"/>
          <w:szCs w:val="21"/>
          <w:lang w:val="en-US" w:eastAsia="zh-CN"/>
        </w:rPr>
        <w:t>构成要件层面</w:t>
      </w:r>
      <w:r>
        <w:rPr>
          <w:rFonts w:hint="eastAsia" w:ascii="仿宋" w:hAnsi="仿宋" w:eastAsia="仿宋" w:cs="仿宋"/>
          <w:sz w:val="21"/>
          <w:szCs w:val="21"/>
        </w:rPr>
        <w:t>，我国法上的“自动化决策”应涵盖</w:t>
      </w:r>
      <w:r>
        <w:rPr>
          <w:rFonts w:hint="eastAsia" w:ascii="仿宋" w:hAnsi="仿宋" w:eastAsia="仿宋" w:cs="仿宋"/>
          <w:sz w:val="21"/>
          <w:szCs w:val="21"/>
        </w:rPr>
        <w:t>“</w:t>
      </w:r>
      <w:r>
        <w:rPr>
          <w:rFonts w:hint="eastAsia" w:ascii="仿宋" w:hAnsi="仿宋" w:eastAsia="仿宋" w:cs="仿宋"/>
          <w:sz w:val="21"/>
          <w:szCs w:val="21"/>
        </w:rPr>
        <w:t>用户画像</w:t>
      </w:r>
      <w:r>
        <w:rPr>
          <w:rFonts w:hint="eastAsia" w:ascii="仿宋" w:hAnsi="仿宋" w:eastAsia="仿宋" w:cs="仿宋"/>
          <w:sz w:val="21"/>
          <w:szCs w:val="21"/>
        </w:rPr>
        <w:t>”</w:t>
      </w:r>
      <w:r>
        <w:rPr>
          <w:rFonts w:hint="eastAsia" w:ascii="仿宋" w:hAnsi="仿宋" w:eastAsia="仿宋" w:cs="仿宋"/>
          <w:sz w:val="21"/>
          <w:szCs w:val="21"/>
        </w:rPr>
        <w:t>与</w:t>
      </w:r>
      <w:r>
        <w:rPr>
          <w:rFonts w:hint="eastAsia" w:ascii="仿宋" w:hAnsi="仿宋" w:eastAsia="仿宋" w:cs="仿宋"/>
          <w:sz w:val="21"/>
          <w:szCs w:val="21"/>
        </w:rPr>
        <w:t>“</w:t>
      </w:r>
      <w:r>
        <w:rPr>
          <w:rFonts w:hint="eastAsia" w:ascii="仿宋" w:hAnsi="仿宋" w:eastAsia="仿宋" w:cs="仿宋"/>
          <w:sz w:val="21"/>
          <w:szCs w:val="21"/>
        </w:rPr>
        <w:t>决策</w:t>
      </w:r>
      <w:r>
        <w:rPr>
          <w:rFonts w:hint="eastAsia" w:ascii="仿宋" w:hAnsi="仿宋" w:eastAsia="仿宋" w:cs="仿宋"/>
          <w:sz w:val="21"/>
          <w:szCs w:val="21"/>
        </w:rPr>
        <w:t>”</w:t>
      </w:r>
      <w:r>
        <w:rPr>
          <w:rFonts w:hint="eastAsia" w:ascii="仿宋" w:hAnsi="仿宋" w:eastAsia="仿宋" w:cs="仿宋"/>
          <w:sz w:val="21"/>
          <w:szCs w:val="21"/>
        </w:rPr>
        <w:t>两个环节，“半自动化决策”应纳入</w:t>
      </w:r>
      <w:r>
        <w:rPr>
          <w:rFonts w:hint="eastAsia" w:ascii="仿宋" w:hAnsi="仿宋" w:eastAsia="仿宋" w:cs="仿宋"/>
          <w:sz w:val="21"/>
          <w:szCs w:val="21"/>
          <w:lang w:val="en-US" w:eastAsia="zh-CN"/>
        </w:rPr>
        <w:t>概念</w:t>
      </w:r>
      <w:r>
        <w:rPr>
          <w:rFonts w:hint="eastAsia" w:ascii="仿宋" w:hAnsi="仿宋" w:eastAsia="仿宋" w:cs="仿宋"/>
          <w:sz w:val="21"/>
          <w:szCs w:val="21"/>
        </w:rPr>
        <w:t>范围，而“非基于用户画像的自动化决策”则</w:t>
      </w:r>
      <w:r>
        <w:rPr>
          <w:rFonts w:hint="eastAsia" w:ascii="仿宋" w:hAnsi="仿宋" w:eastAsia="仿宋" w:cs="仿宋"/>
          <w:sz w:val="21"/>
          <w:szCs w:val="21"/>
        </w:rPr>
        <w:t>应</w:t>
      </w:r>
      <w:r>
        <w:rPr>
          <w:rFonts w:hint="eastAsia" w:ascii="仿宋" w:hAnsi="仿宋" w:eastAsia="仿宋" w:cs="仿宋"/>
          <w:sz w:val="21"/>
          <w:szCs w:val="21"/>
        </w:rPr>
        <w:t>予排除</w:t>
      </w:r>
      <w:r>
        <w:rPr>
          <w:rFonts w:hint="eastAsia" w:ascii="仿宋" w:hAnsi="仿宋" w:eastAsia="仿宋" w:cs="仿宋"/>
          <w:sz w:val="21"/>
          <w:szCs w:val="21"/>
          <w:lang w:eastAsia="zh-CN"/>
        </w:rPr>
        <w:t>。</w:t>
      </w:r>
      <w:r>
        <w:rPr>
          <w:rFonts w:hint="eastAsia" w:ascii="仿宋" w:hAnsi="仿宋" w:eastAsia="仿宋" w:cs="仿宋"/>
          <w:sz w:val="21"/>
          <w:szCs w:val="21"/>
          <w:lang w:val="en-US" w:eastAsia="zh-CN"/>
        </w:rPr>
        <w:t>同时，</w:t>
      </w:r>
      <w:r>
        <w:rPr>
          <w:rFonts w:hint="eastAsia" w:ascii="仿宋" w:hAnsi="仿宋" w:eastAsia="仿宋" w:cs="仿宋"/>
          <w:sz w:val="21"/>
          <w:szCs w:val="21"/>
        </w:rPr>
        <w:t>“</w:t>
      </w:r>
      <w:r>
        <w:rPr>
          <w:rFonts w:hint="eastAsia" w:ascii="仿宋" w:hAnsi="仿宋" w:eastAsia="仿宋" w:cs="仿宋"/>
          <w:sz w:val="21"/>
          <w:szCs w:val="21"/>
        </w:rPr>
        <w:t>混合自动化决策</w:t>
      </w:r>
      <w:r>
        <w:rPr>
          <w:rFonts w:hint="eastAsia" w:ascii="仿宋" w:hAnsi="仿宋" w:eastAsia="仿宋" w:cs="仿宋"/>
          <w:sz w:val="21"/>
          <w:szCs w:val="21"/>
        </w:rPr>
        <w:t>”</w:t>
      </w:r>
      <w:r>
        <w:rPr>
          <w:rFonts w:hint="eastAsia" w:ascii="仿宋" w:hAnsi="仿宋" w:eastAsia="仿宋" w:cs="仿宋"/>
          <w:sz w:val="21"/>
          <w:szCs w:val="21"/>
        </w:rPr>
        <w:t>应纳入拒绝权适用范围</w:t>
      </w:r>
      <w:r>
        <w:rPr>
          <w:rFonts w:hint="eastAsia" w:ascii="仿宋" w:hAnsi="仿宋" w:eastAsia="仿宋" w:cs="仿宋"/>
          <w:sz w:val="21"/>
          <w:szCs w:val="21"/>
          <w:lang w:eastAsia="zh-CN"/>
        </w:rPr>
        <w:t>，</w:t>
      </w:r>
      <w:r>
        <w:rPr>
          <w:rFonts w:hint="eastAsia" w:ascii="仿宋" w:hAnsi="仿宋" w:eastAsia="仿宋" w:cs="仿宋"/>
          <w:sz w:val="21"/>
          <w:szCs w:val="21"/>
        </w:rPr>
        <w:t>并将“义务”纳入“对个人权益有重大影响”之判断。在法律性质上，</w:t>
      </w:r>
      <w:r>
        <w:rPr>
          <w:rFonts w:hint="eastAsia" w:ascii="仿宋" w:hAnsi="仿宋" w:eastAsia="仿宋" w:cs="仿宋"/>
          <w:sz w:val="21"/>
          <w:szCs w:val="21"/>
        </w:rPr>
        <w:t>一般性自动化决策拒绝权</w:t>
      </w:r>
      <w:r>
        <w:rPr>
          <w:rFonts w:hint="eastAsia" w:ascii="仿宋" w:hAnsi="仿宋" w:eastAsia="仿宋" w:cs="仿宋"/>
          <w:sz w:val="21"/>
          <w:szCs w:val="21"/>
        </w:rPr>
        <w:t>应属请求权与形成权之复合权利；在法律效果上，不宜将人工干预、删除、更正等内容混入其中。</w:t>
      </w:r>
    </w:p>
    <w:p w14:paraId="0C70B6F9">
      <w:pPr>
        <w:ind w:firstLine="420" w:firstLineChars="200"/>
        <w:jc w:val="left"/>
        <w:rPr>
          <w:rFonts w:ascii="仿宋" w:hAnsi="仿宋" w:eastAsia="仿宋" w:cs="仿宋"/>
          <w:sz w:val="21"/>
          <w:szCs w:val="21"/>
        </w:rPr>
      </w:pPr>
      <w:r>
        <w:rPr>
          <w:rFonts w:hint="eastAsia" w:ascii="仿宋" w:hAnsi="仿宋" w:eastAsia="仿宋" w:cs="仿宋"/>
          <w:sz w:val="21"/>
          <w:szCs w:val="21"/>
        </w:rPr>
        <w:t>【</w:t>
      </w:r>
      <w:r>
        <w:rPr>
          <w:rFonts w:hint="eastAsia" w:ascii="仿宋" w:hAnsi="仿宋" w:eastAsia="仿宋" w:cs="仿宋"/>
          <w:b w:val="0"/>
          <w:bCs w:val="0"/>
          <w:sz w:val="21"/>
          <w:szCs w:val="21"/>
        </w:rPr>
        <w:t>关键词</w:t>
      </w:r>
      <w:r>
        <w:rPr>
          <w:rFonts w:hint="eastAsia" w:ascii="仿宋" w:hAnsi="仿宋" w:eastAsia="仿宋" w:cs="仿宋"/>
          <w:sz w:val="21"/>
          <w:szCs w:val="21"/>
        </w:rPr>
        <w:t>】</w:t>
      </w:r>
      <w:r>
        <w:rPr>
          <w:rFonts w:hint="eastAsia" w:ascii="仿宋" w:hAnsi="仿宋" w:eastAsia="仿宋" w:cs="仿宋"/>
          <w:sz w:val="21"/>
          <w:szCs w:val="21"/>
        </w:rPr>
        <w:t>一般性自动化决策拒绝权</w:t>
      </w:r>
      <w:r>
        <w:rPr>
          <w:rFonts w:hint="eastAsia" w:ascii="仿宋" w:hAnsi="仿宋" w:eastAsia="仿宋" w:cs="仿宋"/>
          <w:sz w:val="21"/>
          <w:szCs w:val="21"/>
        </w:rPr>
        <w:t>；</w:t>
      </w:r>
      <w:r>
        <w:rPr>
          <w:rFonts w:hint="eastAsia" w:ascii="仿宋" w:hAnsi="仿宋" w:eastAsia="仿宋" w:cs="仿宋"/>
          <w:sz w:val="21"/>
          <w:szCs w:val="21"/>
        </w:rPr>
        <w:t>自动化决策</w:t>
      </w:r>
      <w:r>
        <w:rPr>
          <w:rFonts w:hint="eastAsia" w:ascii="仿宋" w:hAnsi="仿宋" w:eastAsia="仿宋" w:cs="仿宋"/>
          <w:sz w:val="21"/>
          <w:szCs w:val="21"/>
        </w:rPr>
        <w:t>；</w:t>
      </w:r>
      <w:r>
        <w:rPr>
          <w:rFonts w:hint="eastAsia" w:ascii="仿宋" w:hAnsi="仿宋" w:eastAsia="仿宋" w:cs="仿宋"/>
          <w:sz w:val="21"/>
          <w:szCs w:val="21"/>
        </w:rPr>
        <w:t>人在环路</w:t>
      </w:r>
    </w:p>
    <w:p w14:paraId="5B282D05">
      <w:pPr>
        <w:ind w:firstLine="420" w:firstLineChars="200"/>
        <w:jc w:val="left"/>
        <w:rPr>
          <w:rFonts w:ascii="仿宋" w:hAnsi="仿宋" w:eastAsia="仿宋" w:cs="仿宋"/>
          <w:sz w:val="21"/>
          <w:szCs w:val="21"/>
        </w:rPr>
      </w:pPr>
      <w:r>
        <w:rPr>
          <w:rFonts w:hint="eastAsia" w:ascii="仿宋" w:hAnsi="仿宋" w:eastAsia="仿宋" w:cs="仿宋"/>
          <w:sz w:val="21"/>
          <w:szCs w:val="21"/>
        </w:rPr>
        <w:t>【作者信息】崔文博，湖南大学法学院2025级硕士研究生</w:t>
      </w:r>
    </w:p>
    <w:p w14:paraId="2F540C5B">
      <w:pPr>
        <w:ind w:firstLine="420" w:firstLineChars="200"/>
        <w:jc w:val="left"/>
        <w:rPr>
          <w:rFonts w:hint="eastAsia" w:ascii="仿宋" w:hAnsi="仿宋" w:eastAsia="仿宋" w:cs="仿宋"/>
          <w:sz w:val="21"/>
          <w:szCs w:val="21"/>
        </w:rPr>
      </w:pPr>
      <w:r>
        <w:rPr>
          <w:rFonts w:hint="eastAsia" w:ascii="仿宋" w:hAnsi="仿宋" w:eastAsia="仿宋" w:cs="仿宋"/>
          <w:sz w:val="21"/>
          <w:szCs w:val="21"/>
        </w:rPr>
        <w:t>【备注】感谢湖南大学法学院周琳同学、海南大学法学院房静怡同学及吕书馨同学对本文的帮助。</w:t>
      </w:r>
    </w:p>
    <w:p w14:paraId="461CBD42">
      <w:pPr>
        <w:ind w:firstLine="420" w:firstLineChars="200"/>
        <w:jc w:val="left"/>
        <w:rPr>
          <w:rFonts w:hint="eastAsia" w:ascii="仿宋" w:hAnsi="仿宋" w:eastAsia="仿宋" w:cs="仿宋"/>
          <w:sz w:val="21"/>
          <w:szCs w:val="21"/>
        </w:rPr>
      </w:pPr>
    </w:p>
    <w:p w14:paraId="466ADC58">
      <w:pPr>
        <w:ind w:firstLine="0" w:firstLineChars="0"/>
        <w:rPr>
          <w:bCs/>
          <w:szCs w:val="28"/>
        </w:rPr>
      </w:pPr>
      <w:r>
        <w:rPr>
          <w:rFonts w:hint="eastAsia"/>
          <w:b/>
          <w:bCs/>
          <w:sz w:val="28"/>
          <w:szCs w:val="28"/>
        </w:rPr>
        <w:t>引言</w:t>
      </w:r>
    </w:p>
    <w:p w14:paraId="0C93FB48">
      <w:pPr>
        <w:rPr>
          <w:rStyle w:val="17"/>
        </w:rPr>
      </w:pPr>
      <w:r>
        <w:rPr>
          <w:rFonts w:hint="eastAsia"/>
        </w:rPr>
        <w:t>近年来，随着算法的迭代发展，自动化决策已深度嵌入社会运行的各个层面。从国家行政裁量到日常消费选择，其背后往往伴随着自动化决策系统的部署与应用。然而，技术带来便利的背后，风险亦如影随形。以荷兰税务局的“育儿津贴欺诈事件”为例，该机构依据风险分类模型对全国的育儿津贴申请进行自动化筛查。然而，2020年荷兰数据保护局在报告中指出，该模型中包含不当且具有歧视性的处理因素，如将国籍作为审查指标之一。</w:t>
      </w:r>
      <w:r>
        <w:rPr>
          <w:rStyle w:val="17"/>
          <w:rFonts w:hint="eastAsia"/>
        </w:rPr>
        <w:footnoteReference w:id="0"/>
      </w:r>
      <w:r>
        <w:rPr>
          <w:rFonts w:hint="eastAsia"/>
        </w:rPr>
        <w:t>最终，约两万六千名父母被税务局错误地认定为育儿津贴欺诈嫌疑人，长期无法获得有效救济。这一事件不仅暴露出自动化决策中的歧视性风险，也成为吕特内阁集体辞职的导火索。</w:t>
      </w:r>
      <w:r>
        <w:rPr>
          <w:rStyle w:val="17"/>
          <w:rFonts w:hint="eastAsia"/>
        </w:rPr>
        <w:footnoteReference w:id="1"/>
      </w:r>
    </w:p>
    <w:p w14:paraId="241BAE6F">
      <w:r>
        <w:rPr>
          <w:rFonts w:hint="eastAsia"/>
        </w:rPr>
        <w:t>在这场由自动化决策系统主导的错案中，那些本应受到制度庇护的弱势群体，却沦为冷酷、机械且带有歧视性的算法逻辑下的牺牲品，毫无还手之力。荷兰议会更是将此次事件直斥为“前所未有的不公正”。为重塑数字时代日渐失衡的力量格局，应对自动化决策带来的挑战，系统性法律治理已成为学界与立法者的共同议程。我国则在《个人信息保护法》第24条第3款中确立了一般性自动化决策拒绝权，</w:t>
      </w:r>
      <w:r>
        <w:rPr>
          <w:rStyle w:val="17"/>
          <w:rFonts w:hint="eastAsia"/>
        </w:rPr>
        <w:footnoteReference w:id="2"/>
      </w:r>
      <w:r>
        <w:rPr>
          <w:rFonts w:hint="eastAsia"/>
        </w:rPr>
        <w:t>意在帮助个人抵御“技术强权”的裹挟，维护其在数字社会中的自主与尊严。然而，法律规范与现实运行之间仍存裂隙：由于该权利的适用条件与效力范围尚未得到充分澄清，实践中面临行权障碍，难以切实回应公民对数字生活的基本期待。</w:t>
      </w:r>
    </w:p>
    <w:p w14:paraId="54FF916B">
      <w:r>
        <w:rPr>
          <w:rFonts w:hint="eastAsia"/>
        </w:rPr>
        <w:t>首先，在治理理念层面，“人在环路”（human in the loop）被欧盟奉为自动化决策规制的圭臬。我国立法亦受此影响，将一般性自动化决策拒绝权的适用限定于“仅通过自动化决策方式作出的决定”。然而，此种视角下的“人在环路”理念在实践中是否真正具备预设的监督与矫正功能，尚存疑问。其次，就规制路径而言，我国一般性自动化决策拒绝权的制度渊源，普遍认为可追溯至欧盟《通用数据保护条例》（General Data Protection Regulation，以下简称GDPR）第22（1）条。围绕该条款的性质，欧盟学界长期存在争议：其究竟属于一项禁止规范，还是赋予数据主体一项反对自动化决策的具体权利。</w:t>
      </w:r>
      <w:r>
        <w:rPr>
          <w:rStyle w:val="17"/>
        </w:rPr>
        <w:footnoteReference w:id="3"/>
      </w:r>
      <w:r>
        <w:rPr>
          <w:rFonts w:hint="eastAsia"/>
        </w:rPr>
        <w:t>在我国继受相关制度的过程中，这一争论亦成为必须回应的问题</w:t>
      </w:r>
      <w:r>
        <w:rPr>
          <w:rFonts w:hint="eastAsia"/>
          <w:lang w:eastAsia="zh-CN"/>
        </w:rPr>
        <w:t>，</w:t>
      </w:r>
      <w:r>
        <w:rPr>
          <w:rFonts w:hint="eastAsia"/>
          <w:lang w:val="en-US" w:eastAsia="zh-CN"/>
        </w:rPr>
        <w:t>并且需要</w:t>
      </w:r>
      <w:r>
        <w:rPr>
          <w:rFonts w:hint="eastAsia"/>
        </w:rPr>
        <w:t>基于我国法律文本与实际治理</w:t>
      </w:r>
      <w:r>
        <w:rPr>
          <w:rFonts w:hint="eastAsia"/>
          <w:lang w:val="en-US" w:eastAsia="zh-CN"/>
        </w:rPr>
        <w:t>的</w:t>
      </w:r>
      <w:r>
        <w:rPr>
          <w:rFonts w:hint="eastAsia"/>
        </w:rPr>
        <w:t>需要，</w:t>
      </w:r>
      <w:r>
        <w:rPr>
          <w:rFonts w:hint="eastAsia"/>
          <w:lang w:val="en-US" w:eastAsia="zh-CN"/>
        </w:rPr>
        <w:t>探讨</w:t>
      </w:r>
      <w:r>
        <w:rPr>
          <w:rFonts w:hint="eastAsia"/>
        </w:rPr>
        <w:t>是否应当沿袭欧盟的规制路径。最后，若上述理论前提存在局限，则以此为基础的制度设计亦将受到牵动。因此，在实体规范层面，一般性自动化决策拒绝权的构成要件、权利性质与具体</w:t>
      </w:r>
      <w:r>
        <w:rPr>
          <w:rFonts w:hint="eastAsia"/>
          <w:lang w:val="en-US" w:eastAsia="zh-CN"/>
        </w:rPr>
        <w:t>效果</w:t>
      </w:r>
      <w:r>
        <w:rPr>
          <w:rFonts w:hint="eastAsia"/>
        </w:rPr>
        <w:t>，仍有待进一步澄清。</w:t>
      </w:r>
    </w:p>
    <w:p w14:paraId="6B7A9F71">
      <w:pPr>
        <w:pStyle w:val="2"/>
      </w:pPr>
      <w:r>
        <w:rPr>
          <w:rFonts w:hint="eastAsia"/>
        </w:rPr>
        <w:t>理论之高估与误解</w:t>
      </w:r>
    </w:p>
    <w:p w14:paraId="5A43AFA1">
      <w:r>
        <w:rPr>
          <w:rFonts w:hint="eastAsia"/>
        </w:rPr>
        <w:t>“人在环路”理念与“赋权说”“禁令说”的路径争议，共同塑造了一般性自动化决策拒绝权的规范走向。然而审慎思考之下，上述指引本身亦存在不容回避的局限：一方面，“人在环路”的理论预设与实践效果之间存在难以弥合的裂隙；另一方面，我国学界对“赋权说”与“禁令说”之争亦存在一定误解。凡此种种，均有待进一步澄清。</w:t>
      </w:r>
    </w:p>
    <w:p w14:paraId="71B59DCF">
      <w:pPr>
        <w:pStyle w:val="3"/>
      </w:pPr>
      <w:r>
        <w:rPr>
          <w:rFonts w:hint="eastAsia"/>
        </w:rPr>
        <w:t>“人在环路”之质疑</w:t>
      </w:r>
    </w:p>
    <w:p w14:paraId="5F7404BC">
      <w:r>
        <w:rPr>
          <w:rFonts w:hint="eastAsia"/>
        </w:rPr>
        <w:t>对于GDPR第22条第1款，欧盟学界普遍认为其体现了“人在环路”的核心理念，</w:t>
      </w:r>
      <w:r>
        <w:rPr>
          <w:rStyle w:val="17"/>
          <w:rFonts w:hint="eastAsia"/>
        </w:rPr>
        <w:footnoteReference w:id="4"/>
      </w:r>
      <w:r>
        <w:rPr>
          <w:rFonts w:hint="eastAsia"/>
        </w:rPr>
        <w:t>即在进行自动化决策时，要努力保障其中有人为因素存在。我国学界亦不乏支持者。</w:t>
      </w:r>
      <w:r>
        <w:rPr>
          <w:rStyle w:val="17"/>
          <w:rFonts w:hint="eastAsia"/>
        </w:rPr>
        <w:footnoteReference w:id="5"/>
      </w:r>
      <w:r>
        <w:rPr>
          <w:rFonts w:hint="eastAsia"/>
        </w:rPr>
        <w:t>基于这一理念，我国与欧盟的立法均对有人类参与的混合自动化决策采取了相较于完全自动化决策更为宽松的态度</w:t>
      </w:r>
      <w:r>
        <w:t>，其预设在于：</w:t>
      </w:r>
      <w:r>
        <w:rPr>
          <w:rFonts w:hint="eastAsia"/>
        </w:rPr>
        <w:t>个人信息处理者</w:t>
      </w:r>
      <w:r>
        <w:t>的介入能够增强对系统的整体控制，从而降低算法自主性可能带来的风险，避免自动化决策产生消极后果</w:t>
      </w:r>
      <w:r>
        <w:rPr>
          <w:rFonts w:hint="eastAsia"/>
        </w:rPr>
        <w:t>。</w:t>
      </w:r>
      <w:r>
        <w:rPr>
          <w:rStyle w:val="17"/>
        </w:rPr>
        <w:footnoteReference w:id="6"/>
      </w:r>
      <w:r>
        <w:rPr>
          <w:rFonts w:hint="eastAsia"/>
        </w:rPr>
        <w:t>然而，这一预设是否成立？现实表明，“人在环路”理念本身面临四重质疑：</w:t>
      </w:r>
    </w:p>
    <w:p w14:paraId="00E687C7">
      <w:r>
        <w:rPr>
          <w:rFonts w:hint="eastAsia"/>
        </w:rPr>
        <w:t>其一，“人在环路”无法解决人类开发的主观歧视性。这种歧视往往在算法设计与训练阶段即已植根。</w:t>
      </w:r>
      <w:r>
        <w:rPr>
          <w:rStyle w:val="17"/>
          <w:rFonts w:hint="eastAsia"/>
        </w:rPr>
        <w:footnoteReference w:id="7"/>
      </w:r>
      <w:r>
        <w:rPr>
          <w:rFonts w:hint="eastAsia"/>
        </w:rPr>
        <w:t>开发者在数据选择、特征构建与模型优化过程中，常不可避免地植入主观倾向，使整个系统服务于预设目标，实际上就是“先画靶后射箭”的过程。以美国威斯康星州诉卢米斯案（STATE v. LOOMIS）为例，用于量刑风险评估的算法工具COMPAS被证实对黑人被告存在系统性偏见：其对少数族裔的“再犯高风险”误判率显著高于其他群体，导致该群体在司法中被不公正地标签化。</w:t>
      </w:r>
      <w:r>
        <w:rPr>
          <w:rStyle w:val="17"/>
          <w:rFonts w:hint="eastAsia"/>
        </w:rPr>
        <w:footnoteReference w:id="8"/>
      </w:r>
      <w:r>
        <w:rPr>
          <w:rFonts w:hint="eastAsia"/>
        </w:rPr>
        <w:t>同样，2016年白宫发布的《大数据报告：算法系统、机会与公民权利》指出，高等教育机构利用历史数据预测学生毕业可能性时，常将家庭收入作为关键变量，其结果可能使经济弱势学生在入学阶段即面临隐形壁垒，实质构成基于社会经济地位的在先歧视。</w:t>
      </w:r>
      <w:r>
        <w:rPr>
          <w:rStyle w:val="17"/>
          <w:rFonts w:hint="eastAsia"/>
        </w:rPr>
        <w:footnoteReference w:id="9"/>
      </w:r>
      <w:r>
        <w:rPr>
          <w:rFonts w:hint="eastAsia"/>
        </w:rPr>
        <w:t>这些案例表明，歧视未必源于算法运行的“黑箱”，而更可能肇始于开发阶段隐含的价值选择与结构偏见。自动化决策系统以技术中立之表象，掩盖了开发者及其所属机构在塑造“赢家”与“输家”过程中的主动角色</w:t>
      </w:r>
      <w:r>
        <w:t>。</w:t>
      </w:r>
      <w:r>
        <w:rPr>
          <w:rStyle w:val="17"/>
        </w:rPr>
        <w:footnoteReference w:id="10"/>
      </w:r>
    </w:p>
    <w:p w14:paraId="26F38ADA">
      <w:r>
        <w:rPr>
          <w:rFonts w:hint="eastAsia"/>
        </w:rPr>
        <w:t>其二，“人在环路”无法解决</w:t>
      </w:r>
      <w:r>
        <w:t>人类干预的虚假性</w:t>
      </w:r>
      <w:r>
        <w:rPr>
          <w:rFonts w:hint="eastAsia"/>
        </w:rPr>
        <w:t>。研究表明，即便自动化决策系统给出的建议存在错误或并非最优方案，人类在决策过程中依然倾向于接受这些建议，</w:t>
      </w:r>
      <w:r>
        <w:rPr>
          <w:rStyle w:val="17"/>
        </w:rPr>
        <w:footnoteReference w:id="11"/>
      </w:r>
      <w:r>
        <w:rPr>
          <w:rFonts w:hint="eastAsia"/>
        </w:rPr>
        <w:t>此种现象被称为“自动化偏见”（automation bias）。</w:t>
      </w:r>
      <w:r>
        <w:rPr>
          <w:rStyle w:val="17"/>
        </w:rPr>
        <w:footnoteReference w:id="12"/>
      </w:r>
      <w:r>
        <w:rPr>
          <w:rFonts w:hint="eastAsia"/>
        </w:rPr>
        <w:t>加拿大</w:t>
      </w:r>
      <w:r>
        <w:rPr>
          <w:rStyle w:val="17"/>
          <w:vertAlign w:val="baseline"/>
        </w:rPr>
        <w:t>多伦多</w:t>
      </w:r>
      <w:r>
        <w:rPr>
          <w:rFonts w:hint="eastAsia"/>
        </w:rPr>
        <w:t>市的一桩水质预测事件便是揭示此种偏见的最好例证。多伦多曾经</w:t>
      </w:r>
      <w:r>
        <w:rPr>
          <w:rStyle w:val="17"/>
          <w:vertAlign w:val="baseline"/>
        </w:rPr>
        <w:t>尝试使用AI模型来预测海滩水质，并向游泳者发出安全警告。</w:t>
      </w:r>
      <w:r>
        <w:rPr>
          <w:rFonts w:hint="eastAsia"/>
        </w:rPr>
        <w:t>但在</w:t>
      </w:r>
      <w:r>
        <w:rPr>
          <w:rStyle w:val="17"/>
          <w:vertAlign w:val="baseline"/>
        </w:rPr>
        <w:t>该项目实际运行中，模型频繁将实际上不安全的水质错误地预测为安全。据统计，在大约50天里，海滩的大肠杆菌水平已达到危险程度，却仍被系统标记为可游泳状态。更值得关注的是，该市发布的数据显示，海滩上张贴的游泳标志从未与模型的预测不同，</w:t>
      </w:r>
      <w:r>
        <w:rPr>
          <w:rFonts w:hint="eastAsia"/>
        </w:rPr>
        <w:t>这表明</w:t>
      </w:r>
      <w:r>
        <w:rPr>
          <w:rStyle w:val="17"/>
          <w:vertAlign w:val="baseline"/>
        </w:rPr>
        <w:t>监管人员在该系统运行期间，</w:t>
      </w:r>
      <w:r>
        <w:rPr>
          <w:rFonts w:hint="eastAsia"/>
        </w:rPr>
        <w:t>高度</w:t>
      </w:r>
      <w:r>
        <w:rPr>
          <w:rStyle w:val="17"/>
          <w:vertAlign w:val="baseline"/>
        </w:rPr>
        <w:t>依赖</w:t>
      </w:r>
      <w:r>
        <w:rPr>
          <w:rFonts w:hint="eastAsia"/>
        </w:rPr>
        <w:t>于该自动化决策</w:t>
      </w:r>
      <w:r>
        <w:rPr>
          <w:rStyle w:val="17"/>
          <w:vertAlign w:val="baseline"/>
        </w:rPr>
        <w:t>结果。</w:t>
      </w:r>
      <w:r>
        <w:rPr>
          <w:rStyle w:val="17"/>
        </w:rPr>
        <w:footnoteReference w:id="13"/>
      </w:r>
      <w:r>
        <w:rPr>
          <w:rStyle w:val="17"/>
          <w:vertAlign w:val="baseline"/>
        </w:rPr>
        <w:t>此类案例</w:t>
      </w:r>
      <w:r>
        <w:rPr>
          <w:rFonts w:hint="eastAsia"/>
        </w:rPr>
        <w:t>表明</w:t>
      </w:r>
      <w:r>
        <w:rPr>
          <w:rStyle w:val="17"/>
          <w:vertAlign w:val="baseline"/>
        </w:rPr>
        <w:t>，所谓</w:t>
      </w:r>
      <w:r>
        <w:rPr>
          <w:rFonts w:hint="eastAsia"/>
        </w:rPr>
        <w:t>“</w:t>
      </w:r>
      <w:r>
        <w:rPr>
          <w:rStyle w:val="17"/>
          <w:vertAlign w:val="baseline"/>
        </w:rPr>
        <w:t>人类介入</w:t>
      </w:r>
      <w:r>
        <w:rPr>
          <w:rFonts w:hint="eastAsia"/>
        </w:rPr>
        <w:t>”</w:t>
      </w:r>
      <w:r>
        <w:rPr>
          <w:rStyle w:val="17"/>
          <w:vertAlign w:val="baseline"/>
        </w:rPr>
        <w:t>可能仅体现为对自动化输出的被动确认，而非真正行使独立判断。人类在此过程中提供的是</w:t>
      </w:r>
      <w:r>
        <w:rPr>
          <w:rFonts w:hint="eastAsia"/>
        </w:rPr>
        <w:t>“</w:t>
      </w:r>
      <w:r>
        <w:rPr>
          <w:rStyle w:val="17"/>
          <w:vertAlign w:val="baseline"/>
        </w:rPr>
        <w:t>人力</w:t>
      </w:r>
      <w:r>
        <w:rPr>
          <w:rFonts w:hint="eastAsia"/>
        </w:rPr>
        <w:t>”</w:t>
      </w:r>
      <w:r>
        <w:rPr>
          <w:rStyle w:val="17"/>
          <w:vertAlign w:val="baseline"/>
        </w:rPr>
        <w:t>而非</w:t>
      </w:r>
      <w:r>
        <w:rPr>
          <w:rFonts w:hint="eastAsia"/>
        </w:rPr>
        <w:t>“</w:t>
      </w:r>
      <w:r>
        <w:rPr>
          <w:rStyle w:val="17"/>
          <w:vertAlign w:val="baseline"/>
        </w:rPr>
        <w:t>判断力</w:t>
      </w:r>
      <w:r>
        <w:rPr>
          <w:rFonts w:hint="eastAsia"/>
        </w:rPr>
        <w:t>”</w:t>
      </w:r>
      <w:r>
        <w:rPr>
          <w:rStyle w:val="17"/>
          <w:vertAlign w:val="baseline"/>
        </w:rPr>
        <w:t>，实质上成为算法的延伸，而非其监督者或校正者。</w:t>
      </w:r>
    </w:p>
    <w:p w14:paraId="68229174">
      <w:r>
        <w:rPr>
          <w:rFonts w:hint="eastAsia"/>
        </w:rPr>
        <w:t>其三，“人在环路”无法解决</w:t>
      </w:r>
      <w:r>
        <w:t>人类</w:t>
      </w:r>
      <w:r>
        <w:rPr>
          <w:rFonts w:hint="eastAsia"/>
        </w:rPr>
        <w:t>审查</w:t>
      </w:r>
      <w:r>
        <w:t>的相对独立性</w:t>
      </w:r>
      <w:r>
        <w:rPr>
          <w:rFonts w:hint="eastAsia"/>
        </w:rPr>
        <w:t>。即便自动化决策的结果显失公平，后续介入的人类审查者出于自身利益的考量，也未必愿意作出真正公正的终局性判断。以外卖行业为例：平台通常借助自动化决策系统对骑手进行调度、考核与奖惩。当系统作出对骑手不利的判定（如以超时为由扣减报酬）后，虽设置人工申诉渠道，但负责复核的人员由于受雇于平台，其审查目标常与公司利益保持一致。在这种情况下，即使骑手提出合理异议，审查者仍可能因顾及企业利益，而倾向于维持原自动化结果，导致所谓“人工介入”仅沦为程序性过场，而非对算法结果的实质性校正。</w:t>
      </w:r>
    </w:p>
    <w:p w14:paraId="113306B1">
      <w:r>
        <w:rPr>
          <w:rFonts w:hint="eastAsia"/>
        </w:rPr>
        <w:t>其四，“人在环路”无法解决算法黑箱下的客观歧视性。即便不存在开发者主观的歧视意图，由于算法黑箱的技术特性，开发者和使用者也很难在事前识别其中隐藏的歧视性逻辑，即使事后察觉，往往也难以彻底消除其影响。以2014年亚马逊研发的简历自动化筛选系统为例，该系统的训练数据主要源于公司过去十年间的招聘记录，而这些历史数据反映出技术岗位中男性占优的性别失衡现象。算法在训练过程中，不自觉地建立了“女性”相关特征与较低评分之间的统计关联，甚至将包含“女性”字样或提及女性背景的简历予以降权或筛除。尽管公司在发现该问题后尝试修正模型，却始终无法保证类似偏差不再出现。</w:t>
      </w:r>
      <w:r>
        <w:rPr>
          <w:rStyle w:val="17"/>
          <w:rFonts w:hint="eastAsia"/>
        </w:rPr>
        <w:footnoteReference w:id="14"/>
      </w:r>
      <w:r>
        <w:rPr>
          <w:rFonts w:hint="eastAsia"/>
        </w:rPr>
        <w:t>由此可见，算法黑箱的隐秘性与客观性，使得开发者或使用者难以预先识别歧视，在事后也常常缺乏有效且彻底的修正手段。</w:t>
      </w:r>
    </w:p>
    <w:p w14:paraId="6D94739D">
      <w:r>
        <w:rPr>
          <w:rFonts w:hint="eastAsia"/>
        </w:rPr>
        <w:t>综上，由于“人在环路”机制难以从根本上克服以下四重困境：人类开发的主观歧视性、人类干预的虚假性、人类审查的相对独立性以及算法黑箱的客观歧视性，仅仅依赖个人信息处理者处于“环路”之中，实际所能发挥的作用相当有限，甚至可能流于形式。但也需要指出，对于“人在环路”发出质疑并不意味着要在自动化决策中去人类化。恰恰与之相反，在现有实践下，或许需要更多主体在“环路”之中通力合作。</w:t>
      </w:r>
    </w:p>
    <w:p w14:paraId="73243A87">
      <w:pPr>
        <w:pStyle w:val="3"/>
      </w:pPr>
      <w:r>
        <w:rPr>
          <w:rFonts w:hint="eastAsia"/>
        </w:rPr>
        <w:t>“赋权说”与“禁令说”之厘清</w:t>
      </w:r>
    </w:p>
    <w:p w14:paraId="4FE64DD8">
      <w:r>
        <w:t>GDPR第22</w:t>
      </w:r>
      <w:r>
        <w:rPr>
          <w:rFonts w:hint="eastAsia"/>
        </w:rPr>
        <w:t>(1)</w:t>
      </w:r>
      <w:r>
        <w:t>条</w:t>
      </w:r>
      <w:r>
        <w:rPr>
          <w:rFonts w:hint="eastAsia"/>
        </w:rPr>
        <w:t>规定，数据主体有权不受仅基于自动化处理行为得出的决定的制约，以避免对个人产生法律影响或与之相类似的显著影响，该自动化处理包括识别分析。</w:t>
      </w:r>
    </w:p>
    <w:p w14:paraId="51453A99">
      <w:pPr>
        <w:pStyle w:val="4"/>
      </w:pPr>
      <w:r>
        <w:rPr>
          <w:rFonts w:hint="eastAsia"/>
        </w:rPr>
        <w:t>欧盟立法之梳理</w:t>
      </w:r>
    </w:p>
    <w:p w14:paraId="67E5E555">
      <w:pPr>
        <w:rPr>
          <w:rStyle w:val="17"/>
        </w:rPr>
      </w:pPr>
      <w:r>
        <w:rPr>
          <w:rFonts w:hint="eastAsia"/>
        </w:rPr>
        <w:t>欧盟学界之所以围绕GDPR第22(1)条的性质聚讼纷纭，根源在于规范文本的模糊性。由于该条表述为“数据主体有权不受仅基于自动化处理所作决定的制约”</w:t>
      </w:r>
      <w:r>
        <w:t>，</w:t>
      </w:r>
      <w:r>
        <w:rPr>
          <w:rStyle w:val="17"/>
        </w:rPr>
        <w:footnoteReference w:id="15"/>
      </w:r>
      <w:r>
        <w:rPr>
          <w:rFonts w:hint="eastAsia"/>
        </w:rPr>
        <w:t>欧盟学者认为，其在文义上既可被解释为一项一般性禁止规范，亦可被解释为一项具体的拒绝权，</w:t>
      </w:r>
      <w:r>
        <w:rPr>
          <w:rStyle w:val="17"/>
        </w:rPr>
        <w:footnoteReference w:id="16"/>
      </w:r>
      <w:r>
        <w:t>在语义上存在解释的空间</w:t>
      </w:r>
      <w:r>
        <w:rPr>
          <w:rFonts w:hint="eastAsia"/>
        </w:rPr>
        <w:t>。</w:t>
      </w:r>
      <w:r>
        <w:t>正如《民法典》中诸多采用</w:t>
      </w:r>
      <w:r>
        <w:rPr>
          <w:rFonts w:hint="eastAsia"/>
        </w:rPr>
        <w:t>“</w:t>
      </w:r>
      <w:r>
        <w:t>有权依法请求</w:t>
      </w:r>
      <w:r>
        <w:rPr>
          <w:rFonts w:hint="eastAsia"/>
        </w:rPr>
        <w:t>”</w:t>
      </w:r>
      <w:r>
        <w:t>表述的条款，未必皆属请求权基础规范一般，规范表述与规范性质之间并无必然的对应关系。</w:t>
      </w:r>
      <w:r>
        <w:rPr>
          <w:rStyle w:val="17"/>
        </w:rPr>
        <w:footnoteReference w:id="17"/>
      </w:r>
    </w:p>
    <w:p w14:paraId="799BE157">
      <w:r>
        <w:rPr>
          <w:rFonts w:hint="eastAsia"/>
        </w:rPr>
        <w:t>基于此，欧盟学界形成了“禁令说”与“赋权说”之争。持前一立场者，尤以第29条工作组为代表。该工作组在对GDPR进行解读时，将第22(1)条解读为一项禁令，数据控制者在证明满足第22(2)a-c项</w:t>
      </w:r>
      <w:r>
        <w:rPr>
          <w:rStyle w:val="17"/>
          <w:rFonts w:hint="eastAsia"/>
        </w:rPr>
        <w:footnoteReference w:id="18"/>
      </w:r>
      <w:r>
        <w:rPr>
          <w:rFonts w:hint="eastAsia"/>
        </w:rPr>
        <w:t>的条件之前，原则上不得实施仅基于自动化处理所作的决定。</w:t>
      </w:r>
      <w:r>
        <w:rPr>
          <w:rStyle w:val="17"/>
          <w:rFonts w:hint="eastAsia"/>
        </w:rPr>
        <w:footnoteReference w:id="19"/>
      </w:r>
      <w:r>
        <w:rPr>
          <w:rFonts w:hint="eastAsia"/>
        </w:rPr>
        <w:t>换言之，该条款课予控制者一项不作为义务，而非赋予数据主体一项须待其主动行使的拒绝权。除第29条工作组的指南外，与GDPR相对应的《欧盟执法指令》（Law Enforcement Directive）第11条、</w:t>
      </w:r>
      <w:r>
        <w:rPr>
          <w:rStyle w:val="17"/>
          <w:rFonts w:hint="eastAsia"/>
        </w:rPr>
        <w:footnoteReference w:id="20"/>
      </w:r>
      <w:r>
        <w:rPr>
          <w:rFonts w:hint="eastAsia"/>
        </w:rPr>
        <w:t xml:space="preserve">欧盟法院（Court of Justice of the European Union）在OQ </w:t>
      </w:r>
      <w:r>
        <w:rPr>
          <w:rFonts w:ascii="Times New Roman Italic" w:hAnsi="Times New Roman Italic" w:cs="Times New Roman Italic"/>
          <w:i/>
          <w:iCs/>
        </w:rPr>
        <w:t>v.</w:t>
      </w:r>
      <w:r>
        <w:rPr>
          <w:rFonts w:hint="eastAsia"/>
        </w:rPr>
        <w:t xml:space="preserve"> Land Hesse案（以下简称“OQ案”）中的判决立场、</w:t>
      </w:r>
      <w:r>
        <w:rPr>
          <w:rStyle w:val="17"/>
          <w:rFonts w:hint="eastAsia"/>
        </w:rPr>
        <w:footnoteReference w:id="21"/>
      </w:r>
      <w:r>
        <w:rPr>
          <w:rFonts w:hint="eastAsia"/>
        </w:rPr>
        <w:t>以及欧洲数据保护委员会（European Data Protection Board）对第29条工作组指南的正式认可，</w:t>
      </w:r>
      <w:r>
        <w:rPr>
          <w:rStyle w:val="17"/>
          <w:rFonts w:hint="eastAsia"/>
        </w:rPr>
        <w:footnoteReference w:id="22"/>
      </w:r>
      <w:r>
        <w:rPr>
          <w:rFonts w:hint="eastAsia"/>
        </w:rPr>
        <w:t>均在不同层面支持着“禁令说”的解释路径。应当认为，欧盟官方总体上倾向于将第22条第1款理解为一项一般性禁止规范。</w:t>
      </w:r>
    </w:p>
    <w:p w14:paraId="6C20C349">
      <w:r>
        <w:rPr>
          <w:rFonts w:hint="eastAsia"/>
        </w:rPr>
        <w:t>至于“赋权说”，其主张法律原则上允许个人信息处理者进行完全自动化决策，同时赋予信息主体随时退出的权利，亦即一般性自动化决策拒绝权。但该项权利的行使存在例外：若个人信息处理符合GDPR第22(2)a-c项所规定的条件，则该信息主体不得拒绝。</w:t>
      </w:r>
      <w:r>
        <w:rPr>
          <w:rStyle w:val="17"/>
          <w:rFonts w:hint="eastAsia"/>
        </w:rPr>
        <w:footnoteReference w:id="23"/>
      </w:r>
      <w:r>
        <w:rPr>
          <w:rFonts w:hint="eastAsia"/>
        </w:rPr>
        <w:t>目前，“赋权说”的支持者主要为学者</w:t>
      </w:r>
      <w:r>
        <w:rPr>
          <w:rStyle w:val="17"/>
          <w:rFonts w:hint="eastAsia"/>
        </w:rPr>
        <w:footnoteReference w:id="24"/>
      </w:r>
      <w:r>
        <w:rPr>
          <w:rFonts w:hint="eastAsia"/>
        </w:rPr>
        <w:t>以及欧盟下属的部分成员国。以上，即为欧盟关于自动化决策规制路径争议的基本面貌。</w:t>
      </w:r>
    </w:p>
    <w:p w14:paraId="3FF0AAF3">
      <w:r>
        <w:rPr>
          <w:rFonts w:hint="eastAsia"/>
        </w:rPr>
        <w:t>值得进一步辨析的是，欧盟虽以“禁令说”为基本立场，但GDPR第22条第3款仍规定数据控制者须保障数据主体获得人为干预、表达意见及提出质疑的权利。这是否意味着欧盟在某种程度上接纳了“赋权”逻辑？实则不然。该条款仅课予数据控制者提供人工介入渠道的程序性义务，并未要求其必须基于数据主体的质疑而改变决策结果。</w:t>
      </w:r>
      <w:r>
        <w:rPr>
          <w:rStyle w:val="17"/>
          <w:rFonts w:hint="eastAsia"/>
        </w:rPr>
        <w:footnoteReference w:id="25"/>
      </w:r>
      <w:r>
        <w:rPr>
          <w:rFonts w:hint="eastAsia"/>
        </w:rPr>
        <w:t>质言之，GDPR所确立的干预、表达与质疑权，在性质上有别于能够直接阻却或变更自动化决策的“拒绝权”。欧盟所遵循的仍是较为纯粹的“禁令说”路径，并未实质融入赋权逻辑。</w:t>
      </w:r>
    </w:p>
    <w:p w14:paraId="0EDB079E">
      <w:pPr>
        <w:pStyle w:val="4"/>
      </w:pPr>
      <w:r>
        <w:rPr>
          <w:rFonts w:hint="eastAsia"/>
        </w:rPr>
        <w:t>欧盟语境下的误解</w:t>
      </w:r>
    </w:p>
    <w:p w14:paraId="03BFFBFD">
      <w:r>
        <w:rPr>
          <w:rFonts w:hint="eastAsia"/>
        </w:rPr>
        <w:t>在我国，则有部分学者在欧盟争议的基础上，直接肯认我国所走的道路为“赋权说”。</w:t>
      </w:r>
      <w:r>
        <w:rPr>
          <w:rStyle w:val="17"/>
          <w:rFonts w:hint="eastAsia"/>
        </w:rPr>
        <w:footnoteReference w:id="26"/>
      </w:r>
      <w:r>
        <w:rPr>
          <w:rFonts w:hint="eastAsia"/>
        </w:rPr>
        <w:t>此种观点的出现，可能是由于我国条文表述为“有权拒绝”，相较于欧盟GDPR的“有权免受”之表述更为直接，因此被认为只要赋予一般性自动化决策拒绝权，即属欧盟语境下的“赋权说”。然而，“有权拒绝”与“有权免受”之表述差异，是否足以支撑我国在规范路径上径行采“赋权说”而与欧盟“禁令说”分道扬镳，尚待审慎辨析。</w:t>
      </w:r>
    </w:p>
    <w:p w14:paraId="7732C63D">
      <w:r>
        <w:rPr>
          <w:rFonts w:hint="eastAsia"/>
        </w:rPr>
        <w:t>通过比对欧盟的两种观点，争议至少可从以下两个维度加以把握：其一，是“自动化决策合法性基础”与“拒绝权豁免”的分野。在“禁令说”之下，第22(2)a-c项被定位为自动化决策的合法性基础——除符合此三项法定情形外，信息处理者原则上不得实施完全自动化决策。而在“赋权说”之下，自动化决策本身即被默认为一项可为的处理方式，第22(2)a-c项则转而构成拒绝权的豁免事由——若处理符合该三项条件，信息主体便无权拒绝。其二，是“是否赋权”的问题，即法律是否明定信息主体享有一项可主动行使的拒绝权。这两项内容共同描摹着自动化决策的规制路径：前者决定了自动化决策是原则性允许还是例外性允许，后者则决定了信息主体是否拥有启动防御机制的能力。然而，国内相当数量的学者却忽视了这两个维度的区分，仅聚焦于“是否赋权”的问题，进而将“禁令”与“赋权”视为非此即彼的对立范畴。</w:t>
      </w:r>
      <w:r>
        <w:rPr>
          <w:rStyle w:val="17"/>
          <w:rFonts w:hint="eastAsia"/>
        </w:rPr>
        <w:footnoteReference w:id="27"/>
      </w:r>
      <w:r>
        <w:rPr>
          <w:rFonts w:hint="eastAsia"/>
        </w:rPr>
        <w:t>事实上，“赋权说”与“禁令说”之争，并未穷尽自动化决策规制的全部可能。在二者之外，尚存在“第三条路径”：既对自动化决策采原则禁止、例外允许的立场，又明定即使符合例外条件，个人信息主体依然享有退出的权利。这一路径在前一维度上与“禁令说”相通，在后一维度上与“赋权说”契合，使两种看似对立的规制逻辑得以兼容。</w:t>
      </w:r>
    </w:p>
    <w:p w14:paraId="71EC0E3D">
      <w:pPr>
        <w:pStyle w:val="4"/>
      </w:pPr>
      <w:r>
        <w:rPr>
          <w:rFonts w:hint="eastAsia"/>
        </w:rPr>
        <w:t>我国的规制路径之选择</w:t>
      </w:r>
    </w:p>
    <w:p w14:paraId="07EB3293">
      <w:r>
        <w:rPr>
          <w:rFonts w:hint="eastAsia"/>
        </w:rPr>
        <w:t>基于上述研讨，《个人信息保护法》第24条第3款的解释路径可拆解为两个子命题：其一，我国法是否赋予个人信息主体一项一般性的自动化决策拒绝权；其二，我国法上的自动化决策本身是否需要独立的合法性基础。两个命题的回答，决定了我国究竟落入欧盟语境下的“禁令说”“赋权说”</w:t>
      </w:r>
      <w:r>
        <w:rPr>
          <w:rStyle w:val="17"/>
          <w:rFonts w:hint="eastAsia"/>
        </w:rPr>
        <w:footnoteReference w:id="28"/>
      </w:r>
      <w:r>
        <w:rPr>
          <w:rFonts w:hint="eastAsia"/>
        </w:rPr>
        <w:t>，抑或走出一条融贯二者的“第三条道路”。下文将逐一予以辨析。</w:t>
      </w:r>
    </w:p>
    <w:p w14:paraId="64FFE0FB">
      <w:r>
        <w:rPr>
          <w:rFonts w:hint="eastAsia"/>
        </w:rPr>
        <w:t>就前者而言，以文义解释为切入点，《个人信息保护法》第24条第3款采用“个人……有权拒绝”的表述，相较欧盟GDPR“有权不受……制约”的用语，其规范意旨显然更为明确。立法者选择以赋权的方式作为保护个人免受自动化决策异化的手段，应可肯定。目前，学界对此亦基本不存疑义，普遍肯认我国法上存在一项一般性的自动化决策拒绝权。</w:t>
      </w:r>
    </w:p>
    <w:p w14:paraId="4766E423">
      <w:r>
        <w:rPr>
          <w:rFonts w:hint="eastAsia"/>
        </w:rPr>
        <w:t>就后者而言，需审慎审视的是：我国法上的自动化决策，本身是否构成一项独立的个人信息处理合法性基础？从规范文本看，《个人信息保护法》第24条中并无与GDPR第22(2)a-c项相对应的条款，因此只能诉诸第13条所确立的合法性基础体系寻求依据。一种可能的解释路径是，将第24条第3款解释为第13条第1款第7项所规定的“法律、行政法规规定的其他情形”，从而为自动化决策创设独立的合法性基础。</w:t>
      </w:r>
      <w:r>
        <w:rPr>
          <w:rStyle w:val="17"/>
          <w:rFonts w:hint="eastAsia"/>
        </w:rPr>
        <w:footnoteReference w:id="29"/>
      </w:r>
      <w:r>
        <w:rPr>
          <w:rFonts w:hint="eastAsia"/>
        </w:rPr>
        <w:t>然而，此种解释面临体系解释上的困难：倘若立法者确有意将自动化决策单独确立为一项处理事由，理应在作为合法性基础总括规定的第13条中予以明确列举，而不必借助“其他情形”这一兜底条款，再转引至同一法律内的第24条。此种迂回设置，或许恰恰表明立法者并未将自动化决策本身视为一项可直接适用的合法性基础。</w:t>
      </w:r>
    </w:p>
    <w:p w14:paraId="514ADC38">
      <w:pPr>
        <w:jc w:val="left"/>
      </w:pPr>
      <w:r>
        <w:rPr>
          <w:rFonts w:hint="eastAsia"/>
        </w:rPr>
        <w:t>另一方面，若将自动化决策本身解释为一项独立的合法性事由，则可能面临架空《个人信息保护法》第13条所确立之合法性基础体系的风险。自动化决策作为一种个人信息处理方式，在现实中，大量个人信息处理行为都可能被随意贴上“自动化决策”的标签。部分个人信息处理者出于规避个人信息处理合法性基础的目的，会刻意将原本无需借助自动化决策即可完成的处理行为，强行纳入自动化决策的范畴。如此一来，个人信息处理者便可能利用《个人信息保护法》第24条，绕开《个人信息保护法》第13条所确立的合法性基础体系。而作为个人信息处理领域最基本的法律规则——同意规则，</w:t>
      </w:r>
      <w:r>
        <w:rPr>
          <w:rStyle w:val="17"/>
          <w:rFonts w:hint="eastAsia"/>
        </w:rPr>
        <w:footnoteReference w:id="30"/>
      </w:r>
      <w:r>
        <w:rPr>
          <w:rFonts w:hint="eastAsia"/>
        </w:rPr>
        <w:t>将受到实质性削弱。值得留意的是，纵观《个人信息保护法》第13条，其从未选择将任何一种“处理方式”列为独立事由，合法性基础或是当事人之意思（同意），或是处理行为所服务之目的（如合同履行之必需、法定职责之履行），或是个人信息之类型特殊性（如已公开信息），而绝非一种技术形式。因此，不宜将一种个人信息处理方式直接升格为独立的合法性基础。我国最高人民法院在其颁布的第256号指导案例“罗某诉某科技有限公司隐私权、个人信息保护纠纷案”中也表示，以自动化决策推送信息，不属于应当取得个人同意的法定例外情形。</w:t>
      </w:r>
      <w:r>
        <w:rPr>
          <w:rStyle w:val="17"/>
          <w:rFonts w:hint="eastAsia"/>
        </w:rPr>
        <w:footnoteReference w:id="31"/>
      </w:r>
      <w:r>
        <w:rPr>
          <w:rFonts w:hint="eastAsia"/>
        </w:rPr>
        <w:t>故我国依然是在原则上禁止自动化决策，仅当满足《个人信息保护法》第13条规定的合法性基础时，个人信息处理者才能以此种方式，进行个人信息处理。</w:t>
      </w:r>
      <w:r>
        <w:rPr>
          <w:rStyle w:val="17"/>
          <w:rFonts w:hint="eastAsia"/>
        </w:rPr>
        <w:footnoteReference w:id="32"/>
      </w:r>
    </w:p>
    <w:p w14:paraId="3FEF3173">
      <w:r>
        <w:rPr>
          <w:rFonts w:hint="eastAsia"/>
        </w:rPr>
        <w:t>综上，我国一般性自动化决策拒绝权宜被定位为“禁令下的赋权说”。亦即，以信息禁止原则为规制的基本出发点，原则上不允许以自动化决策方式处理个人信息，仅于取得信息主体同意或具备其他法定合法性基础时，方得作为例外情形予以适用。</w:t>
      </w:r>
      <w:r>
        <w:rPr>
          <w:rStyle w:val="17"/>
          <w:rFonts w:hint="eastAsia"/>
        </w:rPr>
        <w:footnoteReference w:id="33"/>
      </w:r>
      <w:r>
        <w:rPr>
          <w:rFonts w:hint="eastAsia"/>
        </w:rPr>
        <w:t>同时，鉴于自动化决策的技术特性——往往涉及大规模个人信息的集中存储、多源信息的整合分析，并为第三人获取信息提供潜在通道，构成对人格尊严与财产权益具有显著风险的处理场景，</w:t>
      </w:r>
      <w:r>
        <w:rPr>
          <w:rStyle w:val="17"/>
          <w:rFonts w:hint="eastAsia"/>
        </w:rPr>
        <w:footnoteReference w:id="34"/>
      </w:r>
      <w:r>
        <w:rPr>
          <w:rFonts w:hint="eastAsia"/>
        </w:rPr>
        <w:t>即便在例外情况之下，仍有必要赋予信息主体一项可主动行使的拒绝权，使其能够随时退出自动化决策机制，以维护个体自决之实现，二者共同构成我国法上一般性自动化决策拒绝权的规范面貌。</w:t>
      </w:r>
    </w:p>
    <w:p w14:paraId="5648F233">
      <w:pPr>
        <w:pStyle w:val="2"/>
      </w:pPr>
      <w:r>
        <w:rPr>
          <w:rFonts w:hint="eastAsia"/>
        </w:rPr>
        <w:t>一般性自动化决策拒绝权之构成要件</w:t>
      </w:r>
    </w:p>
    <w:p w14:paraId="47807E2C">
      <w:r>
        <w:rPr>
          <w:rFonts w:hint="eastAsia"/>
        </w:rPr>
        <w:t>根据《个人信息保护法》第24条第3款之规定，一般性自动化决策拒绝权的行使，须同时满足两项构成要件：其一，该决定系“仅通过自动化决策方式作出”；其二，该决定“对个人权益有重大影响”。同时，法律概念是法律规范的原点，亦为法律思维与推理的基本环节。</w:t>
      </w:r>
      <w:r>
        <w:rPr>
          <w:rStyle w:val="17"/>
          <w:rFonts w:hint="eastAsia"/>
        </w:rPr>
        <w:footnoteReference w:id="35"/>
      </w:r>
      <w:r>
        <w:rPr>
          <w:rFonts w:hint="eastAsia"/>
        </w:rPr>
        <w:t>对《个人信息保护法》第24条第3款所设一般性自动化决策拒绝权的阐释，首先须回溯至该法第73条对“自动化决策”之界定。其概念的内涵与外延，构成理解拒绝权适用范围的逻辑前提。以上三项内容共同划定了拒绝权的适用范围，亦构成下文的基本线索。</w:t>
      </w:r>
    </w:p>
    <w:p w14:paraId="27752A30">
      <w:pPr>
        <w:pStyle w:val="3"/>
      </w:pPr>
      <w:r>
        <w:rPr>
          <w:rFonts w:hint="eastAsia"/>
        </w:rPr>
        <w:t>“自动化决策”之概念</w:t>
      </w:r>
    </w:p>
    <w:p w14:paraId="54E042DC">
      <w:r>
        <w:rPr>
          <w:rFonts w:hint="eastAsia"/>
        </w:rPr>
        <w:t>《个人信息保护法》第73条第1款第2项规定，自动化决策，是指通过计算机程序自动分析、评估个人的行为习惯、兴趣爱好或者经济、健康、信用状况等，并进行决策的活动。</w:t>
      </w:r>
    </w:p>
    <w:p w14:paraId="3A71E071">
      <w:pPr>
        <w:pStyle w:val="4"/>
      </w:pPr>
      <w:r>
        <w:rPr>
          <w:rFonts w:hint="eastAsia"/>
        </w:rPr>
        <w:t>“自动化决策”内涵之辨析</w:t>
      </w:r>
    </w:p>
    <w:p w14:paraId="3DBC25D1">
      <w:r>
        <w:rPr>
          <w:rFonts w:hint="eastAsia"/>
        </w:rPr>
        <w:t>我国《个人信息保护法》作为欧盟GDPR“布鲁塞尔效应”的典型代表，</w:t>
      </w:r>
      <w:r>
        <w:rPr>
          <w:rStyle w:val="17"/>
          <w:rFonts w:hint="eastAsia"/>
        </w:rPr>
        <w:footnoteReference w:id="36"/>
      </w:r>
      <w:r>
        <w:rPr>
          <w:rFonts w:hint="eastAsia"/>
        </w:rPr>
        <w:t>一般性自动化决策拒绝权在内的许多条款都对GDPR有所借鉴。然而，在“自动化决策”这一关键概念上，欧盟法并未提供明确的定义，仅于GDPR第4（4）条中界定了“用户画像”（profiling）之概念。</w:t>
      </w:r>
      <w:r>
        <w:rPr>
          <w:rStyle w:val="17"/>
          <w:rFonts w:hint="eastAsia"/>
        </w:rPr>
        <w:footnoteReference w:id="37"/>
      </w:r>
      <w:r>
        <w:rPr>
          <w:rStyle w:val="17"/>
          <w:rFonts w:hint="eastAsia"/>
          <w:vertAlign w:val="baseline"/>
        </w:rPr>
        <w:t>由此引发的问题是：我国法上的“自动化决策”与GDPR语境下的“用户画像”究竟构成何种关系？二者是包容、交叉抑或平行？学界对此理解不一，概念的内涵与外延尚存解释空间。</w:t>
      </w:r>
    </w:p>
    <w:p w14:paraId="7603A9CD">
      <w:r>
        <w:rPr>
          <w:rFonts w:hint="eastAsia"/>
        </w:rPr>
        <w:t>目前，学界对二者关系的理解主要存在两种观点：其一，认为我国法上的“自动化决策”与欧盟GDPR中的“用户画像”基本相当；</w:t>
      </w:r>
      <w:r>
        <w:rPr>
          <w:rStyle w:val="17"/>
          <w:rFonts w:hint="eastAsia"/>
        </w:rPr>
        <w:footnoteReference w:id="38"/>
      </w:r>
      <w:r>
        <w:rPr>
          <w:rFonts w:hint="eastAsia"/>
        </w:rPr>
        <w:t>其二，主张我国法上的“自动化决策”除“用户画像”外，还包括“决策”环节。</w:t>
      </w:r>
      <w:r>
        <w:rPr>
          <w:rStyle w:val="17"/>
          <w:rFonts w:hint="eastAsia"/>
        </w:rPr>
        <w:footnoteReference w:id="39"/>
      </w:r>
      <w:r>
        <w:rPr>
          <w:rFonts w:hint="eastAsia"/>
        </w:rPr>
        <w:t>针对第一种观点，从条文表述看，我国《个人信息保护法》将“自动化决策”定义为通过计算机程序自动分析、评估个人特征，并在此基础上进行决策的活动；而GDPR第4（4）条所界定的“用户画像”，则指为评估自然人相关情况而对个人数据进行自动化处理与分析预测的行为，其规范核心在于“分析预测”，并未明文包含“作出决策”这一终端环节。由此可见，我国法上的“自动化决策”在规范表述中明确纳入了“决策”这一要素，将二者简单等同的观点，似与文义有所偏离。相较而言，第二种观点将自动化决策理解为涵盖“用户画像”与“决策”两个环节，在文本上更具解释力，更为可取。</w:t>
      </w:r>
    </w:p>
    <w:p w14:paraId="05960660">
      <w:pPr>
        <w:pStyle w:val="4"/>
      </w:pPr>
      <w:r>
        <w:rPr>
          <w:rFonts w:hint="eastAsia"/>
        </w:rPr>
        <w:t>“自动化决策”外延之辨析</w:t>
      </w:r>
    </w:p>
    <w:p w14:paraId="17E64078">
      <w:pPr>
        <w:pStyle w:val="5"/>
      </w:pPr>
      <w:r>
        <w:rPr>
          <w:rFonts w:hint="eastAsia"/>
        </w:rPr>
        <w:t>“半自动化决策”</w:t>
      </w:r>
    </w:p>
    <w:p w14:paraId="677F4FBD">
      <w:r>
        <w:rPr>
          <w:rFonts w:hint="eastAsia"/>
        </w:rPr>
        <w:t>就自动化决策之外延，目前学界存在一种观点，认为仅以“决策”为目的的自动化处理行为才属于本条规制范围，那些不以作出决策为目标的个人信息自动分类、整理或统计等活动，即使包含自动化技术，也不应纳入“自动化决策”的范畴。</w:t>
      </w:r>
      <w:r>
        <w:rPr>
          <w:rStyle w:val="17"/>
          <w:rFonts w:hint="eastAsia"/>
        </w:rPr>
        <w:footnoteReference w:id="40"/>
      </w:r>
      <w:r>
        <w:rPr>
          <w:rFonts w:hint="eastAsia"/>
        </w:rPr>
        <w:t>该观点固然有其合理之处，当用户画像仅停留在技术内部，从未实际作用于任何决策时，确无启动法律规制的必要。然而，其以“主观目的”作为判断基准，恐有不周延之虞。实践中完全可能存在此种情况：系统在生成画像时并未以决策为目的，但该画像最终却被作为重要依据用于人类决策。因此，更为合理的辨别标准应当是：画像结果是否实际应用于人类决策，而非系统运行之初的主观目的。对于此种由自动化系统生成画像、再由人类基于画像作出最终决定的场景，也被欧盟学者称为“半自动化决策”</w:t>
      </w:r>
      <w:r>
        <w:rPr>
          <w:rStyle w:val="17"/>
          <w:rFonts w:hint="eastAsia"/>
        </w:rPr>
        <w:footnoteReference w:id="41"/>
      </w:r>
      <w:r>
        <w:rPr>
          <w:rFonts w:hint="eastAsia"/>
        </w:rPr>
        <w:t>（Semi-automated Decision-making）或“准自动化”</w:t>
      </w:r>
      <w:r>
        <w:rPr>
          <w:rStyle w:val="17"/>
          <w:rFonts w:hint="eastAsia"/>
        </w:rPr>
        <w:footnoteReference w:id="42"/>
      </w:r>
      <w:r>
        <w:rPr>
          <w:rFonts w:hint="eastAsia"/>
        </w:rPr>
        <w:t>（Quasi-automation）。就我国法而言，将“半自动化决策”纳入“自动化决策”范畴，也具有法律解释层面的合理性：</w:t>
      </w:r>
    </w:p>
    <w:p w14:paraId="1A22EEB6">
      <w:r>
        <w:rPr>
          <w:rFonts w:hint="eastAsia"/>
        </w:rPr>
        <w:t>第一，从文义解释的角度予以检视，一方面，《个人信息保护法》第73条对“自动化决策”的界定采“自动分析、评估……并进行决策”之表述，其规范重心在于“分析评估”环节的自动化，并未要求自动化系统必须参与“决策”。换言之，“自动”一词的涵摄范围，在文义上并不以贯穿全部环节为必要。虽然定义要求同时包含“用户画像”与“决策”两个环节，但仅由自动化系统完成“用户画像”，而由人类作出最终决策，同样符合文义上的解释空间。</w:t>
      </w:r>
    </w:p>
    <w:p w14:paraId="492C88EB">
      <w:r>
        <w:rPr>
          <w:rFonts w:hint="eastAsia"/>
        </w:rPr>
        <w:t>另一方面，用户画像所生成的分析评估结果，其本身亦可能视为一项“决策”——尤其当该结果被直接用于对个人产生法律或类似重大影响的判断时，其与“决策”并无本质差异。因此，将“半自动化决策”纳入“自动化决策”的语义范畴，并未超出条文文义的可能边界。在“麦某波诉北京法某科技有限公司网络侵权责任纠纷案”中，广州互联网法院也认为，“法某”网站通过算法规则统计既往判决胜诉率等指标，为用户展示特定律师的“收费标准”“执业年限”“胜诉率”等信息，构成以帮助决策为目的的用户画像。应当受到《个人信息保护法》第24条之规制。</w:t>
      </w:r>
      <w:r>
        <w:rPr>
          <w:rStyle w:val="17"/>
          <w:rFonts w:hint="eastAsia"/>
        </w:rPr>
        <w:footnoteReference w:id="43"/>
      </w:r>
    </w:p>
    <w:p w14:paraId="4C8D802E">
      <w:r>
        <w:rPr>
          <w:rFonts w:hint="eastAsia"/>
        </w:rPr>
        <w:t>第二，从目的解释的角度出发，将“半自动化决策”排除于第73条的涵摄范围之外，有违《个人信息保护法》第24条的规范目的。受到“人在环路”理念的影响，无论是我国《个人信息保护法》还是欧盟GDPR均以“仅通过自动化决策方式作出”作为一般性自动化决策拒绝权的适用要件之一。基于此，根据人在决策过程中参与程度的不同，可将自动化决策区分为“完全自动化决策”与“混合自动化决策”两种类型。</w:t>
      </w:r>
      <w:r>
        <w:rPr>
          <w:rStyle w:val="17"/>
          <w:rFonts w:hint="eastAsia"/>
        </w:rPr>
        <w:footnoteReference w:id="44"/>
      </w:r>
      <w:r>
        <w:rPr>
          <w:rFonts w:hint="eastAsia"/>
        </w:rPr>
        <w:t>而界分二者的重要标准即是“是否具有有意义的人类干预”，其规范意旨正在于强调：人类介入必须具有实质性，而非流于形式。正如荷兰阿姆斯特丹上诉法院在Uber案中所指出的，仅声称设有“人工审查”环节并不足以排除完全自动化决策的定性；若该种审查是无效的、象征性的，则不过是一道“橡皮图章”而已。</w:t>
      </w:r>
      <w:r>
        <w:rPr>
          <w:rStyle w:val="17"/>
          <w:rFonts w:hint="eastAsia"/>
        </w:rPr>
        <w:footnoteReference w:id="45"/>
      </w:r>
      <w:r>
        <w:rPr>
          <w:rFonts w:hint="eastAsia"/>
        </w:rPr>
        <w:t>当用户画像所生成的分析结果对人类后续决策具有高度乃至决定性影响时，此种场景虽保留人工环节，但在规范实质上与“完全自动化决策”并无二致。若将其当然地排除于第73条的范围之外，则恰恰将最需要规制的情形置于第24条第3款的效力之外，使其规范目的落空。数据控制者恰可通过分离“画像生成”与“形式决断”两个环节，轻易规避第24条所规定的解释与拒绝权，形成权利保护的真空，于个人信息权益保障尤为不利。</w:t>
      </w:r>
    </w:p>
    <w:p w14:paraId="696DD691">
      <w:pPr>
        <w:rPr>
          <w:rFonts w:hint="eastAsia"/>
        </w:rPr>
      </w:pPr>
      <w:r>
        <w:rPr>
          <w:rFonts w:hint="eastAsia"/>
        </w:rPr>
        <w:t>需要补充论述的是，“混合自动化决策”与“半自动化决策”之间存在概念上的含混，亟需加以辨析。具体而言，在有人类参与的自动化决策场景中，可能存在以下三种情形：第一，自动化系统完成画像并优先作出决策，人工仅进行事后复核；第二，自动化系统生成画像并提供参考性决策结论，由人工作出最终决定；第三，自动化系统仅进行用户画像描摹，并不直接得出可行的决策结论，但该画像为人类决策提供重要参考。其中，第三种情形应被界定为“半自动化决策”。而“混合自动化决策”则指向上述三种情形中不具有“有意义的人类干预”的情形。概言之，二者的识别标准各有侧重：“半自动化决策”的关键在于自动化系统是否实际作出决策；而“混合自动化决策”的核心则在于是否存在“有意义的人类干预”。由此，“半自动化决策”既可能属于“完全自动化决策”，也可能归属于“混合自动化决策”。</w:t>
      </w:r>
    </w:p>
    <w:p w14:paraId="59697BF1">
      <w:pPr>
        <w:pStyle w:val="5"/>
        <w:rPr>
          <w:rFonts w:hint="eastAsia"/>
        </w:rPr>
      </w:pPr>
      <w:r>
        <w:rPr>
          <w:rFonts w:hint="eastAsia"/>
        </w:rPr>
        <w:t>“非基于用户画像的自动化决策”</w:t>
      </w:r>
    </w:p>
    <w:p w14:paraId="70440E1A">
      <w:r>
        <w:rPr>
          <w:rFonts w:hint="eastAsia"/>
        </w:rPr>
        <w:t>此外，还需探讨未经过用户画像环节的自动化决策是否应纳入我国《个人信息保护法》的规制范围。此类情形可暂称为“非基于用户画像的自动化决策”。在欧盟，第29条工作组曾指出，即便不经过用户画像，纯粹的自动化决策仍可落入GDPR第22条的规制范围。</w:t>
      </w:r>
      <w:r>
        <w:rPr>
          <w:rStyle w:val="17"/>
          <w:rFonts w:hint="eastAsia"/>
        </w:rPr>
        <w:footnoteReference w:id="46"/>
      </w:r>
      <w:r>
        <w:rPr>
          <w:rFonts w:hint="eastAsia"/>
        </w:rPr>
        <w:t>然而，我国法在此问题上应持更谨慎的立场，理由如下：</w:t>
      </w:r>
    </w:p>
    <w:p w14:paraId="7DDDEC82">
      <w:pPr>
        <w:numPr>
          <w:ilvl w:val="0"/>
          <w:numId w:val="2"/>
        </w:numPr>
      </w:pPr>
      <w:r>
        <w:rPr>
          <w:rFonts w:hint="eastAsia"/>
        </w:rPr>
        <w:t>根据文义解释，应将“非基于用户画像的自动化决策”排除在“自动化决策”的范围之外。我国《个人信息保护法》第73条将“自动化决策”定义为“通过计算机程序自动分析、评估……并进行决策的活动”。此处的“并”字具有连接功能，表明立法者意图将“分析、评估”与“决策”两个环节共同纳入自动化决策的规范范畴，前者即对应于用户画像阶段。若某一处理行为完全跳过用户画像环节，仅凭自动化程序直接作出决定，则因其缺失“分析、评估”这一要件，恐难以落入该条定义的语义边界之内。</w:t>
      </w:r>
    </w:p>
    <w:p w14:paraId="45C73B2D">
      <w:pPr>
        <w:numPr>
          <w:ilvl w:val="0"/>
          <w:numId w:val="2"/>
        </w:numPr>
      </w:pPr>
      <w:r>
        <w:rPr>
          <w:rFonts w:hint="eastAsia"/>
        </w:rPr>
        <w:t>根据目的解释，应将“非基于用户画像的自动化决策”排除在“自动化决策”的范围之外。尽管《个人信息保护法》以“保护”为名，但“保护个人信息”并不是《个人信息保护法》的唯一目的。</w:t>
      </w:r>
      <w:r>
        <w:rPr>
          <w:rStyle w:val="17"/>
          <w:rFonts w:hint="eastAsia"/>
          <w:vertAlign w:val="baseline"/>
        </w:rPr>
        <w:t>第1条开宗明义“</w:t>
      </w:r>
      <w:r>
        <w:rPr>
          <w:rStyle w:val="17"/>
          <w:rFonts w:hint="eastAsia"/>
          <w:vertAlign w:val="baseline"/>
        </w:rPr>
        <w:t>为了保护个人信息权益，规范个人信息处理活动，促进个人信息合理利用，根据宪法，制定本法。</w:t>
      </w:r>
      <w:r>
        <w:rPr>
          <w:rStyle w:val="17"/>
          <w:rFonts w:hint="eastAsia"/>
          <w:vertAlign w:val="baseline"/>
        </w:rPr>
        <w:t>”</w:t>
      </w:r>
      <w:r>
        <w:rPr>
          <w:rFonts w:hint="eastAsia"/>
        </w:rPr>
        <w:t>“</w:t>
      </w:r>
      <w:r>
        <w:rPr>
          <w:rStyle w:val="17"/>
          <w:rFonts w:hint="eastAsia"/>
          <w:vertAlign w:val="baseline"/>
        </w:rPr>
        <w:t>促进个人信息合理利用</w:t>
      </w:r>
      <w:r>
        <w:rPr>
          <w:rFonts w:hint="eastAsia"/>
        </w:rPr>
        <w:t>”亦属于本法的价值追求之一。</w:t>
      </w:r>
      <w:r>
        <w:rPr>
          <w:rStyle w:val="17"/>
          <w:rFonts w:hint="eastAsia"/>
        </w:rPr>
        <w:footnoteReference w:id="47"/>
      </w:r>
      <w:r>
        <w:rPr>
          <w:rStyle w:val="17"/>
          <w:rFonts w:hint="eastAsia"/>
          <w:vertAlign w:val="baseline"/>
        </w:rPr>
        <w:t>自动化决策之所以受到法律规制，重在防止个人在算法面前沦为被动客体，避免算法黑箱或开发者的主观偏见导致不公正结果。但出于社会运行的效率考量，法律应当为其</w:t>
      </w:r>
      <w:r>
        <w:rPr>
          <w:rFonts w:hint="eastAsia"/>
        </w:rPr>
        <w:t>保留</w:t>
      </w:r>
      <w:r>
        <w:rPr>
          <w:rStyle w:val="17"/>
          <w:rFonts w:hint="eastAsia"/>
          <w:vertAlign w:val="baseline"/>
        </w:rPr>
        <w:t>一定的适用空间。就</w:t>
      </w:r>
      <w:r>
        <w:rPr>
          <w:rFonts w:hint="eastAsia"/>
        </w:rPr>
        <w:t>“</w:t>
      </w:r>
      <w:r>
        <w:rPr>
          <w:rStyle w:val="17"/>
          <w:rFonts w:hint="eastAsia"/>
          <w:vertAlign w:val="baseline"/>
        </w:rPr>
        <w:t>非基于用户画像的自动化决策</w:t>
      </w:r>
      <w:r>
        <w:rPr>
          <w:rFonts w:hint="eastAsia"/>
        </w:rPr>
        <w:t>”</w:t>
      </w:r>
      <w:r>
        <w:rPr>
          <w:rStyle w:val="17"/>
          <w:rFonts w:hint="eastAsia"/>
          <w:vertAlign w:val="baseline"/>
        </w:rPr>
        <w:t>而言，其通常较为简单、透明，基本遵循于</w:t>
      </w:r>
      <w:r>
        <w:rPr>
          <w:rFonts w:hint="eastAsia"/>
        </w:rPr>
        <w:t>“</w:t>
      </w:r>
      <w:r>
        <w:rPr>
          <w:rStyle w:val="17"/>
          <w:rFonts w:hint="eastAsia"/>
          <w:vertAlign w:val="baseline"/>
        </w:rPr>
        <w:t>如果……那么</w:t>
      </w:r>
      <w:r>
        <w:rPr>
          <w:rFonts w:hint="eastAsia"/>
        </w:rPr>
        <w:t>”</w:t>
      </w:r>
      <w:r>
        <w:rPr>
          <w:rStyle w:val="17"/>
          <w:rFonts w:hint="eastAsia"/>
          <w:vertAlign w:val="baseline"/>
        </w:rPr>
        <w:t>式的决策逻辑，例如</w:t>
      </w:r>
      <w:r>
        <w:rPr>
          <w:rFonts w:hint="eastAsia"/>
        </w:rPr>
        <w:t>行政领域中，</w:t>
      </w:r>
      <w:r>
        <w:rPr>
          <w:rStyle w:val="17"/>
          <w:rFonts w:hint="eastAsia"/>
          <w:vertAlign w:val="baseline"/>
        </w:rPr>
        <w:t>向符合特定条件的群体自动发放养老金。此类决策仅基于预设的客观条件触发，不涉及对个体特征的综合画像，因此产生算法歧视的风险显著降低。</w:t>
      </w:r>
      <w:r>
        <w:rPr>
          <w:rFonts w:hint="eastAsia"/>
        </w:rPr>
        <w:t>在歧视可能性与决策效率的双重考量下，</w:t>
      </w:r>
      <w:r>
        <w:rPr>
          <w:rStyle w:val="17"/>
          <w:rFonts w:hint="eastAsia"/>
          <w:vertAlign w:val="baseline"/>
        </w:rPr>
        <w:t>可以将其排除于《个人信息保护法》所规制的</w:t>
      </w:r>
      <w:r>
        <w:rPr>
          <w:rFonts w:hint="eastAsia"/>
        </w:rPr>
        <w:t>“</w:t>
      </w:r>
      <w:r>
        <w:rPr>
          <w:rStyle w:val="17"/>
          <w:rFonts w:hint="eastAsia"/>
          <w:vertAlign w:val="baseline"/>
        </w:rPr>
        <w:t>自动化决策</w:t>
      </w:r>
      <w:r>
        <w:rPr>
          <w:rFonts w:hint="eastAsia"/>
        </w:rPr>
        <w:t>”</w:t>
      </w:r>
      <w:r>
        <w:rPr>
          <w:rStyle w:val="17"/>
          <w:rFonts w:hint="eastAsia"/>
          <w:vertAlign w:val="baseline"/>
        </w:rPr>
        <w:t>范畴。</w:t>
      </w:r>
    </w:p>
    <w:p w14:paraId="0736023F">
      <w:pPr>
        <w:numPr>
          <w:ilvl w:val="0"/>
          <w:numId w:val="2"/>
        </w:numPr>
      </w:pPr>
      <w:r>
        <w:rPr>
          <w:rFonts w:hint="eastAsia"/>
        </w:rPr>
        <w:t>基于“有约必守”原则的需要，应将“非基于用户画像的自动化决策”排除在“自动化决策”的范围之外。“非基于用户画像的自动化决策”也可见于智能合约等新型交易场景，其核心功能在于自动订立或履行合同。个人信息主体选择此类交易时，通常意味着其自愿接受自动化决策的约束。若在此类情景下赋予个人信息主体无条件的自动化决策拒绝权，无异于承认其享有任意违约权，将直接影响交易稳定性。此外，智能合约等技术尚处发展初期，过早施加过于严苛的个人信息保护要求，可能抑制技术创新与商业模式探索。2024年联合国大会通过的《自动订约示范法》第5条与第6条亦倡导各国确认自动订约的有效性与可执行性，</w:t>
      </w:r>
      <w:r>
        <w:rPr>
          <w:rStyle w:val="17"/>
          <w:rFonts w:hint="eastAsia"/>
        </w:rPr>
        <w:footnoteReference w:id="48"/>
      </w:r>
      <w:r>
        <w:rPr>
          <w:rFonts w:hint="eastAsia"/>
        </w:rPr>
        <w:t>此种取向反映出国际对自动化系统应用给予一定发展空间的审慎包容立场。而我国《电子商务法》中也有作出类似规定。</w:t>
      </w:r>
    </w:p>
    <w:p w14:paraId="02BC3229">
      <w:r>
        <w:rPr>
          <w:rFonts w:hint="eastAsia"/>
        </w:rPr>
        <w:t>综上，法律内容必然涉及一般化的语词，其有效运作也依赖于人们能够将具体情形或事物恰当地涵摄于法条文字所设定的一般化分类之中。</w:t>
      </w:r>
      <w:r>
        <w:rPr>
          <w:rStyle w:val="17"/>
          <w:rFonts w:hint="eastAsia"/>
        </w:rPr>
        <w:footnoteReference w:id="49"/>
      </w:r>
      <w:r>
        <w:rPr>
          <w:rFonts w:hint="eastAsia"/>
        </w:rPr>
        <w:t>因此，有必要对“自动化决策”这一概念加以厘清。在内涵层面，我国的“自动化决策”应当包括用户画像和决策两个环节，其中用户画像环节必须由自动化系统进行。在外延层面，对于特殊的“半自动化决策”和“</w:t>
      </w:r>
      <w:r>
        <w:t>非基于用户画像的自动化决策</w:t>
      </w:r>
      <w:r>
        <w:rPr>
          <w:rFonts w:hint="eastAsia"/>
        </w:rPr>
        <w:t>”，前者应当纳入到概念范围之内，后者则应当予以排除。</w:t>
      </w:r>
    </w:p>
    <w:p w14:paraId="08DCF689">
      <w:pPr>
        <w:pStyle w:val="3"/>
        <w:jc w:val="both"/>
      </w:pPr>
      <w:r>
        <w:rPr>
          <w:rFonts w:hint="eastAsia"/>
        </w:rPr>
        <w:t>“完全自动化决策”之限定</w:t>
      </w:r>
    </w:p>
    <w:p w14:paraId="1FEA9C9F">
      <w:r>
        <w:rPr>
          <w:rFonts w:hint="eastAsia"/>
        </w:rPr>
        <w:t>“仅通过自动化决策方式作出”作为一般性自动化决策拒绝权的适用要件，是“人在环路”理念最直观的制度投射。依据人在决策过程中参与程度的不同，可将其区分为“完全自动化决策”与“混合自动化决策”两种类型。在我国《个人信息保护法》框架下，第24条第3款主要针对前者而设，通过赋予信息主体解释权与拒绝权，以实现对算法权力的必要制衡；而对后者，立法则采取了相对宽松的立场，并未设置拒绝权进行约束。然而，无论是基于对“人在环路”可能流于形式的现实隐忧，还是出于保障权利行使确定性的制度考量，都不应将一般性自动化决策拒绝权的适用范围局限于“完全自动化决策”。</w:t>
      </w:r>
      <w:r>
        <w:rPr>
          <w:rStyle w:val="17"/>
          <w:rFonts w:hint="eastAsia"/>
        </w:rPr>
        <w:footnoteReference w:id="50"/>
      </w:r>
    </w:p>
    <w:p w14:paraId="068748BD">
      <w:r>
        <w:rPr>
          <w:rFonts w:hint="eastAsia"/>
        </w:rPr>
        <w:t>一方面，个人信息处理者视角下的“人在环路”尚不足以构成否定混合自动化决策拒绝权独立存在的正当理由。一项权利若未被法律确认，往往因其未能提供具有排他性或决定性的证成依据。</w:t>
      </w:r>
      <w:r>
        <w:rPr>
          <w:rStyle w:val="17"/>
          <w:rFonts w:hint="eastAsia"/>
        </w:rPr>
        <w:footnoteReference w:id="51"/>
      </w:r>
      <w:r>
        <w:rPr>
          <w:rFonts w:hint="eastAsia"/>
        </w:rPr>
        <w:t>或许在立法者看来，个人信息处理者层面的“人在环路”已足以使混合自动化决策拒绝权失去独立存在的必要。然而，前文已述，“人在环路”理念本身面临四重质疑——人类开发的主观歧视性、人类干预的虚假性、人类审查的相对独立性以及算法黑箱的客观歧视性。这意味着，在自动化决策的运作逻辑下，个人信息处理者的介入非但未必能为信息主体提供实质性的安全保障，反而可能沦为算法结果的恶意操纵者或机械复述者。因此，法律并无充分理由将一般性自动化决策拒绝权的适用止步于“完全自动化决策”。凡受自动化决策影响者，皆有主张拒绝的正当可能。</w:t>
      </w:r>
    </w:p>
    <w:p w14:paraId="0EFE1BBF">
      <w:r>
        <w:rPr>
          <w:rFonts w:hint="eastAsia"/>
        </w:rPr>
        <w:t>另一方面，赋予权利的前提在于规范明确，而“有意义的人为干预”概念本身含混不清。权利对权利人意味着行为自由的保障，意味着他人不可侵犯，</w:t>
      </w:r>
      <w:r>
        <w:rPr>
          <w:rStyle w:val="17"/>
          <w:rFonts w:hint="eastAsia"/>
        </w:rPr>
        <w:footnoteReference w:id="52"/>
      </w:r>
      <w:r>
        <w:rPr>
          <w:rFonts w:hint="eastAsia"/>
        </w:rPr>
        <w:t>对权利相对人则构成自己的禁令。无论从自由抑或禁令的角度，法律规范的界限必须足够清晰，每个人的自由才能与他人的自由共处。但是作为“完全自动化决策”与“混合自动化决策”重要界分标准的“有意义的人为干预”，其内涵恰恰模糊难辨，难以形成稳定、易识别的判断基准。</w:t>
      </w:r>
      <w:r>
        <w:rPr>
          <w:rStyle w:val="17"/>
          <w:rFonts w:hint="eastAsia"/>
        </w:rPr>
        <w:footnoteReference w:id="53"/>
      </w:r>
      <w:r>
        <w:rPr>
          <w:rFonts w:hint="eastAsia"/>
        </w:rPr>
        <w:t>甚至有学者认为，根据当前技术实践，真正实现全程无人介入的“完全自动化决策”极为少见，多数系统均在某种程度上保留了人工环节。</w:t>
      </w:r>
      <w:r>
        <w:rPr>
          <w:rStyle w:val="17"/>
          <w:rFonts w:hint="eastAsia"/>
        </w:rPr>
        <w:footnoteReference w:id="54"/>
      </w:r>
      <w:r>
        <w:rPr>
          <w:rFonts w:hint="eastAsia"/>
        </w:rPr>
        <w:t>这意味着，“完全自动化决策”与“混合自动化决策”的边界本就模糊，将拒绝权的适用严格限定于前者，则个人信息主体难以判断其是否享有权利，而权利相对人亦无从确定其行为界限。此种界分标准的含糊性，与拒绝权作为一项法律权利所应具备的清晰性要求，存在根本性冲突。质言之，一项以模糊标准为边界的权利，其行使与遵守皆失所据。</w:t>
      </w:r>
    </w:p>
    <w:p w14:paraId="457B1623">
      <w:r>
        <w:rPr>
          <w:rFonts w:hint="eastAsia"/>
        </w:rPr>
        <w:t>综上，“人在环路”的规范意涵，不仅要求个人信息处理者实际参与“环路”，更有必要在立法论层面通过取消“完全自动化决策”的限定要件，将一般性自动化决策拒绝权的适用范围拓展至“混合自动化决策”，从而强化个人信息主体在“环路”中的话语地位。</w:t>
      </w:r>
    </w:p>
    <w:p w14:paraId="1E0D1133">
      <w:pPr>
        <w:pStyle w:val="3"/>
        <w:jc w:val="both"/>
      </w:pPr>
      <w:r>
        <w:rPr>
          <w:rFonts w:hint="eastAsia"/>
        </w:rPr>
        <w:t>“</w:t>
      </w:r>
      <w:r>
        <w:t>对个人权益有重大影响</w:t>
      </w:r>
      <w:r>
        <w:rPr>
          <w:rFonts w:hint="eastAsia"/>
        </w:rPr>
        <w:t>”之界定</w:t>
      </w:r>
    </w:p>
    <w:p w14:paraId="7659908A">
      <w:pPr>
        <w:rPr>
          <w:rStyle w:val="17"/>
        </w:rPr>
      </w:pPr>
      <w:r>
        <w:rPr>
          <w:rFonts w:hint="eastAsia"/>
        </w:rPr>
        <w:t>对于“对个人权益有重大影响”这一要件，我国《数据安全技术 基于个人信息的自动化决策安全要求》将其界定为“对个人法定权益的实现造成法律影响，以及对个人其他权益造成类似显著影响”。</w:t>
      </w:r>
      <w:r>
        <w:rPr>
          <w:rStyle w:val="17"/>
          <w:rFonts w:hint="eastAsia"/>
        </w:rPr>
        <w:footnoteReference w:id="55"/>
      </w:r>
      <w:r>
        <w:rPr>
          <w:rFonts w:hint="eastAsia"/>
        </w:rPr>
        <w:t>我国学界亦有类似见解。</w:t>
      </w:r>
      <w:r>
        <w:rPr>
          <w:rStyle w:val="17"/>
          <w:rFonts w:hint="eastAsia"/>
        </w:rPr>
        <w:footnoteReference w:id="56"/>
      </w:r>
      <w:r>
        <w:rPr>
          <w:rFonts w:hint="eastAsia"/>
        </w:rPr>
        <w:t>此概念实质上源于GDPR第22（1）条“对个人产生法律影响或与之相类似的显著影响”。在此基础上，前述标准进一步指出：</w:t>
      </w:r>
      <w:r>
        <w:rPr>
          <w:rStyle w:val="17"/>
          <w:vertAlign w:val="baseline"/>
        </w:rPr>
        <w:t>1.</w:t>
      </w:r>
      <w:r>
        <w:rPr>
          <w:rStyle w:val="17"/>
          <w:rFonts w:hint="eastAsia"/>
          <w:vertAlign w:val="baseline"/>
        </w:rPr>
        <w:t>影响包括正面或负面影响；</w:t>
      </w:r>
      <w:r>
        <w:rPr>
          <w:rStyle w:val="17"/>
          <w:vertAlign w:val="baseline"/>
        </w:rPr>
        <w:t>2.</w:t>
      </w:r>
      <w:r>
        <w:rPr>
          <w:rStyle w:val="17"/>
          <w:rFonts w:hint="eastAsia"/>
          <w:vertAlign w:val="baseline"/>
        </w:rPr>
        <w:t>法律影响包括但不限于，被赋予享有或被剥夺享有一种法律上的特定权益</w:t>
      </w:r>
      <w:r>
        <w:rPr>
          <w:rFonts w:hint="eastAsia"/>
        </w:rPr>
        <w:t>，</w:t>
      </w:r>
      <w:r>
        <w:rPr>
          <w:rStyle w:val="17"/>
          <w:rFonts w:hint="eastAsia"/>
          <w:vertAlign w:val="baseline"/>
        </w:rPr>
        <w:t>如子女抚养或房产权益、被剥夺或限制行动自由、拒绝进入边境或特定区域、被有关执法机构强制增加安全或监管措施等；</w:t>
      </w:r>
      <w:r>
        <w:rPr>
          <w:rStyle w:val="17"/>
          <w:vertAlign w:val="baseline"/>
        </w:rPr>
        <w:t>3.</w:t>
      </w:r>
      <w:r>
        <w:rPr>
          <w:rStyle w:val="17"/>
          <w:rFonts w:hint="eastAsia"/>
          <w:vertAlign w:val="baseline"/>
        </w:rPr>
        <w:t>类似显著影响包括但不限于：对个人不合理的排斥或歧视行为、对个人可能产生长期或永久影响的决策行为</w:t>
      </w:r>
      <w:r>
        <w:rPr>
          <w:rFonts w:hint="eastAsia"/>
        </w:rPr>
        <w:t>，</w:t>
      </w:r>
      <w:r>
        <w:rPr>
          <w:rStyle w:val="17"/>
          <w:rFonts w:hint="eastAsia"/>
          <w:vertAlign w:val="baseline"/>
        </w:rPr>
        <w:t>以及其他对个人的处境、行为或选择产生普遍认知方面的重大影响。</w:t>
      </w:r>
    </w:p>
    <w:p w14:paraId="650AF51E">
      <w:r>
        <w:rPr>
          <w:rFonts w:hint="eastAsia"/>
        </w:rPr>
        <w:t>在欧盟，第29条工作组亦对此作了细化阐释：“法律影响”是指影响到个人的法定权利（例如结社自由、选举投票或提起诉讼的权利）；个人法律地位或合同权利的事项（如合同取消）；以及依法获得或拒绝特定社会福利（例如儿童或住房福利、拒绝入境和否认公民身份）。至于“其他类似的影响”，是指“虽然自动化决策程序对个人的合法权利并未产生影响，但是产生了相等的或类似的重大影响”（如显著影响到有关个人的情况、行为或选择）；对数据主体产生长期或永久的影响；极端情况下，导致个人被排斥或被歧视等。</w:t>
      </w:r>
      <w:r>
        <w:rPr>
          <w:rStyle w:val="17"/>
          <w:rFonts w:hint="eastAsia"/>
        </w:rPr>
        <w:footnoteReference w:id="57"/>
      </w:r>
    </w:p>
    <w:p w14:paraId="706A6AD2">
      <w:pPr>
        <w:rPr>
          <w:rStyle w:val="17"/>
        </w:rPr>
      </w:pPr>
      <w:r>
        <w:rPr>
          <w:rFonts w:hint="eastAsia"/>
        </w:rPr>
        <w:t>对比可见，我国国家标准与第29条工作组的阐释存在两处值得关注的差异：其一，在影响方向上，我国界定明确包含正面与负面影响，</w:t>
      </w:r>
      <w:r>
        <w:rPr>
          <w:rStyle w:val="17"/>
          <w:rFonts w:hint="eastAsia"/>
        </w:rPr>
        <w:footnoteReference w:id="58"/>
      </w:r>
      <w:r>
        <w:rPr>
          <w:rFonts w:hint="eastAsia"/>
        </w:rPr>
        <w:t>而工作组所举事例均为负面影响，前者在涵摄范围上更具包容性；其二，在规范对象上，工作组指出“法律影响”涉及个人权利与义务两个维度，我国标准则表述为“权益”。为兼顾个人信息安全与当事人意思自治，建议在我国现有框架内继续维持正面与负面影响并重的广义界定，同时将“义务”明确纳入“法律影响”的范畴，以实现规范的周延。</w:t>
      </w:r>
      <w:r>
        <w:rPr>
          <w:rStyle w:val="17"/>
          <w:rFonts w:hint="eastAsia"/>
        </w:rPr>
        <w:footnoteReference w:id="59"/>
      </w:r>
    </w:p>
    <w:p w14:paraId="3D90DBD9">
      <w:pPr>
        <w:pStyle w:val="2"/>
      </w:pPr>
      <w:r>
        <w:rPr>
          <w:rFonts w:hint="eastAsia"/>
        </w:rPr>
        <w:t>一般性自动化决策拒绝权之性质与</w:t>
      </w:r>
      <w:r>
        <w:rPr>
          <w:rFonts w:hint="eastAsia"/>
          <w:lang w:val="en-US" w:eastAsia="zh-CN"/>
        </w:rPr>
        <w:t>效果</w:t>
      </w:r>
    </w:p>
    <w:p w14:paraId="794EDA56">
      <w:r>
        <w:rPr>
          <w:rFonts w:hint="eastAsia"/>
        </w:rPr>
        <w:t>在厘清一般性自动化决策拒绝权的构成要件后，有必要进一步追问：该项权利位于权利谱系何处？权利性质的界定，不仅关涉该项权利与既有权利体系的融贯性，更直接影响其具体权能的展开与行使方式的确定。</w:t>
      </w:r>
    </w:p>
    <w:p w14:paraId="611B1285">
      <w:pPr>
        <w:pStyle w:val="3"/>
      </w:pPr>
      <w:r>
        <w:rPr>
          <w:rFonts w:hint="eastAsia"/>
        </w:rPr>
        <w:t>一般性自动化决策拒绝权的权利性质</w:t>
      </w:r>
    </w:p>
    <w:p w14:paraId="66A26D21">
      <w:r>
        <w:rPr>
          <w:rFonts w:hint="eastAsia"/>
        </w:rPr>
        <w:t>一般性自动化决策拒绝权的法律性质，不宜仅凭《个人信息保护法》第24条第3款“有权拒绝”的表述即将其认定为一项独立的请求权基础。应当注意到，典型法律条文的句式结构与请求权基础的规范性质之间并不存在必然对应关系，是否采用特定句式并非判断其属于请求权规范的决定性依据。</w:t>
      </w:r>
      <w:r>
        <w:rPr>
          <w:rStyle w:val="17"/>
        </w:rPr>
        <w:footnoteReference w:id="60"/>
      </w:r>
    </w:p>
    <w:p w14:paraId="68CB7EEB">
      <w:pPr>
        <w:pStyle w:val="4"/>
      </w:pPr>
      <w:r>
        <w:rPr>
          <w:rFonts w:hint="eastAsia"/>
        </w:rPr>
        <w:t>单一性质的局限</w:t>
      </w:r>
    </w:p>
    <w:p w14:paraId="61D0DF61">
      <w:r>
        <w:rPr>
          <w:rFonts w:hint="eastAsia"/>
        </w:rPr>
        <w:t>目前学界对于一般性自动化决策拒绝权性质的讨论，主要围绕请求权说</w:t>
      </w:r>
      <w:r>
        <w:rPr>
          <w:rStyle w:val="17"/>
          <w:rFonts w:hint="eastAsia"/>
        </w:rPr>
        <w:footnoteReference w:id="61"/>
      </w:r>
      <w:r>
        <w:rPr>
          <w:rFonts w:hint="eastAsia"/>
        </w:rPr>
        <w:t>与形成权说</w:t>
      </w:r>
      <w:r>
        <w:rPr>
          <w:rStyle w:val="17"/>
          <w:rFonts w:hint="eastAsia"/>
        </w:rPr>
        <w:footnoteReference w:id="62"/>
      </w:r>
      <w:r>
        <w:rPr>
          <w:rFonts w:hint="eastAsia"/>
        </w:rPr>
        <w:t>展开。</w:t>
      </w:r>
      <w:r>
        <w:rPr>
          <w:rStyle w:val="17"/>
          <w:rFonts w:hint="eastAsia"/>
        </w:rPr>
        <w:footnoteReference w:id="63"/>
      </w:r>
      <w:r>
        <w:rPr>
          <w:rFonts w:hint="eastAsia"/>
        </w:rPr>
        <w:t>然而，无论是将一般性自动化决策拒绝权界定为请求权，抑或是形成权，在解释该权利时，均会面临难以完全自洽的困境。</w:t>
      </w:r>
    </w:p>
    <w:p w14:paraId="25166495">
      <w:r>
        <w:rPr>
          <w:rFonts w:hint="eastAsia"/>
        </w:rPr>
        <w:t>以下谨以两个实例对上述理论困境加以说明。在上海高级人民法颁布的典型案例“电商平台利用算法甄别消费者身份案”</w:t>
      </w:r>
      <w:r>
        <w:rPr>
          <w:rStyle w:val="17"/>
          <w:rFonts w:hint="eastAsia"/>
        </w:rPr>
        <w:footnoteReference w:id="64"/>
      </w:r>
      <w:r>
        <w:rPr>
          <w:rFonts w:hint="eastAsia"/>
        </w:rPr>
        <w:t>中，原告蔡某同意被告B电商平台《服务协议及隐私声明》（销售方仅向消费者提供商品或服务。每位用户仅限使用一个账户，如有证据证明客户存在注册或使用多个账户，或根据购买记录、数量、IP地址等因素合理怀疑非因生活消费购买商品或服务，平台有权取消订单）后，通过多个关联账户下单，收货信息多指向其本人。其后，平台的自动化系统识别蔡某订单异常，直接取消并隐藏了其新订单。该案法院审理的重点虽在于自动化决策处理的合法性基础，但从一般性自动化决策拒绝权的权利性质角度审视，仍暴露出如下问题：其一，若依《个人信息保护法》第24条，原告似可无理由拒绝系统取消订单的决策，要求恢复订单。然而，原告实际存在违反平台协议、非正常消费的行为。若仅因涉及个人信息处理即赋予其推翻平台合理管理措施的“拒绝权”，无异于将个人信息权利异化为实质上的任意违约权，既有违诚实信用，亦损害交易秩序的实质公平。其二，若将拒绝权解释为请求权，则面临权能不足的困境。平台取消订单的行为本质上是依约行使合同解除权。请求权仅能请求相对人为或不为一定行为，并不具备直接否定或撤销另一形成权（如解除权）的功能。因此，如若认定原告享有请求权，在应对类案时，《个人信息保护法》第24条就可能会面临失灵的问题。</w:t>
      </w:r>
    </w:p>
    <w:p w14:paraId="671D6186">
      <w:r>
        <w:rPr>
          <w:rFonts w:hint="eastAsia"/>
        </w:rPr>
        <w:t>第二个案例来自欧盟法院的“OQ案”，</w:t>
      </w:r>
      <w:r>
        <w:rPr>
          <w:rStyle w:val="17"/>
          <w:rFonts w:hint="eastAsia"/>
        </w:rPr>
        <w:footnoteReference w:id="65"/>
      </w:r>
      <w:r>
        <w:rPr>
          <w:rFonts w:hint="eastAsia"/>
        </w:rPr>
        <w:t>该案中，私营信用机构SCHUFA基于自动化决策对原告OQ作出负面信用评价，致使其向第三方申请贷款时遭拒。假定该案发生于我国，本案若从形成权的性质分析，则揭示出另一种问题：形成权</w:t>
      </w:r>
      <w:r>
        <w:t>是指依权利人单方意思表示即可引起法律关系发生、变更或消灭的权利，</w:t>
      </w:r>
      <w:r>
        <w:rPr>
          <w:rStyle w:val="17"/>
          <w:rFonts w:hint="eastAsia"/>
        </w:rPr>
        <w:footnoteReference w:id="66"/>
      </w:r>
      <w:r>
        <w:rPr>
          <w:rFonts w:hint="eastAsia"/>
        </w:rPr>
        <w:t>而第三方作出的“拒绝贷款决定”，本身并未在OQ与贷款机构之间创设任何法律关系，换言之，该决定并未在法律意义上“形成”一项可被形成权直接消灭的法律关系。因此，单纯以形成权解释一般性自动化决策拒绝权依然存在缺陷。</w:t>
      </w:r>
    </w:p>
    <w:p w14:paraId="6D3330C3">
      <w:r>
        <w:rPr>
          <w:rFonts w:hint="eastAsia"/>
        </w:rPr>
        <w:t>基于上述分析，可得出如下认识：第一，将拒绝权单一界定为请求权或形成权，均在具体场景中面临涵摄不足的困境。第二，法律不能仅为保护个人信息自决而无限制地赋予个人拒绝权，否则可能损害实质公平、交易安全与社会法律秩序的稳定性。因此，一般性自动化决策拒绝权应被理解为兼具请求权能与形成权能的复合性权利。其具体表现形态需结合自动化决策所处的实际阶段及所涉行为性质进行判断。</w:t>
      </w:r>
    </w:p>
    <w:p w14:paraId="5FE295EF">
      <w:r>
        <w:rPr>
          <w:rFonts w:hint="eastAsia"/>
        </w:rPr>
        <w:t>遵循以上结论，针对第二个案例，如若OQ对于SCHUFA的结论表示异议，应当行使请求权能，请求SCHUFA撤销其作出的负面信用评价。而在第一个案件中，原告行使的应属一种特殊性质的形成权——即形成反对权。所谓形成反对权，是指法律赋予形成权相对人得以通过行使反对权，使形成权人行使形成权的法律效果在一定程度上不发生作用，虽然其目的在于对抗形成权，但其本质依然属于形成权的一种类型。</w:t>
      </w:r>
      <w:r>
        <w:rPr>
          <w:rStyle w:val="17"/>
          <w:rFonts w:hint="eastAsia"/>
        </w:rPr>
        <w:footnoteReference w:id="67"/>
      </w:r>
      <w:r>
        <w:rPr>
          <w:rFonts w:hint="eastAsia"/>
        </w:rPr>
        <w:t>例如德国法上，房屋承租人有权对出租人的终止租赁合同的通知提出异议，要求继续他们之间的租赁关系。如果结束租赁关系给承租人及其家庭造成的困难，大大超过了继续租赁关系给出租人造成的困难，那么承租人的要求就是合理的。</w:t>
      </w:r>
      <w:r>
        <w:rPr>
          <w:rStyle w:val="17"/>
          <w:rFonts w:hint="eastAsia"/>
        </w:rPr>
        <w:footnoteReference w:id="68"/>
      </w:r>
      <w:r>
        <w:rPr>
          <w:rFonts w:hint="eastAsia"/>
        </w:rPr>
        <w:t>在该例中，出租人行使的是形成权，而承租人提出异议则是在行使形成反对权。同理，在前述第二个案例中，平台依据协议取消订单是行使约定解除权，属于形成权的行使；而用户主张恢复订单则可视为行使一般性自动化决策拒绝权，该拒绝权在此情境下具有形成反对权的性质，旨在对抗平台形成权的法律效果。</w:t>
      </w:r>
    </w:p>
    <w:p w14:paraId="129EDDA6">
      <w:pPr>
        <w:pStyle w:val="4"/>
      </w:pPr>
      <w:r>
        <w:rPr>
          <w:rFonts w:hint="eastAsia"/>
        </w:rPr>
        <w:t>复合性质的限制</w:t>
      </w:r>
    </w:p>
    <w:p w14:paraId="73A9EB63">
      <w:r>
        <w:rPr>
          <w:rFonts w:hint="eastAsia"/>
        </w:rPr>
        <w:t>复合性的权利配置固然为个人信息主体提供了多维度的防御工具，然而，权利的规范预设与其实际效能之间，在制衡机制阙如的情形下，亦难以如愿，应当将法院带入“环路”之中，以作补充。</w:t>
      </w:r>
    </w:p>
    <w:p w14:paraId="58B83D1C">
      <w:r>
        <w:rPr>
          <w:rFonts w:hint="eastAsia"/>
        </w:rPr>
        <w:t>形成权的单方支配性，决定了法院介入的必要性。形成权之特质在于，权利人得依其单方意思表示，直接变动既存之法律关系，无须义务人之给付，亦不存在义务人侵害之可能。</w:t>
      </w:r>
      <w:r>
        <w:rPr>
          <w:rStyle w:val="17"/>
          <w:rFonts w:hint="eastAsia"/>
        </w:rPr>
        <w:footnoteReference w:id="69"/>
      </w:r>
      <w:r>
        <w:rPr>
          <w:rFonts w:hint="eastAsia"/>
        </w:rPr>
        <w:t>若将一般性自动化决策拒绝权定性为形成权，则意味着个体得仅凭自身意思，即可随时退出自动化决策机制。此种单方支配效力，固然有助于强化个体自决，但若放任其不受约束地行使，恐于交易安全不利，亦构成对企业正常经营的不必要侵扰。受困于个体立场，个人可能基于自身利益最大化之动机，滥用拒绝权以对抗平台、攫取不当利益。法院在此便承担着抑制权利滥用的角色，确保拒绝权的行使不背离其制度本旨。</w:t>
      </w:r>
    </w:p>
    <w:p w14:paraId="2F0D36A9">
      <w:r>
        <w:rPr>
          <w:rFonts w:hint="eastAsia"/>
        </w:rPr>
        <w:t>个体专业能力的局限，决定了法院介入的必要性。学界有观点指出，自动化决策本身具有高度的专业性与技术性，数据主体实际能力往往难以匹配制度规范所预设的行权条件。</w:t>
      </w:r>
      <w:r>
        <w:rPr>
          <w:rStyle w:val="17"/>
          <w:rFonts w:hint="eastAsia"/>
        </w:rPr>
        <w:footnoteReference w:id="70"/>
      </w:r>
      <w:r>
        <w:rPr>
          <w:rFonts w:hint="eastAsia"/>
        </w:rPr>
        <w:t>由此引发的反思是：以主体赋权为核心的保护模式，其有效运作以双方地位平等、行权无障碍为基本前提，</w:t>
      </w:r>
      <w:r>
        <w:rPr>
          <w:rStyle w:val="17"/>
          <w:rFonts w:hint="eastAsia"/>
        </w:rPr>
        <w:footnoteReference w:id="71"/>
      </w:r>
      <w:r>
        <w:rPr>
          <w:rFonts w:hint="eastAsia"/>
        </w:rPr>
        <w:t xml:space="preserve">而在算法权力结构失衡的背景下，单纯依赖赋权机制，恐难以实现规范所期许的保护效果。然而，在以权利为中心的《个人信息保护法》体系下，赋权路径仍构成个人信息保护工程的基础性支柱。不能因算法霸权下个体处于弱势地位，便轻言放弃赋权机制，因噎废食。但与此同时，上述批评亦对赋权路径的限度构成有益警醒：个人在行使一般性自动化决策拒绝权时，出于自动化决策结果的复杂性与技术性，个体往往难以依靠自身知识作出准确判断。此时，法院的介入便显得尤为必要。欧盟“YETTEL BULGARIA” EAD </w:t>
      </w:r>
      <w:r>
        <w:rPr>
          <w:rFonts w:ascii="Times New Roman Italic" w:hAnsi="Times New Roman Italic" w:cs="Times New Roman Italic"/>
          <w:i/>
          <w:iCs/>
        </w:rPr>
        <w:t>v</w:t>
      </w:r>
      <w:r>
        <w:rPr>
          <w:rFonts w:ascii="Times New Roman Italic" w:hAnsi="Times New Roman Italic" w:cs="Times New Roman Italic"/>
          <w:i/>
          <w:iCs/>
        </w:rPr>
        <w:t>.</w:t>
      </w:r>
      <w:r>
        <w:rPr>
          <w:rFonts w:hint="eastAsia"/>
        </w:rPr>
        <w:t xml:space="preserve"> FB案为此提供了有益例证。在该案中，保加利亚索非亚地区法院就欧盟《人工智能法案》第86条所涉“对个人决策进行解释的权利”（Right to explanation of individual decision-making）条款，向欧盟法院提请初步裁决。尽管欧盟法院尚未作出具体回应，但其发布的初步裁决请求摘要中，第5个与第6个问题均涉及法院能否对自动化决策系统进行真正的“人工审查”。</w:t>
      </w:r>
      <w:r>
        <w:rPr>
          <w:rStyle w:val="17"/>
          <w:rFonts w:hint="eastAsia"/>
        </w:rPr>
        <w:footnoteReference w:id="72"/>
      </w:r>
      <w:r>
        <w:rPr>
          <w:rFonts w:hint="eastAsia"/>
        </w:rPr>
        <w:t>这一案例表明，欧盟亦已注意到法院在技术时代所应发挥的居中裁判作用——作为公共权力机构，法院或可通过委托专业鉴定、引入专家辅助人等方式，对自动化决策进行专业性、中立性的实质审查。</w:t>
      </w:r>
    </w:p>
    <w:p w14:paraId="28F6C2EB">
      <w:pPr>
        <w:rPr>
          <w:rStyle w:val="17"/>
        </w:rPr>
      </w:pPr>
      <w:r>
        <w:rPr>
          <w:rFonts w:hint="eastAsia"/>
        </w:rPr>
        <w:t>基于以上，一方面，虽然目前我国《个人信息保护法》第24条第3款尚不能被解读为具有形成诉权之效果的条款，但若将一般性自动化决策拒绝权界定为形成权，则宜进一步将其定性为形成诉权，即须经由法院等国家机关方可行使，以避免单方意思表示对既有法律秩序造成不当冲击。另一方面，法院在审理此类案件时，不仅应对拒绝权的构成要件是否齐备予以审慎审查，尚须结合《民法典》第132条所确立的权利禁止滥用原则，对个人信息主体行使拒绝权是否构成权利滥用进行独立判断，以形成有效制约。</w:t>
      </w:r>
    </w:p>
    <w:p w14:paraId="1DA07CD4">
      <w:pPr>
        <w:pStyle w:val="3"/>
        <w:pageBreakBefore/>
      </w:pPr>
      <w:r>
        <w:rPr>
          <w:rFonts w:hint="eastAsia"/>
        </w:rPr>
        <w:t>一般性自动化决策拒绝权的法律效果</w:t>
      </w:r>
    </w:p>
    <w:p w14:paraId="56234D44">
      <w:r>
        <w:rPr>
          <w:rFonts w:hint="eastAsia"/>
        </w:rPr>
        <w:t>对于一般性自动化决策拒绝权的法律效果，有学者主张一般性自动化决策拒绝权包括要求进行人工干预、</w:t>
      </w:r>
      <w:r>
        <w:rPr>
          <w:rStyle w:val="17"/>
          <w:rFonts w:hint="eastAsia"/>
        </w:rPr>
        <w:footnoteReference w:id="73"/>
      </w:r>
      <w:r>
        <w:rPr>
          <w:rFonts w:hint="eastAsia"/>
        </w:rPr>
        <w:t>删除</w:t>
      </w:r>
      <w:r>
        <w:rPr>
          <w:rStyle w:val="17"/>
          <w:rFonts w:hint="eastAsia"/>
        </w:rPr>
        <w:footnoteReference w:id="74"/>
      </w:r>
      <w:r>
        <w:rPr>
          <w:rFonts w:hint="eastAsia"/>
        </w:rPr>
        <w:t>和更正等</w:t>
      </w:r>
      <w:r>
        <w:rPr>
          <w:rStyle w:val="17"/>
          <w:rFonts w:hint="eastAsia"/>
        </w:rPr>
        <w:footnoteReference w:id="75"/>
      </w:r>
      <w:r>
        <w:rPr>
          <w:rFonts w:hint="eastAsia"/>
        </w:rPr>
        <w:t>内容，此种观点存在如下问题：其一，混淆了不同规范来源的权利体系。目前学界普遍将一般性自动化决策拒绝权的权利基础指向《个人信息保护法》第44条。</w:t>
      </w:r>
      <w:r>
        <w:rPr>
          <w:rStyle w:val="17"/>
          <w:rFonts w:hint="eastAsia"/>
        </w:rPr>
        <w:footnoteReference w:id="76"/>
      </w:r>
      <w:r>
        <w:rPr>
          <w:rFonts w:hint="eastAsia"/>
        </w:rPr>
        <w:t>而删除、更正等内容分别规定于第46条与第47条，不应笼统归入“拒绝权”这一概念之下，否则易导致权利体系内部的逻辑混乱。</w:t>
      </w:r>
    </w:p>
    <w:p w14:paraId="2357FCBA">
      <w:r>
        <w:rPr>
          <w:rFonts w:hint="eastAsia"/>
        </w:rPr>
        <w:t>其二，脱离了法条文本的通常文义。《个人信息保护法》第24条第3款仅规定了“有权拒绝”，并未明确列举“人工干预”“删除”“更正”等内容。将这些措施强行解释为“拒绝”的固有内涵，既超出了法律文本的通常语义射程，也超越了普通理性人对“拒绝”一词的合理期待，反而可能因概念泛化而增加权利行使的不确定性。比较法上亦可佐证此立场。GDPR第22（3）条即明确并列规定了“获得人工干预的权利”“表达自身观点的权利”以及“对决定提出质疑的权利”，而没有仅使用“拒绝”一言以蔽之。</w:t>
      </w:r>
    </w:p>
    <w:p w14:paraId="018728F1">
      <w:r>
        <w:rPr>
          <w:rFonts w:hint="eastAsia"/>
        </w:rPr>
        <w:t>综上，一般性自动化决策拒绝权的核心法律效果应限于拒绝权本身的形成权与请求权性质。在形成权层面，其使得决策所产生的法律关系归于无效；在请求权层面，则使个人信息主体有权要求个人信息处理者取消所作出之决策。对于人工干预、删除、更正等权利，虽在功能上可能形成补充，但在规范性质上仍属独立、并行之权利，不宜纳入拒绝权的效力范围。</w:t>
      </w:r>
    </w:p>
    <w:p w14:paraId="393A4FF6">
      <w:pPr>
        <w:pStyle w:val="2"/>
        <w:keepNext/>
        <w:numPr>
          <w:ilvl w:val="255"/>
          <w:numId w:val="0"/>
        </w:numPr>
      </w:pPr>
      <w:r>
        <w:rPr>
          <w:rFonts w:hint="eastAsia"/>
        </w:rPr>
        <w:t>结语</w:t>
      </w:r>
    </w:p>
    <w:p w14:paraId="0D1A62DE">
      <w:r>
        <w:t>在数字化</w:t>
      </w:r>
      <w:r>
        <w:rPr>
          <w:rFonts w:hint="eastAsia"/>
        </w:rPr>
        <w:t>的</w:t>
      </w:r>
      <w:r>
        <w:t>浪潮中，随着技术介入程度的不断加深，个体的声音愈发微弱，能够自主决定的事项范围日益收缩。经过理性审视不难发现，所谓</w:t>
      </w:r>
      <w:r>
        <w:rPr>
          <w:rFonts w:hint="eastAsia"/>
        </w:rPr>
        <w:t>“</w:t>
      </w:r>
      <w:r>
        <w:t>人在环路</w:t>
      </w:r>
      <w:r>
        <w:rPr>
          <w:rFonts w:hint="eastAsia"/>
        </w:rPr>
        <w:t>”</w:t>
      </w:r>
      <w:r>
        <w:t>的设计，或许终究只是对数字世界的一种理想化想象</w:t>
      </w:r>
      <w:r>
        <w:rPr>
          <w:rFonts w:hint="eastAsia"/>
        </w:rPr>
        <w:t>，在算法霸权下，其对于个体的保护微乎其微</w:t>
      </w:r>
      <w:r>
        <w:t>。因此，一方面法律应拓展一般性自动化决策拒绝权的适用范围，</w:t>
      </w:r>
      <w:r>
        <w:rPr>
          <w:rFonts w:hint="eastAsia"/>
        </w:rPr>
        <w:t>突破“完全自动化决策”的藩篱</w:t>
      </w:r>
      <w:r>
        <w:t>，丰富</w:t>
      </w:r>
      <w:r>
        <w:rPr>
          <w:rFonts w:hint="eastAsia"/>
        </w:rPr>
        <w:t>“</w:t>
      </w:r>
      <w:r>
        <w:t>影响个人权益</w:t>
      </w:r>
      <w:r>
        <w:rPr>
          <w:rFonts w:hint="eastAsia"/>
        </w:rPr>
        <w:t>”</w:t>
      </w:r>
      <w:r>
        <w:t>的内涵</w:t>
      </w:r>
      <w:r>
        <w:rPr>
          <w:rFonts w:hint="eastAsia"/>
        </w:rPr>
        <w:t>，以增强个人信息主体于“环路”之中的话语地位</w:t>
      </w:r>
      <w:r>
        <w:t>；另一方面，可通过请求权与形成诉权的双重构造，在扩大权利适用面的同时，将司法引入</w:t>
      </w:r>
      <w:r>
        <w:rPr>
          <w:rFonts w:hint="eastAsia"/>
        </w:rPr>
        <w:t>“环路”</w:t>
      </w:r>
      <w:r>
        <w:t>之中</w:t>
      </w:r>
      <w:r>
        <w:rPr>
          <w:rFonts w:hint="eastAsia"/>
        </w:rPr>
        <w:t>。个体借助一般性自动化拒绝权对技术的异化提出挑战的同时，启动国家机器</w:t>
      </w:r>
      <w:r>
        <w:t>作为居中裁判者，既防止个体失语，也防范个体滥权。</w:t>
      </w:r>
      <w:r>
        <w:rPr>
          <w:rFonts w:hint="eastAsia"/>
        </w:rPr>
        <w:t>最后，还需要强调的是，不宜对</w:t>
      </w:r>
      <w:r>
        <w:t>一般性自动化决策拒绝权</w:t>
      </w:r>
      <w:r>
        <w:rPr>
          <w:rFonts w:hint="eastAsia"/>
        </w:rPr>
        <w:t>抱有太高期待，它</w:t>
      </w:r>
      <w:r>
        <w:t>所承担的使命，</w:t>
      </w:r>
      <w:r>
        <w:rPr>
          <w:rFonts w:hint="eastAsia"/>
        </w:rPr>
        <w:t>仅仅只是在</w:t>
      </w:r>
      <w:r>
        <w:t>尽可能不妨碍科技进步的前提下，为那些被技术浪潮裹挟的个体保留一丝发声的</w:t>
      </w:r>
      <w:r>
        <w:rPr>
          <w:rFonts w:hint="eastAsia"/>
        </w:rPr>
        <w:t>可能，而绝非</w:t>
      </w:r>
      <w:r>
        <w:t>消解数字时代的歧视与无奈</w:t>
      </w:r>
      <w:r>
        <w:rPr>
          <w:rFonts w:hint="eastAsia"/>
        </w:rPr>
        <w:t>。</w:t>
      </w:r>
    </w:p>
    <w:sectPr>
      <w:footnotePr>
        <w:numFmt w:val="decimalEnclosedCircleChinese"/>
        <w:numRestart w:val="eachPage"/>
      </w:footnotePr>
      <w:pgSz w:w="11906" w:h="16838"/>
      <w:pgMar w:top="1440" w:right="1800" w:bottom="1440" w:left="1800" w:header="851" w:footer="992" w:gutter="0"/>
      <w:pgNumType w:fmt="numberInDash"/>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panose1 w:val="020F0702030404030204"/>
    <w:charset w:val="00"/>
    <w:family w:val="swiss"/>
    <w:pitch w:val="default"/>
    <w:sig w:usb0="E10002FF" w:usb1="4000ACFF" w:usb2="00000009" w:usb3="00000000" w:csb0="2000019F" w:csb1="00000000"/>
  </w:font>
  <w:font w:name="SimHei">
    <w:panose1 w:val="02010609060101010101"/>
    <w:charset w:val="86"/>
    <w:family w:val="auto"/>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Times New Roman Italic">
    <w:panose1 w:val="020207030605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微软雅黑">
    <w:panose1 w:val="020B0503020204020204"/>
    <w:charset w:val="86"/>
    <w:family w:val="auto"/>
    <w:pitch w:val="default"/>
    <w:sig w:usb0="80000287" w:usb1="280F3C52" w:usb2="00000016" w:usb3="00000000" w:csb0="0004001F"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54">
    <w:p>
      <w:pPr>
        <w:spacing w:line="360" w:lineRule="auto"/>
        <w:ind w:firstLine="480"/>
      </w:pPr>
      <w:r>
        <w:separator/>
      </w:r>
    </w:p>
  </w:footnote>
  <w:footnote w:type="continuationSeparator" w:id="155">
    <w:p>
      <w:pPr>
        <w:spacing w:line="360" w:lineRule="auto"/>
        <w:ind w:firstLine="480"/>
      </w:pPr>
      <w:r>
        <w:continuationSeparator/>
      </w:r>
    </w:p>
  </w:footnote>
  <w:footnote w:id="0">
    <w:p w14:paraId="4E8542B9">
      <w:pPr>
        <w:pStyle w:val="13"/>
        <w:ind w:firstLine="360"/>
      </w:pPr>
      <w:r>
        <w:rPr>
          <w:rStyle w:val="17"/>
        </w:rPr>
        <w:footnoteRef/>
      </w:r>
      <w:r>
        <w:t xml:space="preserve"> </w:t>
      </w:r>
      <w:r>
        <w:rPr>
          <w:rFonts w:hint="eastAsia"/>
        </w:rPr>
        <w:t xml:space="preserve">Tweedekamer, </w:t>
      </w:r>
      <w:r>
        <w:rPr>
          <w:rFonts w:ascii="Times New Roman Italic" w:hAnsi="Times New Roman Italic" w:cs="Times New Roman Italic"/>
          <w:i/>
          <w:iCs/>
        </w:rPr>
        <w:t>Verslag-Parlementaire ondervragingscommissie Kinderopvangtoeslag Ongekend Onrecht,</w:t>
      </w:r>
      <w:r>
        <w:rPr>
          <w:rFonts w:hint="eastAsia"/>
        </w:rPr>
        <w:t xml:space="preserve"> Tweedekamer</w:t>
      </w:r>
      <w:r>
        <w:t xml:space="preserve"> </w:t>
      </w:r>
      <w:r>
        <w:rPr>
          <w:rFonts w:hint="eastAsia"/>
        </w:rPr>
        <w:t>(Dec. 17, 2020), https://www.tweedekamer.nl/sites/default/files/atoms/files/20201217_eindverslag_parlementaire_ondervragingscommissie_kinderopvangtoeslag.pdf.</w:t>
      </w:r>
    </w:p>
  </w:footnote>
  <w:footnote w:id="1">
    <w:p w14:paraId="695D8746">
      <w:pPr>
        <w:pStyle w:val="13"/>
        <w:ind w:firstLine="360"/>
      </w:pPr>
      <w:r>
        <w:rPr>
          <w:rStyle w:val="17"/>
        </w:rPr>
        <w:footnoteRef/>
      </w:r>
      <w:r>
        <w:t xml:space="preserve"> </w:t>
      </w:r>
      <w:r>
        <w:rPr>
          <w:rFonts w:hint="eastAsia"/>
        </w:rPr>
        <w:t xml:space="preserve">Bas Batelaan, </w:t>
      </w:r>
      <w:r>
        <w:rPr>
          <w:rFonts w:ascii="Times New Roman Italic" w:hAnsi="Times New Roman Italic" w:cs="Times New Roman Italic"/>
          <w:i/>
          <w:iCs/>
        </w:rPr>
        <w:t>UPDATE DUTCH POLITICS: Cabinet Rutte Resigns Following Childcare Benefit Scandal</w:t>
      </w:r>
      <w:r>
        <w:rPr>
          <w:rFonts w:hint="eastAsia"/>
        </w:rPr>
        <w:t>, Public Matters (Jan. 15, 2021), https://publicmatters.nl/en/actueel/update-dutch-politics-cabinet-rutte-resigns-following-childcare-benefit-scandal/.</w:t>
      </w:r>
    </w:p>
  </w:footnote>
  <w:footnote w:id="2">
    <w:p w14:paraId="441B80FD">
      <w:pPr>
        <w:pStyle w:val="13"/>
        <w:ind w:firstLine="360"/>
        <w:rPr>
          <w:rFonts w:eastAsia="宋体"/>
        </w:rPr>
      </w:pPr>
      <w:r>
        <w:rPr>
          <w:rStyle w:val="17"/>
        </w:rPr>
        <w:footnoteRef/>
      </w:r>
      <w:r>
        <w:t xml:space="preserve"> </w:t>
      </w:r>
      <w:r>
        <w:rPr>
          <w:rFonts w:hint="eastAsia"/>
        </w:rPr>
        <w:t>除一般性自动化拒绝权外，我国还在《个人信息保护法》第24条第2款中规定了特殊的信息推送、商业营销自动化决策拒绝权。</w:t>
      </w:r>
    </w:p>
  </w:footnote>
  <w:footnote w:id="3">
    <w:p w14:paraId="6E304DB6">
      <w:pPr>
        <w:pStyle w:val="13"/>
        <w:ind w:firstLine="360"/>
      </w:pPr>
      <w:r>
        <w:rPr>
          <w:rStyle w:val="17"/>
        </w:rPr>
        <w:footnoteRef/>
      </w:r>
      <w:r>
        <w:t xml:space="preserve"> </w:t>
      </w:r>
      <w:r>
        <w:rPr>
          <w:rFonts w:hint="eastAsia"/>
        </w:rPr>
        <w:t>Sandra Wachter</w:t>
      </w:r>
      <w:r>
        <w:t xml:space="preserve">, </w:t>
      </w:r>
      <w:r>
        <w:rPr>
          <w:rFonts w:hint="eastAsia"/>
        </w:rPr>
        <w:t>Brent Mittelstadt</w:t>
      </w:r>
      <w:r>
        <w:t xml:space="preserve"> </w:t>
      </w:r>
      <w:r>
        <w:rPr>
          <w:rFonts w:hint="eastAsia"/>
        </w:rPr>
        <w:t>&amp; Luciano Floridi</w:t>
      </w:r>
      <w:r>
        <w:t xml:space="preserve">, </w:t>
      </w:r>
      <w:r>
        <w:rPr>
          <w:rFonts w:ascii="Times New Roman Italic" w:hAnsi="Times New Roman Italic" w:cs="Times New Roman Italic"/>
          <w:i/>
          <w:iCs/>
        </w:rPr>
        <w:t>Why a Right to Explanation of Automated Decision-Making Does Not Exist in the General Data Protection Regulation</w:t>
      </w:r>
      <w:r>
        <w:t xml:space="preserve">, International Data Privacy Law, </w:t>
      </w:r>
      <w:r>
        <w:rPr>
          <w:rFonts w:hint="eastAsia"/>
        </w:rPr>
        <w:t xml:space="preserve">Vol. 7:2, p. </w:t>
      </w:r>
      <w:r>
        <w:t>76-99 (2017);</w:t>
      </w:r>
      <w:r>
        <w:rPr>
          <w:rFonts w:hint="eastAsia"/>
        </w:rPr>
        <w:t xml:space="preserve"> </w:t>
      </w:r>
      <w:r>
        <w:t xml:space="preserve">Maja Brkan, </w:t>
      </w:r>
      <w:r>
        <w:rPr>
          <w:rFonts w:ascii="Times New Roman Italic" w:hAnsi="Times New Roman Italic" w:cs="Times New Roman Italic"/>
          <w:i/>
          <w:iCs/>
        </w:rPr>
        <w:t>Do Algorithms Rule the World? Algorithmic Decision-making and Data Protection in the Framework of the GDPR and Beyond</w:t>
      </w:r>
      <w:r>
        <w:t xml:space="preserve">, International Journal of Law and Information Technology, </w:t>
      </w:r>
      <w:r>
        <w:rPr>
          <w:rFonts w:hint="eastAsia"/>
        </w:rPr>
        <w:t xml:space="preserve">Vol. </w:t>
      </w:r>
      <w:r>
        <w:t>2</w:t>
      </w:r>
      <w:r>
        <w:rPr>
          <w:rFonts w:hint="eastAsia"/>
        </w:rPr>
        <w:t>7:2</w:t>
      </w:r>
      <w:r>
        <w:t xml:space="preserve">, </w:t>
      </w:r>
      <w:r>
        <w:rPr>
          <w:rFonts w:hint="eastAsia"/>
        </w:rPr>
        <w:t xml:space="preserve">p. </w:t>
      </w:r>
      <w:r>
        <w:t>108-109 (2019).</w:t>
      </w:r>
    </w:p>
  </w:footnote>
  <w:footnote w:id="4">
    <w:p w14:paraId="4E223D39">
      <w:pPr>
        <w:pStyle w:val="13"/>
        <w:ind w:firstLine="360"/>
      </w:pPr>
      <w:r>
        <w:rPr>
          <w:rStyle w:val="17"/>
        </w:rPr>
        <w:footnoteRef/>
      </w:r>
      <w:r>
        <w:t xml:space="preserve"> </w:t>
      </w:r>
      <w:r>
        <w:rPr>
          <w:rFonts w:hint="eastAsia"/>
        </w:rPr>
        <w:t xml:space="preserve">Meg L Jones, </w:t>
      </w:r>
      <w:r>
        <w:rPr>
          <w:rFonts w:ascii="Times New Roman Italic" w:hAnsi="Times New Roman Italic" w:cs="Times New Roman Italic"/>
          <w:i/>
          <w:iCs/>
        </w:rPr>
        <w:t>The Right to a Human in the Loop: Political Constructions of Computer Automation and Personhood,</w:t>
      </w:r>
      <w:r>
        <w:rPr>
          <w:rFonts w:hint="eastAsia"/>
        </w:rPr>
        <w:t xml:space="preserve"> Social Studies of Science, Vol.</w:t>
      </w:r>
      <w:r>
        <w:t xml:space="preserve"> </w:t>
      </w:r>
      <w:r>
        <w:rPr>
          <w:rFonts w:hint="eastAsia"/>
        </w:rPr>
        <w:t>47</w:t>
      </w:r>
      <w:r>
        <w:t>:</w:t>
      </w:r>
      <w:r>
        <w:rPr>
          <w:rFonts w:hint="eastAsia"/>
        </w:rPr>
        <w:t>2</w:t>
      </w:r>
      <w:r>
        <w:t>,</w:t>
      </w:r>
      <w:r>
        <w:rPr>
          <w:rFonts w:hint="eastAsia"/>
        </w:rPr>
        <w:t xml:space="preserve"> p. 225 (2017)</w:t>
      </w:r>
      <w:r>
        <w:t xml:space="preserve">; </w:t>
      </w:r>
      <w:r>
        <w:rPr>
          <w:rFonts w:hint="eastAsia"/>
        </w:rPr>
        <w:t>Guillermo Lazcoz</w:t>
      </w:r>
      <w:r>
        <w:t xml:space="preserve"> </w:t>
      </w:r>
      <w:r>
        <w:rPr>
          <w:rFonts w:hint="eastAsia"/>
        </w:rPr>
        <w:t>&amp;</w:t>
      </w:r>
      <w:r>
        <w:t xml:space="preserve"> </w:t>
      </w:r>
      <w:r>
        <w:rPr>
          <w:rFonts w:hint="eastAsia"/>
        </w:rPr>
        <w:t>Paul de Hert,</w:t>
      </w:r>
      <w:r>
        <w:rPr>
          <w:rFonts w:ascii="Times New Roman Italic" w:hAnsi="Times New Roman Italic" w:cs="Times New Roman Italic"/>
          <w:i/>
          <w:iCs/>
        </w:rPr>
        <w:t xml:space="preserve"> Humans in the GDPR and AIA Governance of Automated and Algorithmic Systems. Essential Pre-requisites Against Abdicating Responsibilities</w:t>
      </w:r>
      <w:r>
        <w:rPr>
          <w:rFonts w:hint="eastAsia"/>
        </w:rPr>
        <w:t>,</w:t>
      </w:r>
      <w:r>
        <w:t xml:space="preserve"> </w:t>
      </w:r>
      <w:r>
        <w:rPr>
          <w:rFonts w:hint="eastAsia"/>
        </w:rPr>
        <w:t>Computer Law &amp; Security Review, Vol.</w:t>
      </w:r>
      <w:r>
        <w:t xml:space="preserve"> 8:3</w:t>
      </w:r>
      <w:r>
        <w:rPr>
          <w:rFonts w:hint="eastAsia"/>
        </w:rPr>
        <w:t>2</w:t>
      </w:r>
      <w:r>
        <w:t>,</w:t>
      </w:r>
      <w:r>
        <w:rPr>
          <w:rFonts w:hint="eastAsia"/>
        </w:rPr>
        <w:t xml:space="preserve"> p.</w:t>
      </w:r>
      <w:r>
        <w:t xml:space="preserve"> </w:t>
      </w:r>
      <w:r>
        <w:rPr>
          <w:rFonts w:hint="eastAsia"/>
        </w:rPr>
        <w:t>1</w:t>
      </w:r>
      <w:r>
        <w:t>-</w:t>
      </w:r>
      <w:r>
        <w:rPr>
          <w:rFonts w:hint="eastAsia"/>
        </w:rPr>
        <w:t>20</w:t>
      </w:r>
      <w:r>
        <w:t xml:space="preserve"> (</w:t>
      </w:r>
      <w:r>
        <w:rPr>
          <w:rFonts w:hint="eastAsia"/>
        </w:rPr>
        <w:t>2023</w:t>
      </w:r>
      <w:r>
        <w:t>).</w:t>
      </w:r>
    </w:p>
  </w:footnote>
  <w:footnote w:id="5">
    <w:p w14:paraId="12938229">
      <w:pPr>
        <w:pStyle w:val="13"/>
        <w:ind w:firstLine="360"/>
      </w:pPr>
      <w:r>
        <w:rPr>
          <w:rStyle w:val="17"/>
        </w:rPr>
        <w:footnoteRef/>
      </w:r>
      <w:r>
        <w:t xml:space="preserve"> </w:t>
      </w:r>
      <w:r>
        <w:rPr>
          <w:rFonts w:hint="eastAsia"/>
        </w:rPr>
        <w:t>王苑：《完全自动化决策拒绝权之正当性及其实现路径——以〈个人信息保护法〉第24条第3款为中心》，载《法学家》2022年第5期；孙跃元、许建峰：《商业算法自动化决策的私权构建与实现》，载《中州学刊》2024第2期；李晓辉：《自动化决策拒绝权的属性、功能与限度》，载《法学》2024年第7期。</w:t>
      </w:r>
    </w:p>
  </w:footnote>
  <w:footnote w:id="6">
    <w:p w14:paraId="3FF51930">
      <w:pPr>
        <w:pStyle w:val="13"/>
        <w:ind w:firstLine="360"/>
      </w:pPr>
      <w:r>
        <w:rPr>
          <w:rStyle w:val="17"/>
        </w:rPr>
        <w:footnoteRef/>
      </w:r>
      <w:r>
        <w:rPr>
          <w:rFonts w:hint="eastAsia"/>
        </w:rPr>
        <w:t xml:space="preserve"> 崔靖梓：《自动化决策拒绝权的整体主义实现》，载《华中科技大学学报（社会科学版）》2024年第2期。</w:t>
      </w:r>
    </w:p>
  </w:footnote>
  <w:footnote w:id="7">
    <w:p w14:paraId="38D42C6A">
      <w:pPr>
        <w:pStyle w:val="13"/>
        <w:ind w:firstLine="360"/>
      </w:pPr>
      <w:r>
        <w:rPr>
          <w:rStyle w:val="17"/>
        </w:rPr>
        <w:footnoteRef/>
      </w:r>
      <w:r>
        <w:t xml:space="preserve"> </w:t>
      </w:r>
      <w:r>
        <w:rPr>
          <w:rFonts w:hint="eastAsia"/>
        </w:rPr>
        <w:t>伊卫风：《算法自动决策中的人为歧视及规制》，载《南大法学》2021年第３期。</w:t>
      </w:r>
    </w:p>
  </w:footnote>
  <w:footnote w:id="8">
    <w:p w14:paraId="3EB8C084">
      <w:pPr>
        <w:pStyle w:val="13"/>
        <w:ind w:firstLine="360"/>
      </w:pPr>
      <w:r>
        <w:rPr>
          <w:rStyle w:val="17"/>
        </w:rPr>
        <w:footnoteRef/>
      </w:r>
      <w:r>
        <w:t xml:space="preserve"> STATE of Wisconsin, Plaintiff-Respondent, </w:t>
      </w:r>
      <w:r>
        <w:rPr>
          <w:rFonts w:ascii="Times New Roman Italic" w:hAnsi="Times New Roman Italic" w:cs="Times New Roman Italic"/>
          <w:i/>
          <w:iCs/>
        </w:rPr>
        <w:t xml:space="preserve">v. </w:t>
      </w:r>
      <w:r>
        <w:t>Eric L. LOOMIS, 881 N.W.2d 749 (2016).</w:t>
      </w:r>
    </w:p>
  </w:footnote>
  <w:footnote w:id="9">
    <w:p w14:paraId="50BE51E8">
      <w:pPr>
        <w:pStyle w:val="13"/>
        <w:ind w:firstLine="360"/>
      </w:pPr>
      <w:r>
        <w:rPr>
          <w:rStyle w:val="17"/>
        </w:rPr>
        <w:footnoteRef/>
      </w:r>
      <w:r>
        <w:t xml:space="preserve"> ,</w:t>
      </w:r>
      <w:r>
        <w:rPr>
          <w:rFonts w:ascii="Times New Roman Italic" w:hAnsi="Times New Roman Italic" w:cs="Times New Roman Italic"/>
          <w:i/>
          <w:iCs/>
        </w:rPr>
        <w:t>Big Data: A Report on Algorithmic Systems, Opportunity, and Civil Rights</w:t>
      </w:r>
      <w:r>
        <w:t>,</w:t>
      </w:r>
      <w:r>
        <w:rPr>
          <w:highlight w:val="none"/>
        </w:rPr>
        <w:t xml:space="preserve"> Executive Office of the President</w:t>
      </w:r>
      <w:r>
        <w:t xml:space="preserve"> </w:t>
      </w:r>
      <w:r>
        <w:rPr>
          <w:highlight w:val="none"/>
        </w:rPr>
        <w:t xml:space="preserve">Press, 2016, </w:t>
      </w:r>
      <w:r>
        <w:t>p. 16-18.</w:t>
      </w:r>
    </w:p>
  </w:footnote>
  <w:footnote w:id="10">
    <w:p w14:paraId="305915D6">
      <w:pPr>
        <w:pStyle w:val="13"/>
        <w:ind w:firstLine="360"/>
      </w:pPr>
      <w:r>
        <w:rPr>
          <w:rStyle w:val="17"/>
        </w:rPr>
        <w:footnoteRef/>
      </w:r>
      <w:r>
        <w:t xml:space="preserve"> </w:t>
      </w:r>
      <w:r>
        <w:rPr>
          <w:rFonts w:hint="eastAsia"/>
        </w:rPr>
        <w:t xml:space="preserve">Ari Ezra Waldman, </w:t>
      </w:r>
      <w:r>
        <w:rPr>
          <w:rFonts w:hint="eastAsia"/>
          <w:i/>
          <w:iCs/>
        </w:rPr>
        <w:t xml:space="preserve">Power, </w:t>
      </w:r>
      <w:r>
        <w:rPr>
          <w:rFonts w:ascii="Times New Roman Italic" w:hAnsi="Times New Roman Italic" w:cs="Times New Roman Italic"/>
          <w:i/>
          <w:iCs/>
        </w:rPr>
        <w:t>Process, and Automated Decision-Making</w:t>
      </w:r>
      <w:r>
        <w:rPr>
          <w:rFonts w:hint="eastAsia"/>
        </w:rPr>
        <w:t>, Fordham Law Review, Vol.</w:t>
      </w:r>
      <w:r>
        <w:t xml:space="preserve"> 88,</w:t>
      </w:r>
      <w:r>
        <w:rPr>
          <w:rFonts w:hint="eastAsia"/>
        </w:rPr>
        <w:t xml:space="preserve"> p. 613-632 (2019).</w:t>
      </w:r>
    </w:p>
  </w:footnote>
  <w:footnote w:id="11">
    <w:p w14:paraId="64A78370">
      <w:pPr>
        <w:pStyle w:val="13"/>
        <w:ind w:firstLine="360"/>
      </w:pPr>
      <w:r>
        <w:rPr>
          <w:rStyle w:val="17"/>
        </w:rPr>
        <w:footnoteRef/>
      </w:r>
      <w:r>
        <w:t xml:space="preserve"> </w:t>
      </w:r>
      <w:r>
        <w:rPr>
          <w:rFonts w:hint="eastAsia"/>
        </w:rPr>
        <w:t xml:space="preserve">Kathleen Mosier et al, </w:t>
      </w:r>
      <w:r>
        <w:rPr>
          <w:rFonts w:ascii="Times New Roman Italic" w:hAnsi="Times New Roman Italic" w:cs="Times New Roman Italic"/>
          <w:i/>
          <w:iCs/>
        </w:rPr>
        <w:t>Automation Bias: Decision Making and Performance in High-Tech Cockpits</w:t>
      </w:r>
      <w:r>
        <w:t>,</w:t>
      </w:r>
      <w:r>
        <w:rPr>
          <w:rFonts w:hint="eastAsia"/>
        </w:rPr>
        <w:t xml:space="preserve"> International Journal of Aviation Psychology</w:t>
      </w:r>
      <w:r>
        <w:t>,</w:t>
      </w:r>
      <w:r>
        <w:rPr>
          <w:rFonts w:hint="eastAsia"/>
        </w:rPr>
        <w:t xml:space="preserve"> Vol.</w:t>
      </w:r>
      <w:r>
        <w:t xml:space="preserve"> 8:1,</w:t>
      </w:r>
      <w:r>
        <w:rPr>
          <w:rFonts w:hint="eastAsia"/>
        </w:rPr>
        <w:t xml:space="preserve"> p. </w:t>
      </w:r>
      <w:r>
        <w:t xml:space="preserve">47-63 </w:t>
      </w:r>
      <w:r>
        <w:rPr>
          <w:rFonts w:hint="eastAsia"/>
        </w:rPr>
        <w:t>(1997)</w:t>
      </w:r>
      <w:r>
        <w:t>.</w:t>
      </w:r>
    </w:p>
  </w:footnote>
  <w:footnote w:id="12">
    <w:p w14:paraId="096A5195">
      <w:pPr>
        <w:pStyle w:val="13"/>
        <w:ind w:firstLine="360"/>
      </w:pPr>
      <w:r>
        <w:rPr>
          <w:rStyle w:val="17"/>
        </w:rPr>
        <w:footnoteRef/>
      </w:r>
      <w:r>
        <w:t xml:space="preserve"> Diego Machado </w:t>
      </w:r>
      <w:r>
        <w:rPr>
          <w:rFonts w:hint="eastAsia"/>
        </w:rPr>
        <w:t>&amp;</w:t>
      </w:r>
      <w:r>
        <w:t xml:space="preserve"> </w:t>
      </w:r>
      <w:r>
        <w:rPr>
          <w:rFonts w:hint="eastAsia"/>
        </w:rPr>
        <w:t>Lucas Anjos</w:t>
      </w:r>
      <w:r>
        <w:t xml:space="preserve">, </w:t>
      </w:r>
      <w:r>
        <w:rPr>
          <w:rFonts w:ascii="Times New Roman Italic" w:hAnsi="Times New Roman Italic" w:cs="Times New Roman Italic"/>
          <w:i/>
          <w:iCs/>
        </w:rPr>
        <w:t>Is</w:t>
      </w:r>
      <w:r>
        <w:t xml:space="preserve"> </w:t>
      </w:r>
      <w:r>
        <w:rPr>
          <w:rFonts w:ascii="Times New Roman Italic" w:hAnsi="Times New Roman Italic" w:cs="Times New Roman Italic"/>
          <w:i/>
          <w:iCs/>
        </w:rPr>
        <w:t>that a Fully Automated Decision? Comparing ADM Regulation under EU and Brazil’s Data Protection Law</w:t>
      </w:r>
      <w:r>
        <w:t>, International Data Privacy Law,</w:t>
      </w:r>
      <w:r>
        <w:rPr>
          <w:rFonts w:hint="eastAsia"/>
        </w:rPr>
        <w:t xml:space="preserve"> Vol.</w:t>
      </w:r>
      <w:r>
        <w:t xml:space="preserve"> 15:4,</w:t>
      </w:r>
      <w:r>
        <w:rPr>
          <w:rFonts w:hint="eastAsia"/>
        </w:rPr>
        <w:t xml:space="preserve"> p.</w:t>
      </w:r>
      <w:r>
        <w:t xml:space="preserve"> 1-26 (2025).</w:t>
      </w:r>
    </w:p>
  </w:footnote>
  <w:footnote w:id="13">
    <w:p w14:paraId="4EC87833">
      <w:pPr>
        <w:pStyle w:val="13"/>
        <w:ind w:firstLine="360"/>
      </w:pPr>
      <w:r>
        <w:rPr>
          <w:rStyle w:val="17"/>
        </w:rPr>
        <w:footnoteRef/>
      </w:r>
      <w:r>
        <w:t xml:space="preserve"> Paris Martineau, </w:t>
      </w:r>
      <w:r>
        <w:rPr>
          <w:rFonts w:ascii="Times New Roman Italic" w:hAnsi="Times New Roman Italic" w:cs="Times New Roman Italic"/>
          <w:i/>
          <w:iCs/>
        </w:rPr>
        <w:t xml:space="preserve">Toronto Tapped Artificial Intelligence to Warn Swimmers, The Experiment Failed, </w:t>
      </w:r>
      <w:r>
        <w:rPr>
          <w:rFonts w:hint="eastAsia"/>
        </w:rPr>
        <w:t xml:space="preserve">The Information </w:t>
      </w:r>
      <w:r>
        <w:t>(Nov. 4, 2022), https://www.theinformation.com/articles/when-artificial-intelligence-isnt-smarter.</w:t>
      </w:r>
    </w:p>
  </w:footnote>
  <w:footnote w:id="14">
    <w:p w14:paraId="7BB829C5">
      <w:pPr>
        <w:pStyle w:val="13"/>
        <w:ind w:firstLine="360"/>
      </w:pPr>
      <w:r>
        <w:rPr>
          <w:rStyle w:val="17"/>
        </w:rPr>
        <w:footnoteRef/>
      </w:r>
      <w:r>
        <w:t xml:space="preserve"> Samantha Cole, </w:t>
      </w:r>
      <w:r>
        <w:rPr>
          <w:rFonts w:ascii="Times New Roman Italic" w:hAnsi="Times New Roman Italic" w:cs="Times New Roman Italic"/>
          <w:i/>
          <w:iCs/>
        </w:rPr>
        <w:t>Amazon Pulled the Plug on an AI Recruitment Tool That Was Biased Against Women</w:t>
      </w:r>
      <w:r>
        <w:t>, VICE, (Oct. 10, 2018), https://www.vice.com/en/article/amazon-ai-recruitment-hiring-tool-gender-bias/.</w:t>
      </w:r>
    </w:p>
  </w:footnote>
  <w:footnote w:id="15">
    <w:p w14:paraId="63276453">
      <w:pPr>
        <w:pStyle w:val="13"/>
        <w:ind w:firstLine="360"/>
      </w:pPr>
      <w:r>
        <w:rPr>
          <w:rStyle w:val="17"/>
        </w:rPr>
        <w:footnoteRef/>
      </w:r>
      <w:r>
        <w:t xml:space="preserve"> </w:t>
      </w:r>
      <w:r>
        <w:rPr>
          <w:rFonts w:hint="eastAsia"/>
        </w:rPr>
        <w:t>英文原文为“The data subject shall have the right not to be subject to a decision based solely on automated processing</w:t>
      </w:r>
      <w:r>
        <w:t>.</w:t>
      </w:r>
      <w:r>
        <w:rPr>
          <w:rFonts w:hint="eastAsia"/>
        </w:rPr>
        <w:t>”</w:t>
      </w:r>
    </w:p>
  </w:footnote>
  <w:footnote w:id="16">
    <w:p w14:paraId="7940A46F">
      <w:pPr>
        <w:pStyle w:val="13"/>
        <w:ind w:firstLine="360"/>
      </w:pPr>
      <w:r>
        <w:rPr>
          <w:rStyle w:val="17"/>
        </w:rPr>
        <w:footnoteRef/>
      </w:r>
      <w:r>
        <w:t xml:space="preserve"> </w:t>
      </w:r>
      <w:r>
        <w:rPr>
          <w:rFonts w:hint="eastAsia"/>
        </w:rPr>
        <w:t>Sandra Wachter</w:t>
      </w:r>
      <w:r>
        <w:t xml:space="preserve">, </w:t>
      </w:r>
      <w:r>
        <w:rPr>
          <w:rFonts w:hint="eastAsia"/>
        </w:rPr>
        <w:t>Brent Mittelstadt</w:t>
      </w:r>
      <w:r>
        <w:t xml:space="preserve"> </w:t>
      </w:r>
      <w:r>
        <w:rPr>
          <w:rFonts w:hint="eastAsia"/>
        </w:rPr>
        <w:t>&amp; Luciano Floridi</w:t>
      </w:r>
      <w:r>
        <w:t xml:space="preserve">, </w:t>
      </w:r>
      <w:r>
        <w:rPr>
          <w:rFonts w:ascii="Times New Roman Italic" w:hAnsi="Times New Roman Italic" w:cs="Times New Roman Italic"/>
          <w:i/>
          <w:iCs/>
        </w:rPr>
        <w:t>Why a Right to Explanation of Automated Decision-Making Does Not Exist in the General Data Protection Regulation</w:t>
      </w:r>
      <w:r>
        <w:t xml:space="preserve">, International Data Privacy Law, </w:t>
      </w:r>
      <w:r>
        <w:rPr>
          <w:rFonts w:hint="eastAsia"/>
        </w:rPr>
        <w:t>Vol. 7:2, p.</w:t>
      </w:r>
      <w:r>
        <w:t xml:space="preserve"> </w:t>
      </w:r>
      <w:r>
        <w:rPr>
          <w:rFonts w:hint="eastAsia"/>
        </w:rPr>
        <w:t>94</w:t>
      </w:r>
      <w:r>
        <w:t>-9</w:t>
      </w:r>
      <w:r>
        <w:rPr>
          <w:rFonts w:hint="eastAsia"/>
        </w:rPr>
        <w:t>5</w:t>
      </w:r>
      <w:r>
        <w:t xml:space="preserve"> (2017).</w:t>
      </w:r>
    </w:p>
  </w:footnote>
  <w:footnote w:id="17">
    <w:p w14:paraId="3FF11FD3">
      <w:pPr>
        <w:pStyle w:val="13"/>
        <w:ind w:firstLine="360"/>
      </w:pPr>
      <w:r>
        <w:rPr>
          <w:rStyle w:val="17"/>
        </w:rPr>
        <w:footnoteRef/>
      </w:r>
      <w:r>
        <w:t xml:space="preserve"> </w:t>
      </w:r>
      <w:r>
        <w:rPr>
          <w:rFonts w:hint="eastAsia"/>
        </w:rPr>
        <w:t>王文胜：《论请求权基础规范的识别》，载《法学家》2025年第3期。</w:t>
      </w:r>
    </w:p>
  </w:footnote>
  <w:footnote w:id="18">
    <w:p w14:paraId="205EB1E7">
      <w:pPr>
        <w:pStyle w:val="13"/>
        <w:ind w:firstLine="360"/>
      </w:pPr>
      <w:r>
        <w:rPr>
          <w:rStyle w:val="17"/>
        </w:rPr>
        <w:footnoteRef/>
      </w:r>
      <w:r>
        <w:t xml:space="preserve"> </w:t>
      </w:r>
      <w:r>
        <w:rPr>
          <w:rFonts w:hint="eastAsia"/>
        </w:rPr>
        <w:t>GDPR 第22（2）条：第1款的规定不适用以下决定：（a）为缔结、履行以数据主体和数据控制者为当事人的合同所必要；（b）经数据控制者遵守的欧盟或成员国法律授权，且该法律规定了适当的措施以保障数据主体的权利、自由和合法利益；（c）基于数据主体明确同意。</w:t>
      </w:r>
    </w:p>
  </w:footnote>
  <w:footnote w:id="19">
    <w:p w14:paraId="6BDBB2FF">
      <w:pPr>
        <w:pStyle w:val="13"/>
        <w:ind w:firstLine="360"/>
      </w:pPr>
      <w:r>
        <w:rPr>
          <w:rStyle w:val="17"/>
        </w:rPr>
        <w:footnoteRef/>
      </w:r>
      <w:r>
        <w:t xml:space="preserve"> Article 29 Data Protection Working Party, </w:t>
      </w:r>
      <w:r>
        <w:rPr>
          <w:rFonts w:ascii="Times New Roman Italic" w:hAnsi="Times New Roman Italic" w:cs="Times New Roman Italic"/>
          <w:i/>
          <w:iCs/>
        </w:rPr>
        <w:t>Guidelines on Automated Individual Decision-making and Profiling for the Purposes of Regulation</w:t>
      </w:r>
      <w:r>
        <w:t>, adopted on 3 October 2017, as last revised and adopted on 6 February 2018, WP 251 rev. 01, p.21-22.</w:t>
      </w:r>
    </w:p>
  </w:footnote>
  <w:footnote w:id="20">
    <w:p w14:paraId="666ED6CC">
      <w:pPr>
        <w:pStyle w:val="13"/>
        <w:ind w:firstLine="360"/>
      </w:pPr>
      <w:r>
        <w:rPr>
          <w:rStyle w:val="17"/>
        </w:rPr>
        <w:footnoteRef/>
      </w:r>
      <w:r>
        <w:t xml:space="preserve"> Law Enforcement Directive, Article 11.</w:t>
      </w:r>
    </w:p>
  </w:footnote>
  <w:footnote w:id="21">
    <w:p w14:paraId="45333B2F">
      <w:pPr>
        <w:pStyle w:val="13"/>
        <w:ind w:firstLine="360"/>
      </w:pPr>
      <w:r>
        <w:rPr>
          <w:rStyle w:val="17"/>
        </w:rPr>
        <w:footnoteRef/>
      </w:r>
      <w:r>
        <w:t xml:space="preserve"> OQ </w:t>
      </w:r>
      <w:r>
        <w:rPr>
          <w:rFonts w:ascii="Times New Roman Italic" w:hAnsi="Times New Roman Italic" w:cs="Times New Roman Italic"/>
          <w:i/>
          <w:iCs/>
          <w:highlight w:val="none"/>
        </w:rPr>
        <w:t>v.</w:t>
      </w:r>
      <w:r>
        <w:t xml:space="preserve"> Land Hesse, Case C-634/21 (</w:t>
      </w:r>
      <w:r>
        <w:rPr>
          <w:highlight w:val="none"/>
        </w:rPr>
        <w:t>2022)</w:t>
      </w:r>
      <w:r>
        <w:t>.</w:t>
      </w:r>
    </w:p>
  </w:footnote>
  <w:footnote w:id="22">
    <w:p w14:paraId="59724334">
      <w:pPr>
        <w:pStyle w:val="13"/>
        <w:ind w:firstLine="360"/>
      </w:pPr>
      <w:r>
        <w:rPr>
          <w:rStyle w:val="17"/>
        </w:rPr>
        <w:footnoteRef/>
      </w:r>
      <w:r>
        <w:t xml:space="preserve"> European Data Protection Board, </w:t>
      </w:r>
      <w:r>
        <w:rPr>
          <w:rFonts w:ascii="Times New Roman Italic" w:hAnsi="Times New Roman Italic" w:cs="Times New Roman Italic"/>
          <w:i/>
          <w:iCs/>
        </w:rPr>
        <w:t>Endorsement of GDPR WP29 Guidelines by the EDPB</w:t>
      </w:r>
      <w:r>
        <w:t>, (May. 25,2018), https://www.edpb.europa.eu/news/news/2018/endorsement-gdpr-wp29-guidelines-edpb_en.</w:t>
      </w:r>
    </w:p>
  </w:footnote>
  <w:footnote w:id="23">
    <w:p w14:paraId="0F890686">
      <w:pPr>
        <w:pStyle w:val="13"/>
        <w:ind w:firstLine="360"/>
      </w:pPr>
      <w:r>
        <w:rPr>
          <w:rStyle w:val="17"/>
        </w:rPr>
        <w:footnoteRef/>
      </w:r>
      <w:r>
        <w:t xml:space="preserve"> </w:t>
      </w:r>
      <w:r>
        <w:rPr>
          <w:rFonts w:hint="eastAsia"/>
        </w:rPr>
        <w:t>Sandra Wachter</w:t>
      </w:r>
      <w:r>
        <w:t xml:space="preserve">, </w:t>
      </w:r>
      <w:r>
        <w:rPr>
          <w:rFonts w:hint="eastAsia"/>
        </w:rPr>
        <w:t>Brent Mittelstadt</w:t>
      </w:r>
      <w:r>
        <w:t xml:space="preserve"> </w:t>
      </w:r>
      <w:r>
        <w:rPr>
          <w:rFonts w:hint="eastAsia"/>
        </w:rPr>
        <w:t>&amp; Luciano Floridi</w:t>
      </w:r>
      <w:r>
        <w:t xml:space="preserve">, Why a Right to Explanation of Automated Decision-Making Does Not Exist in the General Data Protection Regulation, International Data Privacy Law, </w:t>
      </w:r>
      <w:r>
        <w:rPr>
          <w:rFonts w:hint="eastAsia"/>
        </w:rPr>
        <w:t>Vol. 7:2, p.</w:t>
      </w:r>
      <w:r>
        <w:t xml:space="preserve"> </w:t>
      </w:r>
      <w:r>
        <w:rPr>
          <w:rFonts w:hint="eastAsia"/>
        </w:rPr>
        <w:t>94</w:t>
      </w:r>
      <w:r>
        <w:t xml:space="preserve"> (2017).</w:t>
      </w:r>
    </w:p>
  </w:footnote>
  <w:footnote w:id="24">
    <w:p w14:paraId="16CBF3FC">
      <w:pPr>
        <w:pStyle w:val="13"/>
        <w:ind w:firstLine="360"/>
      </w:pPr>
      <w:r>
        <w:rPr>
          <w:rStyle w:val="17"/>
        </w:rPr>
        <w:footnoteRef/>
      </w:r>
      <w:r>
        <w:t xml:space="preserve"> Reuben Binns </w:t>
      </w:r>
      <w:r>
        <w:rPr>
          <w:rFonts w:hint="eastAsia"/>
        </w:rPr>
        <w:t>&amp;</w:t>
      </w:r>
      <w:r>
        <w:t xml:space="preserve"> Michael Veale, </w:t>
      </w:r>
      <w:r>
        <w:rPr>
          <w:rFonts w:ascii="Times New Roman Italic" w:hAnsi="Times New Roman Italic" w:cs="Times New Roman Italic"/>
          <w:i/>
          <w:iCs/>
        </w:rPr>
        <w:t>Is that Your Final Decision? Multi-stage Profiling, Selective Effects, and Article 22 of the GDPR</w:t>
      </w:r>
      <w:r>
        <w:t xml:space="preserve">, International Data Privacy Law, </w:t>
      </w:r>
      <w:r>
        <w:rPr>
          <w:rFonts w:hint="eastAsia"/>
        </w:rPr>
        <w:t xml:space="preserve">Vol. </w:t>
      </w:r>
      <w:r>
        <w:t>11</w:t>
      </w:r>
      <w:r>
        <w:rPr>
          <w:rFonts w:hint="eastAsia"/>
        </w:rPr>
        <w:t>:</w:t>
      </w:r>
      <w:r>
        <w:t>4</w:t>
      </w:r>
      <w:r>
        <w:rPr>
          <w:rFonts w:hint="eastAsia"/>
        </w:rPr>
        <w:t>, p.</w:t>
      </w:r>
      <w:r>
        <w:t xml:space="preserve"> 331-332 (2021).</w:t>
      </w:r>
    </w:p>
  </w:footnote>
  <w:footnote w:id="25">
    <w:p w14:paraId="295BD1F5">
      <w:pPr>
        <w:pStyle w:val="13"/>
        <w:ind w:firstLine="360"/>
      </w:pPr>
      <w:r>
        <w:rPr>
          <w:rStyle w:val="17"/>
        </w:rPr>
        <w:footnoteRef/>
      </w:r>
      <w:r>
        <w:t xml:space="preserve"> Maja Brkan, </w:t>
      </w:r>
      <w:r>
        <w:rPr>
          <w:rFonts w:ascii="Times New Roman Italic" w:hAnsi="Times New Roman Italic" w:cs="Times New Roman Italic"/>
          <w:i/>
          <w:iCs/>
        </w:rPr>
        <w:t>Do Algorithms Rule the World? Algorithmic Decision-making and Data Protection in the Framework of the GDPR and Beyond</w:t>
      </w:r>
      <w:r>
        <w:t xml:space="preserve">, International Journal of Law and Information Technology, </w:t>
      </w:r>
      <w:r>
        <w:rPr>
          <w:rFonts w:hint="eastAsia"/>
        </w:rPr>
        <w:t xml:space="preserve">Vol. </w:t>
      </w:r>
      <w:r>
        <w:t>27</w:t>
      </w:r>
      <w:r>
        <w:rPr>
          <w:rFonts w:hint="eastAsia"/>
        </w:rPr>
        <w:t>:</w:t>
      </w:r>
      <w:r>
        <w:t>2</w:t>
      </w:r>
      <w:r>
        <w:rPr>
          <w:rFonts w:hint="eastAsia"/>
        </w:rPr>
        <w:t>, p.</w:t>
      </w:r>
      <w:r>
        <w:t xml:space="preserve"> 91-121 (2019): </w:t>
      </w:r>
      <w:r>
        <w:rPr>
          <w:rFonts w:hint="eastAsia"/>
        </w:rPr>
        <w:t xml:space="preserve">Hannah B van Kolfschooten, </w:t>
      </w:r>
      <w:r>
        <w:rPr>
          <w:rFonts w:hint="eastAsia"/>
          <w:i/>
          <w:iCs/>
        </w:rPr>
        <w:t>A Health-</w:t>
      </w:r>
      <w:r>
        <w:rPr>
          <w:i/>
          <w:iCs/>
        </w:rPr>
        <w:t>c</w:t>
      </w:r>
      <w:r>
        <w:rPr>
          <w:rFonts w:hint="eastAsia"/>
          <w:i/>
          <w:iCs/>
        </w:rPr>
        <w:t xml:space="preserve">onformant </w:t>
      </w:r>
      <w:r>
        <w:rPr>
          <w:i/>
          <w:iCs/>
        </w:rPr>
        <w:t>R</w:t>
      </w:r>
      <w:r>
        <w:rPr>
          <w:rFonts w:hint="eastAsia"/>
          <w:i/>
          <w:iCs/>
        </w:rPr>
        <w:t xml:space="preserve">eading of the GDPR’s </w:t>
      </w:r>
      <w:r>
        <w:rPr>
          <w:i/>
          <w:iCs/>
        </w:rPr>
        <w:t>R</w:t>
      </w:r>
      <w:r>
        <w:rPr>
          <w:rFonts w:hint="eastAsia"/>
          <w:i/>
          <w:iCs/>
        </w:rPr>
        <w:t xml:space="preserve">ight not to be </w:t>
      </w:r>
      <w:r>
        <w:rPr>
          <w:i/>
          <w:iCs/>
        </w:rPr>
        <w:t>S</w:t>
      </w:r>
      <w:r>
        <w:rPr>
          <w:rFonts w:hint="eastAsia"/>
          <w:i/>
          <w:iCs/>
        </w:rPr>
        <w:t xml:space="preserve">ubject to </w:t>
      </w:r>
      <w:r>
        <w:rPr>
          <w:i/>
          <w:iCs/>
        </w:rPr>
        <w:t>A</w:t>
      </w:r>
      <w:r>
        <w:rPr>
          <w:rFonts w:hint="eastAsia"/>
          <w:i/>
          <w:iCs/>
        </w:rPr>
        <w:t xml:space="preserve">utomated </w:t>
      </w:r>
      <w:r>
        <w:rPr>
          <w:i/>
          <w:iCs/>
        </w:rPr>
        <w:t>D</w:t>
      </w:r>
      <w:r>
        <w:rPr>
          <w:rFonts w:hint="eastAsia"/>
          <w:i/>
          <w:iCs/>
        </w:rPr>
        <w:t>ecision-making</w:t>
      </w:r>
      <w:r>
        <w:rPr>
          <w:rFonts w:hint="eastAsia"/>
        </w:rPr>
        <w:t xml:space="preserve">, Medical Law Review, Vol. </w:t>
      </w:r>
      <w:r>
        <w:t>32</w:t>
      </w:r>
      <w:r>
        <w:rPr>
          <w:rFonts w:hint="eastAsia"/>
        </w:rPr>
        <w:t>:</w:t>
      </w:r>
      <w:r>
        <w:t>3</w:t>
      </w:r>
      <w:r>
        <w:rPr>
          <w:rFonts w:hint="eastAsia"/>
        </w:rPr>
        <w:t>, p.3</w:t>
      </w:r>
      <w:r>
        <w:t>88-</w:t>
      </w:r>
      <w:r>
        <w:rPr>
          <w:rFonts w:hint="eastAsia"/>
        </w:rPr>
        <w:t>3</w:t>
      </w:r>
      <w:r>
        <w:t>89</w:t>
      </w:r>
      <w:r>
        <w:rPr>
          <w:rFonts w:hint="eastAsia"/>
        </w:rPr>
        <w:t xml:space="preserve"> (2024)</w:t>
      </w:r>
      <w:r>
        <w:t>,</w:t>
      </w:r>
    </w:p>
  </w:footnote>
  <w:footnote w:id="26">
    <w:p w14:paraId="42925B73">
      <w:pPr>
        <w:pStyle w:val="13"/>
        <w:ind w:firstLine="360"/>
      </w:pPr>
      <w:r>
        <w:rPr>
          <w:rStyle w:val="17"/>
        </w:rPr>
        <w:footnoteRef/>
      </w:r>
      <w:r>
        <w:t xml:space="preserve"> </w:t>
      </w:r>
      <w:r>
        <w:rPr>
          <w:rFonts w:hint="eastAsia"/>
        </w:rPr>
        <w:t>唐林垚：《“脱离算法自动化决策权”的虚幻承诺》，载《东方法学》2020年第6期；王苑：《完全自动化决策拒绝权之正当性及其实现路径——以〈个人信息保护法〉第24条第3款为中心》，载《法学家》2022年第5期。</w:t>
      </w:r>
    </w:p>
  </w:footnote>
  <w:footnote w:id="27">
    <w:p w14:paraId="03CB3481">
      <w:pPr>
        <w:pStyle w:val="13"/>
        <w:ind w:firstLine="360"/>
      </w:pPr>
      <w:r>
        <w:rPr>
          <w:rStyle w:val="17"/>
        </w:rPr>
        <w:footnoteRef/>
      </w:r>
      <w:r>
        <w:t xml:space="preserve"> </w:t>
      </w:r>
      <w:r>
        <w:rPr>
          <w:rFonts w:hint="eastAsia"/>
        </w:rPr>
        <w:t>郑智航：《平衡论视角下个人免受自动化决策的法律保护》，载《政法论丛》2022年第4期。</w:t>
      </w:r>
    </w:p>
  </w:footnote>
  <w:footnote w:id="28">
    <w:p w14:paraId="25A9F7A8">
      <w:pPr>
        <w:pStyle w:val="13"/>
        <w:ind w:firstLine="360"/>
      </w:pPr>
      <w:r>
        <w:rPr>
          <w:rStyle w:val="17"/>
        </w:rPr>
        <w:footnoteRef/>
      </w:r>
      <w:r>
        <w:t xml:space="preserve"> </w:t>
      </w:r>
      <w:r>
        <w:rPr>
          <w:rFonts w:hint="eastAsia"/>
        </w:rPr>
        <w:t>目前国内存在与欧盟赋权说相类似之观点。林洹民：《个人对抗商业自动化决策算法的私权设计》，载《清华法学》2020年第4期。</w:t>
      </w:r>
    </w:p>
  </w:footnote>
  <w:footnote w:id="29">
    <w:p w14:paraId="048EA3C1">
      <w:pPr>
        <w:pStyle w:val="13"/>
        <w:ind w:firstLine="360"/>
      </w:pPr>
      <w:r>
        <w:rPr>
          <w:rStyle w:val="17"/>
        </w:rPr>
        <w:footnoteRef/>
      </w:r>
      <w:r>
        <w:t xml:space="preserve"> </w:t>
      </w:r>
      <w:r>
        <w:rPr>
          <w:rFonts w:hint="eastAsia"/>
        </w:rPr>
        <w:t>张建文：《论自动化决策方式直接营销的个人信息法律基础》，载《法律科学（西北政法大学学报）》2023年第6期；孙鸿亮：《基于自动化决策的商业广告的法律规制》，载《中国法律评论》2025年第4期。</w:t>
      </w:r>
    </w:p>
  </w:footnote>
  <w:footnote w:id="30">
    <w:p w14:paraId="6F2CCDAC">
      <w:pPr>
        <w:pStyle w:val="13"/>
        <w:ind w:firstLine="360"/>
      </w:pPr>
      <w:r>
        <w:rPr>
          <w:rStyle w:val="17"/>
        </w:rPr>
        <w:footnoteRef/>
      </w:r>
      <w:r>
        <w:t xml:space="preserve"> </w:t>
      </w:r>
      <w:r>
        <w:rPr>
          <w:rFonts w:hint="eastAsia"/>
        </w:rPr>
        <w:t>程啸：《论个人信息处理中的个人同意》，载《环球法律评论》2021年第6期。</w:t>
      </w:r>
    </w:p>
  </w:footnote>
  <w:footnote w:id="31">
    <w:p w14:paraId="24DB1FEB">
      <w:pPr>
        <w:pStyle w:val="13"/>
        <w:ind w:firstLine="360"/>
      </w:pPr>
      <w:r>
        <w:rPr>
          <w:rStyle w:val="17"/>
        </w:rPr>
        <w:footnoteRef/>
      </w:r>
      <w:r>
        <w:t xml:space="preserve"> </w:t>
      </w:r>
      <w:r>
        <w:rPr>
          <w:rFonts w:hint="eastAsia"/>
        </w:rPr>
        <w:t>罗某诉某科技有限公司隐私权、个人信息保护纠纷案，北京市第四中级人民法院（2022）京04民终494号民事判决书。</w:t>
      </w:r>
    </w:p>
  </w:footnote>
  <w:footnote w:id="32">
    <w:p w14:paraId="05644B86">
      <w:pPr>
        <w:pStyle w:val="13"/>
        <w:ind w:firstLine="360"/>
      </w:pPr>
      <w:r>
        <w:rPr>
          <w:rStyle w:val="17"/>
        </w:rPr>
        <w:footnoteRef/>
      </w:r>
      <w:r>
        <w:t xml:space="preserve"> </w:t>
      </w:r>
      <w:r>
        <w:rPr>
          <w:rFonts w:hint="eastAsia"/>
        </w:rPr>
        <w:t>实践中，也有一定数量的案件将同意作为自动化决策的合法性事由。黄某诉腾讯科技（深圳）有限公司等网络侵权责任纠纷案，北京互联网法院（2019）京0491民初16142号民事判决书；许兴泉诉杭州阿里妈妈软件服务有限公司网络服务合同纠纷案，杭州互联网法院（2020）浙0192民初3081号民事判决书；郭某某诉某网络有限公司个人信息保护纠纷案，杭州互联网法院（2021）浙0192民初5626号民事判决书；王某与某有限公司网络侵权责任纠纷案，北京互联网法院（2023）京0491民初1410号民事判决书。</w:t>
      </w:r>
    </w:p>
  </w:footnote>
  <w:footnote w:id="33">
    <w:p w14:paraId="73B1FC4A">
      <w:pPr>
        <w:pStyle w:val="13"/>
        <w:ind w:firstLine="360"/>
      </w:pPr>
      <w:r>
        <w:rPr>
          <w:rStyle w:val="17"/>
        </w:rPr>
        <w:footnoteRef/>
      </w:r>
      <w:r>
        <w:t xml:space="preserve"> </w:t>
      </w:r>
      <w:r>
        <w:rPr>
          <w:rFonts w:hint="eastAsia"/>
        </w:rPr>
        <w:t>杨芳：《个人信息自动化处理领域的个人信息保护规则》，载《重庆理工大学学报（社会科学）》2016年第9期。</w:t>
      </w:r>
    </w:p>
  </w:footnote>
  <w:footnote w:id="34">
    <w:p w14:paraId="0E288DF5">
      <w:pPr>
        <w:pStyle w:val="13"/>
        <w:ind w:firstLine="360"/>
      </w:pPr>
      <w:r>
        <w:rPr>
          <w:rStyle w:val="17"/>
        </w:rPr>
        <w:footnoteRef/>
      </w:r>
      <w:r>
        <w:t xml:space="preserve"> </w:t>
      </w:r>
      <w:r>
        <w:rPr>
          <w:rFonts w:hint="eastAsia"/>
        </w:rPr>
        <w:t>杨芳：《我国个人信息保护法适用范围之思考——隐私权救济困境下的个人信息保护法》，载《社会科学家》2016年第10期。</w:t>
      </w:r>
    </w:p>
  </w:footnote>
  <w:footnote w:id="35">
    <w:p w14:paraId="44DAB935">
      <w:pPr>
        <w:pStyle w:val="13"/>
        <w:ind w:firstLine="360"/>
      </w:pPr>
      <w:r>
        <w:rPr>
          <w:rStyle w:val="17"/>
        </w:rPr>
        <w:footnoteRef/>
      </w:r>
      <w:r>
        <w:t xml:space="preserve"> </w:t>
      </w:r>
      <w:r>
        <w:rPr>
          <w:rFonts w:hint="eastAsia"/>
        </w:rPr>
        <w:t>雷磊：《法律概念是重要的吗》，载《法学研究》2017年第4期。</w:t>
      </w:r>
    </w:p>
  </w:footnote>
  <w:footnote w:id="36">
    <w:p w14:paraId="160011DB">
      <w:pPr>
        <w:pStyle w:val="13"/>
        <w:ind w:firstLine="360"/>
      </w:pPr>
      <w:r>
        <w:rPr>
          <w:rStyle w:val="17"/>
        </w:rPr>
        <w:footnoteRef/>
      </w:r>
      <w:r>
        <w:t xml:space="preserve"> </w:t>
      </w:r>
      <w:r>
        <w:rPr>
          <w:rFonts w:hint="eastAsia"/>
        </w:rPr>
        <w:t>王欣辰、刘云：《布鲁塞尔效应的概念梳理与误区澄清——兼论欧盟数据监管标准全球化的中国因应》，载《中国政法大学研究生学报》2025年第1辑。</w:t>
      </w:r>
    </w:p>
  </w:footnote>
  <w:footnote w:id="37">
    <w:p w14:paraId="1BB9ABBE">
      <w:pPr>
        <w:pStyle w:val="13"/>
        <w:ind w:firstLine="360"/>
      </w:pPr>
      <w:r>
        <w:rPr>
          <w:rStyle w:val="17"/>
        </w:rPr>
        <w:footnoteRef/>
      </w:r>
      <w:r>
        <w:t xml:space="preserve"> </w:t>
      </w:r>
      <w:r>
        <w:rPr>
          <w:rFonts w:hint="eastAsia"/>
        </w:rPr>
        <w:t>GDPR 第4（4）条：“用户画像”是指为评估与自然人相关的某些个人情况，对个人数据进行任何自动化处理、利用的方式，特别是针对与自然人的工作表现、经济状况、健康状况、个人偏好、兴趣、信度、习性、位置或行踪相关的分析和预测。</w:t>
      </w:r>
    </w:p>
  </w:footnote>
  <w:footnote w:id="38">
    <w:p w14:paraId="3CFE5FCE">
      <w:pPr>
        <w:pStyle w:val="13"/>
        <w:ind w:firstLine="360"/>
      </w:pPr>
      <w:r>
        <w:rPr>
          <w:rStyle w:val="17"/>
        </w:rPr>
        <w:footnoteRef/>
      </w:r>
      <w:r>
        <w:t xml:space="preserve"> </w:t>
      </w:r>
      <w:r>
        <w:rPr>
          <w:rFonts w:hint="eastAsia"/>
        </w:rPr>
        <w:t>程啸、王苑：《个人信息保护法教程》，中国人民大学出版社2023年版，第110页。</w:t>
      </w:r>
    </w:p>
  </w:footnote>
  <w:footnote w:id="39">
    <w:p w14:paraId="05AE3C21">
      <w:pPr>
        <w:pStyle w:val="13"/>
        <w:ind w:firstLine="360"/>
      </w:pPr>
      <w:r>
        <w:rPr>
          <w:rStyle w:val="17"/>
        </w:rPr>
        <w:footnoteRef/>
      </w:r>
      <w:r>
        <w:t xml:space="preserve"> </w:t>
      </w:r>
      <w:r>
        <w:rPr>
          <w:rFonts w:hint="eastAsia"/>
        </w:rPr>
        <w:t>高飞主编：《中华人民共和国个人信息保护法解读》，中国法制出版社2022年版，第89页。</w:t>
      </w:r>
    </w:p>
  </w:footnote>
  <w:footnote w:id="40">
    <w:p w14:paraId="08456CBF">
      <w:pPr>
        <w:pStyle w:val="13"/>
        <w:ind w:firstLine="360"/>
      </w:pPr>
      <w:r>
        <w:rPr>
          <w:rStyle w:val="17"/>
        </w:rPr>
        <w:footnoteRef/>
      </w:r>
      <w:r>
        <w:t xml:space="preserve"> </w:t>
      </w:r>
      <w:r>
        <w:rPr>
          <w:rFonts w:hint="eastAsia"/>
        </w:rPr>
        <w:t>张新宝主编：《〈中华人民共和国个人信息保护法〉释义》，人民出版社2021年版，第195页。</w:t>
      </w:r>
    </w:p>
  </w:footnote>
  <w:footnote w:id="41">
    <w:p w14:paraId="6A699C0C">
      <w:pPr>
        <w:pStyle w:val="13"/>
        <w:ind w:firstLine="360"/>
      </w:pPr>
      <w:r>
        <w:rPr>
          <w:rStyle w:val="17"/>
        </w:rPr>
        <w:footnoteRef/>
      </w:r>
      <w:r>
        <w:t xml:space="preserve"> Celine Castets-Renard, </w:t>
      </w:r>
      <w:r>
        <w:rPr>
          <w:rFonts w:ascii="Times New Roman Italic" w:hAnsi="Times New Roman Italic" w:cs="Times New Roman Italic"/>
          <w:i/>
          <w:iCs/>
        </w:rPr>
        <w:t xml:space="preserve">Accountability of Algorithms in the GDPR and beyond: A European Legal Framework on Automated Decision-making, </w:t>
      </w:r>
      <w:r>
        <w:rPr>
          <w:rFonts w:cs="Times New Roman"/>
        </w:rPr>
        <w:t>Fordham Intellectual Property</w:t>
      </w:r>
      <w:r>
        <w:t xml:space="preserve">, Media &amp; Entertainment Law Journal,, </w:t>
      </w:r>
      <w:r>
        <w:rPr>
          <w:rFonts w:hint="eastAsia"/>
        </w:rPr>
        <w:t xml:space="preserve">Vol. </w:t>
      </w:r>
      <w:r>
        <w:t>30</w:t>
      </w:r>
      <w:r>
        <w:rPr>
          <w:rFonts w:hint="eastAsia"/>
        </w:rPr>
        <w:t>:</w:t>
      </w:r>
      <w:r>
        <w:t>1</w:t>
      </w:r>
      <w:r>
        <w:rPr>
          <w:rFonts w:hint="eastAsia"/>
        </w:rPr>
        <w:t>, p.</w:t>
      </w:r>
      <w:r>
        <w:t xml:space="preserve"> 91-138 (2019): </w:t>
      </w:r>
      <w:r>
        <w:rPr>
          <w:rFonts w:hint="eastAsia"/>
        </w:rPr>
        <w:t xml:space="preserve">Simona Demková, </w:t>
      </w:r>
      <w:r>
        <w:rPr>
          <w:rFonts w:ascii="Times New Roman Italic" w:hAnsi="Times New Roman Italic" w:cs="Times New Roman Italic"/>
          <w:i/>
          <w:iCs/>
        </w:rPr>
        <w:t xml:space="preserve">The Decisional Value of Information in European Semi-Automated Decision-Making, </w:t>
      </w:r>
      <w:r>
        <w:rPr>
          <w:rFonts w:cs="Times New Roman"/>
        </w:rPr>
        <w:t>Review of European</w:t>
      </w:r>
      <w:r>
        <w:t xml:space="preserve">, </w:t>
      </w:r>
      <w:r>
        <w:rPr>
          <w:rFonts w:hint="eastAsia"/>
        </w:rPr>
        <w:t>Administrative Law,</w:t>
      </w:r>
      <w:r>
        <w:t xml:space="preserve"> </w:t>
      </w:r>
      <w:r>
        <w:rPr>
          <w:rFonts w:hint="eastAsia"/>
        </w:rPr>
        <w:t xml:space="preserve">Vol. </w:t>
      </w:r>
      <w:r>
        <w:t>2</w:t>
      </w:r>
      <w:r>
        <w:rPr>
          <w:rFonts w:hint="eastAsia"/>
        </w:rPr>
        <w:t>:</w:t>
      </w:r>
      <w:r>
        <w:t>14</w:t>
      </w:r>
      <w:r>
        <w:rPr>
          <w:rFonts w:hint="eastAsia"/>
        </w:rPr>
        <w:t>, p. 45–47</w:t>
      </w:r>
      <w:r>
        <w:t xml:space="preserve"> </w:t>
      </w:r>
      <w:r>
        <w:rPr>
          <w:rFonts w:hint="eastAsia"/>
        </w:rPr>
        <w:t>(2021)</w:t>
      </w:r>
      <w:r>
        <w:t>.</w:t>
      </w:r>
    </w:p>
  </w:footnote>
  <w:footnote w:id="42">
    <w:p w14:paraId="70946F31">
      <w:pPr>
        <w:pStyle w:val="13"/>
        <w:ind w:firstLine="360"/>
      </w:pPr>
      <w:r>
        <w:rPr>
          <w:rStyle w:val="17"/>
        </w:rPr>
        <w:footnoteRef/>
      </w:r>
      <w:r>
        <w:t xml:space="preserve"> </w:t>
      </w:r>
      <w:r>
        <w:rPr>
          <w:rFonts w:hint="eastAsia"/>
        </w:rPr>
        <w:t>Ben Wagner,</w:t>
      </w:r>
      <w:r>
        <w:rPr>
          <w:rFonts w:ascii="Times New Roman Italic" w:hAnsi="Times New Roman Italic" w:cs="Times New Roman Italic"/>
          <w:i/>
          <w:iCs/>
        </w:rPr>
        <w:t xml:space="preserve"> Liable, but Not in Control? Ensuring Meaningful Human Agency in Automated Decision-Making Systems,</w:t>
      </w:r>
      <w:r>
        <w:rPr>
          <w:rFonts w:hint="eastAsia"/>
        </w:rPr>
        <w:t xml:space="preserve"> Policy and Internet,</w:t>
      </w:r>
      <w:r>
        <w:t xml:space="preserve"> </w:t>
      </w:r>
      <w:r>
        <w:rPr>
          <w:rFonts w:hint="eastAsia"/>
        </w:rPr>
        <w:t xml:space="preserve">Vol. </w:t>
      </w:r>
      <w:r>
        <w:t>11</w:t>
      </w:r>
      <w:r>
        <w:rPr>
          <w:rFonts w:hint="eastAsia"/>
        </w:rPr>
        <w:t>:</w:t>
      </w:r>
      <w:r>
        <w:t>1</w:t>
      </w:r>
      <w:r>
        <w:rPr>
          <w:rFonts w:hint="eastAsia"/>
        </w:rPr>
        <w:t>, p. 114</w:t>
      </w:r>
      <w:r>
        <w:t xml:space="preserve"> </w:t>
      </w:r>
      <w:r>
        <w:rPr>
          <w:rFonts w:hint="eastAsia"/>
        </w:rPr>
        <w:t>(2019).</w:t>
      </w:r>
    </w:p>
  </w:footnote>
  <w:footnote w:id="43">
    <w:p w14:paraId="097AAE27">
      <w:pPr>
        <w:pStyle w:val="13"/>
        <w:ind w:firstLine="360"/>
      </w:pPr>
      <w:r>
        <w:rPr>
          <w:rStyle w:val="17"/>
        </w:rPr>
        <w:footnoteRef/>
      </w:r>
      <w:r>
        <w:t xml:space="preserve"> </w:t>
      </w:r>
      <w:r>
        <w:rPr>
          <w:rFonts w:hint="eastAsia"/>
        </w:rPr>
        <w:t>麦某波诉北京法某科技有限公司、北京律某信息技术有限公司网络侵权责任纠纷案，广州互联网法院（2022）粤0192民初20966号民事判决书。</w:t>
      </w:r>
    </w:p>
  </w:footnote>
  <w:footnote w:id="44">
    <w:p w14:paraId="4277D1AE">
      <w:pPr>
        <w:pStyle w:val="13"/>
        <w:ind w:firstLine="360"/>
      </w:pPr>
      <w:r>
        <w:rPr>
          <w:rStyle w:val="17"/>
        </w:rPr>
        <w:footnoteRef/>
      </w:r>
      <w:r>
        <w:t xml:space="preserve"> </w:t>
      </w:r>
      <w:r>
        <w:rPr>
          <w:rFonts w:hint="eastAsia"/>
        </w:rPr>
        <w:t>关于二者界分标准</w:t>
      </w:r>
      <w:r>
        <w:t xml:space="preserve">, Article 29 Data Protection Working Party, </w:t>
      </w:r>
      <w:r>
        <w:rPr>
          <w:rFonts w:ascii="Times New Roman Italic" w:hAnsi="Times New Roman Italic" w:cs="Times New Roman Italic"/>
          <w:i/>
          <w:iCs/>
        </w:rPr>
        <w:t>Opinion 4/2010 on the European code of conduct of FEDMA for the use of personal data in direct marketing</w:t>
      </w:r>
      <w:r>
        <w:t>, adopted on 13 July 2010, WP 174, p.21</w:t>
      </w:r>
      <w:r>
        <w:rPr>
          <w:rFonts w:hint="eastAsia"/>
        </w:rPr>
        <w:t>；张凌寒：《自动化决策与人的主体性》，载《人大法律评论》2022年第2期。</w:t>
      </w:r>
    </w:p>
  </w:footnote>
  <w:footnote w:id="45">
    <w:p w14:paraId="09B3CCF1">
      <w:pPr>
        <w:pStyle w:val="13"/>
        <w:ind w:firstLine="360"/>
      </w:pPr>
      <w:r>
        <w:rPr>
          <w:rStyle w:val="17"/>
        </w:rPr>
        <w:footnoteRef/>
      </w:r>
      <w:r>
        <w:t xml:space="preserve"> Uber </w:t>
      </w:r>
      <w:r>
        <w:rPr>
          <w:rFonts w:ascii="Times New Roman Italic" w:hAnsi="Times New Roman Italic" w:cs="Times New Roman Italic"/>
          <w:i/>
          <w:iCs/>
          <w:highlight w:val="none"/>
        </w:rPr>
        <w:t>v.</w:t>
      </w:r>
      <w:r>
        <w:t xml:space="preserve"> Drivers Amsterdam Court of Appeal, Case No. 200.295.747/01</w:t>
      </w:r>
      <w:r>
        <w:rPr>
          <w:highlight w:val="none"/>
        </w:rPr>
        <w:t xml:space="preserve"> (2023)</w:t>
      </w:r>
      <w:r>
        <w:t>.</w:t>
      </w:r>
    </w:p>
  </w:footnote>
  <w:footnote w:id="46">
    <w:p w14:paraId="51C9ED07">
      <w:pPr>
        <w:pStyle w:val="13"/>
        <w:ind w:firstLine="360"/>
      </w:pPr>
      <w:r>
        <w:rPr>
          <w:rStyle w:val="17"/>
        </w:rPr>
        <w:footnoteRef/>
      </w:r>
      <w:r>
        <w:t xml:space="preserve"> </w:t>
      </w:r>
      <w:r>
        <w:rPr>
          <w:rFonts w:hint="eastAsia"/>
        </w:rPr>
        <w:t>此处需要注意的是，在欧盟法中用户画像与自动化决策并不是绑定关系，用户画像可以通过自动化决策进行，也可以不使用自动化决策的方式，当非自动化决策方式作出用户画像时，可以基于GDPR第21条的拒绝权予以拒绝，而自动化决策方式作出用户画像时，原则上禁止，除非是第22条第2款规定之例外。</w:t>
      </w:r>
      <w:r>
        <w:t xml:space="preserve">Article 29 Data Protection Working Party, </w:t>
      </w:r>
      <w:r>
        <w:rPr>
          <w:rFonts w:ascii="Times New Roman Italic" w:hAnsi="Times New Roman Italic" w:cs="Times New Roman Italic"/>
          <w:i/>
          <w:iCs/>
        </w:rPr>
        <w:t>Guidelines on Automated Individual Decision-making and Profiling for the Purposes of Regulation</w:t>
      </w:r>
      <w:r>
        <w:t>, adopted on 3 October 2017, as last revised and adopted on 6 February 2018, WP 251 rev. 01, p.18.</w:t>
      </w:r>
    </w:p>
  </w:footnote>
  <w:footnote w:id="47">
    <w:p w14:paraId="4A96F737">
      <w:pPr>
        <w:pStyle w:val="13"/>
        <w:ind w:firstLine="360"/>
        <w:rPr>
          <w:rFonts w:eastAsia="宋体"/>
        </w:rPr>
      </w:pPr>
      <w:r>
        <w:rPr>
          <w:rStyle w:val="17"/>
        </w:rPr>
        <w:footnoteRef/>
      </w:r>
      <w:r>
        <w:t xml:space="preserve"> </w:t>
      </w:r>
      <w:r>
        <w:rPr>
          <w:rFonts w:hint="eastAsia"/>
        </w:rPr>
        <w:t>许可：《论个人信息保护法的权衡体系及其实践展开》，载《法学家》2024年第4期。</w:t>
      </w:r>
    </w:p>
  </w:footnote>
  <w:footnote w:id="48">
    <w:p w14:paraId="1C96D25F">
      <w:pPr>
        <w:pStyle w:val="13"/>
        <w:ind w:firstLine="360"/>
      </w:pPr>
      <w:r>
        <w:rPr>
          <w:rStyle w:val="17"/>
        </w:rPr>
        <w:footnoteRef/>
      </w:r>
      <w:r>
        <w:t xml:space="preserve"> </w:t>
      </w:r>
      <w:r>
        <w:rPr>
          <w:rFonts w:hint="eastAsia"/>
        </w:rPr>
        <w:t>联合国大会：《联合国国际贸易法委员会第五十七届会议工作报告》（A/79/17），附件四。</w:t>
      </w:r>
    </w:p>
  </w:footnote>
  <w:footnote w:id="49">
    <w:p w14:paraId="611154BC">
      <w:pPr>
        <w:pStyle w:val="13"/>
        <w:ind w:firstLine="360"/>
      </w:pPr>
      <w:r>
        <w:rPr>
          <w:rStyle w:val="17"/>
        </w:rPr>
        <w:footnoteRef/>
      </w:r>
      <w:r>
        <w:t xml:space="preserve"> </w:t>
      </w:r>
      <w:r>
        <w:rPr>
          <w:rFonts w:hint="eastAsia"/>
        </w:rPr>
        <w:t>马靖皓、冉富强：《“开放结构”与法律问题的唯一正确答案》，载《法大法律评论》2024年第2辑。</w:t>
      </w:r>
    </w:p>
  </w:footnote>
  <w:footnote w:id="50">
    <w:p w14:paraId="70ECA269">
      <w:pPr>
        <w:pStyle w:val="13"/>
        <w:ind w:firstLine="360"/>
      </w:pPr>
      <w:r>
        <w:rPr>
          <w:rStyle w:val="17"/>
        </w:rPr>
        <w:footnoteRef/>
      </w:r>
      <w:r>
        <w:t xml:space="preserve"> </w:t>
      </w:r>
      <w:r>
        <w:rPr>
          <w:rFonts w:hint="eastAsia"/>
        </w:rPr>
        <w:t>类似观点，张欣:《免受自动化决策约束权的制度逻辑与本土构建》，载《华东政法大学学报》2021年第5期；崔靖梓：《自动化决策拒绝权的整体主义实现》，载《华中科技大学学报（社会科学版）》2024年第2期。</w:t>
      </w:r>
    </w:p>
  </w:footnote>
  <w:footnote w:id="51">
    <w:p w14:paraId="411F887C">
      <w:pPr>
        <w:pStyle w:val="13"/>
        <w:ind w:firstLine="360"/>
      </w:pPr>
      <w:r>
        <w:rPr>
          <w:rStyle w:val="17"/>
        </w:rPr>
        <w:footnoteRef/>
      </w:r>
      <w:r>
        <w:t xml:space="preserve"> </w:t>
      </w:r>
      <w:r>
        <w:rPr>
          <w:rFonts w:hint="eastAsia"/>
        </w:rPr>
        <w:t>朱振：《认真对待理由——关于新兴权利之分类、证成与功能的分析》，载《求是学刊》2020年第2期。</w:t>
      </w:r>
    </w:p>
  </w:footnote>
  <w:footnote w:id="52">
    <w:p w14:paraId="71C3DDED">
      <w:pPr>
        <w:pStyle w:val="13"/>
        <w:ind w:firstLine="360"/>
      </w:pPr>
      <w:r>
        <w:rPr>
          <w:rStyle w:val="17"/>
        </w:rPr>
        <w:footnoteRef/>
      </w:r>
      <w:r>
        <w:t xml:space="preserve"> </w:t>
      </w:r>
      <w:r>
        <w:rPr>
          <w:rFonts w:hint="eastAsia"/>
        </w:rPr>
        <w:t>张恒山：《论权利之功能》，载《法学研究》2020年第5期。</w:t>
      </w:r>
    </w:p>
  </w:footnote>
  <w:footnote w:id="53">
    <w:p w14:paraId="0225C7FC">
      <w:pPr>
        <w:pStyle w:val="13"/>
        <w:ind w:firstLine="360"/>
      </w:pPr>
      <w:r>
        <w:rPr>
          <w:rStyle w:val="17"/>
        </w:rPr>
        <w:footnoteRef/>
      </w:r>
      <w:r>
        <w:t xml:space="preserve"> </w:t>
      </w:r>
      <w:r>
        <w:rPr>
          <w:rFonts w:hint="eastAsia"/>
        </w:rPr>
        <w:t xml:space="preserve">Asymina Aza, </w:t>
      </w:r>
      <w:r>
        <w:rPr>
          <w:rFonts w:ascii="Times New Roman Italic" w:hAnsi="Times New Roman Italic" w:cs="Times New Roman Italic"/>
          <w:i/>
          <w:iCs/>
        </w:rPr>
        <w:t>Scores as Decisions? Article 22 GDPR and the Judgment of the CJEU in SCHUFA Holding (Scoring) in the Labour Context</w:t>
      </w:r>
      <w:r>
        <w:rPr>
          <w:rFonts w:hint="eastAsia"/>
        </w:rPr>
        <w:t>, Industrial Law Journal,</w:t>
      </w:r>
      <w:r>
        <w:t xml:space="preserve"> </w:t>
      </w:r>
      <w:r>
        <w:rPr>
          <w:rFonts w:hint="eastAsia"/>
        </w:rPr>
        <w:t>Vol. 53:4, p. 840</w:t>
      </w:r>
      <w:r>
        <w:t>-</w:t>
      </w:r>
      <w:r>
        <w:rPr>
          <w:rFonts w:hint="eastAsia"/>
        </w:rPr>
        <w:t>858 (2024).</w:t>
      </w:r>
    </w:p>
  </w:footnote>
  <w:footnote w:id="54">
    <w:p w14:paraId="7E75BDD3">
      <w:pPr>
        <w:pStyle w:val="13"/>
        <w:ind w:firstLine="360"/>
      </w:pPr>
      <w:r>
        <w:rPr>
          <w:rStyle w:val="17"/>
        </w:rPr>
        <w:footnoteRef/>
      </w:r>
      <w:r>
        <w:t xml:space="preserve"> </w:t>
      </w:r>
      <w:r>
        <w:rPr>
          <w:rFonts w:hint="eastAsia"/>
        </w:rPr>
        <w:t>Michael Veale</w:t>
      </w:r>
      <w:r>
        <w:t xml:space="preserve"> </w:t>
      </w:r>
      <w:r>
        <w:rPr>
          <w:rFonts w:hint="eastAsia"/>
        </w:rPr>
        <w:t>&amp; Lilian Edwards,</w:t>
      </w:r>
      <w:r>
        <w:t xml:space="preserve"> </w:t>
      </w:r>
      <w:r>
        <w:rPr>
          <w:rFonts w:ascii="Times New Roman Italic" w:hAnsi="Times New Roman Italic" w:cs="Times New Roman Italic"/>
          <w:i/>
          <w:iCs/>
        </w:rPr>
        <w:t>Clarity, Surprises, and Further Questions in the Article 29 Working Party Draft Guidance on Automated Decision-making and Profiling</w:t>
      </w:r>
      <w:r>
        <w:rPr>
          <w:rFonts w:hint="eastAsia"/>
        </w:rPr>
        <w:t>,</w:t>
      </w:r>
      <w:r>
        <w:t xml:space="preserve"> </w:t>
      </w:r>
      <w:r>
        <w:rPr>
          <w:rFonts w:hint="eastAsia"/>
        </w:rPr>
        <w:t>Computer Law &amp; Security Review,</w:t>
      </w:r>
      <w:r>
        <w:t xml:space="preserve"> </w:t>
      </w:r>
      <w:r>
        <w:rPr>
          <w:rFonts w:hint="eastAsia"/>
        </w:rPr>
        <w:t>Vol. 34:2, p. 398-404</w:t>
      </w:r>
      <w:r>
        <w:t xml:space="preserve"> (</w:t>
      </w:r>
      <w:r>
        <w:rPr>
          <w:rFonts w:hint="eastAsia"/>
        </w:rPr>
        <w:t>2018</w:t>
      </w:r>
      <w:r>
        <w:t>).</w:t>
      </w:r>
    </w:p>
  </w:footnote>
  <w:footnote w:id="55">
    <w:p w14:paraId="0600391A">
      <w:pPr>
        <w:pStyle w:val="13"/>
        <w:ind w:firstLine="360"/>
      </w:pPr>
      <w:r>
        <w:rPr>
          <w:rStyle w:val="17"/>
        </w:rPr>
        <w:footnoteRef/>
      </w:r>
      <w:r>
        <w:t xml:space="preserve"> </w:t>
      </w:r>
      <w:r>
        <w:rPr>
          <w:rFonts w:hint="eastAsia"/>
        </w:rPr>
        <w:t>国家市场监督管理总局、国家标准化管理委员会《数据安全技术 基于个人信息的自动化决策安全要求》，GB/T45392—2025。</w:t>
      </w:r>
    </w:p>
  </w:footnote>
  <w:footnote w:id="56">
    <w:p w14:paraId="519B3EA3">
      <w:pPr>
        <w:pStyle w:val="13"/>
        <w:ind w:firstLine="360"/>
      </w:pPr>
      <w:r>
        <w:rPr>
          <w:rStyle w:val="17"/>
        </w:rPr>
        <w:footnoteRef/>
      </w:r>
      <w:r>
        <w:t xml:space="preserve"> </w:t>
      </w:r>
      <w:r>
        <w:rPr>
          <w:rFonts w:hint="eastAsia"/>
        </w:rPr>
        <w:t>程啸：《个人信息保护法理解与适用》，中国法制出版社2021年版，第232页；韩旭至：《认真对待数字社会的个人拒绝权》，载《华东政法大学学报》2023年第1期；彭诚信主编：《权利的边界：个人信息赋权逻辑及其行使路径》，上海人民出版社2023年版，第198页。</w:t>
      </w:r>
    </w:p>
  </w:footnote>
  <w:footnote w:id="57">
    <w:p w14:paraId="4BBEC2CA">
      <w:pPr>
        <w:pStyle w:val="13"/>
        <w:ind w:firstLine="360"/>
      </w:pPr>
      <w:r>
        <w:rPr>
          <w:rStyle w:val="17"/>
        </w:rPr>
        <w:footnoteRef/>
      </w:r>
      <w:r>
        <w:t xml:space="preserve"> Article 29 Data Protection Working Party, G</w:t>
      </w:r>
      <w:r>
        <w:rPr>
          <w:rFonts w:ascii="Times New Roman Italic" w:hAnsi="Times New Roman Italic" w:cs="Times New Roman Italic"/>
          <w:i/>
          <w:iCs/>
        </w:rPr>
        <w:t>uidelines on Automated Individual Decision-making and Profiling for the Purposes of Regulation</w:t>
      </w:r>
      <w:r>
        <w:t>, adopted on 3 October 2017, as last revised and adopted on 6 February 2018, WP 251 rev. 01, p. 21-22.</w:t>
      </w:r>
    </w:p>
  </w:footnote>
  <w:footnote w:id="58">
    <w:p w14:paraId="70439579">
      <w:pPr>
        <w:pStyle w:val="13"/>
        <w:ind w:firstLine="360"/>
      </w:pPr>
      <w:r>
        <w:rPr>
          <w:rStyle w:val="17"/>
        </w:rPr>
        <w:footnoteRef/>
      </w:r>
      <w:r>
        <w:t xml:space="preserve"> </w:t>
      </w:r>
      <w:r>
        <w:rPr>
          <w:rFonts w:hint="eastAsia"/>
        </w:rPr>
        <w:t>类似观点，程啸：《个人信息保护法理解与适用》，中国法制出版社2021年版，第232一233页</w:t>
      </w:r>
    </w:p>
  </w:footnote>
  <w:footnote w:id="59">
    <w:p w14:paraId="6BCA37D8">
      <w:pPr>
        <w:pStyle w:val="13"/>
        <w:ind w:firstLine="360"/>
      </w:pPr>
      <w:r>
        <w:rPr>
          <w:rStyle w:val="17"/>
        </w:rPr>
        <w:footnoteRef/>
      </w:r>
      <w:r>
        <w:t xml:space="preserve"> </w:t>
      </w:r>
      <w:r>
        <w:rPr>
          <w:rFonts w:hint="eastAsia"/>
        </w:rPr>
        <w:t>我国也有一些学者对于“对个人权益有重大影响”的内涵进行丰富，从时间角度，有观点认为“重大影响”还应当审慎考虑对未来的潜在影响，翁明杰：《智能行政中自动化决策拒绝权的证成与适用》，载《财经法学》2025年第1期；从过程的角度，有学者则认为，即使即使在结果层面未对数据主体构成重大影响，但因具有过程侵入性仍应当认定为对主体产生重大影响，张欣：《免受自动化决策约束权的制度逻辑与本土构建》，载《华东政法大学学报》2021年第5期。</w:t>
      </w:r>
    </w:p>
  </w:footnote>
  <w:footnote w:id="60">
    <w:p w14:paraId="47CD4118">
      <w:pPr>
        <w:pStyle w:val="13"/>
        <w:ind w:firstLine="360"/>
      </w:pPr>
      <w:r>
        <w:rPr>
          <w:rStyle w:val="17"/>
        </w:rPr>
        <w:footnoteRef/>
      </w:r>
      <w:r>
        <w:t xml:space="preserve"> </w:t>
      </w:r>
      <w:r>
        <w:rPr>
          <w:rFonts w:hint="eastAsia"/>
        </w:rPr>
        <w:t>王文胜：《论请求权基础规范的识别》，载《法学家》2025年第3期。</w:t>
      </w:r>
    </w:p>
  </w:footnote>
  <w:footnote w:id="61">
    <w:p w14:paraId="4A6324A7">
      <w:pPr>
        <w:pStyle w:val="13"/>
        <w:ind w:firstLine="360"/>
      </w:pPr>
      <w:r>
        <w:rPr>
          <w:rStyle w:val="17"/>
        </w:rPr>
        <w:footnoteRef/>
      </w:r>
      <w:r>
        <w:t xml:space="preserve"> </w:t>
      </w:r>
      <w:r>
        <w:rPr>
          <w:rFonts w:hint="eastAsia"/>
        </w:rPr>
        <w:t>潘芳芳：《算法歧视的民事责任形态》，载《华东政法大学学报》2021年第5期；齐延平、朱家豪：《完全自动化决策拒绝权的双重功能及实现路径》，载《国家检察官学院学报》2023年第6期；程凌：《平台劳动者自动化决策拒绝权实现路径的公私法协同》，载《华东政法大学学报》2025年第1期。</w:t>
      </w:r>
    </w:p>
  </w:footnote>
  <w:footnote w:id="62">
    <w:p w14:paraId="58820357">
      <w:pPr>
        <w:pStyle w:val="13"/>
        <w:ind w:firstLine="360"/>
      </w:pPr>
      <w:r>
        <w:rPr>
          <w:rStyle w:val="17"/>
        </w:rPr>
        <w:footnoteRef/>
      </w:r>
      <w:r>
        <w:t xml:space="preserve"> </w:t>
      </w:r>
      <w:r>
        <w:rPr>
          <w:rFonts w:hint="eastAsia"/>
        </w:rPr>
        <w:t>萧鑫：《个人信息拒绝权的界定与适用》，载《社会科学研究》2023年第2期；田野：《论劳动者脱离自动化决策权》，载《法制与社会发展》2024年第3期；李晓辉：《自动化决策拒绝权的属性、功能与限度》，载《法学》2024年第7期。</w:t>
      </w:r>
    </w:p>
  </w:footnote>
  <w:footnote w:id="63">
    <w:p w14:paraId="0EC7174C">
      <w:pPr>
        <w:pStyle w:val="13"/>
        <w:ind w:firstLine="360"/>
      </w:pPr>
      <w:r>
        <w:rPr>
          <w:rStyle w:val="17"/>
        </w:rPr>
        <w:footnoteRef/>
      </w:r>
      <w:r>
        <w:t xml:space="preserve"> </w:t>
      </w:r>
      <w:r>
        <w:rPr>
          <w:rFonts w:hint="eastAsia"/>
        </w:rPr>
        <w:t>目前学界还出现较为新颖的学说，认为应当从行政法角度对自动化决策拒绝权作出定性，认为“属于行政程序防御权，构成技术性正当程序的核心权利。”但是，一方面，行政权的知识体系还尚未明晰，此种定性反而对自动化拒绝权的适用造成困难，另一方面，行政场景相对狭窄，远远无法包摄绝大多数权利适用场景。因此，本文并未对该观点作出过多阐释。勇琪：《行政自动化决策拒绝权的程序性建构》，载《行政法学研究》2026年第2期。</w:t>
      </w:r>
    </w:p>
  </w:footnote>
  <w:footnote w:id="64">
    <w:p w14:paraId="06D5674D">
      <w:pPr>
        <w:pStyle w:val="13"/>
        <w:ind w:firstLine="360"/>
      </w:pPr>
      <w:r>
        <w:rPr>
          <w:rStyle w:val="17"/>
        </w:rPr>
        <w:footnoteRef/>
      </w:r>
      <w:r>
        <w:t xml:space="preserve"> </w:t>
      </w:r>
      <w:r>
        <w:rPr>
          <w:rFonts w:hint="eastAsia"/>
        </w:rPr>
        <w:t>参见上海高级人民法院网站，https://www.hshfy.sh.cn/shfy/web/xxnr.jsp?pa=aaWQ9MTAyMDM0MDI4MyZ4aD0xJmxtZG09bG0xNzEPdcssz，2025年12月21日访问。</w:t>
      </w:r>
    </w:p>
  </w:footnote>
  <w:footnote w:id="65">
    <w:p w14:paraId="43E89A49">
      <w:pPr>
        <w:pStyle w:val="13"/>
        <w:ind w:firstLine="360"/>
      </w:pPr>
      <w:r>
        <w:rPr>
          <w:rStyle w:val="17"/>
        </w:rPr>
        <w:footnoteRef/>
      </w:r>
      <w:r>
        <w:t xml:space="preserve"> OQ </w:t>
      </w:r>
      <w:r>
        <w:rPr>
          <w:rFonts w:ascii="Times New Roman Italic" w:hAnsi="Times New Roman Italic" w:cs="Times New Roman Italic"/>
          <w:i/>
          <w:iCs/>
          <w:highlight w:val="none"/>
        </w:rPr>
        <w:t>v.</w:t>
      </w:r>
      <w:r>
        <w:t xml:space="preserve"> Land Hesse, Case C-634/21 (2022).</w:t>
      </w:r>
    </w:p>
  </w:footnote>
  <w:footnote w:id="66">
    <w:p w14:paraId="4D73CDE4">
      <w:pPr>
        <w:pStyle w:val="13"/>
        <w:ind w:firstLine="360"/>
        <w:rPr>
          <w:rFonts w:eastAsiaTheme="minorEastAsia"/>
        </w:rPr>
      </w:pPr>
      <w:r>
        <w:rPr>
          <w:rStyle w:val="17"/>
        </w:rPr>
        <w:footnoteRef/>
      </w:r>
      <w:r>
        <w:t xml:space="preserve"> </w:t>
      </w:r>
      <w:r>
        <w:rPr>
          <w:rFonts w:hint="eastAsia"/>
        </w:rPr>
        <w:t>王泽鉴：《民法总则》，北京大学出版社2009年版，第79页。</w:t>
      </w:r>
    </w:p>
  </w:footnote>
  <w:footnote w:id="67">
    <w:p w14:paraId="6EAE88D4">
      <w:pPr>
        <w:pStyle w:val="13"/>
        <w:ind w:firstLine="360"/>
      </w:pPr>
      <w:r>
        <w:rPr>
          <w:rStyle w:val="17"/>
        </w:rPr>
        <w:footnoteRef/>
      </w:r>
      <w:r>
        <w:t xml:space="preserve"> </w:t>
      </w:r>
      <w:r>
        <w:rPr>
          <w:rFonts w:hint="eastAsia"/>
        </w:rPr>
        <w:t>申卫星：《形成权基本理论研究》，载梁慧星主编《民商法论丛》第30卷，法律出版社2004年版，第1一28页。</w:t>
      </w:r>
    </w:p>
  </w:footnote>
  <w:footnote w:id="68">
    <w:p w14:paraId="38C42786">
      <w:pPr>
        <w:pStyle w:val="13"/>
        <w:ind w:firstLine="360"/>
      </w:pPr>
      <w:r>
        <w:rPr>
          <w:rStyle w:val="17"/>
        </w:rPr>
        <w:footnoteRef/>
      </w:r>
      <w:r>
        <w:t xml:space="preserve"> [</w:t>
      </w:r>
      <w:r>
        <w:rPr>
          <w:rFonts w:hint="eastAsia"/>
        </w:rPr>
        <w:t>德</w:t>
      </w:r>
      <w:r>
        <w:t>]</w:t>
      </w:r>
      <w:r>
        <w:rPr>
          <w:rFonts w:hint="eastAsia"/>
        </w:rPr>
        <w:t>迪特尔·梅迪库斯：《德国民法总论》，邵建东译，法律出版社2000年版，第78页。</w:t>
      </w:r>
    </w:p>
  </w:footnote>
  <w:footnote w:id="69">
    <w:p w14:paraId="582D18EB">
      <w:pPr>
        <w:pStyle w:val="13"/>
        <w:ind w:firstLine="360"/>
      </w:pPr>
      <w:r>
        <w:rPr>
          <w:rStyle w:val="17"/>
        </w:rPr>
        <w:footnoteRef/>
      </w:r>
      <w:r>
        <w:t xml:space="preserve"> </w:t>
      </w:r>
      <w:r>
        <w:rPr>
          <w:rFonts w:hint="eastAsia"/>
        </w:rPr>
        <w:t>汪渊智：《形成权理论初探》，载《中国法学》2003年第3期。</w:t>
      </w:r>
    </w:p>
  </w:footnote>
  <w:footnote w:id="70">
    <w:p w14:paraId="5521D606">
      <w:pPr>
        <w:pStyle w:val="13"/>
        <w:ind w:firstLine="360"/>
      </w:pPr>
      <w:r>
        <w:rPr>
          <w:rStyle w:val="17"/>
        </w:rPr>
        <w:footnoteRef/>
      </w:r>
      <w:r>
        <w:t xml:space="preserve"> </w:t>
      </w:r>
      <w:r>
        <w:rPr>
          <w:rFonts w:hint="eastAsia"/>
        </w:rPr>
        <w:t>马长山主编：《数字法治概论》，法律出版社2022年版，第100页。</w:t>
      </w:r>
    </w:p>
  </w:footnote>
  <w:footnote w:id="71">
    <w:p w14:paraId="0E1C782D">
      <w:pPr>
        <w:pStyle w:val="13"/>
        <w:ind w:firstLine="360"/>
      </w:pPr>
      <w:r>
        <w:rPr>
          <w:rStyle w:val="17"/>
        </w:rPr>
        <w:footnoteRef/>
      </w:r>
      <w:r>
        <w:t xml:space="preserve"> </w:t>
      </w:r>
      <w:r>
        <w:rPr>
          <w:rFonts w:hint="eastAsia"/>
        </w:rPr>
        <w:t>冯果，薛亦飒：《从“权利规范模式”走向“行为控制模式”的数据信托———数据主体权利保护机制构建的另一种思路》，载《法学评论》2020年第3期。</w:t>
      </w:r>
    </w:p>
  </w:footnote>
  <w:footnote w:id="72">
    <w:p w14:paraId="753B2193">
      <w:pPr>
        <w:pStyle w:val="13"/>
        <w:ind w:firstLine="360"/>
      </w:pPr>
      <w:r>
        <w:rPr>
          <w:rStyle w:val="17"/>
        </w:rPr>
        <w:footnoteRef/>
      </w:r>
      <w:r>
        <w:t xml:space="preserve"> </w:t>
      </w:r>
      <w:r>
        <w:rPr>
          <w:rFonts w:hint="eastAsia"/>
        </w:rPr>
        <w:t>“</w:t>
      </w:r>
      <w:r>
        <w:t xml:space="preserve">YETTEL BULGARIA” EAD </w:t>
      </w:r>
      <w:r>
        <w:rPr>
          <w:rFonts w:ascii="Times New Roman Italic" w:hAnsi="Times New Roman Italic" w:cs="Times New Roman Italic"/>
          <w:i/>
          <w:iCs/>
          <w:highlight w:val="none"/>
        </w:rPr>
        <w:t>v.</w:t>
      </w:r>
      <w:r>
        <w:t xml:space="preserve"> FB, Case C-806/24</w:t>
      </w:r>
      <w:r>
        <w:rPr>
          <w:highlight w:val="none"/>
        </w:rPr>
        <w:t xml:space="preserve"> (2025)</w:t>
      </w:r>
      <w:r>
        <w:t>.</w:t>
      </w:r>
    </w:p>
  </w:footnote>
  <w:footnote w:id="73">
    <w:p w14:paraId="7883EC53">
      <w:pPr>
        <w:pStyle w:val="13"/>
        <w:ind w:firstLine="360"/>
      </w:pPr>
      <w:r>
        <w:rPr>
          <w:rStyle w:val="17"/>
        </w:rPr>
        <w:footnoteRef/>
      </w:r>
      <w:r>
        <w:t xml:space="preserve"> </w:t>
      </w:r>
      <w:r>
        <w:rPr>
          <w:rFonts w:hint="eastAsia"/>
        </w:rPr>
        <w:t>张新宝主编：《〈中华人民共和国个人信息保护法〉释义》，人民出版社出版2021年版，第199页；杨合庆主编：《中华人民共和国个人信息保护法导读与释义》，中国民主法制出版社2022年版，第83页。</w:t>
      </w:r>
    </w:p>
  </w:footnote>
  <w:footnote w:id="74">
    <w:p w14:paraId="780E29F4">
      <w:pPr>
        <w:pStyle w:val="13"/>
        <w:ind w:firstLine="360"/>
      </w:pPr>
      <w:r>
        <w:rPr>
          <w:rStyle w:val="17"/>
        </w:rPr>
        <w:footnoteRef/>
      </w:r>
      <w:r>
        <w:t xml:space="preserve"> </w:t>
      </w:r>
      <w:r>
        <w:rPr>
          <w:rFonts w:hint="eastAsia"/>
        </w:rPr>
        <w:t>萧鑫：《个人信息拒绝权的界定与适用》，载《社会科学研究》2023年第2期。</w:t>
      </w:r>
    </w:p>
  </w:footnote>
  <w:footnote w:id="75">
    <w:p w14:paraId="526C74F1">
      <w:pPr>
        <w:pStyle w:val="13"/>
        <w:ind w:firstLine="360"/>
      </w:pPr>
      <w:r>
        <w:rPr>
          <w:rStyle w:val="17"/>
        </w:rPr>
        <w:footnoteRef/>
      </w:r>
      <w:r>
        <w:t xml:space="preserve"> </w:t>
      </w:r>
      <w:r>
        <w:rPr>
          <w:rFonts w:hint="eastAsia"/>
        </w:rPr>
        <w:t>王明敏：《行政机关利用个人信息进行自动化决策的合宪性检视》，载《法学》2025年第2期；杨合庆主编：《中华人民共和国个人信息保护法导读与释义》，中国民主法制出版社2022年版，第83页。</w:t>
      </w:r>
    </w:p>
  </w:footnote>
  <w:footnote w:id="76">
    <w:p w14:paraId="25CF32C5">
      <w:pPr>
        <w:pStyle w:val="13"/>
        <w:ind w:firstLine="360"/>
      </w:pPr>
      <w:r>
        <w:rPr>
          <w:rStyle w:val="17"/>
        </w:rPr>
        <w:footnoteRef/>
      </w:r>
      <w:r>
        <w:t xml:space="preserve"> </w:t>
      </w:r>
      <w:r>
        <w:rPr>
          <w:rFonts w:hint="eastAsia"/>
        </w:rPr>
        <w:t>目前学界普遍认为一般性自动化决策拒绝权来源于《个人信息保护法》第44条，但究竟是来自于决定权还是一般性的拒绝权，有不同观点。此种认识上的差异，是对《个人信息保护法》第44条理解的不同导致的，一种观点认为《个人信息保护法》第44条仅规定了知情权与决定权，没有独立的一般性拒绝权，姚佳：《个人信息主体的权利体系——基于数字时代个体权利的多维观察》，载《华东政法大学学报》2022年第2期。而另一种观点则认为我国《个人信息保护法》第44条的“有权限制或拒绝他人对其个人信息进行处理”与“知情权、决定权”应属并列关系，第44条中拒绝权和知情权、决定权并列，</w:t>
      </w:r>
      <w:r>
        <w:t>申卫星：《论个人信息权的构建及其体系化》，载《比较法研究》2021年第5期。</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F77E6E"/>
    <w:multiLevelType w:val="singleLevel"/>
    <w:tmpl w:val="DFF77E6E"/>
    <w:lvl w:ilvl="0" w:tentative="0">
      <w:start w:val="1"/>
      <w:numFmt w:val="chineseCounting"/>
      <w:suff w:val="nothing"/>
      <w:lvlText w:val="第%1，"/>
      <w:lvlJc w:val="left"/>
      <w:rPr>
        <w:rFonts w:hint="eastAsia"/>
      </w:rPr>
    </w:lvl>
  </w:abstractNum>
  <w:abstractNum w:abstractNumId="1">
    <w:nsid w:val="7FE6E686"/>
    <w:multiLevelType w:val="multilevel"/>
    <w:tmpl w:val="7FE6E686"/>
    <w:lvl w:ilvl="0" w:tentative="0">
      <w:start w:val="1"/>
      <w:numFmt w:val="chineseCounting"/>
      <w:pStyle w:val="2"/>
      <w:suff w:val="nothing"/>
      <w:lvlText w:val="%1、"/>
      <w:lvlJc w:val="left"/>
      <w:pPr>
        <w:tabs>
          <w:tab w:val="left" w:pos="0"/>
        </w:tabs>
        <w:ind w:left="0" w:firstLine="0"/>
      </w:pPr>
      <w:rPr>
        <w:rFonts w:hint="eastAsia"/>
        <w:vertAlign w:val="baseline"/>
      </w:rPr>
    </w:lvl>
    <w:lvl w:ilvl="1" w:tentative="0">
      <w:start w:val="1"/>
      <w:numFmt w:val="chineseCounting"/>
      <w:pStyle w:val="3"/>
      <w:suff w:val="nothing"/>
      <w:lvlText w:val="（%2）"/>
      <w:lvlJc w:val="left"/>
      <w:pPr>
        <w:ind w:left="0" w:firstLine="0"/>
      </w:pPr>
      <w:rPr>
        <w:rFonts w:hint="eastAsia"/>
      </w:rPr>
    </w:lvl>
    <w:lvl w:ilvl="2" w:tentative="0">
      <w:start w:val="1"/>
      <w:numFmt w:val="decimal"/>
      <w:pStyle w:val="4"/>
      <w:suff w:val="nothing"/>
      <w:lvlText w:val="%3．"/>
      <w:lvlJc w:val="left"/>
      <w:pPr>
        <w:ind w:left="0" w:firstLine="400"/>
      </w:pPr>
      <w:rPr>
        <w:rFonts w:hint="eastAsia"/>
      </w:rPr>
    </w:lvl>
    <w:lvl w:ilvl="3" w:tentative="0">
      <w:start w:val="1"/>
      <w:numFmt w:val="decimal"/>
      <w:pStyle w:val="5"/>
      <w:suff w:val="nothing"/>
      <w:lvlText w:val="（%4）"/>
      <w:lvlJc w:val="left"/>
      <w:pPr>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2"/>
  <w:embedSystemFonts/>
  <w:bordersDoNotSurroundHeader w:val="1"/>
  <w:bordersDoNotSurroundFooter w:val="1"/>
  <w:trackRevisions w:val="1"/>
  <w:documentProtection w:enforcement="0"/>
  <w:defaultTabStop w:val="420"/>
  <w:drawingGridVerticalSpacing w:val="156"/>
  <w:noPunctuationKerning w:val="1"/>
  <w:characterSpacingControl w:val="compressPunctuation"/>
  <w:footnotePr>
    <w:numFmt w:val="decimalEnclosedCircleChinese"/>
    <w:numRestart w:val="eachPage"/>
    <w:footnote w:id="154"/>
    <w:footnote w:id="155"/>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RiY2ZlODI5YTgwMjMzYTE2YzJhN2M3ZDY4YTJiMzEifQ=="/>
  </w:docVars>
  <w:rsids>
    <w:rsidRoot w:val="CEF65ACB"/>
    <w:rsid w:val="00145661"/>
    <w:rsid w:val="001571F2"/>
    <w:rsid w:val="00195327"/>
    <w:rsid w:val="002D19C9"/>
    <w:rsid w:val="00405621"/>
    <w:rsid w:val="005212EB"/>
    <w:rsid w:val="009504E1"/>
    <w:rsid w:val="00973486"/>
    <w:rsid w:val="009843D4"/>
    <w:rsid w:val="00AE11E7"/>
    <w:rsid w:val="00DC7641"/>
    <w:rsid w:val="00F375DF"/>
    <w:rsid w:val="1D674B66"/>
    <w:rsid w:val="1FFB9C47"/>
    <w:rsid w:val="2D7F2116"/>
    <w:rsid w:val="3577309F"/>
    <w:rsid w:val="36D7CF3F"/>
    <w:rsid w:val="3B2F3E0E"/>
    <w:rsid w:val="3B32E3F1"/>
    <w:rsid w:val="3DAFDE72"/>
    <w:rsid w:val="3EBB8EFB"/>
    <w:rsid w:val="3F4FF14A"/>
    <w:rsid w:val="3FC502BA"/>
    <w:rsid w:val="3FC7449B"/>
    <w:rsid w:val="3FF58194"/>
    <w:rsid w:val="3FFF49D8"/>
    <w:rsid w:val="45FB4794"/>
    <w:rsid w:val="45FC3CE5"/>
    <w:rsid w:val="4BCFA76E"/>
    <w:rsid w:val="4BFE0536"/>
    <w:rsid w:val="4CFBBC3D"/>
    <w:rsid w:val="4DF535E1"/>
    <w:rsid w:val="4FDBF4E5"/>
    <w:rsid w:val="517F3A28"/>
    <w:rsid w:val="55FB1F2F"/>
    <w:rsid w:val="59EF9164"/>
    <w:rsid w:val="5BFFC02F"/>
    <w:rsid w:val="5CFB6423"/>
    <w:rsid w:val="5DFF21D0"/>
    <w:rsid w:val="5EBD5B17"/>
    <w:rsid w:val="5F7F78FC"/>
    <w:rsid w:val="64FCCA4C"/>
    <w:rsid w:val="65175257"/>
    <w:rsid w:val="67FD97B9"/>
    <w:rsid w:val="6AA38CAF"/>
    <w:rsid w:val="6E7BF5C1"/>
    <w:rsid w:val="6EF62B90"/>
    <w:rsid w:val="6FBFE7C9"/>
    <w:rsid w:val="73FD9AD5"/>
    <w:rsid w:val="746349F0"/>
    <w:rsid w:val="77EF9947"/>
    <w:rsid w:val="7A659833"/>
    <w:rsid w:val="7BBADC2E"/>
    <w:rsid w:val="7BC7D71B"/>
    <w:rsid w:val="7BDF5156"/>
    <w:rsid w:val="7BDFEF62"/>
    <w:rsid w:val="7BF81DD0"/>
    <w:rsid w:val="7D7E172B"/>
    <w:rsid w:val="7DEE9B5F"/>
    <w:rsid w:val="7DF77444"/>
    <w:rsid w:val="7EAB50F8"/>
    <w:rsid w:val="7F536462"/>
    <w:rsid w:val="7F5A308D"/>
    <w:rsid w:val="7F7E8D6A"/>
    <w:rsid w:val="7FBF1EA6"/>
    <w:rsid w:val="7FCF0CE0"/>
    <w:rsid w:val="7FDB6311"/>
    <w:rsid w:val="7FDDA946"/>
    <w:rsid w:val="7FE5DD3F"/>
    <w:rsid w:val="7FEB8326"/>
    <w:rsid w:val="7FFDAD86"/>
    <w:rsid w:val="8BDE51E1"/>
    <w:rsid w:val="96FD4C00"/>
    <w:rsid w:val="9BDE199D"/>
    <w:rsid w:val="9F7BA976"/>
    <w:rsid w:val="ACDC12DA"/>
    <w:rsid w:val="AEFB8033"/>
    <w:rsid w:val="AFBE6BC6"/>
    <w:rsid w:val="AFF594CB"/>
    <w:rsid w:val="AFFB87F7"/>
    <w:rsid w:val="B6F79C61"/>
    <w:rsid w:val="BE6F31C5"/>
    <w:rsid w:val="BECF1C3C"/>
    <w:rsid w:val="BF4DC5CB"/>
    <w:rsid w:val="BF7D7DF6"/>
    <w:rsid w:val="BFAB9857"/>
    <w:rsid w:val="BFF1C8D7"/>
    <w:rsid w:val="C3FC746D"/>
    <w:rsid w:val="C57FB031"/>
    <w:rsid w:val="C7FF6402"/>
    <w:rsid w:val="CEF65ACB"/>
    <w:rsid w:val="CF5DF1DB"/>
    <w:rsid w:val="D3C679D9"/>
    <w:rsid w:val="D4E98715"/>
    <w:rsid w:val="D5E9D573"/>
    <w:rsid w:val="D5FFA3B9"/>
    <w:rsid w:val="D6E5FD51"/>
    <w:rsid w:val="D7BFA439"/>
    <w:rsid w:val="D7D85284"/>
    <w:rsid w:val="D8CEBE97"/>
    <w:rsid w:val="DAF6792E"/>
    <w:rsid w:val="DAFEB945"/>
    <w:rsid w:val="DBA62899"/>
    <w:rsid w:val="DDBF3373"/>
    <w:rsid w:val="DEFFAA17"/>
    <w:rsid w:val="DF66B5D4"/>
    <w:rsid w:val="DFBDF24E"/>
    <w:rsid w:val="DFBE65ED"/>
    <w:rsid w:val="DFF69F3D"/>
    <w:rsid w:val="E1F19136"/>
    <w:rsid w:val="EAFBBFAC"/>
    <w:rsid w:val="EB3FC2FA"/>
    <w:rsid w:val="EB5AF60C"/>
    <w:rsid w:val="ECFB9036"/>
    <w:rsid w:val="EED7E8D7"/>
    <w:rsid w:val="EEFA06C6"/>
    <w:rsid w:val="EFBBA4BE"/>
    <w:rsid w:val="F1FF12EE"/>
    <w:rsid w:val="F33F6075"/>
    <w:rsid w:val="F3EA981E"/>
    <w:rsid w:val="F45E830C"/>
    <w:rsid w:val="F563B9D3"/>
    <w:rsid w:val="F7E765C6"/>
    <w:rsid w:val="F7FF4273"/>
    <w:rsid w:val="F8EE8688"/>
    <w:rsid w:val="F9AF65BD"/>
    <w:rsid w:val="F9FF2427"/>
    <w:rsid w:val="F9FF9D14"/>
    <w:rsid w:val="FBEF51DE"/>
    <w:rsid w:val="FBEFF8E2"/>
    <w:rsid w:val="FD6ECF3A"/>
    <w:rsid w:val="FDBBAFD8"/>
    <w:rsid w:val="FE5F7A1E"/>
    <w:rsid w:val="FED90548"/>
    <w:rsid w:val="FEECDBD1"/>
    <w:rsid w:val="FF740ED1"/>
    <w:rsid w:val="FF7E40F2"/>
    <w:rsid w:val="FFBD4F04"/>
    <w:rsid w:val="FFBEAFA9"/>
    <w:rsid w:val="FFBF2060"/>
    <w:rsid w:val="FFDB2D30"/>
    <w:rsid w:val="FFEEAC29"/>
    <w:rsid w:val="FFEFBA76"/>
    <w:rsid w:val="FFFF026B"/>
    <w:rsid w:val="FFFF9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8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Lines/>
      <w:numPr>
        <w:ilvl w:val="0"/>
        <w:numId w:val="1"/>
      </w:numPr>
      <w:spacing w:before="340" w:after="330" w:line="576" w:lineRule="auto"/>
      <w:ind w:firstLineChars="0"/>
      <w:jc w:val="left"/>
      <w:outlineLvl w:val="0"/>
    </w:pPr>
    <w:rPr>
      <w:b/>
      <w:kern w:val="44"/>
      <w:sz w:val="28"/>
    </w:rPr>
  </w:style>
  <w:style w:type="paragraph" w:styleId="3">
    <w:name w:val="heading 2"/>
    <w:basedOn w:val="1"/>
    <w:next w:val="1"/>
    <w:unhideWhenUsed/>
    <w:qFormat/>
    <w:uiPriority w:val="0"/>
    <w:pPr>
      <w:keepNext/>
      <w:keepLines/>
      <w:numPr>
        <w:ilvl w:val="1"/>
        <w:numId w:val="1"/>
      </w:numPr>
      <w:spacing w:before="260" w:after="260"/>
      <w:ind w:firstLineChars="0"/>
      <w:jc w:val="left"/>
      <w:outlineLvl w:val="1"/>
    </w:pPr>
    <w:rPr>
      <w:rFonts w:ascii="Arial" w:hAnsi="Arial"/>
      <w:b/>
    </w:rPr>
  </w:style>
  <w:style w:type="paragraph" w:styleId="4">
    <w:name w:val="heading 3"/>
    <w:basedOn w:val="1"/>
    <w:next w:val="1"/>
    <w:unhideWhenUsed/>
    <w:qFormat/>
    <w:uiPriority w:val="0"/>
    <w:pPr>
      <w:keepNext/>
      <w:keepLines/>
      <w:numPr>
        <w:ilvl w:val="2"/>
        <w:numId w:val="1"/>
      </w:numPr>
      <w:spacing w:before="260" w:after="260" w:line="413" w:lineRule="auto"/>
      <w:ind w:firstLine="0" w:firstLineChars="0"/>
      <w:jc w:val="left"/>
      <w:outlineLvl w:val="2"/>
    </w:pPr>
    <w:rPr>
      <w:b/>
    </w:rPr>
  </w:style>
  <w:style w:type="paragraph" w:styleId="5">
    <w:name w:val="heading 4"/>
    <w:basedOn w:val="1"/>
    <w:next w:val="1"/>
    <w:unhideWhenUsed/>
    <w:qFormat/>
    <w:uiPriority w:val="0"/>
    <w:pPr>
      <w:keepNext/>
      <w:keepLines/>
      <w:numPr>
        <w:ilvl w:val="3"/>
        <w:numId w:val="1"/>
      </w:numPr>
      <w:spacing w:before="280" w:after="290" w:line="372" w:lineRule="auto"/>
      <w:ind w:firstLine="0" w:firstLineChars="0"/>
      <w:jc w:val="left"/>
      <w:outlineLvl w:val="3"/>
    </w:pPr>
    <w:rPr>
      <w:rFonts w:ascii="Arial" w:hAnsi="Arial"/>
      <w:b/>
    </w:rPr>
  </w:style>
  <w:style w:type="paragraph" w:styleId="6">
    <w:name w:val="heading 5"/>
    <w:basedOn w:val="1"/>
    <w:next w:val="1"/>
    <w:unhideWhenUsed/>
    <w:qFormat/>
    <w:uiPriority w:val="0"/>
    <w:pPr>
      <w:keepNext/>
      <w:keepLines/>
      <w:numPr>
        <w:ilvl w:val="4"/>
        <w:numId w:val="1"/>
      </w:numPr>
      <w:spacing w:before="280" w:after="290" w:line="372" w:lineRule="auto"/>
      <w:ind w:firstLine="0" w:firstLineChars="0"/>
      <w:outlineLvl w:val="4"/>
    </w:pPr>
    <w:rPr>
      <w:b/>
    </w:rPr>
  </w:style>
  <w:style w:type="paragraph" w:styleId="7">
    <w:name w:val="heading 6"/>
    <w:basedOn w:val="1"/>
    <w:next w:val="1"/>
    <w:unhideWhenUsed/>
    <w:qFormat/>
    <w:uiPriority w:val="0"/>
    <w:pPr>
      <w:keepNext/>
      <w:keepLines/>
      <w:numPr>
        <w:ilvl w:val="5"/>
        <w:numId w:val="1"/>
      </w:numPr>
      <w:spacing w:before="240" w:after="64" w:line="317" w:lineRule="auto"/>
      <w:ind w:firstLine="0" w:firstLineChars="0"/>
      <w:outlineLvl w:val="5"/>
    </w:pPr>
    <w:rPr>
      <w:rFonts w:ascii="Arial" w:hAnsi="Arial" w:eastAsia="黑体"/>
      <w:b/>
    </w:rPr>
  </w:style>
  <w:style w:type="paragraph" w:styleId="8">
    <w:name w:val="heading 7"/>
    <w:basedOn w:val="1"/>
    <w:next w:val="1"/>
    <w:unhideWhenUsed/>
    <w:qFormat/>
    <w:uiPriority w:val="0"/>
    <w:pPr>
      <w:keepNext/>
      <w:keepLines/>
      <w:numPr>
        <w:ilvl w:val="6"/>
        <w:numId w:val="1"/>
      </w:numPr>
      <w:spacing w:before="240" w:after="64" w:line="317" w:lineRule="auto"/>
      <w:ind w:firstLine="0" w:firstLineChars="0"/>
      <w:outlineLvl w:val="6"/>
    </w:pPr>
    <w:rPr>
      <w:b/>
    </w:rPr>
  </w:style>
  <w:style w:type="paragraph" w:styleId="9">
    <w:name w:val="heading 8"/>
    <w:basedOn w:val="1"/>
    <w:next w:val="1"/>
    <w:semiHidden/>
    <w:unhideWhenUsed/>
    <w:qFormat/>
    <w:uiPriority w:val="0"/>
    <w:pPr>
      <w:keepNext/>
      <w:keepLines/>
      <w:numPr>
        <w:ilvl w:val="7"/>
        <w:numId w:val="1"/>
      </w:numPr>
      <w:spacing w:before="240" w:after="64" w:line="317" w:lineRule="auto"/>
      <w:ind w:firstLine="0" w:firstLineChars="0"/>
      <w:outlineLvl w:val="7"/>
    </w:pPr>
    <w:rPr>
      <w:rFonts w:ascii="Arial" w:hAnsi="Arial" w:eastAsia="黑体"/>
    </w:rPr>
  </w:style>
  <w:style w:type="paragraph" w:styleId="10">
    <w:name w:val="heading 9"/>
    <w:basedOn w:val="1"/>
    <w:next w:val="1"/>
    <w:semiHidden/>
    <w:unhideWhenUsed/>
    <w:qFormat/>
    <w:uiPriority w:val="0"/>
    <w:pPr>
      <w:keepNext/>
      <w:keepLines/>
      <w:numPr>
        <w:ilvl w:val="8"/>
        <w:numId w:val="1"/>
      </w:numPr>
      <w:spacing w:before="240" w:after="64" w:line="317" w:lineRule="auto"/>
      <w:ind w:firstLine="0" w:firstLineChars="0"/>
      <w:outlineLvl w:val="8"/>
    </w:pPr>
    <w:rPr>
      <w:rFonts w:ascii="Arial" w:hAnsi="Arial" w:eastAsia="黑体"/>
      <w:sz w:val="21"/>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3">
    <w:name w:val="footnote text"/>
    <w:basedOn w:val="1"/>
    <w:link w:val="18"/>
    <w:qFormat/>
    <w:uiPriority w:val="0"/>
    <w:pPr>
      <w:wordWrap w:val="0"/>
      <w:snapToGrid w:val="0"/>
      <w:jc w:val="left"/>
    </w:pPr>
    <w:rPr>
      <w:rFonts w:eastAsia="仿宋"/>
      <w:sz w:val="18"/>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footnote reference"/>
    <w:basedOn w:val="16"/>
    <w:qFormat/>
    <w:uiPriority w:val="0"/>
    <w:rPr>
      <w:vertAlign w:val="superscript"/>
    </w:rPr>
  </w:style>
  <w:style w:type="character" w:customStyle="1" w:styleId="18">
    <w:name w:val="脚注文本 字符"/>
    <w:link w:val="13"/>
    <w:qFormat/>
    <w:uiPriority w:val="0"/>
    <w:rPr>
      <w:rFonts w:eastAsia="仿宋"/>
      <w:sz w:val="18"/>
    </w:rPr>
  </w:style>
  <w:style w:type="paragraph" w:customStyle="1" w:styleId="19">
    <w:name w:val="修订1"/>
    <w:hidden/>
    <w:unhideWhenUsed/>
    <w:qFormat/>
    <w:uiPriority w:val="99"/>
    <w:rPr>
      <w:rFonts w:ascii="Times New Roman" w:hAnsi="Times New Roman" w:eastAsia="宋体" w:cstheme="minorBidi"/>
      <w:kern w:val="2"/>
      <w:sz w:val="24"/>
      <w:szCs w:val="24"/>
      <w:lang w:val="en-US" w:eastAsia="zh-CN" w:bidi="ar-SA"/>
    </w:rPr>
  </w:style>
  <w:style w:type="paragraph" w:customStyle="1" w:styleId="20">
    <w:name w:val="Revision"/>
    <w:hidden/>
    <w:unhideWhenUsed/>
    <w:qFormat/>
    <w:uiPriority w:val="99"/>
    <w:rPr>
      <w:rFonts w:ascii="Times New Roman" w:hAnsi="Times New Roman" w:eastAsia="宋体" w:cstheme="minorBidi"/>
      <w:kern w:val="2"/>
      <w:sz w:val="24"/>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7131417D-4996-E94F-9A73-FFD875BF7F50}">
  <ds:schemaRefs/>
</ds:datastoreItem>
</file>

<file path=docProps/app.xml><?xml version="1.0" encoding="utf-8"?>
<Properties xmlns="http://schemas.openxmlformats.org/officeDocument/2006/extended-properties" xmlns:vt="http://schemas.openxmlformats.org/officeDocument/2006/docPropsVTypes">
  <Template>Normal.dotm</Template>
  <Pages>24</Pages>
  <Words>2798</Words>
  <Characters>15954</Characters>
  <Lines>132</Lines>
  <Paragraphs>37</Paragraphs>
  <TotalTime>10</TotalTime>
  <ScaleCrop>false</ScaleCrop>
  <LinksUpToDate>false</LinksUpToDate>
  <CharactersWithSpaces>18715</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2025-05-26T19:06:00Z</dcterms:created>
  <dc:creator>。。。</dc:creator>
  <cp:lastModifiedBy>崔文博1312</cp:lastModifiedBy>
  <dcterms:modified xsi:type="dcterms:W3CDTF">2026-04-20T18:36:40Z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3E8540B26D444DE49753DB697FEE38F1_43</vt:lpwstr>
  </property>
</Properties>
</file>