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F14D9F">
      <w:pPr>
        <w:spacing w:line="240" w:lineRule="auto"/>
        <w:ind w:left="0" w:leftChars="0" w:firstLine="0" w:firstLineChars="0"/>
        <w:jc w:val="center"/>
        <w:rPr>
          <w:rFonts w:hint="eastAsia"/>
          <w:b/>
          <w:bCs/>
          <w:sz w:val="28"/>
          <w:szCs w:val="28"/>
        </w:rPr>
      </w:pPr>
      <w:r>
        <w:rPr>
          <w:rFonts w:hint="eastAsia"/>
          <w:b/>
          <w:bCs/>
          <w:sz w:val="28"/>
          <w:szCs w:val="28"/>
        </w:rPr>
        <w:t>生成式人工智能可控治理的法理逻辑与实现路径</w:t>
      </w:r>
    </w:p>
    <w:p w14:paraId="672B9FFC">
      <w:pPr>
        <w:spacing w:line="240" w:lineRule="auto"/>
        <w:ind w:left="0" w:leftChars="0" w:firstLine="0" w:firstLineChars="0"/>
        <w:jc w:val="center"/>
        <w:rPr>
          <w:rFonts w:hint="eastAsia"/>
          <w:b/>
          <w:bCs/>
          <w:sz w:val="28"/>
          <w:szCs w:val="28"/>
        </w:rPr>
      </w:pPr>
      <w:r>
        <w:rPr>
          <w:rFonts w:hint="eastAsia"/>
          <w:b/>
          <w:bCs/>
          <w:sz w:val="28"/>
          <w:szCs w:val="28"/>
        </w:rPr>
        <w:t>——基于算法解释的视角</w:t>
      </w:r>
      <w:r>
        <w:rPr>
          <w:rStyle w:val="15"/>
          <w:rFonts w:hint="eastAsia"/>
          <w:b/>
          <w:bCs/>
          <w:sz w:val="28"/>
          <w:szCs w:val="28"/>
        </w:rPr>
        <w:footnoteReference w:id="0" w:customMarkFollows="1"/>
        <w:t xml:space="preserve"> </w:t>
      </w:r>
    </w:p>
    <w:p w14:paraId="0AC41A06">
      <w:pPr>
        <w:spacing w:line="240" w:lineRule="auto"/>
        <w:ind w:left="0" w:leftChars="0" w:firstLine="0" w:firstLineChars="0"/>
        <w:jc w:val="center"/>
        <w:rPr>
          <w:rFonts w:hint="eastAsia"/>
          <w:b/>
          <w:bCs/>
          <w:sz w:val="28"/>
          <w:szCs w:val="28"/>
        </w:rPr>
      </w:pPr>
    </w:p>
    <w:p w14:paraId="6DE3CDA2">
      <w:pPr>
        <w:spacing w:line="240" w:lineRule="auto"/>
        <w:ind w:left="0" w:leftChars="0" w:firstLine="0" w:firstLineChars="0"/>
        <w:jc w:val="center"/>
        <w:rPr>
          <w:rFonts w:hint="eastAsia"/>
          <w:b/>
          <w:bCs/>
          <w:sz w:val="28"/>
          <w:szCs w:val="28"/>
        </w:rPr>
      </w:pPr>
    </w:p>
    <w:p w14:paraId="5863E83B">
      <w:pPr>
        <w:spacing w:line="240" w:lineRule="auto"/>
        <w:ind w:left="0" w:leftChars="0" w:firstLine="0" w:firstLineChars="0"/>
        <w:rPr>
          <w:rFonts w:hint="eastAsia"/>
          <w:b/>
          <w:bCs/>
          <w:lang w:val="en-US" w:eastAsia="zh-CN"/>
        </w:rPr>
      </w:pPr>
      <w:r>
        <w:rPr>
          <w:rFonts w:hint="eastAsia"/>
          <w:b/>
          <w:bCs/>
          <w:lang w:val="en-US" w:eastAsia="zh-CN"/>
        </w:rPr>
        <w:t>摘要：</w:t>
      </w:r>
      <w:r>
        <w:rPr>
          <w:rFonts w:hint="eastAsia"/>
          <w:b w:val="0"/>
          <w:bCs w:val="0"/>
          <w:lang w:val="en-US" w:eastAsia="zh-CN"/>
        </w:rPr>
        <w:t>生成式人工智能在提升交易效率、赋能生产生活的同时，也因算法黑箱、权力异化等诱发诸多风险，而基于透明化原则的法理释明、权利规制权力的现实需要以及人工智能算法治理规范的解读，算法解释具有嵌入生成式人工智能可控治理的可行性与必要性。然而，算法解释的实践应用依然暴露出诸多不足，尤其表现在解释标准难以满足不同主体需求、解释机制与商业秘密的天然对立、算法解释大模型的算力局限等，上述困境与一刀切治理理念、立法表达模糊以及监管机制缺位不无关系。基于此，当前应依托分类分级、利益平衡与包容审慎的治理理念，设定类型化解释标准、限定解释内容与主体范围，并建立以申诉反馈、伦理审查与协同监管为核心配套机制。</w:t>
      </w:r>
    </w:p>
    <w:p w14:paraId="1A2F6CDC">
      <w:pPr>
        <w:spacing w:line="240" w:lineRule="auto"/>
        <w:ind w:left="0" w:leftChars="0" w:firstLine="0" w:firstLineChars="0"/>
        <w:rPr>
          <w:rFonts w:hint="eastAsia"/>
          <w:b/>
          <w:bCs/>
          <w:lang w:val="en-US" w:eastAsia="zh-CN"/>
        </w:rPr>
      </w:pPr>
    </w:p>
    <w:p w14:paraId="542C201F">
      <w:pPr>
        <w:spacing w:line="240" w:lineRule="auto"/>
        <w:ind w:left="0" w:leftChars="0" w:firstLine="0" w:firstLineChars="0"/>
        <w:rPr>
          <w:rFonts w:hint="default"/>
          <w:b w:val="0"/>
          <w:bCs w:val="0"/>
          <w:lang w:val="en-US" w:eastAsia="zh-CN"/>
        </w:rPr>
      </w:pPr>
      <w:r>
        <w:rPr>
          <w:rFonts w:hint="eastAsia"/>
          <w:b/>
          <w:bCs/>
          <w:lang w:val="en-US" w:eastAsia="zh-CN"/>
        </w:rPr>
        <w:t>关键词：</w:t>
      </w:r>
      <w:r>
        <w:rPr>
          <w:rFonts w:hint="eastAsia"/>
          <w:b w:val="0"/>
          <w:bCs w:val="0"/>
          <w:color w:val="auto"/>
          <w:lang w:val="en-US" w:eastAsia="zh-CN"/>
        </w:rPr>
        <w:t>算法解释；生成式人工智能；可控治理；分类分级；利益平衡</w:t>
      </w:r>
    </w:p>
    <w:p w14:paraId="22A3FCD7">
      <w:pPr>
        <w:spacing w:line="240" w:lineRule="auto"/>
        <w:rPr>
          <w:rFonts w:hint="eastAsia"/>
        </w:rPr>
      </w:pPr>
    </w:p>
    <w:p w14:paraId="41860FCA">
      <w:pPr>
        <w:spacing w:line="240" w:lineRule="auto"/>
        <w:rPr>
          <w:rFonts w:hint="eastAsia"/>
        </w:rPr>
      </w:pPr>
    </w:p>
    <w:p w14:paraId="1C990B7D">
      <w:pPr>
        <w:spacing w:line="240" w:lineRule="auto"/>
        <w:ind w:firstLine="0" w:firstLineChars="0"/>
        <w:jc w:val="center"/>
        <w:rPr>
          <w:rFonts w:hint="default" w:ascii="Times New Roman" w:hAnsi="Times New Roman" w:cs="Times New Roman"/>
          <w:b/>
          <w:bCs/>
          <w:color w:val="auto"/>
          <w:sz w:val="28"/>
          <w:szCs w:val="28"/>
          <w:lang w:val="en-US" w:eastAsia="zh-CN"/>
        </w:rPr>
      </w:pPr>
      <w:r>
        <w:rPr>
          <w:rFonts w:hint="default" w:ascii="Times New Roman" w:hAnsi="Times New Roman" w:cs="Times New Roman"/>
          <w:b/>
          <w:bCs/>
          <w:color w:val="auto"/>
          <w:sz w:val="28"/>
          <w:szCs w:val="28"/>
          <w:lang w:val="en-US" w:eastAsia="zh-CN"/>
        </w:rPr>
        <w:t>The Legal Logic and Implementation Pathways for Controllable Governance of Generative Artificial Intelligence</w:t>
      </w:r>
    </w:p>
    <w:p w14:paraId="2BB150BF">
      <w:pPr>
        <w:spacing w:line="240" w:lineRule="auto"/>
        <w:ind w:firstLine="0" w:firstLineChars="0"/>
        <w:jc w:val="center"/>
        <w:rPr>
          <w:rFonts w:hint="default" w:ascii="Times New Roman" w:hAnsi="Times New Roman" w:eastAsia="宋体" w:cs="Times New Roman"/>
          <w:b/>
          <w:bCs/>
          <w:color w:val="auto"/>
          <w:kern w:val="2"/>
          <w:sz w:val="28"/>
          <w:szCs w:val="28"/>
          <w:lang w:val="en-US" w:eastAsia="zh-CN" w:bidi="ar-SA"/>
        </w:rPr>
      </w:pPr>
      <w:r>
        <w:rPr>
          <w:rFonts w:hint="default" w:ascii="Times New Roman" w:hAnsi="Times New Roman" w:cs="Times New Roman"/>
          <w:b/>
          <w:bCs/>
          <w:color w:val="auto"/>
          <w:sz w:val="28"/>
          <w:szCs w:val="28"/>
          <w:lang w:val="en-US" w:eastAsia="zh-CN"/>
        </w:rPr>
        <w:t>—From the Perspective of Algorithm Explainability</w:t>
      </w:r>
    </w:p>
    <w:p w14:paraId="7372AD20">
      <w:pPr>
        <w:spacing w:line="240" w:lineRule="auto"/>
        <w:ind w:firstLine="0" w:firstLineChars="0"/>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default" w:ascii="Times New Roman" w:hAnsi="Times New Roman" w:eastAsia="宋体" w:cs="Times New Roman"/>
          <w:b/>
          <w:bCs/>
          <w:color w:val="auto"/>
          <w:kern w:val="2"/>
          <w:sz w:val="24"/>
          <w:szCs w:val="24"/>
          <w:lang w:val="en-US" w:eastAsia="zh-CN" w:bidi="ar-SA"/>
        </w:rPr>
        <w:t xml:space="preserve">Abstract: </w:t>
      </w:r>
      <w:r>
        <w:rPr>
          <w:rFonts w:hint="default" w:ascii="Times New Roman" w:hAnsi="Times New Roman" w:eastAsia="宋体" w:cs="Times New Roman"/>
          <w:color w:val="auto"/>
          <w:kern w:val="2"/>
          <w:sz w:val="24"/>
          <w:szCs w:val="24"/>
          <w:lang w:val="en-US" w:eastAsia="zh-CN" w:bidi="ar-SA"/>
        </w:rPr>
        <w:t>While generative artificial intelligence enhances transaction effici</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ency and empowers production and daily life, it also induces numerous risks such as algorithmic black boxes and power distortion. Grounded in the principle of transparency, the practical need for legal clarification and rights regulation to constrain power, along with the interpretation of AI algorithm governance standards, demonstrates that algorithmic explanation holds both feasibility and necessity for embedding controllable governance within generative AI. However, practical applications of algorithmic explanation reveal significant shortcomings, notably: explanation standards failing to meet diverse stakeholder needs; inherent conflicts between explanation mechanisms and trade secrets; and computational limitations of large-scale algorithmic explanation models. These challenges stem from one-size-fits-all governance approaches, ambiguous legislative language, and inadequate regulatory frameworks. Therefore, current efforts should adopt a governance approach based on classification and tiering, balancing interests, and inclusive prudence. This involves establishing typified explanation standards, defining the scope of explanation content and subjects, and creating supporting mechanisms centered on appeal feedback, ethical review, and collaborative oversight.</w:t>
      </w:r>
    </w:p>
    <w:p w14:paraId="12D09B93">
      <w:pPr>
        <w:spacing w:line="240" w:lineRule="auto"/>
        <w:ind w:firstLine="0" w:firstLineChars="0"/>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pPr>
    </w:p>
    <w:p w14:paraId="59812113">
      <w:pPr>
        <w:spacing w:line="240" w:lineRule="auto"/>
        <w:ind w:firstLine="0" w:firstLineChars="0"/>
        <w:rPr>
          <w:rFonts w:hint="eastAsia" w:eastAsia="宋体" w:asciiTheme="minorAscii" w:hAnsiTheme="minorAscii" w:cstheme="minorBidi"/>
          <w:b/>
          <w:bCs/>
          <w:color w:val="000000" w:themeColor="text1"/>
          <w:kern w:val="2"/>
          <w:sz w:val="24"/>
          <w:szCs w:val="24"/>
          <w:lang w:val="en-US" w:eastAsia="zh-CN" w:bidi="ar-SA"/>
          <w14:textFill>
            <w14:solidFill>
              <w14:schemeClr w14:val="tx1"/>
            </w14:solidFill>
          </w14:textFill>
        </w:rPr>
      </w:pPr>
      <w:r>
        <w:rPr>
          <w:rFonts w:hint="default" w:ascii="Times New Roman" w:hAnsi="Times New Roman" w:eastAsia="宋体" w:cs="Times New Roman"/>
          <w:b/>
          <w:bCs/>
          <w:color w:val="000000" w:themeColor="text1"/>
          <w:kern w:val="2"/>
          <w:sz w:val="24"/>
          <w:szCs w:val="24"/>
          <w:lang w:val="en-US" w:eastAsia="zh-CN" w:bidi="ar-SA"/>
          <w14:textFill>
            <w14:solidFill>
              <w14:schemeClr w14:val="tx1"/>
            </w14:solidFill>
          </w14:textFill>
        </w:rPr>
        <w:t>Keywords:</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I</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gorithmic</w:t>
      </w:r>
      <w:r>
        <w:rPr>
          <w:rFonts w:hint="default" w:ascii="Times New Roman" w:hAnsi="Times New Roman" w:cs="Times New Roman"/>
          <w:color w:val="000000" w:themeColor="text1"/>
          <w:kern w:val="2"/>
          <w:sz w:val="24"/>
          <w:szCs w:val="24"/>
          <w:lang w:val="en-US" w:eastAsia="zh-CN" w:bidi="ar-SA"/>
          <w14:textFill>
            <w14:solidFill>
              <w14:schemeClr w14:val="tx1"/>
            </w14:solidFill>
          </w14:textFill>
        </w:rPr>
        <w:t xml:space="preserve">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E</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xplanation;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G</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enerative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A</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rtificial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I</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ntelligence;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C</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ontrollable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G</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overnance;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C</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lassification and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T</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iering;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B</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 xml:space="preserve">alancing </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I</w:t>
      </w: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nterests</w:t>
      </w:r>
    </w:p>
    <w:p w14:paraId="167CAFBC">
      <w:pPr>
        <w:numPr>
          <w:ilvl w:val="-1"/>
          <w:numId w:val="0"/>
        </w:numPr>
        <w:spacing w:line="240" w:lineRule="auto"/>
        <w:ind w:firstLine="0"/>
        <w:rPr>
          <w:rFonts w:hint="eastAsia" w:eastAsia="宋体" w:asciiTheme="minorAscii" w:hAnsiTheme="minorAscii" w:cstheme="minorBidi"/>
          <w:b/>
          <w:bCs/>
          <w:color w:val="000000" w:themeColor="text1"/>
          <w:kern w:val="2"/>
          <w:sz w:val="24"/>
          <w:szCs w:val="24"/>
          <w:lang w:val="en-US" w:eastAsia="zh-CN" w:bidi="ar-SA"/>
          <w14:textFill>
            <w14:solidFill>
              <w14:schemeClr w14:val="tx1"/>
            </w14:solidFill>
          </w14:textFill>
        </w:rPr>
      </w:pPr>
      <w:r>
        <w:rPr>
          <w:rFonts w:hint="eastAsia" w:eastAsia="宋体" w:asciiTheme="minorAscii" w:hAnsiTheme="minorAscii" w:cstheme="minorBidi"/>
          <w:b/>
          <w:bCs/>
          <w:color w:val="000000" w:themeColor="text1"/>
          <w:kern w:val="2"/>
          <w:sz w:val="24"/>
          <w:szCs w:val="24"/>
          <w:lang w:val="en-US" w:eastAsia="zh-CN" w:bidi="ar-SA"/>
          <w14:textFill>
            <w14:solidFill>
              <w14:schemeClr w14:val="tx1"/>
            </w14:solidFill>
          </w14:textFill>
        </w:rPr>
        <w:br w:type="page"/>
      </w:r>
    </w:p>
    <w:p w14:paraId="6C9E3D9D">
      <w:pPr>
        <w:numPr>
          <w:ilvl w:val="0"/>
          <w:numId w:val="0"/>
        </w:numPr>
        <w:spacing w:line="240" w:lineRule="auto"/>
        <w:ind w:firstLine="482"/>
        <w:rPr>
          <w:rFonts w:hint="eastAsia"/>
          <w:b/>
          <w:bCs/>
          <w:lang w:val="en-US" w:eastAsia="zh-CN"/>
        </w:rPr>
      </w:pPr>
      <w:r>
        <w:rPr>
          <w:rFonts w:hint="eastAsia" w:eastAsia="宋体" w:asciiTheme="minorAscii" w:hAnsiTheme="minorAscii" w:cstheme="minorBidi"/>
          <w:b/>
          <w:bCs/>
          <w:color w:val="000000" w:themeColor="text1"/>
          <w:kern w:val="2"/>
          <w:sz w:val="24"/>
          <w:szCs w:val="24"/>
          <w:lang w:val="en-US" w:eastAsia="zh-CN" w:bidi="ar-SA"/>
          <w14:textFill>
            <w14:solidFill>
              <w14:schemeClr w14:val="tx1"/>
            </w14:solidFill>
          </w14:textFill>
        </w:rPr>
        <w:t>一、</w:t>
      </w:r>
      <w:r>
        <w:rPr>
          <w:rFonts w:hint="eastAsia"/>
          <w:b/>
          <w:bCs/>
          <w:lang w:val="en-US" w:eastAsia="zh-CN"/>
        </w:rPr>
        <w:t>问题的提出</w:t>
      </w:r>
    </w:p>
    <w:p w14:paraId="0D8161BF">
      <w:pPr>
        <w:keepNext w:val="0"/>
        <w:keepLines w:val="0"/>
        <w:widowControl/>
        <w:suppressLineNumbers w:val="0"/>
        <w:spacing w:line="240" w:lineRule="auto"/>
        <w:jc w:val="left"/>
        <w:rPr>
          <w:rFonts w:ascii="宋体" w:hAnsi="宋体" w:eastAsia="宋体" w:cs="宋体"/>
          <w:sz w:val="24"/>
          <w:szCs w:val="24"/>
        </w:rPr>
      </w:pPr>
      <w:r>
        <w:rPr>
          <w:rFonts w:hint="eastAsia"/>
          <w:lang w:val="en-US" w:eastAsia="zh-CN"/>
        </w:rPr>
        <w:t>党的二十大报告提出要推动战略性新兴产业融合集群发展，构建新一代人工智能。</w:t>
      </w:r>
      <w:r>
        <w:rPr>
          <w:rFonts w:hint="eastAsia"/>
          <w:color w:val="auto"/>
          <w:lang w:val="en-US" w:eastAsia="zh-CN"/>
        </w:rPr>
        <w:t>随着人工智能的更新发展，</w:t>
      </w:r>
      <w:r>
        <w:rPr>
          <w:rFonts w:ascii="宋体" w:hAnsi="宋体" w:eastAsia="宋体" w:cs="宋体"/>
          <w:color w:val="auto"/>
          <w:sz w:val="24"/>
          <w:szCs w:val="24"/>
        </w:rPr>
        <w:t>以</w:t>
      </w:r>
      <w:r>
        <w:rPr>
          <w:rFonts w:hint="default" w:ascii="Times New Roman" w:hAnsi="Times New Roman" w:eastAsia="宋体" w:cs="Times New Roman"/>
          <w:color w:val="auto"/>
          <w:sz w:val="24"/>
          <w:szCs w:val="24"/>
        </w:rPr>
        <w:t>ChatGPT、</w:t>
      </w:r>
      <w:r>
        <w:rPr>
          <w:rFonts w:hint="default" w:ascii="Times New Roman" w:hAnsi="Times New Roman" w:eastAsia="宋体" w:cs="Times New Roman"/>
          <w:color w:val="auto"/>
          <w:sz w:val="24"/>
          <w:szCs w:val="24"/>
          <w:lang w:val="en-US" w:eastAsia="zh-CN"/>
        </w:rPr>
        <w:t>Deep Seek</w:t>
      </w:r>
      <w:r>
        <w:rPr>
          <w:rFonts w:ascii="宋体" w:hAnsi="宋体" w:eastAsia="宋体" w:cs="宋体"/>
          <w:color w:val="auto"/>
          <w:sz w:val="24"/>
          <w:szCs w:val="24"/>
        </w:rPr>
        <w:t>等为代表的生成式人工智能大模型，凭借海量参数、深度学习、</w:t>
      </w:r>
      <w:r>
        <w:rPr>
          <w:rFonts w:hint="eastAsia" w:ascii="宋体" w:hAnsi="宋体" w:eastAsia="宋体" w:cs="宋体"/>
          <w:color w:val="auto"/>
          <w:sz w:val="24"/>
          <w:szCs w:val="24"/>
        </w:rPr>
        <w:t>概率模型</w:t>
      </w:r>
      <w:r>
        <w:rPr>
          <w:rFonts w:hint="eastAsia" w:ascii="宋体" w:hAnsi="宋体" w:eastAsia="宋体" w:cs="宋体"/>
          <w:color w:val="auto"/>
          <w:sz w:val="24"/>
          <w:szCs w:val="24"/>
          <w:lang w:val="en-US" w:eastAsia="zh-CN"/>
        </w:rPr>
        <w:t>等</w:t>
      </w:r>
      <w:r>
        <w:rPr>
          <w:rFonts w:hint="eastAsia" w:ascii="宋体" w:hAnsi="宋体" w:eastAsia="宋体" w:cs="宋体"/>
          <w:color w:val="auto"/>
          <w:sz w:val="24"/>
          <w:szCs w:val="24"/>
        </w:rPr>
        <w:t>算法学习数据的内在规律和概率分布</w:t>
      </w:r>
      <w:r>
        <w:rPr>
          <w:rFonts w:ascii="宋体" w:hAnsi="宋体" w:eastAsia="宋体" w:cs="宋体"/>
          <w:color w:val="auto"/>
          <w:sz w:val="24"/>
          <w:szCs w:val="24"/>
        </w:rPr>
        <w:t>，</w:t>
      </w:r>
      <w:r>
        <w:rPr>
          <w:rStyle w:val="15"/>
          <w:rFonts w:ascii="宋体" w:hAnsi="宋体" w:eastAsia="宋体" w:cs="宋体"/>
          <w:sz w:val="24"/>
          <w:szCs w:val="24"/>
        </w:rPr>
        <w:t>[</w:t>
      </w:r>
      <w:r>
        <w:rPr>
          <w:rStyle w:val="15"/>
          <w:rFonts w:ascii="宋体" w:hAnsi="宋体" w:eastAsia="宋体" w:cs="宋体"/>
          <w:sz w:val="24"/>
          <w:szCs w:val="24"/>
        </w:rPr>
        <w:footnoteReference w:id="1"/>
      </w:r>
      <w:r>
        <w:rPr>
          <w:rStyle w:val="15"/>
          <w:rFonts w:ascii="宋体" w:hAnsi="宋体" w:eastAsia="宋体" w:cs="宋体"/>
          <w:sz w:val="24"/>
          <w:szCs w:val="24"/>
        </w:rPr>
        <w:t>]</w:t>
      </w:r>
      <w:r>
        <w:rPr>
          <w:rFonts w:ascii="宋体" w:hAnsi="宋体" w:eastAsia="宋体" w:cs="宋体"/>
          <w:sz w:val="24"/>
          <w:szCs w:val="24"/>
        </w:rPr>
        <w:t>实现了从“弱人工智能”到“通用人工智能”的技术跨越，成为数字经济时代培育新质生产力的核心驱动力。</w:t>
      </w:r>
      <w:r>
        <w:rPr>
          <w:rFonts w:hint="eastAsia" w:ascii="宋体" w:hAnsi="宋体" w:eastAsia="宋体" w:cs="宋体"/>
          <w:sz w:val="24"/>
          <w:szCs w:val="24"/>
          <w:lang w:val="en-US" w:eastAsia="zh-CN"/>
        </w:rPr>
        <w:t>目前，</w:t>
      </w:r>
      <w:r>
        <w:rPr>
          <w:rFonts w:ascii="宋体" w:hAnsi="宋体" w:eastAsia="宋体" w:cs="宋体"/>
          <w:sz w:val="24"/>
          <w:szCs w:val="24"/>
        </w:rPr>
        <w:t>生成式人工智能的应用已深度渗透</w:t>
      </w:r>
      <w:r>
        <w:rPr>
          <w:rFonts w:hint="eastAsia" w:ascii="宋体" w:hAnsi="宋体" w:cs="宋体"/>
          <w:sz w:val="24"/>
          <w:szCs w:val="24"/>
          <w:lang w:val="en-US" w:eastAsia="zh-CN"/>
        </w:rPr>
        <w:t>至</w:t>
      </w:r>
      <w:r>
        <w:rPr>
          <w:rFonts w:ascii="宋体" w:hAnsi="宋体" w:eastAsia="宋体" w:cs="宋体"/>
          <w:sz w:val="24"/>
          <w:szCs w:val="24"/>
        </w:rPr>
        <w:t>金融、医疗、教育、公共服务、文创、智能制造等社会全领域，</w:t>
      </w:r>
      <w:r>
        <w:rPr>
          <w:rFonts w:hint="eastAsia" w:ascii="宋体" w:hAnsi="宋体" w:cs="宋体"/>
          <w:sz w:val="24"/>
          <w:szCs w:val="24"/>
          <w:lang w:val="en-US" w:eastAsia="zh-CN"/>
        </w:rPr>
        <w:t>其</w:t>
      </w:r>
      <w:r>
        <w:rPr>
          <w:rFonts w:ascii="宋体" w:hAnsi="宋体" w:eastAsia="宋体" w:cs="宋体"/>
          <w:sz w:val="24"/>
          <w:szCs w:val="24"/>
        </w:rPr>
        <w:t>在提升生产效率、优化社会服务、激发创新活力的同时，</w:t>
      </w:r>
      <w:r>
        <w:rPr>
          <w:rFonts w:hint="eastAsia" w:ascii="宋体" w:hAnsi="宋体" w:cs="宋体"/>
          <w:sz w:val="24"/>
          <w:szCs w:val="24"/>
          <w:lang w:val="en-US" w:eastAsia="zh-CN"/>
        </w:rPr>
        <w:t>内</w:t>
      </w:r>
      <w:r>
        <w:rPr>
          <w:rFonts w:hint="eastAsia" w:ascii="宋体" w:hAnsi="宋体" w:cs="宋体"/>
          <w:color w:val="auto"/>
          <w:sz w:val="24"/>
          <w:szCs w:val="24"/>
          <w:lang w:val="en-US" w:eastAsia="zh-CN"/>
        </w:rPr>
        <w:t>含</w:t>
      </w:r>
      <w:r>
        <w:rPr>
          <w:rFonts w:hint="eastAsia" w:ascii="宋体" w:hAnsi="宋体" w:cs="宋体"/>
          <w:sz w:val="24"/>
          <w:szCs w:val="24"/>
          <w:lang w:val="en-US" w:eastAsia="zh-CN"/>
        </w:rPr>
        <w:t>的</w:t>
      </w:r>
      <w:r>
        <w:rPr>
          <w:rFonts w:ascii="宋体" w:hAnsi="宋体" w:eastAsia="宋体" w:cs="宋体"/>
          <w:sz w:val="24"/>
          <w:szCs w:val="24"/>
        </w:rPr>
        <w:t>技术特性也带来了全新的治理挑战。在此背景下，“可控治理”成为生成式人工智能健康发展的核心命题，国家</w:t>
      </w:r>
      <w:r>
        <w:rPr>
          <w:rFonts w:hint="eastAsia" w:ascii="宋体" w:hAnsi="宋体" w:eastAsia="宋体" w:cs="宋体"/>
          <w:sz w:val="24"/>
          <w:szCs w:val="24"/>
          <w:lang w:val="en-US" w:eastAsia="zh-CN"/>
        </w:rPr>
        <w:t>通过中央与地方、跨行业与跨部门等</w:t>
      </w:r>
      <w:r>
        <w:rPr>
          <w:rFonts w:ascii="FZHTK--GBK1-0" w:hAnsi="FZHTK--GBK1-0" w:eastAsia="FZHTK--GBK1-0" w:cs="FZHTK--GBK1-0"/>
          <w:color w:val="000000" w:themeColor="text1"/>
          <w:kern w:val="0"/>
          <w:sz w:val="24"/>
          <w:szCs w:val="24"/>
          <w:lang w:val="en-US" w:eastAsia="zh-CN" w:bidi="ar"/>
          <w14:textFill>
            <w14:solidFill>
              <w14:schemeClr w14:val="tx1"/>
            </w14:solidFill>
          </w14:textFill>
        </w:rPr>
        <w:t>多元协同的治理机制</w:t>
      </w:r>
      <w:r>
        <w:rPr>
          <w:rFonts w:hint="eastAsia" w:ascii="FZHTK--GBK1-0" w:hAnsi="FZHTK--GBK1-0" w:eastAsia="FZHTK--GBK1-0" w:cs="FZHTK--GBK1-0"/>
          <w:color w:val="000000" w:themeColor="text1"/>
          <w:kern w:val="0"/>
          <w:sz w:val="24"/>
          <w:szCs w:val="24"/>
          <w:lang w:val="en-US" w:eastAsia="zh-CN" w:bidi="ar"/>
          <w14:textFill>
            <w14:solidFill>
              <w14:schemeClr w14:val="tx1"/>
            </w14:solidFill>
          </w14:textFill>
        </w:rPr>
        <w:t>确保生成式人工智能能够安全可控地规范运行</w:t>
      </w:r>
      <w:r>
        <w:rPr>
          <w:rFonts w:ascii="宋体" w:hAnsi="宋体" w:eastAsia="宋体" w:cs="宋体"/>
          <w:sz w:val="24"/>
          <w:szCs w:val="24"/>
        </w:rPr>
        <w:t>。</w:t>
      </w:r>
      <w:r>
        <w:rPr>
          <w:rFonts w:hint="default" w:ascii="Times New Roman" w:hAnsi="Times New Roman" w:eastAsia="宋体" w:cs="Times New Roman"/>
          <w:sz w:val="24"/>
          <w:szCs w:val="24"/>
        </w:rPr>
        <w:t>2023</w:t>
      </w:r>
      <w:r>
        <w:rPr>
          <w:rFonts w:ascii="宋体" w:hAnsi="宋体" w:eastAsia="宋体" w:cs="宋体"/>
          <w:sz w:val="24"/>
          <w:szCs w:val="24"/>
        </w:rPr>
        <w:t>年《生成式人工智能服务管理暂行办法》的出台，标志着我国正式将生成式人工智能纳入法治化监管框架，明确了“发展与安全并重”的治理原则。而算法解释作为破解算法黑箱、实现算法透明化的关键工具，是规范算法权力行使、保障数据主体合法权益的核心路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其中《中华人民共和国个人信息保护法》</w:t>
      </w:r>
      <w:r>
        <w:rPr>
          <w:rFonts w:hint="eastAsia" w:ascii="宋体" w:hAnsi="宋体" w:cs="宋体"/>
          <w:sz w:val="24"/>
          <w:szCs w:val="24"/>
          <w:lang w:val="en-US" w:eastAsia="zh-CN"/>
        </w:rPr>
        <w:t>（以下简称《个人信息保护法》）</w:t>
      </w:r>
      <w:r>
        <w:rPr>
          <w:rFonts w:hint="eastAsia" w:ascii="宋体" w:hAnsi="宋体" w:eastAsia="宋体" w:cs="宋体"/>
          <w:sz w:val="24"/>
          <w:szCs w:val="24"/>
          <w:lang w:val="en-US" w:eastAsia="zh-CN"/>
        </w:rPr>
        <w:t>中第</w:t>
      </w:r>
      <w:r>
        <w:rPr>
          <w:rFonts w:hint="default" w:ascii="Times New Roman" w:hAnsi="Times New Roman" w:eastAsia="宋体" w:cs="Times New Roman"/>
          <w:sz w:val="24"/>
          <w:szCs w:val="24"/>
          <w:lang w:val="en-US" w:eastAsia="zh-CN"/>
        </w:rPr>
        <w:t>24</w:t>
      </w:r>
      <w:r>
        <w:rPr>
          <w:rFonts w:hint="eastAsia" w:ascii="宋体" w:hAnsi="宋体" w:eastAsia="宋体" w:cs="宋体"/>
          <w:sz w:val="24"/>
          <w:szCs w:val="24"/>
          <w:lang w:val="en-US" w:eastAsia="zh-CN"/>
        </w:rPr>
        <w:t>条第</w:t>
      </w:r>
      <w:r>
        <w:rPr>
          <w:rFonts w:hint="default" w:ascii="Times New Roman" w:hAnsi="Times New Roman" w:eastAsia="宋体" w:cs="Times New Roman"/>
          <w:sz w:val="24"/>
          <w:szCs w:val="24"/>
          <w:lang w:val="en-US" w:eastAsia="zh-CN"/>
        </w:rPr>
        <w:t>3</w:t>
      </w:r>
      <w:r>
        <w:rPr>
          <w:rFonts w:hint="eastAsia" w:ascii="宋体" w:hAnsi="宋体" w:eastAsia="宋体" w:cs="宋体"/>
          <w:sz w:val="24"/>
          <w:szCs w:val="24"/>
          <w:lang w:val="en-US" w:eastAsia="zh-CN"/>
        </w:rPr>
        <w:t>款明确了算法解释权：“通过自动化决策方式作出对个人权益有重大影响的决定，个人有权要求个人信息处理者予以说明，并有权拒绝个人信息处理者仅通过自动化决策的方式作出决定。”</w:t>
      </w:r>
      <w:r>
        <w:rPr>
          <w:rFonts w:ascii="宋体" w:hAnsi="宋体" w:eastAsia="宋体" w:cs="宋体"/>
          <w:sz w:val="24"/>
          <w:szCs w:val="24"/>
        </w:rPr>
        <w:t>其与生成式人工智能可控治理的融合适配，成为法治回应技术问题的必然选择。</w:t>
      </w:r>
    </w:p>
    <w:p w14:paraId="657F2B42">
      <w:pPr>
        <w:spacing w:line="240" w:lineRule="auto"/>
        <w:rPr>
          <w:rFonts w:hint="default" w:ascii="宋体" w:hAnsi="宋体" w:eastAsia="宋体" w:cs="宋体"/>
          <w:color w:val="000000" w:themeColor="text1"/>
          <w:kern w:val="0"/>
          <w:sz w:val="24"/>
          <w:szCs w:val="24"/>
          <w:lang w:val="en-US" w:eastAsia="zh-CN" w:bidi="ar"/>
          <w14:textFill>
            <w14:solidFill>
              <w14:schemeClr w14:val="tx1"/>
            </w14:solidFill>
          </w14:textFill>
        </w:rPr>
      </w:pPr>
      <w:r>
        <w:rPr>
          <w:rFonts w:hint="eastAsia" w:ascii="宋体" w:hAnsi="宋体" w:eastAsia="宋体" w:cs="宋体"/>
          <w:sz w:val="24"/>
          <w:szCs w:val="24"/>
          <w:lang w:val="en-US" w:eastAsia="zh-CN"/>
        </w:rPr>
        <w:t>目前，</w:t>
      </w:r>
      <w:r>
        <w:rPr>
          <w:rFonts w:hint="eastAsia" w:ascii="宋体" w:hAnsi="宋体" w:eastAsia="宋体" w:cs="宋体"/>
          <w:color w:val="000000" w:themeColor="text1"/>
          <w:kern w:val="0"/>
          <w:sz w:val="24"/>
          <w:szCs w:val="24"/>
          <w:lang w:val="en-US" w:eastAsia="zh-CN" w:bidi="ar"/>
          <w14:textFill>
            <w14:solidFill>
              <w14:schemeClr w14:val="tx1"/>
            </w14:solidFill>
          </w14:textFill>
        </w:rPr>
        <w:t>算法决策正成为经济与社会体系的一部分，</w:t>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t>[</w:t>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footnoteReference w:id="2"/>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eastAsia" w:ascii="宋体" w:hAnsi="宋体" w:cs="宋体"/>
          <w:color w:val="000000" w:themeColor="text1"/>
          <w:kern w:val="0"/>
          <w:sz w:val="24"/>
          <w:szCs w:val="24"/>
          <w:lang w:val="en-US" w:eastAsia="zh-CN" w:bidi="ar"/>
          <w14:textFill>
            <w14:solidFill>
              <w14:schemeClr w14:val="tx1"/>
            </w14:solidFill>
          </w14:textFill>
        </w:rPr>
        <w:t>对此，</w:t>
      </w:r>
      <w:r>
        <w:rPr>
          <w:rFonts w:hint="eastAsia" w:ascii="宋体" w:hAnsi="宋体" w:eastAsia="宋体" w:cs="宋体"/>
          <w:color w:val="000000" w:themeColor="text1"/>
          <w:kern w:val="0"/>
          <w:sz w:val="24"/>
          <w:szCs w:val="24"/>
          <w:lang w:val="en-US" w:eastAsia="zh-CN" w:bidi="ar"/>
          <w14:textFill>
            <w14:solidFill>
              <w14:schemeClr w14:val="tx1"/>
            </w14:solidFill>
          </w14:textFill>
        </w:rPr>
        <w:t>学界</w:t>
      </w:r>
      <w:r>
        <w:rPr>
          <w:rFonts w:hint="eastAsia" w:ascii="宋体" w:hAnsi="宋体" w:cs="宋体"/>
          <w:color w:val="000000" w:themeColor="text1"/>
          <w:kern w:val="0"/>
          <w:sz w:val="24"/>
          <w:szCs w:val="24"/>
          <w:lang w:val="en-US" w:eastAsia="zh-CN" w:bidi="ar"/>
          <w14:textFill>
            <w14:solidFill>
              <w14:schemeClr w14:val="tx1"/>
            </w14:solidFill>
          </w14:textFill>
        </w:rPr>
        <w:t>的研究成果颇为丰富，研究的内容主要聚焦于算法解释权的赋权法理、现实价值以及行权规范等维度。例如，</w:t>
      </w:r>
      <w:r>
        <w:rPr>
          <w:rFonts w:hint="eastAsia" w:ascii="宋体" w:hAnsi="宋体" w:eastAsia="宋体" w:cs="宋体"/>
          <w:color w:val="000000" w:themeColor="text1"/>
          <w:kern w:val="0"/>
          <w:sz w:val="24"/>
          <w:szCs w:val="24"/>
          <w:lang w:val="en-US" w:eastAsia="zh-CN" w:bidi="ar"/>
          <w14:textFill>
            <w14:solidFill>
              <w14:schemeClr w14:val="tx1"/>
            </w14:solidFill>
          </w14:textFill>
        </w:rPr>
        <w:t>有学者</w:t>
      </w:r>
      <w:r>
        <w:rPr>
          <w:rFonts w:hint="eastAsia" w:ascii="宋体" w:hAnsi="宋体" w:cs="宋体"/>
          <w:color w:val="000000" w:themeColor="text1"/>
          <w:kern w:val="0"/>
          <w:sz w:val="24"/>
          <w:szCs w:val="24"/>
          <w:lang w:val="en-US" w:eastAsia="zh-CN" w:bidi="ar"/>
          <w14:textFill>
            <w14:solidFill>
              <w14:schemeClr w14:val="tx1"/>
            </w14:solidFill>
          </w14:textFill>
        </w:rPr>
        <w:t>认为</w:t>
      </w:r>
      <w:r>
        <w:rPr>
          <w:rFonts w:hint="eastAsia" w:ascii="宋体" w:hAnsi="宋体" w:eastAsia="宋体" w:cs="宋体"/>
          <w:color w:val="000000" w:themeColor="text1"/>
          <w:kern w:val="0"/>
          <w:sz w:val="24"/>
          <w:szCs w:val="24"/>
          <w:lang w:val="en-US" w:eastAsia="zh-CN" w:bidi="ar"/>
          <w14:textFill>
            <w14:solidFill>
              <w14:schemeClr w14:val="tx1"/>
            </w14:solidFill>
          </w14:textFill>
        </w:rPr>
        <w:t>算法解释权虽具有维护个体权利的重要价值</w:t>
      </w:r>
      <w:r>
        <w:rPr>
          <w:rFonts w:hint="eastAsia" w:ascii="宋体" w:hAnsi="宋体" w:cs="宋体"/>
          <w:color w:val="000000" w:themeColor="text1"/>
          <w:kern w:val="0"/>
          <w:sz w:val="24"/>
          <w:szCs w:val="24"/>
          <w:lang w:val="en-US" w:eastAsia="zh-CN" w:bidi="ar"/>
          <w14:textFill>
            <w14:solidFill>
              <w14:schemeClr w14:val="tx1"/>
            </w14:solidFill>
          </w14:textFill>
        </w:rPr>
        <w:t>，但现阶段仍</w:t>
      </w:r>
      <w:r>
        <w:rPr>
          <w:rFonts w:hint="eastAsia" w:ascii="宋体" w:hAnsi="宋体" w:eastAsia="宋体" w:cs="宋体"/>
          <w:color w:val="000000" w:themeColor="text1"/>
          <w:kern w:val="0"/>
          <w:sz w:val="24"/>
          <w:szCs w:val="24"/>
          <w:lang w:val="en-US" w:eastAsia="zh-CN" w:bidi="ar"/>
          <w14:textFill>
            <w14:solidFill>
              <w14:schemeClr w14:val="tx1"/>
            </w14:solidFill>
          </w14:textFill>
        </w:rPr>
        <w:t>存在理论混杂与权利泛化的问题，因此需要在与算法解释义务、解释技术及知识产权的互动中明确赋权边界，通过转向“整体一责任”的双向驱动机制来补充单一的“个体一自由”模式，从而实现自由与责任的动态平衡。</w:t>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t>[</w:t>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footnoteReference w:id="3"/>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eastAsia" w:ascii="宋体" w:hAnsi="宋体" w:eastAsia="宋体" w:cs="宋体"/>
          <w:color w:val="000000" w:themeColor="text1"/>
          <w:kern w:val="0"/>
          <w:sz w:val="24"/>
          <w:szCs w:val="24"/>
          <w:lang w:val="en-US" w:eastAsia="zh-CN" w:bidi="ar"/>
          <w14:textFill>
            <w14:solidFill>
              <w14:schemeClr w14:val="tx1"/>
            </w14:solidFill>
          </w14:textFill>
        </w:rPr>
        <w:t>也有学者</w:t>
      </w:r>
      <w:r>
        <w:rPr>
          <w:rFonts w:hint="eastAsia" w:ascii="宋体" w:hAnsi="宋体" w:cs="宋体"/>
          <w:color w:val="000000" w:themeColor="text1"/>
          <w:kern w:val="0"/>
          <w:sz w:val="24"/>
          <w:szCs w:val="24"/>
          <w:lang w:val="en-US" w:eastAsia="zh-CN" w:bidi="ar"/>
          <w14:textFill>
            <w14:solidFill>
              <w14:schemeClr w14:val="tx1"/>
            </w14:solidFill>
          </w14:textFill>
        </w:rPr>
        <w:t>强调</w:t>
      </w:r>
      <w:r>
        <w:rPr>
          <w:rFonts w:hint="eastAsia" w:ascii="宋体" w:hAnsi="宋体" w:eastAsia="宋体" w:cs="宋体"/>
          <w:color w:val="000000" w:themeColor="text1"/>
          <w:kern w:val="0"/>
          <w:sz w:val="24"/>
          <w:szCs w:val="24"/>
          <w:lang w:val="en-US" w:eastAsia="zh-CN" w:bidi="ar"/>
          <w14:textFill>
            <w14:solidFill>
              <w14:schemeClr w14:val="tx1"/>
            </w14:solidFill>
          </w14:textFill>
        </w:rPr>
        <w:t>对人工智能配置独立的算法解释权，从平等</w:t>
      </w:r>
      <w:r>
        <w:rPr>
          <w:rFonts w:hint="eastAsia" w:ascii="宋体" w:hAnsi="宋体" w:cs="宋体"/>
          <w:color w:val="000000" w:themeColor="text1"/>
          <w:kern w:val="0"/>
          <w:sz w:val="24"/>
          <w:szCs w:val="24"/>
          <w:lang w:val="en-US" w:eastAsia="zh-CN" w:bidi="ar"/>
          <w14:textFill>
            <w14:solidFill>
              <w14:schemeClr w14:val="tx1"/>
            </w14:solidFill>
          </w14:textFill>
        </w:rPr>
        <w:t>－</w:t>
      </w:r>
      <w:r>
        <w:rPr>
          <w:rFonts w:hint="eastAsia" w:ascii="宋体" w:hAnsi="宋体" w:eastAsia="宋体" w:cs="宋体"/>
          <w:color w:val="000000" w:themeColor="text1"/>
          <w:kern w:val="0"/>
          <w:sz w:val="24"/>
          <w:szCs w:val="24"/>
          <w:lang w:val="en-US" w:eastAsia="zh-CN" w:bidi="ar"/>
          <w14:textFill>
            <w14:solidFill>
              <w14:schemeClr w14:val="tx1"/>
            </w14:solidFill>
          </w14:textFill>
        </w:rPr>
        <w:t>自由</w:t>
      </w:r>
      <w:r>
        <w:rPr>
          <w:rFonts w:hint="eastAsia" w:ascii="宋体" w:hAnsi="宋体" w:cs="宋体"/>
          <w:color w:val="000000" w:themeColor="text1"/>
          <w:kern w:val="0"/>
          <w:sz w:val="24"/>
          <w:szCs w:val="24"/>
          <w:lang w:val="en-US" w:eastAsia="zh-CN" w:bidi="ar"/>
          <w14:textFill>
            <w14:solidFill>
              <w14:schemeClr w14:val="tx1"/>
            </w14:solidFill>
          </w14:textFill>
        </w:rPr>
        <w:t>－</w:t>
      </w:r>
      <w:r>
        <w:rPr>
          <w:rFonts w:hint="eastAsia" w:ascii="宋体" w:hAnsi="宋体" w:eastAsia="宋体" w:cs="宋体"/>
          <w:color w:val="000000" w:themeColor="text1"/>
          <w:kern w:val="0"/>
          <w:sz w:val="24"/>
          <w:szCs w:val="24"/>
          <w:lang w:val="en-US" w:eastAsia="zh-CN" w:bidi="ar"/>
          <w14:textFill>
            <w14:solidFill>
              <w14:schemeClr w14:val="tx1"/>
            </w14:solidFill>
          </w14:textFill>
        </w:rPr>
        <w:t>正义三个维度规制算法权力，以实现人工智能中双方地位的实质平等和事后有效救济。</w:t>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t>[</w:t>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footnoteReference w:id="4"/>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eastAsia" w:ascii="宋体" w:hAnsi="宋体" w:eastAsia="宋体" w:cs="宋体"/>
          <w:color w:val="000000" w:themeColor="text1"/>
          <w:kern w:val="0"/>
          <w:sz w:val="24"/>
          <w:szCs w:val="24"/>
          <w:lang w:val="en-US" w:eastAsia="zh-CN" w:bidi="ar"/>
          <w14:textFill>
            <w14:solidFill>
              <w14:schemeClr w14:val="tx1"/>
            </w14:solidFill>
          </w14:textFill>
        </w:rPr>
        <w:t>总之</w:t>
      </w:r>
      <w:r>
        <w:rPr>
          <w:rFonts w:hint="eastAsia" w:ascii="宋体" w:hAnsi="宋体" w:cs="宋体"/>
          <w:color w:val="000000" w:themeColor="text1"/>
          <w:kern w:val="0"/>
          <w:sz w:val="24"/>
          <w:szCs w:val="24"/>
          <w:lang w:val="en-US" w:eastAsia="zh-CN" w:bidi="ar"/>
          <w14:textFill>
            <w14:solidFill>
              <w14:schemeClr w14:val="tx1"/>
            </w14:solidFill>
          </w14:textFill>
        </w:rPr>
        <w:t>，作为私权保障的“关键先生”，算法解释也为生成式人工智能的可控治理提供了新路径。遗憾的是，当前立法与相关规范性文件对</w:t>
      </w:r>
      <w:r>
        <w:rPr>
          <w:rFonts w:hint="eastAsia" w:ascii="宋体" w:hAnsi="宋体" w:eastAsia="宋体" w:cs="宋体"/>
          <w:color w:val="000000" w:themeColor="text1"/>
          <w:kern w:val="0"/>
          <w:sz w:val="24"/>
          <w:szCs w:val="24"/>
          <w:lang w:val="en-US" w:eastAsia="zh-CN" w:bidi="ar"/>
          <w14:textFill>
            <w14:solidFill>
              <w14:schemeClr w14:val="tx1"/>
            </w14:solidFill>
          </w14:textFill>
        </w:rPr>
        <w:t>算法解释的针对性不足、规则细化不够、配套机制缺失，尚未形成体系化的制度设计</w:t>
      </w:r>
      <w:r>
        <w:rPr>
          <w:rFonts w:hint="eastAsia" w:ascii="宋体" w:hAnsi="宋体" w:cs="宋体"/>
          <w:color w:val="000000" w:themeColor="text1"/>
          <w:kern w:val="0"/>
          <w:sz w:val="24"/>
          <w:szCs w:val="24"/>
          <w:lang w:val="en-US" w:eastAsia="zh-CN" w:bidi="ar"/>
          <w14:textFill>
            <w14:solidFill>
              <w14:schemeClr w14:val="tx1"/>
            </w14:solidFill>
          </w14:textFill>
        </w:rPr>
        <w:t>，不免导致算法解释的实践效果大打折扣</w:t>
      </w:r>
      <w:r>
        <w:rPr>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eastAsia" w:ascii="宋体" w:hAnsi="宋体" w:cs="宋体"/>
          <w:color w:val="000000" w:themeColor="text1"/>
          <w:kern w:val="0"/>
          <w:sz w:val="24"/>
          <w:szCs w:val="24"/>
          <w:lang w:val="en-US" w:eastAsia="zh-CN" w:bidi="ar"/>
          <w14:textFill>
            <w14:solidFill>
              <w14:schemeClr w14:val="tx1"/>
            </w14:solidFill>
          </w14:textFill>
        </w:rPr>
        <w:t>基于此，本文在试图证成算法解释赋能生成式人工智能可控治理的正当性基础上，围绕算法解释适用困境的表现与原因，并据此形塑具有可操作性的因应对策，以期对生成式人工智能的可控可信治理有所裨益。</w:t>
      </w:r>
    </w:p>
    <w:p w14:paraId="50E25EFE">
      <w:pPr>
        <w:numPr>
          <w:ilvl w:val="0"/>
          <w:numId w:val="0"/>
        </w:numPr>
        <w:spacing w:line="240" w:lineRule="auto"/>
        <w:ind w:firstLine="480" w:firstLineChars="200"/>
        <w:rPr>
          <w:rFonts w:hint="eastAsia"/>
          <w:b/>
          <w:bCs/>
          <w:lang w:val="en-US" w:eastAsia="zh-CN"/>
        </w:rPr>
      </w:pPr>
      <w:r>
        <w:rPr>
          <w:rFonts w:hint="eastAsia" w:eastAsia="宋体" w:asciiTheme="minorAscii" w:hAnsiTheme="minorAscii" w:cstheme="minorBidi"/>
          <w:b/>
          <w:bCs/>
          <w:color w:val="000000" w:themeColor="text1"/>
          <w:kern w:val="2"/>
          <w:sz w:val="24"/>
          <w:szCs w:val="24"/>
          <w:lang w:val="en-US" w:eastAsia="zh-CN" w:bidi="ar-SA"/>
          <w14:textFill>
            <w14:solidFill>
              <w14:schemeClr w14:val="tx1"/>
            </w14:solidFill>
          </w14:textFill>
        </w:rPr>
        <w:t>二、</w:t>
      </w:r>
      <w:r>
        <w:rPr>
          <w:rFonts w:hint="eastAsia"/>
          <w:b/>
          <w:bCs/>
          <w:lang w:val="en-US" w:eastAsia="zh-CN"/>
        </w:rPr>
        <w:t>算法解释嵌入生成式人工智能可控治理的证成理据</w:t>
      </w:r>
    </w:p>
    <w:p w14:paraId="5B7B4C91">
      <w:pPr>
        <w:numPr>
          <w:ilvl w:val="0"/>
          <w:numId w:val="0"/>
        </w:numPr>
        <w:spacing w:line="240" w:lineRule="auto"/>
        <w:ind w:firstLine="480" w:firstLineChars="200"/>
        <w:rPr>
          <w:rFonts w:hint="default"/>
          <w:lang w:val="en-US" w:eastAsia="zh-CN"/>
        </w:rPr>
      </w:pPr>
      <w:r>
        <w:rPr>
          <w:rFonts w:hint="default"/>
          <w:lang w:val="en-US" w:eastAsia="zh-CN"/>
        </w:rPr>
        <w:t>以</w:t>
      </w:r>
      <w:r>
        <w:rPr>
          <w:rFonts w:hint="eastAsia"/>
          <w:lang w:val="en-US" w:eastAsia="zh-CN"/>
        </w:rPr>
        <w:t>算法解释与生成式人工智能可控治理的契合性分析，</w:t>
      </w:r>
      <w:r>
        <w:rPr>
          <w:rFonts w:hint="eastAsia"/>
          <w:color w:val="auto"/>
          <w:lang w:val="en-US" w:eastAsia="zh-CN"/>
        </w:rPr>
        <w:t>须</w:t>
      </w:r>
      <w:r>
        <w:rPr>
          <w:rFonts w:hint="default"/>
          <w:color w:val="auto"/>
          <w:lang w:val="en-US" w:eastAsia="zh-CN"/>
        </w:rPr>
        <w:t>立足于生成式人工智能的技术黑箱属性与社会对透明度、可问责性的治理需求之间的结构性矛盾，</w:t>
      </w:r>
      <w:r>
        <w:rPr>
          <w:rFonts w:hint="eastAsia"/>
          <w:color w:val="auto"/>
          <w:lang w:val="en-US" w:eastAsia="zh-CN"/>
        </w:rPr>
        <w:t>进而依托理论、价值、规则三个维度系统阐述算法解释适用的理论正当性与现</w:t>
      </w:r>
      <w:r>
        <w:rPr>
          <w:rFonts w:hint="eastAsia"/>
          <w:lang w:val="en-US" w:eastAsia="zh-CN"/>
        </w:rPr>
        <w:t>实必要性。</w:t>
      </w:r>
    </w:p>
    <w:p w14:paraId="60BD78F9">
      <w:pPr>
        <w:numPr>
          <w:ilvl w:val="0"/>
          <w:numId w:val="0"/>
        </w:numPr>
        <w:spacing w:line="240" w:lineRule="auto"/>
        <w:ind w:firstLine="480" w:firstLineChars="200"/>
        <w:rPr>
          <w:rFonts w:hint="eastAsia"/>
          <w:b/>
          <w:bCs/>
          <w:lang w:val="en-US" w:eastAsia="zh-CN"/>
        </w:rPr>
      </w:pPr>
      <w:r>
        <w:rPr>
          <w:rFonts w:hint="eastAsia" w:eastAsia="宋体" w:asciiTheme="minorAscii" w:hAnsiTheme="minorAscii" w:cstheme="minorBidi"/>
          <w:b/>
          <w:bCs/>
          <w:color w:val="000000" w:themeColor="text1"/>
          <w:kern w:val="2"/>
          <w:sz w:val="24"/>
          <w:szCs w:val="24"/>
          <w:lang w:val="en-US" w:eastAsia="zh-CN" w:bidi="ar-SA"/>
          <w14:textFill>
            <w14:solidFill>
              <w14:schemeClr w14:val="tx1"/>
            </w14:solidFill>
          </w14:textFill>
        </w:rPr>
        <w:t>（一）</w:t>
      </w:r>
      <w:r>
        <w:rPr>
          <w:rFonts w:hint="eastAsia"/>
          <w:b/>
          <w:bCs/>
          <w:lang w:val="en-US" w:eastAsia="zh-CN"/>
        </w:rPr>
        <w:t>理论维度：生成式人工智能透明化原则的法理释明</w:t>
      </w:r>
    </w:p>
    <w:p w14:paraId="7CDCD4DD">
      <w:pPr>
        <w:numPr>
          <w:ilvl w:val="0"/>
          <w:numId w:val="0"/>
        </w:numPr>
        <w:spacing w:line="240" w:lineRule="auto"/>
        <w:ind w:firstLine="480" w:firstLineChars="200"/>
        <w:rPr>
          <w:rFonts w:hint="eastAsia" w:ascii="宋体" w:hAnsi="宋体" w:eastAsia="宋体" w:cs="宋体"/>
          <w:sz w:val="24"/>
          <w:szCs w:val="24"/>
          <w:lang w:eastAsia="zh-CN"/>
        </w:rPr>
      </w:pPr>
      <w:r>
        <w:rPr>
          <w:rFonts w:hint="default"/>
          <w:lang w:val="en-US" w:eastAsia="zh-CN"/>
        </w:rPr>
        <w:t>算法透明是法律回应</w:t>
      </w:r>
      <w:r>
        <w:rPr>
          <w:rFonts w:hint="eastAsia"/>
          <w:lang w:val="en-US" w:eastAsia="zh-CN"/>
        </w:rPr>
        <w:t>算法黑箱</w:t>
      </w:r>
      <w:r>
        <w:rPr>
          <w:rFonts w:hint="default"/>
          <w:lang w:val="en-US" w:eastAsia="zh-CN"/>
        </w:rPr>
        <w:t>最直接、有效和恰当的方式</w:t>
      </w:r>
      <w:r>
        <w:rPr>
          <w:rFonts w:hint="eastAsia"/>
          <w:lang w:val="en-US" w:eastAsia="zh-CN"/>
        </w:rPr>
        <w:t>，</w:t>
      </w:r>
      <w:r>
        <w:rPr>
          <w:rFonts w:ascii="宋体" w:hAnsi="宋体" w:eastAsia="宋体" w:cs="宋体"/>
          <w:sz w:val="24"/>
          <w:szCs w:val="24"/>
        </w:rPr>
        <w:t>也是人工智能可控治理的基础</w:t>
      </w:r>
      <w:r>
        <w:rPr>
          <w:rFonts w:hint="eastAsia" w:ascii="宋体" w:hAnsi="宋体" w:eastAsia="宋体" w:cs="宋体"/>
          <w:sz w:val="24"/>
          <w:szCs w:val="24"/>
          <w:lang w:eastAsia="zh-CN"/>
        </w:rPr>
        <w:t>。</w:t>
      </w:r>
      <w:r>
        <w:rPr>
          <w:rStyle w:val="15"/>
          <w:rFonts w:hint="eastAsia" w:ascii="宋体" w:hAnsi="宋体" w:eastAsia="宋体" w:cs="宋体"/>
          <w:sz w:val="24"/>
          <w:szCs w:val="24"/>
          <w:lang w:eastAsia="zh-CN"/>
        </w:rPr>
        <w:t>[</w:t>
      </w:r>
      <w:r>
        <w:rPr>
          <w:rStyle w:val="15"/>
          <w:rFonts w:hint="eastAsia" w:ascii="宋体" w:hAnsi="宋体" w:eastAsia="宋体" w:cs="宋体"/>
          <w:sz w:val="24"/>
          <w:szCs w:val="24"/>
          <w:lang w:eastAsia="zh-CN"/>
        </w:rPr>
        <w:footnoteReference w:id="5"/>
      </w:r>
      <w:r>
        <w:rPr>
          <w:rStyle w:val="15"/>
          <w:rFonts w:hint="eastAsia" w:ascii="宋体" w:hAnsi="宋体" w:eastAsia="宋体" w:cs="宋体"/>
          <w:sz w:val="24"/>
          <w:szCs w:val="24"/>
          <w:lang w:eastAsia="zh-CN"/>
        </w:rPr>
        <w:t>]</w:t>
      </w:r>
      <w:r>
        <w:rPr>
          <w:rFonts w:hint="eastAsia" w:ascii="宋体" w:hAnsi="宋体" w:eastAsia="宋体" w:cs="宋体"/>
          <w:sz w:val="24"/>
          <w:szCs w:val="24"/>
          <w:lang w:eastAsia="zh-CN"/>
        </w:rPr>
        <w:t>可控治理的核心在于</w:t>
      </w:r>
      <w:r>
        <w:rPr>
          <w:rFonts w:hint="eastAsia" w:ascii="宋体" w:hAnsi="宋体" w:cs="宋体"/>
          <w:sz w:val="24"/>
          <w:szCs w:val="24"/>
          <w:lang w:val="en-US" w:eastAsia="zh-CN"/>
        </w:rPr>
        <w:t>规范和约束</w:t>
      </w:r>
      <w:r>
        <w:rPr>
          <w:rFonts w:hint="eastAsia" w:ascii="宋体" w:hAnsi="宋体" w:eastAsia="宋体" w:cs="宋体"/>
          <w:sz w:val="24"/>
          <w:szCs w:val="24"/>
          <w:lang w:eastAsia="zh-CN"/>
        </w:rPr>
        <w:t>生成式人工智能的算法权力，以确保算法决策过程“可监督、可追溯、可追责”。然而，</w:t>
      </w:r>
      <w:r>
        <w:rPr>
          <w:rFonts w:hint="eastAsia" w:ascii="宋体" w:hAnsi="宋体" w:cs="宋体"/>
          <w:sz w:val="24"/>
          <w:szCs w:val="24"/>
          <w:lang w:val="en-US" w:eastAsia="zh-CN"/>
        </w:rPr>
        <w:t>实践中</w:t>
      </w:r>
      <w:r>
        <w:rPr>
          <w:rFonts w:hint="eastAsia" w:ascii="宋体" w:hAnsi="宋体" w:eastAsia="宋体" w:cs="宋体"/>
          <w:sz w:val="24"/>
          <w:szCs w:val="24"/>
          <w:lang w:eastAsia="zh-CN"/>
        </w:rPr>
        <w:t>，算法自动决策引发的隐私泄露与歧视风险，其根源往往指向大数据算法决策的“黑箱效应”。算法决策“黑箱效应”是指对人们生活产生重大影响的决策，是由大数据算法在人们无法察觉和认知的隐秘状态下自动作出的</w:t>
      </w:r>
      <w:r>
        <w:rPr>
          <w:rFonts w:hint="eastAsia" w:ascii="宋体" w:hAnsi="宋体" w:cs="宋体"/>
          <w:sz w:val="24"/>
          <w:szCs w:val="24"/>
          <w:lang w:val="en-US" w:eastAsia="zh-CN"/>
        </w:rPr>
        <w:t>决策</w:t>
      </w:r>
      <w:r>
        <w:rPr>
          <w:rFonts w:hint="eastAsia" w:ascii="宋体" w:hAnsi="宋体" w:eastAsia="宋体" w:cs="宋体"/>
          <w:sz w:val="24"/>
          <w:szCs w:val="24"/>
          <w:lang w:eastAsia="zh-CN"/>
        </w:rPr>
        <w:t>，</w:t>
      </w:r>
      <w:r>
        <w:rPr>
          <w:rFonts w:hint="eastAsia" w:ascii="宋体" w:hAnsi="宋体" w:cs="宋体"/>
          <w:sz w:val="24"/>
          <w:szCs w:val="24"/>
          <w:lang w:val="en-US" w:eastAsia="zh-CN"/>
        </w:rPr>
        <w:t>其</w:t>
      </w:r>
      <w:r>
        <w:rPr>
          <w:rFonts w:hint="eastAsia" w:ascii="宋体" w:hAnsi="宋体" w:eastAsia="宋体" w:cs="宋体"/>
          <w:sz w:val="24"/>
          <w:szCs w:val="24"/>
          <w:lang w:eastAsia="zh-CN"/>
        </w:rPr>
        <w:t>具有高度的模糊性。</w:t>
      </w:r>
      <w:r>
        <w:rPr>
          <w:rStyle w:val="15"/>
          <w:rFonts w:hint="eastAsia" w:ascii="宋体" w:hAnsi="宋体" w:eastAsia="宋体" w:cs="宋体"/>
          <w:sz w:val="24"/>
          <w:szCs w:val="24"/>
          <w:lang w:eastAsia="zh-CN"/>
        </w:rPr>
        <w:t>[</w:t>
      </w:r>
      <w:r>
        <w:rPr>
          <w:rStyle w:val="15"/>
          <w:rFonts w:hint="eastAsia" w:ascii="宋体" w:hAnsi="宋体" w:eastAsia="宋体" w:cs="宋体"/>
          <w:sz w:val="24"/>
          <w:szCs w:val="24"/>
          <w:lang w:eastAsia="zh-CN"/>
        </w:rPr>
        <w:footnoteReference w:id="6"/>
      </w:r>
      <w:r>
        <w:rPr>
          <w:rStyle w:val="15"/>
          <w:rFonts w:hint="eastAsia" w:ascii="宋体" w:hAnsi="宋体" w:eastAsia="宋体" w:cs="宋体"/>
          <w:sz w:val="24"/>
          <w:szCs w:val="24"/>
          <w:lang w:eastAsia="zh-CN"/>
        </w:rPr>
        <w:t>]</w:t>
      </w:r>
      <w:r>
        <w:rPr>
          <w:rFonts w:hint="eastAsia" w:ascii="宋体" w:hAnsi="宋体" w:eastAsia="宋体" w:cs="宋体"/>
          <w:sz w:val="24"/>
          <w:szCs w:val="24"/>
          <w:lang w:eastAsia="zh-CN"/>
        </w:rPr>
        <w:t>这种不透明性放大了决策风险，也导致损害发生</w:t>
      </w:r>
      <w:r>
        <w:rPr>
          <w:rFonts w:hint="eastAsia" w:ascii="宋体" w:hAnsi="宋体" w:cs="宋体"/>
          <w:sz w:val="24"/>
          <w:szCs w:val="24"/>
          <w:lang w:val="en-US" w:eastAsia="zh-CN"/>
        </w:rPr>
        <w:t>后难以识别</w:t>
      </w:r>
      <w:r>
        <w:rPr>
          <w:rFonts w:hint="eastAsia" w:ascii="宋体" w:hAnsi="宋体" w:eastAsia="宋体" w:cs="宋体"/>
          <w:sz w:val="24"/>
          <w:szCs w:val="24"/>
          <w:lang w:eastAsia="zh-CN"/>
        </w:rPr>
        <w:t>责任主体。</w:t>
      </w:r>
    </w:p>
    <w:p w14:paraId="38EEB2D3">
      <w:pPr>
        <w:numPr>
          <w:ilvl w:val="0"/>
          <w:numId w:val="0"/>
        </w:numPr>
        <w:spacing w:line="240" w:lineRule="auto"/>
        <w:ind w:firstLine="480" w:firstLineChars="200"/>
        <w:rPr>
          <w:rFonts w:hint="default" w:eastAsia="宋体"/>
          <w:lang w:val="en-US" w:eastAsia="zh-CN"/>
        </w:rPr>
      </w:pPr>
      <w:r>
        <w:rPr>
          <w:rFonts w:hint="eastAsia" w:eastAsia="宋体"/>
          <w:lang w:val="en-US" w:eastAsia="zh-CN"/>
        </w:rPr>
        <w:t>因此，算法解释嵌入</w:t>
      </w:r>
      <w:r>
        <w:rPr>
          <w:rFonts w:hint="eastAsia"/>
          <w:lang w:val="en-US" w:eastAsia="zh-CN"/>
        </w:rPr>
        <w:t>生成式人工智能可控治理的法理</w:t>
      </w:r>
      <w:r>
        <w:rPr>
          <w:rFonts w:hint="eastAsia" w:eastAsia="宋体"/>
          <w:lang w:val="en-US" w:eastAsia="zh-CN"/>
        </w:rPr>
        <w:t>基础</w:t>
      </w:r>
      <w:r>
        <w:rPr>
          <w:rFonts w:hint="eastAsia"/>
          <w:lang w:val="en-US" w:eastAsia="zh-CN"/>
        </w:rPr>
        <w:t>便在于其</w:t>
      </w:r>
      <w:r>
        <w:rPr>
          <w:rFonts w:hint="eastAsia" w:eastAsia="宋体"/>
          <w:lang w:val="en-US" w:eastAsia="zh-CN"/>
        </w:rPr>
        <w:t>对“透明化”原则进行了功能性重构。</w:t>
      </w:r>
      <w:r>
        <w:rPr>
          <w:rFonts w:hint="eastAsia"/>
          <w:lang w:val="en-US" w:eastAsia="zh-CN"/>
        </w:rPr>
        <w:t>质言之，算法解释</w:t>
      </w:r>
      <w:r>
        <w:rPr>
          <w:rFonts w:hint="eastAsia" w:eastAsia="宋体"/>
          <w:lang w:val="en-US" w:eastAsia="zh-CN"/>
        </w:rPr>
        <w:t>不再执着于对模型内部参数的完全暴露，而是追求一种“结果导向”或“功能导向”的透明，</w:t>
      </w:r>
      <w:r>
        <w:rPr>
          <w:rFonts w:hint="eastAsia"/>
          <w:lang w:val="en-US" w:eastAsia="zh-CN"/>
        </w:rPr>
        <w:t>其</w:t>
      </w:r>
      <w:r>
        <w:rPr>
          <w:rFonts w:hint="eastAsia" w:eastAsia="宋体"/>
          <w:lang w:val="en-US" w:eastAsia="zh-CN"/>
        </w:rPr>
        <w:t>通过向特定主体提供关于模型行为、能力边界、决策依据和潜在风险的“可理解的回答”。这种透明化</w:t>
      </w:r>
      <w:r>
        <w:rPr>
          <w:rFonts w:hint="eastAsia"/>
          <w:lang w:val="en-US" w:eastAsia="zh-CN"/>
        </w:rPr>
        <w:t>机制</w:t>
      </w:r>
      <w:r>
        <w:rPr>
          <w:rFonts w:hint="eastAsia" w:eastAsia="宋体"/>
          <w:lang w:val="en-US" w:eastAsia="zh-CN"/>
        </w:rPr>
        <w:t>旨在建立一种“沟通信任”，使得监管者可以理解风险成因，开发者可以调试模型行为，用户</w:t>
      </w:r>
      <w:r>
        <w:rPr>
          <w:rFonts w:hint="eastAsia"/>
          <w:lang w:val="en-US" w:eastAsia="zh-CN"/>
        </w:rPr>
        <w:t>则</w:t>
      </w:r>
      <w:r>
        <w:rPr>
          <w:rFonts w:hint="eastAsia" w:eastAsia="宋体"/>
          <w:lang w:val="en-US" w:eastAsia="zh-CN"/>
        </w:rPr>
        <w:t>可以对输出结果形成合理预期。</w:t>
      </w:r>
    </w:p>
    <w:p w14:paraId="3EEA8397">
      <w:pPr>
        <w:numPr>
          <w:ilvl w:val="0"/>
          <w:numId w:val="0"/>
        </w:numPr>
        <w:spacing w:line="240" w:lineRule="auto"/>
        <w:ind w:firstLine="480" w:firstLineChars="200"/>
        <w:rPr>
          <w:rFonts w:hint="eastAsia"/>
          <w:b/>
          <w:bCs/>
          <w:lang w:val="en-US" w:eastAsia="zh-CN"/>
        </w:rPr>
      </w:pPr>
      <w:r>
        <w:rPr>
          <w:rFonts w:hint="eastAsia" w:eastAsia="宋体" w:asciiTheme="minorAscii" w:hAnsiTheme="minorAscii" w:cstheme="minorBidi"/>
          <w:b/>
          <w:bCs/>
          <w:color w:val="000000" w:themeColor="text1"/>
          <w:kern w:val="2"/>
          <w:sz w:val="24"/>
          <w:szCs w:val="24"/>
          <w:lang w:val="en-US" w:eastAsia="zh-CN" w:bidi="ar-SA"/>
          <w14:textFill>
            <w14:solidFill>
              <w14:schemeClr w14:val="tx1"/>
            </w14:solidFill>
          </w14:textFill>
        </w:rPr>
        <w:t>（二）</w:t>
      </w:r>
      <w:r>
        <w:rPr>
          <w:rFonts w:hint="eastAsia"/>
          <w:b/>
          <w:bCs/>
          <w:lang w:val="en-US" w:eastAsia="zh-CN"/>
        </w:rPr>
        <w:t>价值维度：算法权利规制算法权力的因应之举</w:t>
      </w:r>
    </w:p>
    <w:p w14:paraId="1E80FBDA">
      <w:pPr>
        <w:numPr>
          <w:ilvl w:val="0"/>
          <w:numId w:val="0"/>
        </w:numPr>
        <w:spacing w:line="240" w:lineRule="auto"/>
        <w:ind w:firstLine="480" w:firstLineChars="200"/>
        <w:rPr>
          <w:rFonts w:hint="eastAsia"/>
          <w:lang w:val="en-US" w:eastAsia="zh-CN"/>
        </w:rPr>
      </w:pPr>
      <w:r>
        <w:rPr>
          <w:rFonts w:ascii="宋体" w:hAnsi="宋体" w:eastAsia="宋体" w:cs="宋体"/>
          <w:sz w:val="24"/>
          <w:szCs w:val="24"/>
        </w:rPr>
        <w:t>在数字社会中，算法已不再是单纯的技术工具，</w:t>
      </w:r>
      <w:r>
        <w:rPr>
          <w:rFonts w:hint="eastAsia" w:ascii="宋体" w:hAnsi="宋体" w:eastAsia="宋体" w:cs="宋体"/>
          <w:sz w:val="24"/>
          <w:szCs w:val="24"/>
        </w:rPr>
        <w:t>而是成为一种不容忽视的权力形态</w:t>
      </w:r>
      <w:r>
        <w:rPr>
          <w:rFonts w:ascii="宋体" w:hAnsi="宋体" w:eastAsia="宋体" w:cs="宋体"/>
          <w:sz w:val="24"/>
          <w:szCs w:val="24"/>
        </w:rPr>
        <w:t>。</w:t>
      </w:r>
      <w:r>
        <w:rPr>
          <w:rFonts w:hint="eastAsia"/>
          <w:lang w:val="en-US" w:eastAsia="zh-CN"/>
        </w:rPr>
        <w:t>生成式人工智能的提供者，凭借其对基础模型、海量数据和计算资源的掌控，事实上形成了强大的“算法权力”。这种权力通过内容生成、信息分发和价值引导，潜移默化地影响着个体的认知和社会的共识，若其缺乏有效的外部约束，极易被滥用，进而引发算法歧视、信息操纵、隐私泄漏乃至权力滥用等一系列社会风险。</w:t>
      </w:r>
    </w:p>
    <w:p w14:paraId="0A4F2BA6">
      <w:pPr>
        <w:numPr>
          <w:ilvl w:val="0"/>
          <w:numId w:val="0"/>
        </w:numPr>
        <w:spacing w:line="240" w:lineRule="auto"/>
        <w:ind w:firstLine="480" w:firstLineChars="200"/>
        <w:rPr>
          <w:rFonts w:hint="eastAsia"/>
          <w:lang w:val="en-US" w:eastAsia="zh-CN"/>
        </w:rPr>
      </w:pPr>
      <w:r>
        <w:rPr>
          <w:rFonts w:hint="eastAsia"/>
          <w:lang w:val="en-US" w:eastAsia="zh-CN"/>
        </w:rPr>
        <w:t>面对上述风险，传统的被动式监管手段已逐渐式微</w:t>
      </w:r>
      <w:r>
        <w:rPr>
          <w:rFonts w:hint="eastAsia"/>
          <w:lang w:eastAsia="zh-CN"/>
        </w:rPr>
        <w:t>。</w:t>
      </w:r>
      <w:r>
        <w:rPr>
          <w:rFonts w:hint="eastAsia"/>
          <w:lang w:val="en-US" w:eastAsia="zh-CN"/>
        </w:rPr>
        <w:t>当前，算法已深度嵌入社会结构，实现了跨平台、跨领域的扩张，而传统的被动式监管手段仍局限于具体的应用场景和企业行为，导致其效率低下，难以应对算法带来的系统性、结构性风险。因此，亟须构建一种新的制衡机制，而算法权利作为</w:t>
      </w:r>
      <w:r>
        <w:rPr>
          <w:rFonts w:ascii="宋体" w:hAnsi="宋体" w:eastAsia="宋体" w:cs="宋体"/>
          <w:sz w:val="24"/>
          <w:szCs w:val="24"/>
        </w:rPr>
        <w:t>规制算法权力的</w:t>
      </w:r>
      <w:r>
        <w:rPr>
          <w:rFonts w:hint="eastAsia"/>
          <w:lang w:val="en-US" w:eastAsia="zh-CN"/>
        </w:rPr>
        <w:t>核心工具，正是这一新机制的关键所在。作为这一机制的核心，算法权利并非单一权利，而是一系列权利的总称，具体包含算法解释权、拒绝权、删除权等。</w:t>
      </w:r>
      <w:r>
        <w:rPr>
          <w:rStyle w:val="15"/>
          <w:rFonts w:hint="eastAsia"/>
          <w:lang w:val="en-US" w:eastAsia="zh-CN"/>
        </w:rPr>
        <w:t>[</w:t>
      </w:r>
      <w:r>
        <w:rPr>
          <w:rStyle w:val="15"/>
          <w:rFonts w:hint="eastAsia"/>
          <w:lang w:val="en-US" w:eastAsia="zh-CN"/>
        </w:rPr>
        <w:footnoteReference w:id="7"/>
      </w:r>
      <w:r>
        <w:rPr>
          <w:rStyle w:val="15"/>
          <w:rFonts w:hint="eastAsia"/>
          <w:lang w:val="en-US" w:eastAsia="zh-CN"/>
        </w:rPr>
        <w:t>]</w:t>
      </w:r>
      <w:r>
        <w:rPr>
          <w:rFonts w:hint="eastAsia"/>
          <w:lang w:val="en-US" w:eastAsia="zh-CN"/>
        </w:rPr>
        <w:t>而在算法权利中，算法解释权占据着基础与核心的地位，只有通过算法解释，数据主体才能打破算法“黑箱”，了解算法权力的行使过程，才能进一步行使拒绝权、损害赔偿请求权等其他权利，实现对算法权力的有效制衡。</w:t>
      </w:r>
    </w:p>
    <w:p w14:paraId="09998B5D">
      <w:pPr>
        <w:numPr>
          <w:ilvl w:val="0"/>
          <w:numId w:val="1"/>
        </w:numPr>
        <w:spacing w:line="240" w:lineRule="auto"/>
        <w:ind w:firstLine="480" w:firstLineChars="200"/>
        <w:rPr>
          <w:rFonts w:hint="default"/>
          <w:lang w:val="en-US" w:eastAsia="zh-CN"/>
        </w:rPr>
      </w:pPr>
      <w:r>
        <w:rPr>
          <w:rFonts w:hint="eastAsia"/>
          <w:b/>
          <w:bCs/>
          <w:lang w:val="en-US" w:eastAsia="zh-CN"/>
        </w:rPr>
        <w:t>经验维度：域外人工智能算法治理的体系解读</w:t>
      </w:r>
    </w:p>
    <w:p w14:paraId="12A8C454">
      <w:pPr>
        <w:numPr>
          <w:ilvl w:val="0"/>
          <w:numId w:val="0"/>
        </w:numPr>
        <w:spacing w:line="240" w:lineRule="auto"/>
        <w:ind w:firstLine="480" w:firstLineChars="200"/>
        <w:rPr>
          <w:rFonts w:hint="eastAsia"/>
          <w:lang w:val="en-US" w:eastAsia="zh-CN"/>
        </w:rPr>
      </w:pPr>
      <w:r>
        <w:rPr>
          <w:rFonts w:hint="default"/>
          <w:lang w:val="en-US" w:eastAsia="zh-CN"/>
        </w:rPr>
        <w:t>算法解释嵌入生成式人工智能可控治理，不仅具有坚实的理论与价值基础，更具有完善的规则体系支撑。在当今信息全球化背景下，欧盟对于算法</w:t>
      </w:r>
      <w:r>
        <w:rPr>
          <w:rFonts w:hint="eastAsia"/>
          <w:lang w:val="en-US" w:eastAsia="zh-CN"/>
        </w:rPr>
        <w:t>治理规制的</w:t>
      </w:r>
      <w:r>
        <w:rPr>
          <w:rFonts w:hint="default"/>
          <w:lang w:val="en-US" w:eastAsia="zh-CN"/>
        </w:rPr>
        <w:t>研究早已备受瞩目</w:t>
      </w:r>
      <w:r>
        <w:rPr>
          <w:rFonts w:hint="eastAsia"/>
          <w:lang w:val="en-US" w:eastAsia="zh-CN"/>
        </w:rPr>
        <w:t>。早在欧盟</w:t>
      </w:r>
      <w:r>
        <w:rPr>
          <w:rFonts w:hint="default" w:ascii="Times New Roman" w:hAnsi="Times New Roman" w:cs="Times New Roman"/>
          <w:lang w:val="en-US" w:eastAsia="zh-CN"/>
        </w:rPr>
        <w:t>2016</w:t>
      </w:r>
      <w:r>
        <w:rPr>
          <w:rFonts w:hint="eastAsia"/>
          <w:lang w:val="en-US" w:eastAsia="zh-CN"/>
        </w:rPr>
        <w:t>年通过《通用数据保护条例》（以下简称</w:t>
      </w:r>
      <w:r>
        <w:rPr>
          <w:rFonts w:hint="default" w:ascii="Times New Roman" w:hAnsi="Times New Roman" w:cs="Times New Roman"/>
          <w:lang w:val="en-US" w:eastAsia="zh-CN"/>
        </w:rPr>
        <w:t>GDPR</w:t>
      </w:r>
      <w:r>
        <w:rPr>
          <w:rFonts w:hint="eastAsia"/>
          <w:lang w:val="en-US" w:eastAsia="zh-CN"/>
        </w:rPr>
        <w:t>）的初期，就有学者根据欧盟</w:t>
      </w:r>
      <w:r>
        <w:rPr>
          <w:rFonts w:hint="default" w:ascii="Times New Roman" w:hAnsi="Times New Roman" w:cs="Times New Roman"/>
          <w:lang w:val="en-US" w:eastAsia="zh-CN"/>
        </w:rPr>
        <w:t>GDPR</w:t>
      </w:r>
      <w:r>
        <w:rPr>
          <w:rFonts w:hint="eastAsia"/>
          <w:lang w:val="en-US" w:eastAsia="zh-CN"/>
        </w:rPr>
        <w:t>序言部分第</w:t>
      </w:r>
      <w:r>
        <w:rPr>
          <w:rFonts w:hint="default" w:ascii="Times New Roman" w:hAnsi="Times New Roman" w:cs="Times New Roman"/>
          <w:lang w:val="en-US" w:eastAsia="zh-CN"/>
        </w:rPr>
        <w:t>71</w:t>
      </w:r>
      <w:r>
        <w:rPr>
          <w:rFonts w:hint="eastAsia"/>
          <w:lang w:val="en-US" w:eastAsia="zh-CN"/>
        </w:rPr>
        <w:t>条所表述“遭受自动化决策的个体有权获得人工干预权、表达意见、获得评估后决定解释及对决定提出质疑的权利”得出了算法解释权主要限定在对事后具体决定的解释，体现为一</w:t>
      </w:r>
      <w:r>
        <w:rPr>
          <w:rFonts w:hint="default"/>
          <w:lang w:val="en-US" w:eastAsia="zh-CN"/>
        </w:rPr>
        <w:t>种限制、弱化版本的算法解释权。</w:t>
      </w:r>
      <w:r>
        <w:rPr>
          <w:rStyle w:val="15"/>
          <w:rFonts w:hint="default"/>
          <w:lang w:val="en-US" w:eastAsia="zh-CN"/>
        </w:rPr>
        <w:t>[</w:t>
      </w:r>
      <w:r>
        <w:rPr>
          <w:rStyle w:val="15"/>
          <w:rFonts w:hint="default"/>
          <w:lang w:val="en-US" w:eastAsia="zh-CN"/>
        </w:rPr>
        <w:footnoteReference w:id="8"/>
      </w:r>
      <w:r>
        <w:rPr>
          <w:rStyle w:val="15"/>
          <w:rFonts w:hint="default"/>
          <w:lang w:val="en-US" w:eastAsia="zh-CN"/>
        </w:rPr>
        <w:t>]</w:t>
      </w:r>
      <w:r>
        <w:rPr>
          <w:rFonts w:hint="default"/>
          <w:lang w:val="en-US" w:eastAsia="zh-CN"/>
        </w:rPr>
        <w:t>在具体实施层面，</w:t>
      </w:r>
      <w:r>
        <w:rPr>
          <w:rFonts w:hint="default" w:ascii="Times New Roman" w:hAnsi="Times New Roman" w:cs="Times New Roman"/>
          <w:lang w:val="en-US" w:eastAsia="zh-CN"/>
        </w:rPr>
        <w:t>GDPR</w:t>
      </w:r>
      <w:r>
        <w:rPr>
          <w:rFonts w:hint="default"/>
          <w:lang w:val="en-US" w:eastAsia="zh-CN"/>
        </w:rPr>
        <w:t>通过</w:t>
      </w:r>
      <w:r>
        <w:rPr>
          <w:rFonts w:hint="eastAsia"/>
          <w:lang w:val="en-US" w:eastAsia="zh-CN"/>
        </w:rPr>
        <w:t>正文部分</w:t>
      </w:r>
      <w:r>
        <w:rPr>
          <w:rFonts w:hint="default"/>
          <w:lang w:val="en-US" w:eastAsia="zh-CN"/>
        </w:rPr>
        <w:t>第</w:t>
      </w:r>
      <w:r>
        <w:rPr>
          <w:rFonts w:hint="default" w:ascii="Times New Roman" w:hAnsi="Times New Roman" w:cs="Times New Roman"/>
          <w:lang w:val="en-US" w:eastAsia="zh-CN"/>
        </w:rPr>
        <w:t>13、14</w:t>
      </w:r>
      <w:r>
        <w:rPr>
          <w:rFonts w:hint="default"/>
          <w:lang w:val="en-US" w:eastAsia="zh-CN"/>
        </w:rPr>
        <w:t>条</w:t>
      </w:r>
      <w:r>
        <w:rPr>
          <w:rFonts w:hint="eastAsia"/>
          <w:lang w:val="en-US" w:eastAsia="zh-CN"/>
        </w:rPr>
        <w:t>赋予了数据主体</w:t>
      </w:r>
      <w:r>
        <w:rPr>
          <w:rFonts w:hint="default"/>
          <w:lang w:val="en-US" w:eastAsia="zh-CN"/>
        </w:rPr>
        <w:t>知情权</w:t>
      </w:r>
      <w:r>
        <w:rPr>
          <w:rFonts w:hint="eastAsia"/>
          <w:lang w:val="en-US" w:eastAsia="zh-CN"/>
        </w:rPr>
        <w:t>，规定数据控制者在获取数据主体的个人数据时还需进一步提供公平、透明的信息。第</w:t>
      </w:r>
      <w:r>
        <w:rPr>
          <w:rFonts w:hint="default" w:ascii="Times New Roman" w:hAnsi="Times New Roman" w:cs="Times New Roman"/>
          <w:lang w:val="en-US" w:eastAsia="zh-CN"/>
        </w:rPr>
        <w:t>15</w:t>
      </w:r>
      <w:r>
        <w:rPr>
          <w:rFonts w:hint="default"/>
          <w:lang w:val="en-US" w:eastAsia="zh-CN"/>
        </w:rPr>
        <w:t>条赋予数据主体访问权</w:t>
      </w:r>
      <w:r>
        <w:rPr>
          <w:rFonts w:hint="eastAsia"/>
          <w:lang w:val="en-US" w:eastAsia="zh-CN"/>
        </w:rPr>
        <w:t>、</w:t>
      </w:r>
      <w:r>
        <w:rPr>
          <w:rFonts w:hint="default"/>
          <w:lang w:val="en-US" w:eastAsia="zh-CN"/>
        </w:rPr>
        <w:t>第</w:t>
      </w:r>
      <w:r>
        <w:rPr>
          <w:rFonts w:hint="default" w:ascii="Times New Roman" w:hAnsi="Times New Roman" w:cs="Times New Roman"/>
          <w:lang w:val="en-US" w:eastAsia="zh-CN"/>
        </w:rPr>
        <w:t>35</w:t>
      </w:r>
      <w:r>
        <w:rPr>
          <w:rFonts w:hint="default"/>
          <w:lang w:val="en-US" w:eastAsia="zh-CN"/>
        </w:rPr>
        <w:t>条</w:t>
      </w:r>
      <w:r>
        <w:rPr>
          <w:rFonts w:hint="eastAsia"/>
          <w:lang w:val="en-US" w:eastAsia="zh-CN"/>
        </w:rPr>
        <w:t>确定</w:t>
      </w:r>
      <w:r>
        <w:rPr>
          <w:rFonts w:hint="default"/>
          <w:lang w:val="en-US" w:eastAsia="zh-CN"/>
        </w:rPr>
        <w:t>数据保护影响评估等制度，分别在事前、事中及事后阶段对解释权框架进行了有效补强。这种</w:t>
      </w:r>
      <w:r>
        <w:rPr>
          <w:rFonts w:hint="eastAsia"/>
          <w:lang w:val="en-US" w:eastAsia="zh-CN"/>
        </w:rPr>
        <w:t>“</w:t>
      </w:r>
      <w:r>
        <w:rPr>
          <w:rFonts w:hint="default"/>
          <w:lang w:val="en-US" w:eastAsia="zh-CN"/>
        </w:rPr>
        <w:t>制度联动</w:t>
      </w:r>
      <w:r>
        <w:rPr>
          <w:rFonts w:hint="eastAsia"/>
          <w:lang w:val="en-US" w:eastAsia="zh-CN"/>
        </w:rPr>
        <w:t>”</w:t>
      </w:r>
      <w:r>
        <w:rPr>
          <w:rFonts w:hint="default"/>
          <w:lang w:val="en-US" w:eastAsia="zh-CN"/>
        </w:rPr>
        <w:t>的安排</w:t>
      </w:r>
      <w:r>
        <w:rPr>
          <w:rFonts w:hint="eastAsia"/>
          <w:lang w:val="en-US" w:eastAsia="zh-CN"/>
        </w:rPr>
        <w:t>，在</w:t>
      </w:r>
      <w:r>
        <w:rPr>
          <w:rFonts w:hint="default"/>
          <w:lang w:val="en-US" w:eastAsia="zh-CN"/>
        </w:rPr>
        <w:t>强化对数据控制者约束</w:t>
      </w:r>
      <w:r>
        <w:rPr>
          <w:rFonts w:hint="eastAsia"/>
          <w:lang w:val="en-US" w:eastAsia="zh-CN"/>
        </w:rPr>
        <w:t>的同时</w:t>
      </w:r>
      <w:r>
        <w:rPr>
          <w:rFonts w:hint="default"/>
          <w:lang w:val="en-US" w:eastAsia="zh-CN"/>
        </w:rPr>
        <w:t>，也提升了对数据主体权益的保障，从而实现了数据治理与算法治理之间的系统性联结。</w:t>
      </w:r>
      <w:r>
        <w:rPr>
          <w:rStyle w:val="15"/>
          <w:rFonts w:hint="default"/>
          <w:lang w:val="en-US" w:eastAsia="zh-CN"/>
        </w:rPr>
        <w:t>[</w:t>
      </w:r>
      <w:r>
        <w:rPr>
          <w:rStyle w:val="15"/>
          <w:rFonts w:hint="default"/>
          <w:lang w:val="en-US" w:eastAsia="zh-CN"/>
        </w:rPr>
        <w:footnoteReference w:id="9"/>
      </w:r>
      <w:r>
        <w:rPr>
          <w:rStyle w:val="15"/>
          <w:rFonts w:hint="default"/>
          <w:lang w:val="en-US" w:eastAsia="zh-CN"/>
        </w:rPr>
        <w:t>]</w:t>
      </w:r>
      <w:r>
        <w:rPr>
          <w:rFonts w:hint="eastAsia"/>
          <w:lang w:val="en-US" w:eastAsia="zh-CN"/>
        </w:rPr>
        <w:t>作为整个法案中关于算法解释权最核心的条款，</w:t>
      </w:r>
      <w:r>
        <w:rPr>
          <w:rFonts w:hint="default" w:ascii="Times New Roman" w:hAnsi="Times New Roman" w:cs="Times New Roman"/>
          <w:lang w:val="en-US" w:eastAsia="zh-CN"/>
        </w:rPr>
        <w:t>GDPR</w:t>
      </w:r>
      <w:r>
        <w:rPr>
          <w:rFonts w:hint="eastAsia"/>
          <w:lang w:val="en-US" w:eastAsia="zh-CN"/>
        </w:rPr>
        <w:t>第</w:t>
      </w:r>
      <w:r>
        <w:rPr>
          <w:rFonts w:hint="default" w:ascii="Times New Roman" w:hAnsi="Times New Roman" w:cs="Times New Roman"/>
          <w:lang w:val="en-US" w:eastAsia="zh-CN"/>
        </w:rPr>
        <w:t>22</w:t>
      </w:r>
      <w:r>
        <w:rPr>
          <w:rFonts w:hint="eastAsia"/>
          <w:lang w:val="en-US" w:eastAsia="zh-CN"/>
        </w:rPr>
        <w:t>条明确指出“数据主体有反对仅基于自动化处理行为决定的权利”，这一规定一方面可以理解为数据主体有权拒绝完全自动化决策，另一方面也体现了对完全自动化个人决策的普遍禁止。相较于序言第</w:t>
      </w:r>
      <w:r>
        <w:rPr>
          <w:rFonts w:hint="default" w:ascii="Times New Roman" w:hAnsi="Times New Roman" w:cs="Times New Roman"/>
          <w:lang w:val="en-US" w:eastAsia="zh-CN"/>
        </w:rPr>
        <w:t>71</w:t>
      </w:r>
      <w:r>
        <w:rPr>
          <w:rFonts w:hint="eastAsia"/>
          <w:lang w:val="en-US" w:eastAsia="zh-CN"/>
        </w:rPr>
        <w:t>条和正文第</w:t>
      </w:r>
      <w:r>
        <w:rPr>
          <w:rFonts w:hint="default" w:ascii="Times New Roman" w:hAnsi="Times New Roman" w:cs="Times New Roman"/>
          <w:lang w:val="en-US" w:eastAsia="zh-CN"/>
        </w:rPr>
        <w:t>13-15</w:t>
      </w:r>
      <w:r>
        <w:rPr>
          <w:rFonts w:hint="eastAsia"/>
          <w:lang w:val="en-US" w:eastAsia="zh-CN"/>
        </w:rPr>
        <w:t>条中数据主体在事前、事中和事后的救济，第</w:t>
      </w:r>
      <w:r>
        <w:rPr>
          <w:rFonts w:hint="default" w:ascii="Times New Roman" w:hAnsi="Times New Roman" w:cs="Times New Roman"/>
          <w:lang w:val="en-US" w:eastAsia="zh-CN"/>
        </w:rPr>
        <w:t>22</w:t>
      </w:r>
      <w:r>
        <w:rPr>
          <w:rFonts w:hint="eastAsia"/>
          <w:lang w:val="en-US" w:eastAsia="zh-CN"/>
        </w:rPr>
        <w:t>条直接赋予了数据主体拒绝和反对的权利，使得对自动化决策的规制更具可操作，因此在整部立法中具有不可替代的地位。</w:t>
      </w:r>
    </w:p>
    <w:p w14:paraId="7225C5FE">
      <w:pPr>
        <w:numPr>
          <w:ilvl w:val="0"/>
          <w:numId w:val="0"/>
        </w:numPr>
        <w:spacing w:line="240" w:lineRule="auto"/>
        <w:ind w:firstLine="480" w:firstLineChars="200"/>
        <w:rPr>
          <w:rFonts w:hint="eastAsia"/>
          <w:lang w:val="en-US" w:eastAsia="zh-CN"/>
        </w:rPr>
      </w:pPr>
      <w:r>
        <w:rPr>
          <w:rFonts w:hint="default"/>
          <w:lang w:val="en-US" w:eastAsia="zh-CN"/>
        </w:rPr>
        <w:t>综上，欧盟</w:t>
      </w:r>
      <w:r>
        <w:rPr>
          <w:rFonts w:hint="default" w:ascii="Times New Roman" w:hAnsi="Times New Roman" w:cs="Times New Roman"/>
          <w:lang w:val="en-US" w:eastAsia="zh-CN"/>
        </w:rPr>
        <w:t>GDPR</w:t>
      </w:r>
      <w:r>
        <w:rPr>
          <w:rFonts w:hint="default"/>
          <w:lang w:val="en-US" w:eastAsia="zh-CN"/>
        </w:rPr>
        <w:t>通过</w:t>
      </w:r>
      <w:r>
        <w:rPr>
          <w:rFonts w:hint="eastAsia"/>
          <w:lang w:val="en-US" w:eastAsia="zh-CN"/>
        </w:rPr>
        <w:t>序言第</w:t>
      </w:r>
      <w:r>
        <w:rPr>
          <w:rFonts w:hint="default" w:ascii="Times New Roman" w:hAnsi="Times New Roman" w:cs="Times New Roman"/>
          <w:lang w:val="en-US" w:eastAsia="zh-CN"/>
        </w:rPr>
        <w:t>71</w:t>
      </w:r>
      <w:r>
        <w:rPr>
          <w:rFonts w:hint="eastAsia"/>
          <w:lang w:val="en-US" w:eastAsia="zh-CN"/>
        </w:rPr>
        <w:t>条及正文</w:t>
      </w:r>
      <w:r>
        <w:rPr>
          <w:rFonts w:hint="default"/>
          <w:lang w:val="en-US" w:eastAsia="zh-CN"/>
        </w:rPr>
        <w:t>第</w:t>
      </w:r>
      <w:r>
        <w:rPr>
          <w:rFonts w:hint="default" w:ascii="Times New Roman" w:hAnsi="Times New Roman" w:cs="Times New Roman"/>
          <w:lang w:val="en-US" w:eastAsia="zh-CN"/>
        </w:rPr>
        <w:t>13-15</w:t>
      </w:r>
      <w:r>
        <w:rPr>
          <w:rFonts w:hint="default"/>
          <w:lang w:val="en-US" w:eastAsia="zh-CN"/>
        </w:rPr>
        <w:t>条、第</w:t>
      </w:r>
      <w:r>
        <w:rPr>
          <w:rFonts w:hint="default" w:ascii="Times New Roman" w:hAnsi="Times New Roman" w:eastAsia="宋体" w:cs="Times New Roman"/>
          <w:lang w:val="en-US" w:eastAsia="zh-CN"/>
        </w:rPr>
        <w:t>22</w:t>
      </w:r>
      <w:r>
        <w:rPr>
          <w:rFonts w:hint="default"/>
          <w:lang w:val="en-US" w:eastAsia="zh-CN"/>
        </w:rPr>
        <w:t>条构建了相对</w:t>
      </w:r>
      <w:r>
        <w:rPr>
          <w:rFonts w:hint="eastAsia"/>
          <w:lang w:val="en-US" w:eastAsia="zh-CN"/>
        </w:rPr>
        <w:t>体系</w:t>
      </w:r>
      <w:r>
        <w:rPr>
          <w:rFonts w:hint="default"/>
          <w:lang w:val="en-US" w:eastAsia="zh-CN"/>
        </w:rPr>
        <w:t>的算法解释权框架</w:t>
      </w:r>
      <w:r>
        <w:rPr>
          <w:rFonts w:hint="eastAsia"/>
          <w:lang w:val="en-US" w:eastAsia="zh-CN"/>
        </w:rPr>
        <w:t>，为我国将算法解释嵌入生成式人工智能可控治理提供了有益的经验参考。</w:t>
      </w:r>
    </w:p>
    <w:p w14:paraId="472C8017">
      <w:pPr>
        <w:numPr>
          <w:ilvl w:val="0"/>
          <w:numId w:val="0"/>
        </w:numPr>
        <w:spacing w:line="240" w:lineRule="auto"/>
        <w:ind w:firstLine="480" w:firstLineChars="200"/>
        <w:rPr>
          <w:rFonts w:hint="eastAsia"/>
          <w:b/>
          <w:bCs/>
          <w:lang w:val="en-US" w:eastAsia="zh-CN"/>
        </w:rPr>
      </w:pPr>
      <w:r>
        <w:rPr>
          <w:rFonts w:hint="eastAsia" w:eastAsia="宋体" w:asciiTheme="minorAscii" w:hAnsiTheme="minorAscii" w:cstheme="minorBidi"/>
          <w:b/>
          <w:bCs/>
          <w:color w:val="000000" w:themeColor="text1"/>
          <w:kern w:val="2"/>
          <w:sz w:val="24"/>
          <w:szCs w:val="24"/>
          <w:lang w:val="en-US" w:eastAsia="zh-CN" w:bidi="ar-SA"/>
          <w14:textFill>
            <w14:solidFill>
              <w14:schemeClr w14:val="tx1"/>
            </w14:solidFill>
          </w14:textFill>
        </w:rPr>
        <w:t>三、</w:t>
      </w:r>
      <w:r>
        <w:rPr>
          <w:rFonts w:hint="eastAsia"/>
          <w:b/>
          <w:bCs/>
          <w:lang w:val="en-US" w:eastAsia="zh-CN"/>
        </w:rPr>
        <w:t>算法解释视角下生成式人工智能可控治理的局限检视</w:t>
      </w:r>
    </w:p>
    <w:p w14:paraId="7391E29F">
      <w:pPr>
        <w:numPr>
          <w:ilvl w:val="0"/>
          <w:numId w:val="0"/>
        </w:numPr>
        <w:spacing w:line="240" w:lineRule="auto"/>
        <w:ind w:firstLine="480" w:firstLineChars="200"/>
        <w:rPr>
          <w:rFonts w:hint="default"/>
          <w:lang w:val="en-US" w:eastAsia="zh-CN"/>
        </w:rPr>
      </w:pPr>
      <w:r>
        <w:rPr>
          <w:rFonts w:hint="default"/>
          <w:lang w:val="en-US" w:eastAsia="zh-CN"/>
        </w:rPr>
        <w:t>将算法解释嵌入生成式人工智能治理，虽然在法理层面具有充分的证成理据，但</w:t>
      </w:r>
      <w:r>
        <w:rPr>
          <w:rFonts w:hint="eastAsia"/>
          <w:lang w:val="en-US" w:eastAsia="zh-CN"/>
        </w:rPr>
        <w:t>囿于</w:t>
      </w:r>
      <w:r>
        <w:rPr>
          <w:rFonts w:hint="default"/>
          <w:lang w:val="en-US" w:eastAsia="zh-CN"/>
        </w:rPr>
        <w:t>生成式人工智能的技术特殊性与现有治理体系的不完善，传统算法解释权的理论预设与技术框架遭遇了前所未有的挑战。生成式人工智能的</w:t>
      </w:r>
      <w:r>
        <w:rPr>
          <w:rFonts w:hint="eastAsia"/>
          <w:lang w:val="en-US" w:eastAsia="zh-CN"/>
        </w:rPr>
        <w:t>“</w:t>
      </w:r>
      <w:r>
        <w:rPr>
          <w:rFonts w:hint="default"/>
          <w:lang w:val="en-US" w:eastAsia="zh-CN"/>
        </w:rPr>
        <w:t>大模型</w:t>
      </w:r>
      <w:r>
        <w:rPr>
          <w:rFonts w:hint="eastAsia"/>
          <w:lang w:val="en-US" w:eastAsia="zh-CN"/>
        </w:rPr>
        <w:t>”</w:t>
      </w:r>
      <w:r>
        <w:rPr>
          <w:rFonts w:hint="default"/>
          <w:lang w:val="en-US" w:eastAsia="zh-CN"/>
        </w:rPr>
        <w:t>特性使得既有算法解释制度的设计逻辑与现实效能之间产生了</w:t>
      </w:r>
      <w:r>
        <w:rPr>
          <w:rFonts w:hint="eastAsia"/>
          <w:lang w:val="en-US" w:eastAsia="zh-CN"/>
        </w:rPr>
        <w:t>极大</w:t>
      </w:r>
      <w:r>
        <w:rPr>
          <w:rFonts w:hint="default"/>
          <w:lang w:val="en-US" w:eastAsia="zh-CN"/>
        </w:rPr>
        <w:t>的张力</w:t>
      </w:r>
      <w:r>
        <w:rPr>
          <w:rFonts w:hint="eastAsia"/>
          <w:lang w:val="en-US" w:eastAsia="zh-CN"/>
        </w:rPr>
        <w:t>，尤其表现在</w:t>
      </w:r>
      <w:r>
        <w:rPr>
          <w:rFonts w:hint="default"/>
          <w:lang w:val="en-US" w:eastAsia="zh-CN"/>
        </w:rPr>
        <w:t>解释标准异化、权益冲突凸显、技术困境突出三个方面。</w:t>
      </w:r>
    </w:p>
    <w:p w14:paraId="66C2E218">
      <w:pPr>
        <w:spacing w:line="240" w:lineRule="auto"/>
        <w:rPr>
          <w:rFonts w:hint="eastAsia"/>
          <w:b/>
          <w:bCs/>
          <w:lang w:val="en-US" w:eastAsia="zh-CN"/>
        </w:rPr>
      </w:pPr>
      <w:r>
        <w:rPr>
          <w:rFonts w:hint="eastAsia"/>
          <w:b/>
          <w:bCs/>
          <w:lang w:val="en-US" w:eastAsia="zh-CN"/>
        </w:rPr>
        <w:t>（一）生成式人工智能算法解释的困境表现</w:t>
      </w:r>
    </w:p>
    <w:p w14:paraId="71D50519">
      <w:pPr>
        <w:spacing w:line="240" w:lineRule="auto"/>
        <w:rPr>
          <w:rFonts w:hint="eastAsia"/>
          <w:lang w:val="en-US" w:eastAsia="zh-CN"/>
        </w:rPr>
      </w:pPr>
      <w:r>
        <w:rPr>
          <w:rFonts w:hint="default" w:ascii="Times New Roman" w:hAnsi="Times New Roman" w:cs="Times New Roman"/>
          <w:lang w:val="en-US" w:eastAsia="zh-CN"/>
        </w:rPr>
        <w:t>1.</w:t>
      </w:r>
      <w:r>
        <w:rPr>
          <w:rFonts w:hint="eastAsia"/>
          <w:lang w:val="en-US" w:eastAsia="zh-CN"/>
        </w:rPr>
        <w:t>标准异化：解释标准难以满足不同主体需求</w:t>
      </w:r>
    </w:p>
    <w:p w14:paraId="45605A69">
      <w:pPr>
        <w:spacing w:line="240" w:lineRule="auto"/>
        <w:rPr>
          <w:rFonts w:hint="default"/>
          <w:lang w:val="en-US" w:eastAsia="zh-CN"/>
        </w:rPr>
      </w:pPr>
      <w:r>
        <w:rPr>
          <w:rFonts w:hint="eastAsia"/>
          <w:lang w:val="en-US" w:eastAsia="zh-CN"/>
        </w:rPr>
        <w:t>“</w:t>
      </w:r>
      <w:r>
        <w:rPr>
          <w:rFonts w:hint="default"/>
          <w:lang w:val="en-US" w:eastAsia="zh-CN"/>
        </w:rPr>
        <w:t>算法解释</w:t>
      </w:r>
      <w:r>
        <w:rPr>
          <w:rFonts w:hint="eastAsia"/>
          <w:lang w:val="en-US" w:eastAsia="zh-CN"/>
        </w:rPr>
        <w:t>”</w:t>
      </w:r>
      <w:r>
        <w:rPr>
          <w:rFonts w:hint="default"/>
          <w:lang w:val="en-US" w:eastAsia="zh-CN"/>
        </w:rPr>
        <w:t>是一个内涵特定的专业术语，其核心在于</w:t>
      </w:r>
      <w:r>
        <w:rPr>
          <w:rFonts w:hint="eastAsia"/>
          <w:lang w:val="en-US" w:eastAsia="zh-CN"/>
        </w:rPr>
        <w:t>“</w:t>
      </w:r>
      <w:r>
        <w:rPr>
          <w:rFonts w:hint="default"/>
          <w:lang w:val="en-US" w:eastAsia="zh-CN"/>
        </w:rPr>
        <w:t>解释</w:t>
      </w:r>
      <w:r>
        <w:rPr>
          <w:rFonts w:hint="eastAsia"/>
          <w:lang w:val="en-US" w:eastAsia="zh-CN"/>
        </w:rPr>
        <w:t>”</w:t>
      </w:r>
      <w:r>
        <w:rPr>
          <w:rFonts w:hint="default"/>
          <w:lang w:val="en-US" w:eastAsia="zh-CN"/>
        </w:rPr>
        <w:t>作为连接人类与</w:t>
      </w:r>
      <w:r>
        <w:rPr>
          <w:rFonts w:hint="eastAsia"/>
          <w:lang w:val="en-US" w:eastAsia="zh-CN"/>
        </w:rPr>
        <w:t>（</w:t>
      </w:r>
      <w:r>
        <w:rPr>
          <w:rFonts w:hint="default"/>
          <w:lang w:val="en-US" w:eastAsia="zh-CN"/>
        </w:rPr>
        <w:t>机器</w:t>
      </w:r>
      <w:r>
        <w:rPr>
          <w:rFonts w:hint="eastAsia"/>
          <w:lang w:val="en-US" w:eastAsia="zh-CN"/>
        </w:rPr>
        <w:t>）</w:t>
      </w:r>
      <w:r>
        <w:rPr>
          <w:rFonts w:hint="default"/>
          <w:lang w:val="en-US" w:eastAsia="zh-CN"/>
        </w:rPr>
        <w:t>决策者之间的交互界面，既要精确反映决策者的逻辑，又要能为人类所理解。</w:t>
      </w:r>
      <w:r>
        <w:rPr>
          <w:rStyle w:val="15"/>
          <w:rFonts w:hint="default"/>
          <w:lang w:val="en-US" w:eastAsia="zh-CN"/>
        </w:rPr>
        <w:t>[</w:t>
      </w:r>
      <w:r>
        <w:rPr>
          <w:rStyle w:val="15"/>
          <w:rFonts w:hint="default"/>
          <w:lang w:val="en-US" w:eastAsia="zh-CN"/>
        </w:rPr>
        <w:footnoteReference w:id="10"/>
      </w:r>
      <w:r>
        <w:rPr>
          <w:rStyle w:val="15"/>
          <w:rFonts w:hint="default"/>
          <w:lang w:val="en-US" w:eastAsia="zh-CN"/>
        </w:rPr>
        <w:t>]</w:t>
      </w:r>
      <w:r>
        <w:rPr>
          <w:rFonts w:hint="default"/>
          <w:lang w:val="en-US" w:eastAsia="zh-CN"/>
        </w:rPr>
        <w:t>在生成式人工智能领域，由于涉及多元利益主体，算法解释的需求呈现出明显的差异化和场景化特征。然而，现有的解释标准往往单一而模糊，难以满足不同主体的需求，导致标准异化问题日益突出。</w:t>
      </w:r>
    </w:p>
    <w:p w14:paraId="5E40F823">
      <w:pPr>
        <w:spacing w:line="240" w:lineRule="auto"/>
        <w:rPr>
          <w:rFonts w:hint="eastAsia" w:ascii="宋体" w:hAnsi="宋体" w:eastAsia="宋体" w:cs="宋体"/>
          <w:sz w:val="24"/>
          <w:szCs w:val="24"/>
          <w:lang w:val="en-US" w:eastAsia="zh-CN"/>
        </w:rPr>
      </w:pPr>
      <w:r>
        <w:rPr>
          <w:rFonts w:hint="default"/>
          <w:lang w:val="en-US" w:eastAsia="zh-CN"/>
        </w:rPr>
        <w:t>生成式人工智能算法解释的需求主体主要包括三类，即数据主体、监管机构与算法控制者，三类主体的利益诉求不同，对算法解释的标准要求也存在显著差异。对于数据主体而言，其核心需求是了解算法决策对自身权益的影响，因此要求算法解释具备具象化</w:t>
      </w:r>
      <w:r>
        <w:rPr>
          <w:rFonts w:hint="eastAsia"/>
          <w:lang w:val="en-US" w:eastAsia="zh-CN"/>
        </w:rPr>
        <w:t>和</w:t>
      </w:r>
      <w:r>
        <w:rPr>
          <w:rFonts w:hint="default"/>
          <w:lang w:val="en-US" w:eastAsia="zh-CN"/>
        </w:rPr>
        <w:t>可理解性，能够用普通人易于理解的语言解释算法决策的</w:t>
      </w:r>
      <w:r>
        <w:rPr>
          <w:rFonts w:hint="eastAsia"/>
          <w:lang w:val="en-US" w:eastAsia="zh-CN"/>
        </w:rPr>
        <w:t>运行逻辑、输出结果与潜在风险</w:t>
      </w:r>
      <w:r>
        <w:rPr>
          <w:rFonts w:hint="default"/>
          <w:lang w:val="en-US" w:eastAsia="zh-CN"/>
        </w:rPr>
        <w:t>，无需涉及复杂的技术细节</w:t>
      </w:r>
      <w:r>
        <w:rPr>
          <w:rFonts w:hint="eastAsia"/>
          <w:lang w:val="en-US" w:eastAsia="zh-CN"/>
        </w:rPr>
        <w:t>，</w:t>
      </w:r>
      <w:r>
        <w:rPr>
          <w:rFonts w:ascii="宋体" w:hAnsi="宋体" w:eastAsia="宋体" w:cs="宋体"/>
          <w:sz w:val="24"/>
          <w:szCs w:val="24"/>
        </w:rPr>
        <w:t>这与</w:t>
      </w:r>
      <w:r>
        <w:rPr>
          <w:rFonts w:hint="eastAsia" w:ascii="宋体" w:hAnsi="宋体" w:cs="宋体"/>
          <w:sz w:val="24"/>
          <w:szCs w:val="24"/>
          <w:lang w:val="en-US" w:eastAsia="zh-CN"/>
        </w:rPr>
        <w:t>部分</w:t>
      </w:r>
      <w:r>
        <w:rPr>
          <w:rFonts w:hint="eastAsia" w:ascii="宋体" w:hAnsi="宋体" w:eastAsia="宋体" w:cs="宋体"/>
          <w:sz w:val="24"/>
          <w:szCs w:val="24"/>
          <w:lang w:val="en-US" w:eastAsia="zh-CN"/>
        </w:rPr>
        <w:t>学者</w:t>
      </w:r>
      <w:r>
        <w:rPr>
          <w:rFonts w:ascii="宋体" w:hAnsi="宋体" w:eastAsia="宋体" w:cs="宋体"/>
          <w:sz w:val="24"/>
          <w:szCs w:val="24"/>
        </w:rPr>
        <w:t>提出的“可理解的回答、场景化的回答”相契合</w:t>
      </w:r>
      <w:r>
        <w:rPr>
          <w:rFonts w:hint="eastAsia" w:ascii="宋体" w:hAnsi="宋体" w:eastAsia="宋体" w:cs="宋体"/>
          <w:sz w:val="24"/>
          <w:szCs w:val="24"/>
          <w:lang w:eastAsia="zh-CN"/>
        </w:rPr>
        <w:t>。</w:t>
      </w:r>
      <w:r>
        <w:rPr>
          <w:rStyle w:val="15"/>
          <w:rFonts w:hint="eastAsia" w:ascii="宋体" w:hAnsi="宋体" w:eastAsia="宋体" w:cs="宋体"/>
          <w:sz w:val="24"/>
          <w:szCs w:val="24"/>
          <w:lang w:eastAsia="zh-CN"/>
        </w:rPr>
        <w:t>[</w:t>
      </w:r>
      <w:r>
        <w:rPr>
          <w:rStyle w:val="15"/>
          <w:rFonts w:hint="eastAsia" w:ascii="宋体" w:hAnsi="宋体" w:eastAsia="宋体" w:cs="宋体"/>
          <w:sz w:val="24"/>
          <w:szCs w:val="24"/>
          <w:lang w:eastAsia="zh-CN"/>
        </w:rPr>
        <w:footnoteReference w:id="11"/>
      </w:r>
      <w:r>
        <w:rPr>
          <w:rStyle w:val="15"/>
          <w:rFonts w:hint="eastAsia" w:ascii="宋体" w:hAnsi="宋体" w:eastAsia="宋体" w:cs="宋体"/>
          <w:sz w:val="24"/>
          <w:szCs w:val="24"/>
          <w:lang w:eastAsia="zh-CN"/>
        </w:rPr>
        <w:t>]</w:t>
      </w:r>
      <w:r>
        <w:rPr>
          <w:rFonts w:hint="eastAsia" w:ascii="宋体" w:hAnsi="宋体" w:eastAsia="宋体" w:cs="宋体"/>
          <w:sz w:val="24"/>
          <w:szCs w:val="24"/>
          <w:lang w:eastAsia="zh-CN"/>
        </w:rPr>
        <w:t>对于监管机构</w:t>
      </w:r>
      <w:r>
        <w:rPr>
          <w:rFonts w:hint="eastAsia" w:ascii="宋体" w:hAnsi="宋体" w:cs="宋体"/>
          <w:sz w:val="24"/>
          <w:szCs w:val="24"/>
          <w:lang w:val="en-US" w:eastAsia="zh-CN"/>
        </w:rPr>
        <w:t>而言</w:t>
      </w:r>
      <w:r>
        <w:rPr>
          <w:rFonts w:hint="eastAsia" w:ascii="宋体" w:hAnsi="宋体" w:eastAsia="宋体" w:cs="宋体"/>
          <w:sz w:val="24"/>
          <w:szCs w:val="24"/>
          <w:lang w:eastAsia="zh-CN"/>
        </w:rPr>
        <w:t>，其核心需求是实现对算法的有效监管，防范技术风险，因此要求算法解释具备专业性、技术化、全面性，能够详细披露算法的模型架构、训练数据、运行机制、风险防控措施等技术细节，确保监管机构能够真正掌握算法的运行情况。而站在算法控制者的角度，其核心需求是在履行算法解释义务的同时，维护自身的商业秘密与技术优势，因此要求算法解释具备简约化、框架化、低成本</w:t>
      </w:r>
      <w:r>
        <w:rPr>
          <w:rFonts w:hint="eastAsia" w:ascii="宋体" w:hAnsi="宋体" w:cs="宋体"/>
          <w:sz w:val="24"/>
          <w:szCs w:val="24"/>
          <w:lang w:val="en-US" w:eastAsia="zh-CN"/>
        </w:rPr>
        <w:t>等特性</w:t>
      </w:r>
      <w:r>
        <w:rPr>
          <w:rFonts w:hint="eastAsia" w:ascii="宋体" w:hAnsi="宋体" w:eastAsia="宋体" w:cs="宋体"/>
          <w:sz w:val="24"/>
          <w:szCs w:val="24"/>
          <w:lang w:eastAsia="zh-CN"/>
        </w:rPr>
        <w:t>，能够以最小的披露成本履行解释义务，避免核心技术信息的泄露。</w:t>
      </w:r>
      <w:r>
        <w:rPr>
          <w:rFonts w:hint="eastAsia" w:ascii="宋体" w:hAnsi="宋体" w:cs="宋体"/>
          <w:sz w:val="24"/>
          <w:szCs w:val="24"/>
          <w:lang w:val="en-US" w:eastAsia="zh-CN"/>
        </w:rPr>
        <w:t>可见，上述不同主体对算法解释标准的需求存在明显差异，监管机构需要“强解释”，算法控制者倾向于“弱解释”，数据主体虽然并未对算法运行逻辑有严格的解释要求，但具象化与可理解性的标准依然与算法控制者的内心真意存在诸多矛盾。</w:t>
      </w:r>
    </w:p>
    <w:p w14:paraId="49133F75">
      <w:pPr>
        <w:numPr>
          <w:ilvl w:val="0"/>
          <w:numId w:val="0"/>
        </w:numPr>
        <w:spacing w:line="240" w:lineRule="auto"/>
        <w:ind w:firstLine="480" w:firstLineChars="200"/>
        <w:rPr>
          <w:rFonts w:hint="eastAsia"/>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2.</w:t>
      </w:r>
      <w:r>
        <w:rPr>
          <w:rFonts w:hint="eastAsia"/>
          <w:lang w:val="en-US" w:eastAsia="zh-CN"/>
        </w:rPr>
        <w:t>权益冲突：解释机制与商业秘密的天然对立</w:t>
      </w:r>
    </w:p>
    <w:p w14:paraId="2DB78A47">
      <w:pPr>
        <w:numPr>
          <w:ilvl w:val="0"/>
          <w:numId w:val="0"/>
        </w:numPr>
        <w:spacing w:line="240" w:lineRule="auto"/>
        <w:ind w:firstLine="480" w:firstLineChars="200"/>
        <w:rPr>
          <w:rFonts w:hint="default"/>
          <w:lang w:val="en-US" w:eastAsia="zh-CN"/>
        </w:rPr>
      </w:pPr>
      <w:r>
        <w:rPr>
          <w:rFonts w:hint="default"/>
          <w:lang w:val="en-US" w:eastAsia="zh-CN"/>
        </w:rPr>
        <w:t>算法控制者常视算法为其核心竞争力，并以商业秘密的形式加以严密保护。然而，算法解释意味着需要披露算法的相关信息，而生成式人工智能的算法模型、训练数据以及优化逻辑恰恰属于商业秘密的范畴。这使得商业秘密保护与受算法影响者对算法透明化的正当诉求之间产生了</w:t>
      </w:r>
      <w:r>
        <w:rPr>
          <w:rFonts w:hint="eastAsia"/>
          <w:lang w:val="en-US" w:eastAsia="zh-CN"/>
        </w:rPr>
        <w:t>明显的</w:t>
      </w:r>
      <w:r>
        <w:rPr>
          <w:rFonts w:hint="default"/>
          <w:lang w:val="en-US" w:eastAsia="zh-CN"/>
        </w:rPr>
        <w:t>紧张关系。</w:t>
      </w:r>
    </w:p>
    <w:p w14:paraId="13A6AB16">
      <w:pPr>
        <w:numPr>
          <w:ilvl w:val="0"/>
          <w:numId w:val="0"/>
        </w:numPr>
        <w:spacing w:line="240" w:lineRule="auto"/>
        <w:ind w:firstLine="480" w:firstLineChars="200"/>
        <w:rPr>
          <w:rFonts w:hint="default"/>
          <w:lang w:val="en-US" w:eastAsia="zh-CN"/>
        </w:rPr>
      </w:pPr>
      <w:r>
        <w:rPr>
          <w:rFonts w:hint="eastAsia"/>
          <w:lang w:val="en-US" w:eastAsia="zh-CN"/>
        </w:rPr>
        <w:t>基于一般法理，</w:t>
      </w:r>
      <w:r>
        <w:rPr>
          <w:rFonts w:hint="default"/>
          <w:lang w:val="en-US" w:eastAsia="zh-CN"/>
        </w:rPr>
        <w:t>秘密性和价值性</w:t>
      </w:r>
      <w:r>
        <w:rPr>
          <w:rFonts w:hint="eastAsia"/>
          <w:lang w:val="en-US" w:eastAsia="zh-CN"/>
        </w:rPr>
        <w:t>是商业秘密的构成要件。</w:t>
      </w:r>
      <w:r>
        <w:rPr>
          <w:rFonts w:hint="default"/>
          <w:lang w:val="en-US" w:eastAsia="zh-CN"/>
        </w:rPr>
        <w:t>对于生成式人工智能</w:t>
      </w:r>
      <w:r>
        <w:rPr>
          <w:rFonts w:hint="eastAsia"/>
          <w:lang w:val="en-US" w:eastAsia="zh-CN"/>
        </w:rPr>
        <w:t>算法控制者</w:t>
      </w:r>
      <w:r>
        <w:rPr>
          <w:rFonts w:hint="default"/>
          <w:lang w:val="en-US" w:eastAsia="zh-CN"/>
        </w:rPr>
        <w:t>而言，算法模型是其核心技术资产，为了开发算法模型，投入了大量的人力、物力与财力，其算法模型的参数设置、训练数据的选取、优化逻辑的设计等信息，均属于不为公众所知悉的技术信息，具有极高的商业价值</w:t>
      </w:r>
      <w:r>
        <w:rPr>
          <w:rFonts w:hint="eastAsia"/>
          <w:lang w:val="en-US" w:eastAsia="zh-CN"/>
        </w:rPr>
        <w:t>。</w:t>
      </w:r>
      <w:r>
        <w:rPr>
          <w:rFonts w:hint="default"/>
          <w:lang w:val="en-US" w:eastAsia="zh-CN"/>
        </w:rPr>
        <w:t>同时，</w:t>
      </w:r>
      <w:r>
        <w:rPr>
          <w:rFonts w:hint="eastAsia"/>
          <w:lang w:val="en-US" w:eastAsia="zh-CN"/>
        </w:rPr>
        <w:t>算法控制者</w:t>
      </w:r>
      <w:r>
        <w:rPr>
          <w:rFonts w:hint="default"/>
          <w:lang w:val="en-US" w:eastAsia="zh-CN"/>
        </w:rPr>
        <w:t>为了维护自身的技术优势，会采取一系列严格的保密措施，这些信息完全符合商业秘密的构成要件。</w:t>
      </w:r>
      <w:r>
        <w:rPr>
          <w:rFonts w:hint="eastAsia"/>
          <w:lang w:val="en-US" w:eastAsia="zh-CN"/>
        </w:rPr>
        <w:t>而</w:t>
      </w:r>
      <w:r>
        <w:rPr>
          <w:rFonts w:hint="default"/>
          <w:lang w:val="en-US" w:eastAsia="zh-CN"/>
        </w:rPr>
        <w:t>算法解释意味着算法控制者需要将代表其核心竞争力的算法或相关内容告知他人，商业秘密不可避免地面临泄露风险，</w:t>
      </w:r>
      <w:r>
        <w:rPr>
          <w:rStyle w:val="15"/>
          <w:rFonts w:hint="default"/>
          <w:lang w:val="en-US" w:eastAsia="zh-CN"/>
        </w:rPr>
        <w:t>[</w:t>
      </w:r>
      <w:r>
        <w:rPr>
          <w:rStyle w:val="15"/>
          <w:rFonts w:hint="default"/>
          <w:lang w:val="en-US" w:eastAsia="zh-CN"/>
        </w:rPr>
        <w:footnoteReference w:id="12"/>
      </w:r>
      <w:r>
        <w:rPr>
          <w:rStyle w:val="15"/>
          <w:rFonts w:hint="default"/>
          <w:lang w:val="en-US" w:eastAsia="zh-CN"/>
        </w:rPr>
        <w:t>]</w:t>
      </w:r>
      <w:r>
        <w:rPr>
          <w:rFonts w:hint="default"/>
          <w:lang w:val="en-US" w:eastAsia="zh-CN"/>
        </w:rPr>
        <w:t>使其失去技术优势，损害</w:t>
      </w:r>
      <w:r>
        <w:rPr>
          <w:rFonts w:hint="eastAsia"/>
          <w:lang w:val="en-US" w:eastAsia="zh-CN"/>
        </w:rPr>
        <w:t>算法控制者</w:t>
      </w:r>
      <w:r>
        <w:rPr>
          <w:rFonts w:hint="default"/>
          <w:lang w:val="en-US" w:eastAsia="zh-CN"/>
        </w:rPr>
        <w:t>的合法权益，甚至</w:t>
      </w:r>
      <w:r>
        <w:rPr>
          <w:rFonts w:hint="eastAsia"/>
          <w:lang w:val="en-US" w:eastAsia="zh-CN"/>
        </w:rPr>
        <w:t>不当削弱其市场竞争力，存在诱发垄断的风险</w:t>
      </w:r>
      <w:r>
        <w:rPr>
          <w:rFonts w:hint="default"/>
          <w:lang w:val="en-US" w:eastAsia="zh-CN"/>
        </w:rPr>
        <w:t>。</w:t>
      </w:r>
    </w:p>
    <w:p w14:paraId="259E5576">
      <w:pPr>
        <w:numPr>
          <w:ilvl w:val="0"/>
          <w:numId w:val="0"/>
        </w:numPr>
        <w:spacing w:line="240" w:lineRule="auto"/>
        <w:ind w:firstLine="480" w:firstLineChars="200"/>
        <w:rPr>
          <w:rFonts w:hint="eastAsia"/>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3.</w:t>
      </w:r>
      <w:r>
        <w:rPr>
          <w:rFonts w:hint="eastAsia"/>
          <w:lang w:val="en-US" w:eastAsia="zh-CN"/>
        </w:rPr>
        <w:t>技术困境：算法解释大模型的算力隐忧</w:t>
      </w:r>
    </w:p>
    <w:p w14:paraId="57036037">
      <w:pPr>
        <w:spacing w:line="240" w:lineRule="auto"/>
        <w:rPr>
          <w:rFonts w:hint="eastAsia"/>
          <w:lang w:val="en-US" w:eastAsia="zh-CN"/>
        </w:rPr>
      </w:pPr>
      <w:r>
        <w:rPr>
          <w:rFonts w:hint="eastAsia"/>
          <w:lang w:val="en-US" w:eastAsia="zh-CN"/>
        </w:rPr>
        <w:t>生成式人工智能的技术复杂性给算法解释带来了严峻挑战，其海量的参数规模、非线性的运算逻辑以及快速的迭代更新，对解释所需的技术能力与算力资源提出了极高的要求，这也导致在某些应用场景下，算法解释存在难以突破的技术局限性。</w:t>
      </w:r>
    </w:p>
    <w:p w14:paraId="11D4C91F">
      <w:pPr>
        <w:spacing w:line="240" w:lineRule="auto"/>
        <w:rPr>
          <w:rFonts w:hint="eastAsia"/>
          <w:lang w:val="en-US" w:eastAsia="zh-CN"/>
        </w:rPr>
      </w:pPr>
      <w:r>
        <w:rPr>
          <w:rFonts w:hint="eastAsia"/>
          <w:lang w:val="en-US" w:eastAsia="zh-CN"/>
        </w:rPr>
        <w:t>上述局限性首先体现在现有算法解释技术难以破解生成式人工智能的“算法黑箱”。算法解释技术是履行解释义务的基础，而当前的技术主要仅适用于结构简单、运算逻辑清晰的算法。反观生成式人工智能，其基于深度学习的算法模型具有高度复杂性，决策过程呈现出非线性、非结构化的特征，参数数量可达数百亿甚至数千亿，人类无法直接理解其内部的决策逻辑。有学者指出，算法解释的技术能力划定了可解释的最大边界，由于解释技术的开发初衷并非服务于算法规制，导致当前技术条件不一定满足算法规制的需求。</w:t>
      </w:r>
      <w:r>
        <w:rPr>
          <w:rStyle w:val="15"/>
          <w:rFonts w:hint="eastAsia"/>
          <w:lang w:val="en-US" w:eastAsia="zh-CN"/>
        </w:rPr>
        <w:t>[</w:t>
      </w:r>
      <w:r>
        <w:rPr>
          <w:rStyle w:val="15"/>
          <w:rFonts w:hint="eastAsia"/>
          <w:lang w:val="en-US" w:eastAsia="zh-CN"/>
        </w:rPr>
        <w:footnoteReference w:id="13"/>
      </w:r>
      <w:r>
        <w:rPr>
          <w:rStyle w:val="15"/>
          <w:rFonts w:hint="eastAsia"/>
          <w:lang w:val="en-US" w:eastAsia="zh-CN"/>
        </w:rPr>
        <w:t>]</w:t>
      </w:r>
      <w:r>
        <w:rPr>
          <w:rFonts w:hint="eastAsia"/>
          <w:lang w:val="en-US" w:eastAsia="zh-CN"/>
        </w:rPr>
        <w:t>对于生成式人工智能而言，现有算法解释技术只能对算法决策的结果进行简单的解释，无法对算法决策的过程进行系统性、深层次的阐释，难以真正实现算法的“实质透明”。</w:t>
      </w:r>
    </w:p>
    <w:p w14:paraId="62A894CE">
      <w:pPr>
        <w:spacing w:line="240" w:lineRule="auto"/>
        <w:rPr>
          <w:rFonts w:ascii="宋体" w:hAnsi="宋体" w:eastAsia="宋体" w:cs="宋体"/>
          <w:sz w:val="24"/>
          <w:szCs w:val="24"/>
        </w:rPr>
      </w:pPr>
      <w:r>
        <w:rPr>
          <w:rFonts w:hint="eastAsia"/>
          <w:lang w:val="en-US" w:eastAsia="zh-CN"/>
        </w:rPr>
        <w:t>除了技术能力上的不足，算法解释还面临着高昂的技术成本压力。算法解释的过程本质上是对算法模型的反向推导与分析过程，大模型的归因解释需要非常大的计算量，此种计算量在许多算法解释场景中将为履行解释义务的主体带来沉重负担。</w:t>
      </w:r>
      <w:r>
        <w:rPr>
          <w:rStyle w:val="15"/>
          <w:rFonts w:hint="eastAsia"/>
          <w:lang w:val="en-US" w:eastAsia="zh-CN"/>
        </w:rPr>
        <w:t>[</w:t>
      </w:r>
      <w:r>
        <w:rPr>
          <w:rStyle w:val="15"/>
          <w:rFonts w:hint="eastAsia"/>
          <w:lang w:val="en-US" w:eastAsia="zh-CN"/>
        </w:rPr>
        <w:footnoteReference w:id="14"/>
      </w:r>
      <w:r>
        <w:rPr>
          <w:rStyle w:val="15"/>
          <w:rFonts w:hint="eastAsia"/>
          <w:lang w:val="en-US" w:eastAsia="zh-CN"/>
        </w:rPr>
        <w:t>]</w:t>
      </w:r>
      <w:r>
        <w:rPr>
          <w:rFonts w:ascii="宋体" w:hAnsi="宋体" w:eastAsia="宋体" w:cs="宋体"/>
          <w:sz w:val="24"/>
          <w:szCs w:val="24"/>
        </w:rPr>
        <w:t>对于大型科技企业而言，其拥有充足的算力资源与技术储备，能够承担算法解释的</w:t>
      </w:r>
      <w:r>
        <w:rPr>
          <w:rFonts w:hint="eastAsia" w:ascii="宋体" w:hAnsi="宋体" w:eastAsia="宋体" w:cs="宋体"/>
          <w:sz w:val="24"/>
          <w:szCs w:val="24"/>
          <w:lang w:val="en-US" w:eastAsia="zh-CN"/>
        </w:rPr>
        <w:t>技术</w:t>
      </w:r>
      <w:r>
        <w:rPr>
          <w:rFonts w:ascii="宋体" w:hAnsi="宋体" w:eastAsia="宋体" w:cs="宋体"/>
          <w:sz w:val="24"/>
          <w:szCs w:val="24"/>
        </w:rPr>
        <w:t>成本，但对于广大的中小企业而言，其算力资源与技术储备有限，难以承担算法解释的高昂成本，若强制要求其履行算法解释义务，将给企业带来沉重的负担，甚至</w:t>
      </w:r>
      <w:r>
        <w:rPr>
          <w:rFonts w:hint="eastAsia" w:ascii="宋体" w:hAnsi="宋体" w:eastAsia="宋体" w:cs="宋体"/>
          <w:sz w:val="24"/>
          <w:szCs w:val="24"/>
          <w:lang w:val="en-US" w:eastAsia="zh-CN"/>
        </w:rPr>
        <w:t>引发退市的风险</w:t>
      </w:r>
      <w:r>
        <w:rPr>
          <w:rFonts w:ascii="宋体" w:hAnsi="宋体" w:eastAsia="宋体" w:cs="宋体"/>
          <w:sz w:val="24"/>
          <w:szCs w:val="24"/>
        </w:rPr>
        <w:t>。</w:t>
      </w:r>
    </w:p>
    <w:p w14:paraId="357B01E7">
      <w:pPr>
        <w:spacing w:line="240" w:lineRule="auto"/>
        <w:rPr>
          <w:rFonts w:hint="eastAsia"/>
          <w:b/>
          <w:bCs/>
          <w:lang w:val="en-US" w:eastAsia="zh-CN"/>
        </w:rPr>
      </w:pPr>
      <w:r>
        <w:rPr>
          <w:rFonts w:hint="eastAsia"/>
          <w:b/>
          <w:bCs/>
          <w:lang w:val="en-US" w:eastAsia="zh-CN"/>
        </w:rPr>
        <w:t>（二）生成式人工智能算法解释的困境溯因</w:t>
      </w:r>
    </w:p>
    <w:p w14:paraId="03807A48">
      <w:pPr>
        <w:spacing w:line="240" w:lineRule="auto"/>
        <w:ind w:firstLine="480" w:firstLineChars="200"/>
        <w:rPr>
          <w:rFonts w:hint="default"/>
          <w:lang w:val="en-US" w:eastAsia="zh-CN"/>
        </w:rPr>
      </w:pPr>
      <w:r>
        <w:rPr>
          <w:rFonts w:hint="default" w:ascii="Times New Roman" w:hAnsi="Times New Roman" w:cs="Times New Roman"/>
          <w:lang w:val="en-US" w:eastAsia="zh-CN"/>
        </w:rPr>
        <w:t>1.</w:t>
      </w:r>
      <w:r>
        <w:rPr>
          <w:rFonts w:hint="eastAsia"/>
          <w:lang w:val="en-US" w:eastAsia="zh-CN"/>
        </w:rPr>
        <w:t>理念溯因：分类分级解释标准的模糊</w:t>
      </w:r>
    </w:p>
    <w:p w14:paraId="6C2EE691">
      <w:pPr>
        <w:spacing w:line="240" w:lineRule="auto"/>
        <w:ind w:firstLine="480" w:firstLineChars="200"/>
        <w:rPr>
          <w:rStyle w:val="15"/>
          <w:rFonts w:hint="eastAsia"/>
          <w:lang w:val="en-US" w:eastAsia="zh-CN"/>
        </w:rPr>
      </w:pPr>
      <w:r>
        <w:rPr>
          <w:rFonts w:hint="default" w:ascii="Times New Roman" w:hAnsi="Times New Roman" w:cs="Times New Roman"/>
          <w:lang w:val="en-US" w:eastAsia="zh-CN"/>
        </w:rPr>
        <w:t>2021</w:t>
      </w:r>
      <w:r>
        <w:rPr>
          <w:rFonts w:hint="eastAsia"/>
          <w:lang w:val="en-US" w:eastAsia="zh-CN"/>
        </w:rPr>
        <w:t>年，国家互联网信息办公室、科学技术部、公安部等九部委联合制定了《关于加强互联网信息服务算法综合治理的指导意见》并首次提出“坚持风险防控，推进算法分级分类安全管理，有效识别高风险类算法，实施精准治理”奠定了算法分类分级在算法治理中的基本原则地位。基于人工智能在各领域的深度融合，如何构建算法分类分级的治理标准，成为学界关注的焦点，相关观点亦不尽一致。有学者将算法分类分级治理概括为：在建设网络强国的背景下，以算法技术为治理对象，通过分类分级的形式逐步建立治理机制健全、监管体系完善、算法生态规范的算法安全综合治理格局。</w:t>
      </w:r>
      <w:r>
        <w:rPr>
          <w:rStyle w:val="15"/>
          <w:rFonts w:hint="eastAsia"/>
          <w:lang w:val="en-US" w:eastAsia="zh-CN"/>
        </w:rPr>
        <w:t>[</w:t>
      </w:r>
      <w:r>
        <w:rPr>
          <w:rStyle w:val="15"/>
          <w:rFonts w:hint="eastAsia"/>
          <w:lang w:val="en-US" w:eastAsia="zh-CN"/>
        </w:rPr>
        <w:footnoteReference w:id="15"/>
      </w:r>
      <w:r>
        <w:rPr>
          <w:rStyle w:val="15"/>
          <w:rFonts w:hint="eastAsia"/>
          <w:lang w:val="en-US" w:eastAsia="zh-CN"/>
        </w:rPr>
        <w:t>]</w:t>
      </w:r>
      <w:r>
        <w:rPr>
          <w:rFonts w:hint="eastAsia"/>
          <w:lang w:val="en-US" w:eastAsia="zh-CN"/>
        </w:rPr>
        <w:t>另有学者指出：算法决策现阶段仍难以摆脱算法主体的影响，因此算法治理不能仅局限于技术层面，其分类分级治理还应涵盖与算法主体密切相关的各类具体场景及其应用。</w:t>
      </w:r>
      <w:r>
        <w:rPr>
          <w:rStyle w:val="15"/>
          <w:rFonts w:hint="eastAsia"/>
          <w:lang w:val="en-US" w:eastAsia="zh-CN"/>
        </w:rPr>
        <w:t>[</w:t>
      </w:r>
      <w:r>
        <w:rPr>
          <w:rStyle w:val="15"/>
          <w:rFonts w:hint="eastAsia"/>
          <w:lang w:val="en-US" w:eastAsia="zh-CN"/>
        </w:rPr>
        <w:footnoteReference w:id="16"/>
      </w:r>
      <w:r>
        <w:rPr>
          <w:rStyle w:val="15"/>
          <w:rFonts w:hint="eastAsia"/>
          <w:lang w:val="en-US" w:eastAsia="zh-CN"/>
        </w:rPr>
        <w:t>]</w:t>
      </w:r>
    </w:p>
    <w:p w14:paraId="0328046A">
      <w:pPr>
        <w:spacing w:line="240" w:lineRule="auto"/>
        <w:ind w:firstLine="480" w:firstLineChars="200"/>
        <w:rPr>
          <w:rFonts w:hint="eastAsia"/>
          <w:lang w:val="en-US" w:eastAsia="zh-CN"/>
        </w:rPr>
      </w:pPr>
      <w:r>
        <w:rPr>
          <w:rFonts w:hint="eastAsia"/>
          <w:lang w:val="en-US" w:eastAsia="zh-CN"/>
        </w:rPr>
        <w:t>目前我国现有法律体系尚未对算法分类分级明确规定，也缺乏针对分级标准及解释义务差异化配置的具体规则。尽管《生成式人工智能服务管理暂行办法》第三条提出了分类分级监管的原则要求，但因缺少对算法运行场景与基本运行逻辑的深度分析，导致无法对其进行差异化处理，算法解释的制度功能难以得到充分释放。在此背景下，当遭受算法决策相对人利用算法解释权寻求救济时，是期望算法控制者能够就算法作出事物性解释还是事理性解释，不无疑问。</w:t>
      </w:r>
    </w:p>
    <w:p w14:paraId="586C29F3">
      <w:pPr>
        <w:numPr>
          <w:ilvl w:val="0"/>
          <w:numId w:val="0"/>
        </w:numPr>
        <w:spacing w:line="240" w:lineRule="auto"/>
        <w:ind w:firstLine="480" w:firstLineChars="200"/>
        <w:rPr>
          <w:rFonts w:hint="default"/>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2.</w:t>
      </w:r>
      <w:r>
        <w:rPr>
          <w:rFonts w:hint="eastAsia"/>
          <w:lang w:val="en-US" w:eastAsia="zh-CN"/>
        </w:rPr>
        <w:t>规范溯因：算法解释规范逐渐虚化</w:t>
      </w:r>
    </w:p>
    <w:p w14:paraId="2CA0D648">
      <w:pPr>
        <w:numPr>
          <w:ilvl w:val="0"/>
          <w:numId w:val="0"/>
        </w:numPr>
        <w:spacing w:line="240" w:lineRule="auto"/>
        <w:ind w:firstLine="480" w:firstLineChars="200"/>
        <w:rPr>
          <w:rFonts w:hint="default"/>
          <w:lang w:val="en-US" w:eastAsia="zh-CN"/>
        </w:rPr>
      </w:pPr>
      <w:r>
        <w:rPr>
          <w:rFonts w:hint="eastAsia"/>
          <w:lang w:val="en-US" w:eastAsia="zh-CN"/>
        </w:rPr>
        <w:t>在生成式人工智能治理中，当前我国的算法解释权规范体系存在明显的结构性缺陷，对生成式人工智能的针对性不足，这也导致算法解释面临难题。</w:t>
      </w:r>
    </w:p>
    <w:p w14:paraId="5AE91CDF">
      <w:pPr>
        <w:numPr>
          <w:ilvl w:val="0"/>
          <w:numId w:val="0"/>
        </w:numPr>
        <w:spacing w:line="240" w:lineRule="auto"/>
        <w:ind w:firstLine="480" w:firstLineChars="200"/>
        <w:rPr>
          <w:rFonts w:hint="default" w:eastAsia="宋体"/>
          <w:lang w:val="en-US" w:eastAsia="zh-CN"/>
        </w:rPr>
      </w:pPr>
      <w:r>
        <w:rPr>
          <w:rFonts w:hint="eastAsia"/>
          <w:lang w:val="en-US" w:eastAsia="zh-CN"/>
        </w:rPr>
        <w:t>当前，我国现有的算法解释权规范主要是针对传统人工智能制定的，规范的内容模糊，</w:t>
      </w:r>
      <w:r>
        <w:rPr>
          <w:rFonts w:hint="eastAsia" w:ascii="宋体" w:hAnsi="宋体" w:eastAsia="宋体" w:cs="宋体"/>
          <w:sz w:val="24"/>
          <w:szCs w:val="24"/>
          <w:lang w:val="en-US" w:eastAsia="zh-CN"/>
        </w:rPr>
        <w:t>未形成针对不同主体的类型化解释标准</w:t>
      </w:r>
      <w:r>
        <w:rPr>
          <w:rFonts w:hint="eastAsia"/>
          <w:lang w:val="en-US" w:eastAsia="zh-CN"/>
        </w:rPr>
        <w:t>。例如：《个人信息保护法》第</w:t>
      </w:r>
      <w:r>
        <w:rPr>
          <w:rFonts w:hint="default" w:ascii="Times New Roman" w:hAnsi="Times New Roman" w:cs="Times New Roman"/>
          <w:lang w:val="en-US" w:eastAsia="zh-CN"/>
        </w:rPr>
        <w:t>24</w:t>
      </w:r>
      <w:r>
        <w:rPr>
          <w:rFonts w:hint="eastAsia"/>
          <w:lang w:val="en-US" w:eastAsia="zh-CN"/>
        </w:rPr>
        <w:t>条第</w:t>
      </w:r>
      <w:r>
        <w:rPr>
          <w:rFonts w:hint="default" w:ascii="Times New Roman" w:hAnsi="Times New Roman" w:cs="Times New Roman"/>
          <w:lang w:val="en-US" w:eastAsia="zh-CN"/>
        </w:rPr>
        <w:t>1</w:t>
      </w:r>
      <w:r>
        <w:rPr>
          <w:rFonts w:hint="eastAsia"/>
          <w:lang w:val="en-US" w:eastAsia="zh-CN"/>
        </w:rPr>
        <w:t>款中明确了自动化决策应具备透明度，并保证结果公平、公正，但该条款仅为原则性规定，缺乏操作细则。《算法推荐管理规定》主要面向算法推荐服务，尚未根据生成式人工智能的技术特性，对算法解释的义务主体、解释标准、内容限度、行使方式等核心问题作出专门规定。而《生成式人工智能服务管理暂行办法》虽直接适用于生成式人工智能，但仅作了原则性规定，未对算法解释的具体规则作出细化，导致算法解释在生成式人工智能场景中缺乏明确的制度指引。</w:t>
      </w:r>
      <w:r>
        <w:rPr>
          <w:rFonts w:hint="eastAsia" w:ascii="宋体" w:hAnsi="宋体" w:eastAsia="宋体" w:cs="宋体"/>
          <w:sz w:val="24"/>
          <w:szCs w:val="24"/>
          <w:lang w:val="en-US" w:eastAsia="zh-CN"/>
        </w:rPr>
        <w:t>这种模糊的解释标准，导致算法解释在实践中陷入两难境地。若按照技术化标准进行解释，数据主体难以理解，算法解释的实效性无从体现；若按照通俗化标准进行解释，监管机构无法掌握算法的核心信息，难以实现有效监管。同时，现有规范对“对个人权益有重大影响”的判断标准未作出明确界定，算法控制者可随意界定解释的触发条件，导致算法解释权在实践中被虚置，标准异化问题进一步凸显。</w:t>
      </w:r>
      <w:r>
        <w:rPr>
          <w:rFonts w:hint="eastAsia"/>
          <w:lang w:val="en-US" w:eastAsia="zh-CN"/>
        </w:rPr>
        <w:t>此外，算法解释与商业秘密、知识产权之间也缺乏冲突化解规则。前者体现了受算法影响者对算法透明度和公正性的渴求，后者则体现了算法控制者对知识产权和商业秘密的保护。然而现有规范仅规定了算法解释的义务，未考虑算法解释对企业商业秘密、知识产权的影响，未建立起二者之间的冲突化解规则，未明确算法解释的合理边界。</w:t>
      </w:r>
    </w:p>
    <w:p w14:paraId="7E1C8D1D">
      <w:pPr>
        <w:numPr>
          <w:ilvl w:val="0"/>
          <w:numId w:val="0"/>
        </w:numPr>
        <w:spacing w:line="240" w:lineRule="auto"/>
        <w:ind w:firstLine="480" w:firstLineChars="200"/>
        <w:rPr>
          <w:rFonts w:hint="default"/>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3.</w:t>
      </w:r>
      <w:r>
        <w:rPr>
          <w:rFonts w:hint="eastAsia"/>
          <w:lang w:val="en-US" w:eastAsia="zh-CN"/>
        </w:rPr>
        <w:t>监管溯因：人工智能算法监管机制滞后</w:t>
      </w:r>
    </w:p>
    <w:p w14:paraId="241394FA">
      <w:pPr>
        <w:spacing w:line="240" w:lineRule="auto"/>
        <w:rPr>
          <w:rFonts w:hint="eastAsia"/>
          <w:lang w:val="en-US" w:eastAsia="zh-CN"/>
        </w:rPr>
      </w:pPr>
      <w:r>
        <w:rPr>
          <w:rFonts w:hint="eastAsia"/>
          <w:lang w:val="en-US" w:eastAsia="zh-CN"/>
        </w:rPr>
        <w:t>有效的监管体系是算法解释制度落地的重要保障。当前，人工智能监管模式总体上呈现出“静态化”特征，主要表现为通过事前的、一次性合规审查制度，要求算法服务提供者在上线前提交关于算法基本原理、运行机制、风险防控等信息的备案材料，以供监管部门审查。</w:t>
      </w:r>
      <w:r>
        <w:rPr>
          <w:rStyle w:val="15"/>
          <w:rFonts w:hint="eastAsia"/>
          <w:lang w:val="en-US" w:eastAsia="zh-CN"/>
        </w:rPr>
        <w:t>[</w:t>
      </w:r>
      <w:r>
        <w:rPr>
          <w:rStyle w:val="15"/>
          <w:rFonts w:hint="eastAsia"/>
          <w:lang w:val="en-US" w:eastAsia="zh-CN"/>
        </w:rPr>
        <w:footnoteReference w:id="17"/>
      </w:r>
      <w:r>
        <w:rPr>
          <w:rStyle w:val="15"/>
          <w:rFonts w:hint="eastAsia"/>
          <w:lang w:val="en-US" w:eastAsia="zh-CN"/>
        </w:rPr>
        <w:t>]</w:t>
      </w:r>
      <w:r>
        <w:rPr>
          <w:rFonts w:hint="eastAsia"/>
          <w:lang w:val="en-US" w:eastAsia="zh-CN"/>
        </w:rPr>
        <w:t>这一模式在传统软件时代或许足够，但在生成式人工智能时代却显露出深刻的错配。生成式人工智能的本质特征之一是“动态演化”——模型在与用户的持续交互中不断调整优化，通过预训练、微调（</w:t>
      </w:r>
      <w:r>
        <w:rPr>
          <w:rFonts w:hint="default" w:ascii="Times New Roman" w:hAnsi="Times New Roman" w:cs="Times New Roman"/>
          <w:lang w:val="en-US" w:eastAsia="zh-CN"/>
        </w:rPr>
        <w:t>Fine-tuning</w:t>
      </w:r>
      <w:r>
        <w:rPr>
          <w:rFonts w:hint="eastAsia"/>
          <w:lang w:val="en-US" w:eastAsia="zh-CN"/>
        </w:rPr>
        <w:t>）乃至涌现能力（</w:t>
      </w:r>
      <w:r>
        <w:rPr>
          <w:rFonts w:hint="default" w:ascii="Times New Roman" w:hAnsi="Times New Roman" w:cs="Times New Roman"/>
          <w:lang w:val="en-US" w:eastAsia="zh-CN"/>
        </w:rPr>
        <w:t>Emergent Abilities</w:t>
      </w:r>
      <w:r>
        <w:rPr>
          <w:rFonts w:hint="eastAsia"/>
          <w:lang w:val="en-US" w:eastAsia="zh-CN"/>
        </w:rPr>
        <w:t>）等方式，其行为模式可能发生显著变化。</w:t>
      </w:r>
      <w:r>
        <w:rPr>
          <w:rStyle w:val="15"/>
          <w:rFonts w:hint="eastAsia"/>
          <w:lang w:val="en-US" w:eastAsia="zh-CN"/>
        </w:rPr>
        <w:t>[</w:t>
      </w:r>
      <w:r>
        <w:rPr>
          <w:rStyle w:val="15"/>
          <w:rFonts w:hint="eastAsia"/>
          <w:lang w:val="en-US" w:eastAsia="zh-CN"/>
        </w:rPr>
        <w:footnoteReference w:id="18"/>
      </w:r>
      <w:r>
        <w:rPr>
          <w:rStyle w:val="15"/>
          <w:rFonts w:hint="eastAsia"/>
          <w:lang w:val="en-US" w:eastAsia="zh-CN"/>
        </w:rPr>
        <w:t>]</w:t>
      </w:r>
      <w:r>
        <w:rPr>
          <w:rFonts w:hint="eastAsia"/>
          <w:lang w:val="en-US" w:eastAsia="zh-CN"/>
        </w:rPr>
        <w:t>然而，静态的审查机制无法捕捉这种动态变化。目前我国的算法解释监管主要采取事后监管、形式监管的方式，监管机构往往在算法权力异化问题出现后才进行监管，且主要以算法备案、材料审查等形式监管为主，缺乏对生成式人工智能算法全生命周期的动态监管</w:t>
      </w:r>
    </w:p>
    <w:p w14:paraId="312353BD">
      <w:pPr>
        <w:spacing w:line="240" w:lineRule="auto"/>
        <w:rPr>
          <w:rFonts w:hint="eastAsia"/>
          <w:lang w:val="en-US" w:eastAsia="zh-CN"/>
        </w:rPr>
      </w:pPr>
      <w:r>
        <w:rPr>
          <w:rFonts w:hint="eastAsia"/>
          <w:lang w:val="en-US" w:eastAsia="zh-CN"/>
        </w:rPr>
        <w:t>更根本的问题在于监管能力的结构性滞后。有效的算法解释监管，要求监管者不仅具备审查书面材料的能力，更要具备对模型进行独立测试、动态验证的技术能力。然而，监管资源的有限性与技术迭代的无限性之间的鸿沟，决定了单纯依靠政府监管无法实现真正的“穿透式”监管。当监管者的能力与被监管对象的技术水平之间存在很大的差距时，再精巧的制度设计也难以落地生根。</w:t>
      </w:r>
    </w:p>
    <w:p w14:paraId="23ABBC40">
      <w:pPr>
        <w:numPr>
          <w:ilvl w:val="0"/>
          <w:numId w:val="2"/>
        </w:numPr>
        <w:spacing w:line="240" w:lineRule="auto"/>
        <w:rPr>
          <w:rFonts w:hint="eastAsia"/>
          <w:b/>
          <w:bCs/>
          <w:lang w:val="en-US" w:eastAsia="zh-CN"/>
        </w:rPr>
      </w:pPr>
      <w:r>
        <w:rPr>
          <w:rFonts w:hint="eastAsia"/>
          <w:b/>
          <w:bCs/>
          <w:lang w:val="en-US" w:eastAsia="zh-CN"/>
        </w:rPr>
        <w:t>算法解释视角下生成式人工智能可控治理的修正路径</w:t>
      </w:r>
    </w:p>
    <w:p w14:paraId="3E60FDA5">
      <w:pPr>
        <w:numPr>
          <w:ilvl w:val="0"/>
          <w:numId w:val="0"/>
        </w:numPr>
        <w:spacing w:line="240" w:lineRule="auto"/>
        <w:ind w:firstLine="480" w:firstLineChars="200"/>
        <w:rPr>
          <w:rFonts w:hint="default"/>
          <w:lang w:val="en-US" w:eastAsia="zh-CN"/>
        </w:rPr>
      </w:pPr>
      <w:r>
        <w:rPr>
          <w:rFonts w:hint="eastAsia"/>
          <w:lang w:val="en-US" w:eastAsia="zh-CN"/>
        </w:rPr>
        <w:t>行为至此，至少可以明确生成式人工智能的</w:t>
      </w:r>
      <w:r>
        <w:rPr>
          <w:rFonts w:hint="default"/>
          <w:lang w:val="en-US" w:eastAsia="zh-CN"/>
        </w:rPr>
        <w:t>深度应用可能带来算法黑箱、决策偏见、权益冲突等一系列风险，</w:t>
      </w:r>
      <w:r>
        <w:rPr>
          <w:rFonts w:hint="eastAsia"/>
          <w:lang w:val="en-US" w:eastAsia="zh-CN"/>
        </w:rPr>
        <w:t>而作为因应对策的</w:t>
      </w:r>
      <w:r>
        <w:rPr>
          <w:rFonts w:hint="default"/>
          <w:lang w:val="en-US" w:eastAsia="zh-CN"/>
        </w:rPr>
        <w:t>算法解释制度</w:t>
      </w:r>
      <w:r>
        <w:rPr>
          <w:rFonts w:hint="eastAsia"/>
          <w:lang w:val="en-US" w:eastAsia="zh-CN"/>
        </w:rPr>
        <w:t>却</w:t>
      </w:r>
      <w:r>
        <w:rPr>
          <w:rFonts w:hint="default"/>
          <w:lang w:val="en-US" w:eastAsia="zh-CN"/>
        </w:rPr>
        <w:t>暴露出</w:t>
      </w:r>
      <w:r>
        <w:rPr>
          <w:rFonts w:hint="eastAsia"/>
          <w:lang w:val="en-US" w:eastAsia="zh-CN"/>
        </w:rPr>
        <w:t>解释标准异化</w:t>
      </w:r>
      <w:r>
        <w:rPr>
          <w:rFonts w:hint="default"/>
          <w:lang w:val="en-US" w:eastAsia="zh-CN"/>
        </w:rPr>
        <w:t>、</w:t>
      </w:r>
      <w:r>
        <w:rPr>
          <w:rFonts w:hint="eastAsia"/>
          <w:lang w:val="en-US" w:eastAsia="zh-CN"/>
        </w:rPr>
        <w:t>算法权益对立</w:t>
      </w:r>
      <w:r>
        <w:rPr>
          <w:rFonts w:hint="default"/>
          <w:lang w:val="en-US" w:eastAsia="zh-CN"/>
        </w:rPr>
        <w:t>、监管模式滞后等结构性问题。</w:t>
      </w:r>
      <w:r>
        <w:rPr>
          <w:rFonts w:hint="eastAsia"/>
          <w:lang w:val="en-US" w:eastAsia="zh-CN"/>
        </w:rPr>
        <w:t>基于此，当前亟待</w:t>
      </w:r>
      <w:r>
        <w:rPr>
          <w:rFonts w:hint="default"/>
          <w:lang w:val="en-US" w:eastAsia="zh-CN"/>
        </w:rPr>
        <w:t>对算法解释机制进行从理念到规则再到配套机制的系统性重构，使生成式人工智能以更加透明、可控的方式深度嵌入社会治理体系之中。</w:t>
      </w:r>
    </w:p>
    <w:p w14:paraId="2F241CE5">
      <w:pPr>
        <w:spacing w:line="240" w:lineRule="auto"/>
        <w:rPr>
          <w:rFonts w:hint="eastAsia"/>
          <w:b/>
          <w:bCs/>
          <w:lang w:val="en-US" w:eastAsia="zh-CN"/>
        </w:rPr>
      </w:pPr>
      <w:r>
        <w:rPr>
          <w:rFonts w:hint="eastAsia"/>
          <w:b/>
          <w:bCs/>
          <w:lang w:val="en-US" w:eastAsia="zh-CN"/>
        </w:rPr>
        <w:t>（一）算法解释视角下生成式人工智能可控治理的理念</w:t>
      </w:r>
    </w:p>
    <w:p w14:paraId="392926CD">
      <w:pPr>
        <w:spacing w:line="240" w:lineRule="auto"/>
        <w:rPr>
          <w:rFonts w:hint="eastAsia"/>
          <w:lang w:val="en-US" w:eastAsia="zh-CN"/>
        </w:rPr>
      </w:pPr>
      <w:r>
        <w:rPr>
          <w:rFonts w:hint="default" w:ascii="Times New Roman" w:hAnsi="Times New Roman" w:cs="Times New Roman"/>
          <w:lang w:val="en-US" w:eastAsia="zh-CN"/>
        </w:rPr>
        <w:t>1.</w:t>
      </w:r>
      <w:r>
        <w:rPr>
          <w:rFonts w:hint="eastAsia"/>
          <w:lang w:val="en-US" w:eastAsia="zh-CN"/>
        </w:rPr>
        <w:t>坚持分类分级理念</w:t>
      </w:r>
    </w:p>
    <w:p w14:paraId="6865D2DE">
      <w:pPr>
        <w:spacing w:line="240" w:lineRule="auto"/>
        <w:rPr>
          <w:rFonts w:hint="eastAsia"/>
          <w:lang w:val="en-US" w:eastAsia="zh-CN"/>
        </w:rPr>
      </w:pPr>
      <w:r>
        <w:rPr>
          <w:rFonts w:hint="eastAsia"/>
          <w:lang w:val="en-US" w:eastAsia="zh-CN"/>
        </w:rPr>
        <w:t>传统算法解释制度往往采用一种“高位阶的统一普适性”解释标准，试图适用于所有算法场景。然而，生成式人工智能的应用场景高度异质，从用于娱乐闲聊的算法工具，到敏感技术算法，其潜在风险可谓天差地别。这种统一规范的制度逻辑已难以有效回应人工智能技术变革所带来的治理挑战。因此，人工智能的法律治理需要构建一种灵活高效且能够持续演进的适应性规范体系。制度设计应当从高位阶的统一普适性标准，转向基于分类、风险适配的治理路径。</w:t>
      </w:r>
      <w:r>
        <w:rPr>
          <w:rStyle w:val="15"/>
          <w:rFonts w:hint="eastAsia"/>
          <w:lang w:val="en-US" w:eastAsia="zh-CN"/>
        </w:rPr>
        <w:t>[</w:t>
      </w:r>
      <w:r>
        <w:rPr>
          <w:rStyle w:val="15"/>
          <w:rFonts w:hint="eastAsia"/>
          <w:lang w:val="en-US" w:eastAsia="zh-CN"/>
        </w:rPr>
        <w:footnoteReference w:id="19"/>
      </w:r>
      <w:r>
        <w:rPr>
          <w:rStyle w:val="15"/>
          <w:rFonts w:hint="eastAsia"/>
          <w:lang w:val="en-US" w:eastAsia="zh-CN"/>
        </w:rPr>
        <w:t>]</w:t>
      </w:r>
      <w:r>
        <w:rPr>
          <w:rFonts w:hint="eastAsia"/>
          <w:lang w:val="en-US" w:eastAsia="zh-CN"/>
        </w:rPr>
        <w:t>据此，可以根据应用场景与风险程度构建分级分类的风险适配治理路径。</w:t>
      </w:r>
    </w:p>
    <w:p w14:paraId="6060221A">
      <w:pPr>
        <w:numPr>
          <w:ilvl w:val="-1"/>
          <w:numId w:val="0"/>
        </w:numPr>
        <w:spacing w:line="240" w:lineRule="auto"/>
        <w:ind w:firstLine="480" w:firstLineChars="200"/>
        <w:rPr>
          <w:rFonts w:hint="eastAsia"/>
          <w:lang w:val="en-US" w:eastAsia="zh-CN"/>
        </w:rPr>
      </w:pPr>
      <w:r>
        <w:rPr>
          <w:rFonts w:hint="eastAsia"/>
          <w:lang w:val="en-US" w:eastAsia="zh-CN"/>
        </w:rPr>
        <w:t>欧盟《人工智能法案》将算法风险分为不可接受的风险、高风险、有限风险与低风险：“不可接受的风险”的算法包括社会评分系统、旨在影响人类潜意识或危害弱势群体的系统及对自然人进行风险评估的系统；高风险算法指包含作为安全部件的算法系统及风险管理、数据治理、技术文件编辑的算法系统；有限风险强调算法使用者可清晰认识到自身与人工智能互动中的角色，并基于自身意志输出决策的算法</w:t>
      </w:r>
      <w:r>
        <w:rPr>
          <w:rFonts w:hint="eastAsia"/>
          <w:color w:val="auto"/>
          <w:lang w:val="en-US" w:eastAsia="zh-CN"/>
        </w:rPr>
        <w:t>；而低风险算法则是排除上述风险范围的其他算法。域内，</w:t>
      </w:r>
      <w:r>
        <w:rPr>
          <w:rFonts w:hint="default" w:ascii="Times New Roman" w:hAnsi="Times New Roman" w:cs="Times New Roman"/>
          <w:color w:val="auto"/>
          <w:lang w:val="en-US" w:eastAsia="zh-CN"/>
        </w:rPr>
        <w:t>2025</w:t>
      </w:r>
      <w:r>
        <w:rPr>
          <w:rFonts w:hint="eastAsia"/>
          <w:color w:val="auto"/>
          <w:lang w:val="en-US" w:eastAsia="zh-CN"/>
        </w:rPr>
        <w:t>年，我国颁布的《数据安全技术 敏感个人信息处理安全要求》将生物识别信息、宗教信仰信息、特定身份信息等纳入敏感个人信息范畴，并设定更为严格的监管机制。基于欧盟《人工智能法案》与我国相关规范的启示，结合我国生成式人工智能的应用场景，可</w:t>
      </w:r>
      <w:r>
        <w:rPr>
          <w:rFonts w:hint="eastAsia"/>
          <w:lang w:val="en-US" w:eastAsia="zh-CN"/>
        </w:rPr>
        <w:t>将算法风险划分为高风险、中风险和一般风险三个等级。具体而言：对于涉及敏感个人信息及重大公共利益的高风险算法领域，应设置最严格的算法解释要求，要求算法控制者向数据主体及监管机构作出全面、专业的解释，并披露算法的核心技术信息；对于涉及一般个人信息、教育等领域的中风险算法，应设置中等强度的解释要求，要求控制者作出较为详细的解释，并披露算法的主要运行机制；对于娱乐、社交等辅助性较强的一般风险领域，则可设置较为宽松的解释要求，仅需作出通俗、简洁的解释并披露基本信息。</w:t>
      </w:r>
    </w:p>
    <w:p w14:paraId="6F77DF08">
      <w:pPr>
        <w:numPr>
          <w:ilvl w:val="0"/>
          <w:numId w:val="0"/>
        </w:numPr>
        <w:spacing w:line="240" w:lineRule="auto"/>
        <w:ind w:firstLine="480" w:firstLineChars="200"/>
        <w:rPr>
          <w:rFonts w:hint="eastAsia"/>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2.</w:t>
      </w:r>
      <w:r>
        <w:rPr>
          <w:rFonts w:hint="eastAsia" w:cstheme="minorBidi"/>
          <w:color w:val="000000" w:themeColor="text1"/>
          <w:kern w:val="2"/>
          <w:sz w:val="24"/>
          <w:szCs w:val="24"/>
          <w:lang w:val="en-US" w:eastAsia="zh-CN" w:bidi="ar-SA"/>
          <w14:textFill>
            <w14:solidFill>
              <w14:schemeClr w14:val="tx1"/>
            </w14:solidFill>
          </w14:textFill>
        </w:rPr>
        <w:t>重视</w:t>
      </w:r>
      <w:r>
        <w:rPr>
          <w:rFonts w:hint="eastAsia"/>
          <w:lang w:val="en-US" w:eastAsia="zh-CN"/>
        </w:rPr>
        <w:t>利益平衡理念</w:t>
      </w:r>
    </w:p>
    <w:p w14:paraId="17D387B6">
      <w:pPr>
        <w:spacing w:line="240" w:lineRule="auto"/>
        <w:rPr>
          <w:rFonts w:hint="default"/>
          <w:lang w:val="en-US" w:eastAsia="zh-CN"/>
        </w:rPr>
      </w:pPr>
      <w:r>
        <w:rPr>
          <w:rFonts w:hint="eastAsia"/>
          <w:lang w:val="en-US" w:eastAsia="zh-CN"/>
        </w:rPr>
        <w:t>算法解释与商业秘密的冲突，是算法规制领域最经典的难题。传统理论倾向于在这一冲突中预设某种优先顺序，或主张解释权优先以保障个体权利，或主张商业秘密优先以激励技术创新。而利益平衡理念作为统筹发展和安全指出的具体要求，是在承认多元价值并存的前提下，寻求具体场景下的动态平衡。其核心是推动算法解释义务主体从被动防御商业秘密转向主动披露必要信息，推动技术开发者、服务提供者与监管机构、广大用户之间建立基于信任的沟通机制，在保障企业核心竞争力的同时，满足公众对算法决策过程的合理知情需求，实现技术创新红利与社会公共利益的有效平衡。同时推动制度设计从“非此即彼的零和博弈”转向“寻求最大公约数的利益相容”，通过精细化的规则设计释明商业秘密的合理边界与解释义务的刚性底线，防范以保护商业秘密为名过度屏蔽公众监督，消除因信息不对称导致的权利救济障碍，促进算法透明度与产业竞争力的协同提升。</w:t>
      </w:r>
    </w:p>
    <w:p w14:paraId="77747A50">
      <w:pPr>
        <w:numPr>
          <w:ilvl w:val="0"/>
          <w:numId w:val="0"/>
        </w:numPr>
        <w:spacing w:line="240" w:lineRule="auto"/>
        <w:ind w:firstLine="480" w:firstLineChars="200"/>
        <w:rPr>
          <w:rFonts w:hint="eastAsia"/>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3.</w:t>
      </w:r>
      <w:r>
        <w:rPr>
          <w:rFonts w:hint="eastAsia" w:cstheme="minorBidi"/>
          <w:color w:val="000000" w:themeColor="text1"/>
          <w:kern w:val="2"/>
          <w:sz w:val="24"/>
          <w:szCs w:val="24"/>
          <w:lang w:val="en-US" w:eastAsia="zh-CN" w:bidi="ar-SA"/>
          <w14:textFill>
            <w14:solidFill>
              <w14:schemeClr w14:val="tx1"/>
            </w14:solidFill>
          </w14:textFill>
        </w:rPr>
        <w:t>强化</w:t>
      </w:r>
      <w:r>
        <w:rPr>
          <w:rFonts w:hint="eastAsia"/>
          <w:lang w:val="en-US" w:eastAsia="zh-CN"/>
        </w:rPr>
        <w:t>包容审慎理念</w:t>
      </w:r>
    </w:p>
    <w:p w14:paraId="329ABC51">
      <w:pPr>
        <w:numPr>
          <w:ilvl w:val="0"/>
          <w:numId w:val="0"/>
        </w:numPr>
        <w:spacing w:line="240" w:lineRule="auto"/>
        <w:ind w:firstLine="480" w:firstLineChars="200"/>
        <w:rPr>
          <w:rFonts w:hint="eastAsia" w:ascii="宋体" w:hAnsi="宋体" w:eastAsia="宋体" w:cs="宋体"/>
          <w:sz w:val="24"/>
          <w:szCs w:val="24"/>
          <w:lang w:val="en-US" w:eastAsia="zh-CN"/>
        </w:rPr>
      </w:pPr>
      <w:r>
        <w:rPr>
          <w:rFonts w:hint="default"/>
          <w:lang w:val="en-US" w:eastAsia="zh-CN"/>
        </w:rPr>
        <w:t>包容审慎</w:t>
      </w:r>
      <w:r>
        <w:rPr>
          <w:rFonts w:hint="eastAsia"/>
          <w:lang w:val="en-US" w:eastAsia="zh-CN"/>
        </w:rPr>
        <w:t>监管</w:t>
      </w:r>
      <w:r>
        <w:rPr>
          <w:rFonts w:hint="default"/>
          <w:lang w:val="en-US" w:eastAsia="zh-CN"/>
        </w:rPr>
        <w:t>精准诠释了现代治理中政府与市场的动态平衡。其核心要义在于要求政府</w:t>
      </w:r>
      <w:r>
        <w:rPr>
          <w:rFonts w:ascii="宋体" w:hAnsi="宋体" w:eastAsia="宋体" w:cs="宋体"/>
          <w:sz w:val="24"/>
          <w:szCs w:val="24"/>
        </w:rPr>
        <w:t>对</w:t>
      </w:r>
      <w:r>
        <w:rPr>
          <w:rFonts w:hint="eastAsia" w:ascii="宋体" w:hAnsi="宋体" w:eastAsia="宋体" w:cs="宋体"/>
          <w:sz w:val="24"/>
          <w:szCs w:val="24"/>
          <w:lang w:val="en-US" w:eastAsia="zh-CN"/>
        </w:rPr>
        <w:t>新经济生产模式</w:t>
      </w:r>
      <w:r>
        <w:rPr>
          <w:rFonts w:ascii="宋体" w:hAnsi="宋体" w:eastAsia="宋体" w:cs="宋体"/>
          <w:sz w:val="24"/>
          <w:szCs w:val="24"/>
        </w:rPr>
        <w:t>采取包容态度，为其预留足够的容错空间</w:t>
      </w:r>
      <w:r>
        <w:rPr>
          <w:rFonts w:hint="eastAsia" w:ascii="宋体" w:hAnsi="宋体" w:eastAsia="宋体" w:cs="宋体"/>
          <w:sz w:val="24"/>
          <w:szCs w:val="24"/>
          <w:lang w:eastAsia="zh-CN"/>
        </w:rPr>
        <w:t>，</w:t>
      </w:r>
      <w:r>
        <w:rPr>
          <w:rFonts w:hint="default"/>
          <w:lang w:val="en-US" w:eastAsia="zh-CN"/>
        </w:rPr>
        <w:t>并根据公共风险的大小进行适度干预，从而有效破解传统监管所面临的困局</w:t>
      </w:r>
      <w:r>
        <w:rPr>
          <w:rFonts w:hint="eastAsia"/>
          <w:lang w:val="en-US" w:eastAsia="zh-CN"/>
        </w:rPr>
        <w:t>。</w:t>
      </w:r>
      <w:r>
        <w:rPr>
          <w:rStyle w:val="15"/>
          <w:rFonts w:hint="default"/>
          <w:lang w:val="en-US" w:eastAsia="zh-CN"/>
        </w:rPr>
        <w:t>[</w:t>
      </w:r>
      <w:r>
        <w:rPr>
          <w:rStyle w:val="15"/>
          <w:rFonts w:hint="default"/>
          <w:lang w:val="en-US" w:eastAsia="zh-CN"/>
        </w:rPr>
        <w:footnoteReference w:id="20"/>
      </w:r>
      <w:r>
        <w:rPr>
          <w:rStyle w:val="15"/>
          <w:rFonts w:hint="default"/>
          <w:lang w:val="en-US" w:eastAsia="zh-CN"/>
        </w:rPr>
        <w:t>]</w:t>
      </w:r>
      <w:r>
        <w:rPr>
          <w:rFonts w:hint="eastAsia" w:ascii="宋体" w:hAnsi="宋体" w:eastAsia="宋体" w:cs="宋体"/>
          <w:sz w:val="24"/>
          <w:szCs w:val="24"/>
          <w:lang w:val="en-US" w:eastAsia="zh-CN"/>
        </w:rPr>
        <w:t>具体到算法解释领域，这一理念体现为</w:t>
      </w:r>
      <w:r>
        <w:rPr>
          <w:rFonts w:hint="eastAsia" w:ascii="宋体" w:hAnsi="宋体" w:cs="宋体"/>
          <w:sz w:val="24"/>
          <w:szCs w:val="24"/>
          <w:lang w:val="en-US" w:eastAsia="zh-CN"/>
        </w:rPr>
        <w:t>两方面</w:t>
      </w:r>
      <w:r>
        <w:rPr>
          <w:rFonts w:hint="eastAsia" w:ascii="宋体" w:hAnsi="宋体" w:eastAsia="宋体" w:cs="宋体"/>
          <w:sz w:val="24"/>
          <w:szCs w:val="24"/>
          <w:lang w:val="en-US" w:eastAsia="zh-CN"/>
        </w:rPr>
        <w:t>要求：一方面，对生成式人工智能的技术创新及算法解释技术的研发应采取包容姿态，监管机构宜以引导、整改为主要方式，允许企业在算法解释实践中依据技术发展与应用场景进行试错与调整，而非直接采取严厉的行政处罚，防止因监管失当将尚</w:t>
      </w:r>
      <w:r>
        <w:rPr>
          <w:rFonts w:hint="eastAsia" w:ascii="宋体" w:hAnsi="宋体" w:cs="宋体"/>
          <w:sz w:val="24"/>
          <w:szCs w:val="24"/>
          <w:lang w:val="en-US" w:eastAsia="zh-CN"/>
        </w:rPr>
        <w:t>处于</w:t>
      </w:r>
      <w:r>
        <w:rPr>
          <w:rFonts w:hint="eastAsia" w:ascii="宋体" w:hAnsi="宋体" w:eastAsia="宋体" w:cs="宋体"/>
          <w:sz w:val="24"/>
          <w:szCs w:val="24"/>
          <w:lang w:val="en-US" w:eastAsia="zh-CN"/>
        </w:rPr>
        <w:t>萌芽期的创新扼杀。另一方面，对算法权力异化的潜在风险应保持审慎态度，着力构建算法解释的容错纠错机制。监管机构需动态追踪企业的整改实效与技术演进趋势，及时调适算法解释的监管要求与尺度，</w:t>
      </w:r>
      <w:r>
        <w:rPr>
          <w:rFonts w:hint="eastAsia" w:ascii="宋体" w:hAnsi="宋体" w:eastAsia="宋体" w:cs="宋体"/>
          <w:sz w:val="24"/>
          <w:szCs w:val="24"/>
          <w:lang w:eastAsia="zh-CN"/>
        </w:rPr>
        <w:t>实现算法解释监管的动态化、弹性化。</w:t>
      </w:r>
    </w:p>
    <w:p w14:paraId="26A6E6F7">
      <w:pPr>
        <w:spacing w:line="240" w:lineRule="auto"/>
        <w:rPr>
          <w:rFonts w:hint="eastAsia"/>
          <w:b/>
          <w:bCs/>
          <w:lang w:val="en-US" w:eastAsia="zh-CN"/>
        </w:rPr>
      </w:pPr>
      <w:r>
        <w:rPr>
          <w:rFonts w:hint="eastAsia"/>
          <w:b/>
          <w:bCs/>
          <w:lang w:val="en-US" w:eastAsia="zh-CN"/>
        </w:rPr>
        <w:t>（二）算法解释视角下生成式人工智能可控治理的规则</w:t>
      </w:r>
    </w:p>
    <w:p w14:paraId="5D23641F">
      <w:pPr>
        <w:spacing w:line="240" w:lineRule="auto"/>
        <w:rPr>
          <w:rFonts w:hint="eastAsia"/>
          <w:lang w:val="en-US" w:eastAsia="zh-CN"/>
        </w:rPr>
      </w:pPr>
      <w:r>
        <w:rPr>
          <w:rFonts w:hint="default" w:ascii="Times New Roman" w:hAnsi="Times New Roman" w:cs="Times New Roman"/>
          <w:lang w:val="en-US" w:eastAsia="zh-CN"/>
        </w:rPr>
        <w:t>1.</w:t>
      </w:r>
      <w:r>
        <w:rPr>
          <w:rFonts w:hint="eastAsia"/>
          <w:lang w:val="en-US" w:eastAsia="zh-CN"/>
        </w:rPr>
        <w:t>明确类型化解释标准</w:t>
      </w:r>
    </w:p>
    <w:p w14:paraId="3551565F">
      <w:pPr>
        <w:spacing w:line="240" w:lineRule="auto"/>
        <w:rPr>
          <w:rFonts w:hint="eastAsia"/>
          <w:lang w:val="en-US" w:eastAsia="zh-CN"/>
        </w:rPr>
      </w:pPr>
      <w:r>
        <w:rPr>
          <w:rFonts w:hint="eastAsia"/>
          <w:lang w:val="en-US" w:eastAsia="zh-CN"/>
        </w:rPr>
        <w:t>如前所示，算法解释过程中宜将生成式人工智能风险等级划分为高风险、中风险和一般风险。高风险生成式人工智能采用全程化、精细化的解释标准，要求算法控制者对模型架构、训练数据、运行机制、决策逻辑、潜在风险及防控措施进行全面详细的披露，实现全生命周期透明化，并建立动态更新机制，在模型调整时及时向用户和监管机构作出补充解释。中风险生成式人工智能采用阶段性、重点化的解释标准，可以对主要运行机制、决策逻辑及对个人权益的核心影响作出详细说明，重点披露关键决策信息。一般风险生成式人工智能则采用框架化、通俗化的解释标准，仅需对基本功能、应用场景、决策结果及简单原因作出简单解释，以满足用户的基本知情权。同时，对数据主体的解释应遵循通俗化、具象化原则，要求控制者使用易于理解的语言、文字或图表，清晰说明决策结果、依据、对个人权益的影响及潜在风险，避免专业术语堆砌，确保用户能够真正理解。而监管机构的解释则遵循专业化、技术化、全面性原则，要求使用技术语言详细披露模型架构、参数设置、训练数据、运行机制及风险防控等核心技术信息，并提供技术报告与验证材料，以便监管机构掌握算法运行情况，实现有效监管。</w:t>
      </w:r>
    </w:p>
    <w:p w14:paraId="5ED9FC07">
      <w:pPr>
        <w:numPr>
          <w:ilvl w:val="0"/>
          <w:numId w:val="0"/>
        </w:numPr>
        <w:spacing w:line="240" w:lineRule="auto"/>
        <w:ind w:firstLine="480" w:firstLineChars="200"/>
        <w:rPr>
          <w:rFonts w:hint="eastAsia"/>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2.</w:t>
      </w:r>
      <w:r>
        <w:rPr>
          <w:rFonts w:hint="eastAsia" w:cstheme="minorBidi"/>
          <w:color w:val="000000" w:themeColor="text1"/>
          <w:kern w:val="2"/>
          <w:sz w:val="24"/>
          <w:szCs w:val="24"/>
          <w:lang w:val="en-US" w:eastAsia="zh-CN" w:bidi="ar-SA"/>
          <w14:textFill>
            <w14:solidFill>
              <w14:schemeClr w14:val="tx1"/>
            </w14:solidFill>
          </w14:textFill>
        </w:rPr>
        <w:t>释明</w:t>
      </w:r>
      <w:r>
        <w:rPr>
          <w:rFonts w:hint="eastAsia"/>
          <w:lang w:val="en-US" w:eastAsia="zh-CN"/>
        </w:rPr>
        <w:t>解释内容限度</w:t>
      </w:r>
    </w:p>
    <w:p w14:paraId="5BB39E73">
      <w:pPr>
        <w:numPr>
          <w:ilvl w:val="0"/>
          <w:numId w:val="0"/>
        </w:numPr>
        <w:spacing w:line="240" w:lineRule="auto"/>
        <w:ind w:firstLine="480" w:firstLineChars="200"/>
        <w:rPr>
          <w:rFonts w:hint="eastAsia"/>
          <w:lang w:val="en-US" w:eastAsia="zh-CN"/>
        </w:rPr>
      </w:pPr>
      <w:r>
        <w:rPr>
          <w:rFonts w:hint="eastAsia"/>
          <w:lang w:val="en-US" w:eastAsia="zh-CN"/>
        </w:rPr>
        <w:t>为避免算法解释内容与商业秘密的冲突激化，不宜将“算法黑箱”完全打开，而只需将其算法解释内容限定到一定范围之内，</w:t>
      </w:r>
      <w:r>
        <w:rPr>
          <w:rStyle w:val="15"/>
          <w:rFonts w:hint="eastAsia"/>
          <w:lang w:val="en-US" w:eastAsia="zh-CN"/>
        </w:rPr>
        <w:t>[</w:t>
      </w:r>
      <w:r>
        <w:rPr>
          <w:rStyle w:val="15"/>
          <w:rFonts w:hint="eastAsia"/>
          <w:lang w:val="en-US" w:eastAsia="zh-CN"/>
        </w:rPr>
        <w:footnoteReference w:id="21"/>
      </w:r>
      <w:r>
        <w:rPr>
          <w:rStyle w:val="15"/>
          <w:rFonts w:hint="eastAsia"/>
          <w:lang w:val="en-US" w:eastAsia="zh-CN"/>
        </w:rPr>
        <w:t>]</w:t>
      </w:r>
      <w:r>
        <w:rPr>
          <w:rFonts w:hint="eastAsia"/>
          <w:lang w:val="en-US" w:eastAsia="zh-CN"/>
        </w:rPr>
        <w:t>然而对于解释内容限定到何种程度，《个人信息保护法》第</w:t>
      </w:r>
      <w:r>
        <w:rPr>
          <w:rFonts w:hint="default" w:ascii="Times New Roman" w:hAnsi="Times New Roman" w:cs="Times New Roman"/>
          <w:lang w:val="en-US" w:eastAsia="zh-CN"/>
        </w:rPr>
        <w:t>24</w:t>
      </w:r>
      <w:r>
        <w:rPr>
          <w:rFonts w:hint="eastAsia"/>
          <w:lang w:val="en-US" w:eastAsia="zh-CN"/>
        </w:rPr>
        <w:t>条仅表示“个人有权要求个人信息处理者予以说明”，致使说明的内容留有很大的弹性空间。在具体界定上，宜将解释内容限定为模型决策逻辑与行为模式进行聚焦式说明，而非对算法源代码、参数权重、训练数据集等核心商业秘密的全面披露。从算法控制者的视角观之，算法作为企业核心竞争力的技术载体，控制者显然不愿将源代码、训练数据等核心技术公之于众。将解释限定于决策逻辑与行为模式层面，能够在履行解释义务的同时守住商业秘密的底线，使企业不至于因过度披露而丧失创新动力。从受算法影响者的视角观之，生成式人工智能模型蕴含着海量参数与复杂网络，普通用户既无能力也无必要理解其深层技术细节。用户真正需要且能够理解的是在当前语境下模型为何生成此特定内容、哪些输入因素起到了关键作用。</w:t>
      </w:r>
    </w:p>
    <w:p w14:paraId="5E7C3C24">
      <w:pPr>
        <w:numPr>
          <w:ilvl w:val="0"/>
          <w:numId w:val="0"/>
        </w:numPr>
        <w:spacing w:line="240" w:lineRule="auto"/>
        <w:ind w:firstLine="480" w:firstLineChars="200"/>
        <w:rPr>
          <w:rFonts w:hint="eastAsia"/>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3.</w:t>
      </w:r>
      <w:r>
        <w:rPr>
          <w:rFonts w:hint="eastAsia"/>
          <w:lang w:val="en-US" w:eastAsia="zh-CN"/>
        </w:rPr>
        <w:t>廓清解释义务主体范围</w:t>
      </w:r>
    </w:p>
    <w:p w14:paraId="5342666D">
      <w:pPr>
        <w:spacing w:line="240" w:lineRule="auto"/>
        <w:ind w:firstLine="480" w:firstLineChars="200"/>
        <w:rPr>
          <w:rFonts w:hint="eastAsia" w:ascii="宋体" w:hAnsi="宋体" w:eastAsia="宋体" w:cs="宋体"/>
          <w:color w:val="000000" w:themeColor="text1"/>
          <w:kern w:val="0"/>
          <w:sz w:val="24"/>
          <w:szCs w:val="24"/>
          <w:lang w:val="en-US" w:eastAsia="zh-CN" w:bidi="ar"/>
          <w14:textFill>
            <w14:solidFill>
              <w14:schemeClr w14:val="tx1"/>
            </w14:solidFill>
          </w14:textFill>
        </w:rPr>
      </w:pPr>
      <w:r>
        <w:rPr>
          <w:rFonts w:hint="eastAsia" w:ascii="宋体" w:hAnsi="宋体" w:eastAsia="宋体" w:cs="宋体"/>
          <w:color w:val="000000" w:themeColor="text1"/>
          <w:kern w:val="0"/>
          <w:sz w:val="24"/>
          <w:szCs w:val="24"/>
          <w:lang w:val="en-US" w:eastAsia="zh-CN" w:bidi="ar"/>
          <w14:textFill>
            <w14:solidFill>
              <w14:schemeClr w14:val="tx1"/>
            </w14:solidFill>
          </w14:textFill>
        </w:rPr>
        <w:t>作为生成式人工智能算法解释的首要义务主体，算法</w:t>
      </w:r>
      <w:r>
        <w:rPr>
          <w:rFonts w:hint="eastAsia" w:ascii="宋体" w:hAnsi="宋体" w:cs="宋体"/>
          <w:color w:val="000000" w:themeColor="text1"/>
          <w:kern w:val="0"/>
          <w:sz w:val="24"/>
          <w:szCs w:val="24"/>
          <w:lang w:val="en-US" w:eastAsia="zh-CN" w:bidi="ar"/>
          <w14:textFill>
            <w14:solidFill>
              <w14:schemeClr w14:val="tx1"/>
            </w14:solidFill>
          </w14:textFill>
        </w:rPr>
        <w:t>制造者</w:t>
      </w:r>
      <w:r>
        <w:rPr>
          <w:rFonts w:hint="eastAsia" w:ascii="宋体" w:hAnsi="宋体" w:eastAsia="宋体" w:cs="宋体"/>
          <w:color w:val="000000" w:themeColor="text1"/>
          <w:kern w:val="0"/>
          <w:sz w:val="24"/>
          <w:szCs w:val="24"/>
          <w:lang w:val="en-US" w:eastAsia="zh-CN" w:bidi="ar"/>
          <w14:textFill>
            <w14:solidFill>
              <w14:schemeClr w14:val="tx1"/>
            </w14:solidFill>
          </w14:textFill>
        </w:rPr>
        <w:t>对生成式人工智能的算法模型进行开发、运营，并能够对算法决策作出最终决定。不仅设计并创造了算法，更掌握着运行逻辑和决策过程的最终控制权。</w:t>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t>[</w:t>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footnoteReference w:id="22"/>
      </w:r>
      <w:r>
        <w:rPr>
          <w:rStyle w:val="15"/>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eastAsia" w:ascii="宋体" w:hAnsi="宋体" w:cs="宋体"/>
          <w:color w:val="000000" w:themeColor="text1"/>
          <w:kern w:val="0"/>
          <w:sz w:val="24"/>
          <w:szCs w:val="24"/>
          <w:lang w:val="en-US" w:eastAsia="zh-CN" w:bidi="ar"/>
          <w14:textFill>
            <w14:solidFill>
              <w14:schemeClr w14:val="tx1"/>
            </w14:solidFill>
          </w14:textFill>
        </w:rPr>
        <w:t>算法技术的高专业性与高复杂性决定了其任一运行环节都存在黑箱等风险，也意味着其需要随时接受外部质疑。一旦因算法技术导致风险，算法制造者便应作为解释主体对算法运行逻辑、设计目的等进行说明。</w:t>
      </w:r>
      <w:r>
        <w:rPr>
          <w:rFonts w:hint="eastAsia" w:ascii="宋体" w:hAnsi="宋体" w:eastAsia="宋体" w:cs="宋体"/>
          <w:color w:val="000000" w:themeColor="text1"/>
          <w:kern w:val="0"/>
          <w:sz w:val="24"/>
          <w:szCs w:val="24"/>
          <w:lang w:val="en-US" w:eastAsia="zh-CN" w:bidi="ar"/>
          <w14:textFill>
            <w14:solidFill>
              <w14:schemeClr w14:val="tx1"/>
            </w14:solidFill>
          </w14:textFill>
        </w:rPr>
        <w:t>因此，当决策相对人主张算法解释权时，将算法</w:t>
      </w:r>
      <w:r>
        <w:rPr>
          <w:rFonts w:hint="eastAsia" w:ascii="宋体" w:hAnsi="宋体" w:cs="宋体"/>
          <w:color w:val="000000" w:themeColor="text1"/>
          <w:kern w:val="0"/>
          <w:sz w:val="24"/>
          <w:szCs w:val="24"/>
          <w:lang w:val="en-US" w:eastAsia="zh-CN" w:bidi="ar"/>
          <w14:textFill>
            <w14:solidFill>
              <w14:schemeClr w14:val="tx1"/>
            </w14:solidFill>
          </w14:textFill>
        </w:rPr>
        <w:t>制造者</w:t>
      </w:r>
      <w:r>
        <w:rPr>
          <w:rFonts w:hint="eastAsia" w:ascii="宋体" w:hAnsi="宋体" w:eastAsia="宋体" w:cs="宋体"/>
          <w:color w:val="000000" w:themeColor="text1"/>
          <w:kern w:val="0"/>
          <w:sz w:val="24"/>
          <w:szCs w:val="24"/>
          <w:lang w:val="en-US" w:eastAsia="zh-CN" w:bidi="ar"/>
          <w14:textFill>
            <w14:solidFill>
              <w14:schemeClr w14:val="tx1"/>
            </w14:solidFill>
          </w14:textFill>
        </w:rPr>
        <w:t>设定为首要解释义务主体，既符合权利义务对等的基本法理，也便于决策相对人锁定明确的请求对象。</w:t>
      </w:r>
    </w:p>
    <w:p w14:paraId="36685DCF">
      <w:pPr>
        <w:spacing w:line="240" w:lineRule="auto"/>
        <w:ind w:firstLine="480" w:firstLineChars="200"/>
        <w:rPr>
          <w:rFonts w:hint="eastAsia"/>
          <w:color w:val="auto"/>
          <w:lang w:eastAsia="zh-CN"/>
        </w:rPr>
      </w:pPr>
      <w:r>
        <w:rPr>
          <w:rFonts w:hint="eastAsia" w:ascii="宋体" w:hAnsi="宋体" w:eastAsia="宋体" w:cs="宋体"/>
          <w:color w:val="000000" w:themeColor="text1"/>
          <w:kern w:val="0"/>
          <w:sz w:val="24"/>
          <w:szCs w:val="24"/>
          <w:lang w:val="en-US" w:eastAsia="zh-CN" w:bidi="ar"/>
          <w14:textFill>
            <w14:solidFill>
              <w14:schemeClr w14:val="tx1"/>
            </w14:solidFill>
          </w14:textFill>
        </w:rPr>
        <w:t>然而算法</w:t>
      </w:r>
      <w:r>
        <w:rPr>
          <w:rFonts w:hint="eastAsia" w:ascii="宋体" w:hAnsi="宋体" w:cs="宋体"/>
          <w:color w:val="000000" w:themeColor="text1"/>
          <w:kern w:val="0"/>
          <w:sz w:val="24"/>
          <w:szCs w:val="24"/>
          <w:lang w:val="en-US" w:eastAsia="zh-CN" w:bidi="ar"/>
          <w14:textFill>
            <w14:solidFill>
              <w14:schemeClr w14:val="tx1"/>
            </w14:solidFill>
          </w14:textFill>
        </w:rPr>
        <w:t>制造者</w:t>
      </w:r>
      <w:r>
        <w:rPr>
          <w:rFonts w:hint="eastAsia" w:ascii="宋体" w:hAnsi="宋体" w:eastAsia="宋体" w:cs="宋体"/>
          <w:color w:val="000000" w:themeColor="text1"/>
          <w:kern w:val="0"/>
          <w:sz w:val="24"/>
          <w:szCs w:val="24"/>
          <w:lang w:val="en-US" w:eastAsia="zh-CN" w:bidi="ar"/>
          <w14:textFill>
            <w14:solidFill>
              <w14:schemeClr w14:val="tx1"/>
            </w14:solidFill>
          </w14:textFill>
        </w:rPr>
        <w:t>的解释能力存在客观边界</w:t>
      </w:r>
      <w:r>
        <w:rPr>
          <w:rFonts w:hint="eastAsia" w:ascii="宋体" w:hAnsi="宋体" w:cs="宋体"/>
          <w:color w:val="000000" w:themeColor="text1"/>
          <w:kern w:val="0"/>
          <w:sz w:val="24"/>
          <w:szCs w:val="24"/>
          <w:lang w:val="en-US" w:eastAsia="zh-CN" w:bidi="ar"/>
          <w14:textFill>
            <w14:solidFill>
              <w14:schemeClr w14:val="tx1"/>
            </w14:solidFill>
          </w14:textFill>
        </w:rPr>
        <w:t>，</w:t>
      </w:r>
      <w:r>
        <w:rPr>
          <w:rFonts w:hint="eastAsia" w:ascii="宋体" w:hAnsi="宋体" w:eastAsia="宋体" w:cs="宋体"/>
          <w:color w:val="000000" w:themeColor="text1"/>
          <w:kern w:val="0"/>
          <w:sz w:val="24"/>
          <w:szCs w:val="24"/>
          <w:lang w:val="en-US" w:eastAsia="zh-CN" w:bidi="ar"/>
          <w14:textFill>
            <w14:solidFill>
              <w14:schemeClr w14:val="tx1"/>
            </w14:solidFill>
          </w14:textFill>
        </w:rPr>
        <w:t>算法</w:t>
      </w:r>
      <w:r>
        <w:rPr>
          <w:rFonts w:hint="eastAsia" w:ascii="宋体" w:hAnsi="宋体" w:cs="宋体"/>
          <w:color w:val="000000" w:themeColor="text1"/>
          <w:kern w:val="0"/>
          <w:sz w:val="24"/>
          <w:szCs w:val="24"/>
          <w:lang w:val="en-US" w:eastAsia="zh-CN" w:bidi="ar"/>
          <w14:textFill>
            <w14:solidFill>
              <w14:schemeClr w14:val="tx1"/>
            </w14:solidFill>
          </w14:textFill>
        </w:rPr>
        <w:t>使用者需</w:t>
      </w:r>
      <w:r>
        <w:rPr>
          <w:rFonts w:hint="eastAsia" w:ascii="宋体" w:hAnsi="宋体" w:eastAsia="宋体" w:cs="宋体"/>
          <w:color w:val="000000" w:themeColor="text1"/>
          <w:kern w:val="0"/>
          <w:sz w:val="24"/>
          <w:szCs w:val="24"/>
          <w:lang w:val="en-US" w:eastAsia="zh-CN" w:bidi="ar"/>
          <w14:textFill>
            <w14:solidFill>
              <w14:schemeClr w14:val="tx1"/>
            </w14:solidFill>
          </w14:textFill>
        </w:rPr>
        <w:t>承担补充</w:t>
      </w:r>
      <w:r>
        <w:rPr>
          <w:rFonts w:hint="eastAsia" w:ascii="宋体" w:hAnsi="宋体" w:cs="宋体"/>
          <w:color w:val="000000" w:themeColor="text1"/>
          <w:kern w:val="0"/>
          <w:sz w:val="24"/>
          <w:szCs w:val="24"/>
          <w:lang w:val="en-US" w:eastAsia="zh-CN" w:bidi="ar"/>
          <w14:textFill>
            <w14:solidFill>
              <w14:schemeClr w14:val="tx1"/>
            </w14:solidFill>
          </w14:textFill>
        </w:rPr>
        <w:t>算法</w:t>
      </w:r>
      <w:r>
        <w:rPr>
          <w:rFonts w:hint="eastAsia" w:ascii="宋体" w:hAnsi="宋体" w:eastAsia="宋体" w:cs="宋体"/>
          <w:color w:val="000000" w:themeColor="text1"/>
          <w:kern w:val="0"/>
          <w:sz w:val="24"/>
          <w:szCs w:val="24"/>
          <w:lang w:val="en-US" w:eastAsia="zh-CN" w:bidi="ar"/>
          <w14:textFill>
            <w14:solidFill>
              <w14:schemeClr w14:val="tx1"/>
            </w14:solidFill>
          </w14:textFill>
        </w:rPr>
        <w:t>解释</w:t>
      </w:r>
      <w:r>
        <w:rPr>
          <w:rFonts w:hint="eastAsia" w:ascii="宋体" w:hAnsi="宋体" w:cs="宋体"/>
          <w:color w:val="000000" w:themeColor="text1"/>
          <w:kern w:val="0"/>
          <w:sz w:val="24"/>
          <w:szCs w:val="24"/>
          <w:lang w:val="en-US" w:eastAsia="zh-CN" w:bidi="ar"/>
          <w14:textFill>
            <w14:solidFill>
              <w14:schemeClr w14:val="tx1"/>
            </w14:solidFill>
          </w14:textFill>
        </w:rPr>
        <w:t>的</w:t>
      </w:r>
      <w:r>
        <w:rPr>
          <w:rFonts w:hint="eastAsia" w:ascii="宋体" w:hAnsi="宋体" w:eastAsia="宋体" w:cs="宋体"/>
          <w:color w:val="000000" w:themeColor="text1"/>
          <w:kern w:val="0"/>
          <w:sz w:val="24"/>
          <w:szCs w:val="24"/>
          <w:lang w:val="en-US" w:eastAsia="zh-CN" w:bidi="ar"/>
          <w14:textFill>
            <w14:solidFill>
              <w14:schemeClr w14:val="tx1"/>
            </w14:solidFill>
          </w14:textFill>
        </w:rPr>
        <w:t>义务。考虑到算法使用者在实际应用场景中可能根据业务需求对算法进行调整或优化，要求其就不同数据在决策结果中所占的比重、具体决策的运行过程及结果进行解释说明，是责任分配的必然延伸。</w:t>
      </w:r>
      <w:r>
        <w:rPr>
          <w:rFonts w:hint="eastAsia"/>
          <w:color w:val="auto"/>
          <w:lang w:val="en-US" w:eastAsia="zh-CN"/>
        </w:rPr>
        <w:t>在必要时</w:t>
      </w:r>
      <w:r>
        <w:rPr>
          <w:rFonts w:hint="eastAsia"/>
          <w:color w:val="auto"/>
        </w:rPr>
        <w:t>，算法制造者</w:t>
      </w:r>
      <w:r>
        <w:rPr>
          <w:rFonts w:hint="eastAsia"/>
          <w:color w:val="auto"/>
          <w:lang w:val="en-US" w:eastAsia="zh-CN"/>
        </w:rPr>
        <w:t>可进行协助解释。质言之，算法制造者与算法使用者的解释并非“二选一”，而是可以相互补强，两者</w:t>
      </w:r>
      <w:r>
        <w:rPr>
          <w:rFonts w:hint="eastAsia"/>
          <w:color w:val="auto"/>
          <w:lang w:eastAsia="zh-CN"/>
        </w:rPr>
        <w:t>共同构成算法决策的解释</w:t>
      </w:r>
      <w:r>
        <w:rPr>
          <w:rFonts w:hint="eastAsia"/>
          <w:color w:val="auto"/>
          <w:lang w:val="en-US" w:eastAsia="zh-CN"/>
        </w:rPr>
        <w:t>义务主体</w:t>
      </w:r>
      <w:r>
        <w:rPr>
          <w:rFonts w:hint="eastAsia"/>
          <w:color w:val="auto"/>
          <w:lang w:eastAsia="zh-CN"/>
        </w:rPr>
        <w:t>。</w:t>
      </w:r>
    </w:p>
    <w:p w14:paraId="64771CEA">
      <w:pPr>
        <w:spacing w:line="240" w:lineRule="auto"/>
        <w:ind w:left="0" w:leftChars="0" w:firstLine="480" w:firstLineChars="200"/>
        <w:rPr>
          <w:rFonts w:hint="eastAsia"/>
          <w:b/>
          <w:bCs/>
          <w:lang w:val="en-US" w:eastAsia="zh-CN"/>
        </w:rPr>
      </w:pPr>
      <w:r>
        <w:rPr>
          <w:rFonts w:hint="eastAsia"/>
          <w:b/>
          <w:bCs/>
          <w:color w:val="auto"/>
          <w:lang w:val="en-US" w:eastAsia="zh-CN"/>
        </w:rPr>
        <w:t>（三）形塑解释视角下生成式人工智能</w:t>
      </w:r>
      <w:r>
        <w:rPr>
          <w:rFonts w:hint="eastAsia"/>
          <w:b/>
          <w:bCs/>
          <w:lang w:val="en-US" w:eastAsia="zh-CN"/>
        </w:rPr>
        <w:t>可控治理的配套机制</w:t>
      </w:r>
    </w:p>
    <w:p w14:paraId="2299E6AE">
      <w:pPr>
        <w:spacing w:line="240" w:lineRule="auto"/>
        <w:rPr>
          <w:rFonts w:hint="eastAsia"/>
          <w:lang w:val="en-US" w:eastAsia="zh-CN"/>
        </w:rPr>
      </w:pPr>
      <w:r>
        <w:rPr>
          <w:rFonts w:hint="default" w:ascii="Times New Roman" w:hAnsi="Times New Roman" w:cs="Times New Roman"/>
          <w:lang w:val="en-US" w:eastAsia="zh-CN"/>
        </w:rPr>
        <w:t>1.</w:t>
      </w:r>
      <w:r>
        <w:rPr>
          <w:rFonts w:hint="eastAsia"/>
          <w:lang w:val="en-US" w:eastAsia="zh-CN"/>
        </w:rPr>
        <w:t>算法解释的申诉反馈机制</w:t>
      </w:r>
    </w:p>
    <w:p w14:paraId="6FEEFD38">
      <w:pPr>
        <w:spacing w:line="240" w:lineRule="auto"/>
        <w:ind w:left="0" w:leftChars="0" w:firstLine="480" w:firstLineChars="200"/>
        <w:rPr>
          <w:rFonts w:hint="eastAsia" w:eastAsia="宋体"/>
          <w:lang w:val="en-US" w:eastAsia="zh-CN"/>
        </w:rPr>
      </w:pPr>
      <w:r>
        <w:rPr>
          <w:rFonts w:hint="eastAsia" w:eastAsia="宋体"/>
          <w:lang w:val="en-US" w:eastAsia="zh-CN"/>
        </w:rPr>
        <w:t>构建规范化的算法解释申诉反馈机制，是保障数据主体算法解释权得以实现的关键举措。</w:t>
      </w:r>
      <w:r>
        <w:rPr>
          <w:rFonts w:hint="eastAsia"/>
          <w:lang w:val="en-US" w:eastAsia="zh-CN"/>
        </w:rPr>
        <w:t>一方面可以通过</w:t>
      </w:r>
      <w:r>
        <w:rPr>
          <w:rFonts w:hint="eastAsia" w:eastAsia="宋体"/>
          <w:lang w:val="en-US" w:eastAsia="zh-CN"/>
        </w:rPr>
        <w:t>构建规范化的算法解释请求与回应流程</w:t>
      </w:r>
      <w:r>
        <w:rPr>
          <w:rFonts w:hint="eastAsia"/>
          <w:lang w:val="en-US" w:eastAsia="zh-CN"/>
        </w:rPr>
        <w:t>，</w:t>
      </w:r>
      <w:r>
        <w:rPr>
          <w:rFonts w:hint="eastAsia" w:eastAsia="宋体"/>
          <w:lang w:val="en-US" w:eastAsia="zh-CN"/>
        </w:rPr>
        <w:t>明确数据主体提出算法解释请求的方式、期限</w:t>
      </w:r>
      <w:r>
        <w:rPr>
          <w:rFonts w:hint="eastAsia"/>
          <w:lang w:val="en-US" w:eastAsia="zh-CN"/>
        </w:rPr>
        <w:t>。当</w:t>
      </w:r>
      <w:r>
        <w:rPr>
          <w:rFonts w:hint="eastAsia" w:eastAsia="宋体"/>
          <w:lang w:val="en-US" w:eastAsia="zh-CN"/>
        </w:rPr>
        <w:t>数据主体</w:t>
      </w:r>
      <w:r>
        <w:rPr>
          <w:rFonts w:hint="eastAsia"/>
          <w:lang w:val="en-US" w:eastAsia="zh-CN"/>
        </w:rPr>
        <w:t>对算法决策存在歧视、偏见、不透明或对权益造成重大影响时，</w:t>
      </w:r>
      <w:r>
        <w:rPr>
          <w:rFonts w:hint="eastAsia" w:eastAsia="宋体"/>
          <w:lang w:val="en-US" w:eastAsia="zh-CN"/>
        </w:rPr>
        <w:t>可通过线上、线下等多种方式向算法控制者提出解释请求</w:t>
      </w:r>
      <w:r>
        <w:rPr>
          <w:rFonts w:hint="eastAsia"/>
          <w:lang w:val="en-US" w:eastAsia="zh-CN"/>
        </w:rPr>
        <w:t>权</w:t>
      </w:r>
      <w:r>
        <w:rPr>
          <w:rFonts w:hint="eastAsia" w:eastAsia="宋体"/>
          <w:lang w:val="en-US" w:eastAsia="zh-CN"/>
        </w:rPr>
        <w:t>，算法控制者应在收到请求后的法定期限内予以回应，若无法在法定期限内作出解释，应向数据主体说明理由，并告知预计的回应时间。</w:t>
      </w:r>
      <w:r>
        <w:rPr>
          <w:rFonts w:hint="eastAsia"/>
          <w:lang w:val="en-US" w:eastAsia="zh-CN"/>
        </w:rPr>
        <w:t>另一方面</w:t>
      </w:r>
      <w:r>
        <w:rPr>
          <w:rFonts w:hint="eastAsia" w:eastAsia="宋体"/>
          <w:lang w:val="en-US" w:eastAsia="zh-CN"/>
        </w:rPr>
        <w:t>可以通过网信、工信等监管机构联合设置专门的算法申诉处理机构，来处理数据主体的申诉请求。</w:t>
      </w:r>
      <w:r>
        <w:rPr>
          <w:rFonts w:hint="eastAsia"/>
          <w:lang w:val="en-US" w:eastAsia="zh-CN"/>
        </w:rPr>
        <w:t>对于</w:t>
      </w:r>
      <w:r>
        <w:rPr>
          <w:rFonts w:hint="eastAsia" w:eastAsia="宋体"/>
          <w:lang w:val="en-US" w:eastAsia="zh-CN"/>
        </w:rPr>
        <w:t>涉及重大公共利益或敏感个人信息的复杂申诉，</w:t>
      </w:r>
      <w:r>
        <w:rPr>
          <w:rFonts w:hint="eastAsia"/>
          <w:lang w:val="en-US" w:eastAsia="zh-CN"/>
        </w:rPr>
        <w:t>可</w:t>
      </w:r>
      <w:r>
        <w:rPr>
          <w:rFonts w:hint="eastAsia" w:eastAsia="宋体"/>
          <w:lang w:val="en-US" w:eastAsia="zh-CN"/>
        </w:rPr>
        <w:t>由多部门联合组成专家组</w:t>
      </w:r>
      <w:r>
        <w:rPr>
          <w:rFonts w:hint="eastAsia"/>
          <w:lang w:val="en-US" w:eastAsia="zh-CN"/>
        </w:rPr>
        <w:t>，借鉴《生活服务类平台算法负面清单（试行）》确立的“清单式治理”思路</w:t>
      </w:r>
      <w:r>
        <w:rPr>
          <w:rFonts w:hint="eastAsia" w:eastAsia="宋体"/>
          <w:lang w:val="en-US" w:eastAsia="zh-CN"/>
        </w:rPr>
        <w:t>进行审查</w:t>
      </w:r>
      <w:r>
        <w:rPr>
          <w:rFonts w:hint="eastAsia"/>
          <w:lang w:val="en-US" w:eastAsia="zh-CN"/>
        </w:rPr>
        <w:t>。如果</w:t>
      </w:r>
      <w:r>
        <w:rPr>
          <w:rFonts w:hint="eastAsia" w:eastAsia="宋体"/>
          <w:lang w:val="en-US" w:eastAsia="zh-CN"/>
        </w:rPr>
        <w:t>用户</w:t>
      </w:r>
      <w:r>
        <w:rPr>
          <w:rFonts w:hint="eastAsia"/>
          <w:lang w:val="en-US" w:eastAsia="zh-CN"/>
        </w:rPr>
        <w:t>认为</w:t>
      </w:r>
      <w:r>
        <w:rPr>
          <w:rFonts w:hint="eastAsia" w:eastAsia="宋体"/>
          <w:lang w:val="en-US" w:eastAsia="zh-CN"/>
        </w:rPr>
        <w:t>算法提供方的解释不够</w:t>
      </w:r>
      <w:r>
        <w:rPr>
          <w:rFonts w:hint="eastAsia"/>
          <w:lang w:val="en-US" w:eastAsia="zh-CN"/>
        </w:rPr>
        <w:t>清晰</w:t>
      </w:r>
      <w:r>
        <w:rPr>
          <w:rFonts w:hint="eastAsia" w:eastAsia="宋体"/>
          <w:lang w:val="en-US" w:eastAsia="zh-CN"/>
        </w:rPr>
        <w:t>、</w:t>
      </w:r>
      <w:r>
        <w:rPr>
          <w:rFonts w:hint="eastAsia"/>
          <w:lang w:val="en-US" w:eastAsia="zh-CN"/>
        </w:rPr>
        <w:t>不具有</w:t>
      </w:r>
      <w:r>
        <w:rPr>
          <w:rFonts w:hint="eastAsia" w:eastAsia="宋体"/>
          <w:lang w:val="en-US" w:eastAsia="zh-CN"/>
        </w:rPr>
        <w:t>合理</w:t>
      </w:r>
      <w:r>
        <w:rPr>
          <w:rFonts w:hint="eastAsia"/>
          <w:lang w:val="en-US" w:eastAsia="zh-CN"/>
        </w:rPr>
        <w:t>性</w:t>
      </w:r>
      <w:r>
        <w:rPr>
          <w:rFonts w:hint="eastAsia" w:eastAsia="宋体"/>
          <w:lang w:val="en-US" w:eastAsia="zh-CN"/>
        </w:rPr>
        <w:t>，或者对方</w:t>
      </w:r>
      <w:r>
        <w:rPr>
          <w:rFonts w:hint="eastAsia"/>
          <w:lang w:val="en-US" w:eastAsia="zh-CN"/>
        </w:rPr>
        <w:t>拒绝</w:t>
      </w:r>
      <w:r>
        <w:rPr>
          <w:rFonts w:hint="eastAsia" w:eastAsia="宋体"/>
          <w:lang w:val="en-US" w:eastAsia="zh-CN"/>
        </w:rPr>
        <w:t>履行解释义务时，就可以向申诉机构提出申诉。机构在收到申诉后，需在规定期限内完成审查并作出处理决定。</w:t>
      </w:r>
      <w:r>
        <w:rPr>
          <w:rFonts w:hint="eastAsia"/>
          <w:lang w:val="en-US" w:eastAsia="zh-CN"/>
        </w:rPr>
        <w:t>若</w:t>
      </w:r>
      <w:r>
        <w:rPr>
          <w:rFonts w:hint="eastAsia" w:eastAsia="宋体"/>
          <w:lang w:val="en-US" w:eastAsia="zh-CN"/>
        </w:rPr>
        <w:t>用户对处理结果仍有异议，还可以依法提起行政复议或民事诉讼。</w:t>
      </w:r>
    </w:p>
    <w:p w14:paraId="5D3F4999">
      <w:pPr>
        <w:numPr>
          <w:ilvl w:val="0"/>
          <w:numId w:val="0"/>
        </w:numPr>
        <w:spacing w:line="240" w:lineRule="auto"/>
        <w:ind w:firstLine="480" w:firstLineChars="200"/>
        <w:rPr>
          <w:rFonts w:hint="eastAsia"/>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2.</w:t>
      </w:r>
      <w:r>
        <w:rPr>
          <w:rFonts w:hint="eastAsia"/>
          <w:lang w:val="en-US" w:eastAsia="zh-CN"/>
        </w:rPr>
        <w:t>算法解释的伦理审查机制</w:t>
      </w:r>
    </w:p>
    <w:p w14:paraId="731A3D7D">
      <w:pPr>
        <w:numPr>
          <w:ilvl w:val="0"/>
          <w:numId w:val="0"/>
        </w:numPr>
        <w:spacing w:line="240" w:lineRule="auto"/>
        <w:ind w:firstLine="480" w:firstLineChars="200"/>
        <w:rPr>
          <w:rFonts w:hint="eastAsia"/>
          <w:lang w:val="en-US" w:eastAsia="zh-CN"/>
        </w:rPr>
      </w:pPr>
      <w:r>
        <w:rPr>
          <w:rFonts w:hint="eastAsia"/>
          <w:lang w:val="en-US" w:eastAsia="zh-CN"/>
        </w:rPr>
        <w:t>伦理是人工智能治理体系的内在价值基础。</w:t>
      </w:r>
      <w:r>
        <w:rPr>
          <w:rFonts w:ascii="宋体" w:hAnsi="宋体" w:eastAsia="宋体" w:cs="宋体"/>
          <w:sz w:val="24"/>
          <w:szCs w:val="24"/>
        </w:rPr>
        <w:t>在建设中国特色人工智能治理体系的过程中</w:t>
      </w:r>
      <w:r>
        <w:rPr>
          <w:rFonts w:hint="eastAsia"/>
          <w:lang w:val="en-US" w:eastAsia="zh-CN"/>
        </w:rPr>
        <w:t>，应以中华优秀传统文化所蕴含的集体主义、社会责任、整体利益优先等伦理理念为根基，</w:t>
      </w:r>
      <w:r>
        <w:rPr>
          <w:rFonts w:ascii="宋体" w:hAnsi="宋体" w:eastAsia="宋体" w:cs="宋体"/>
          <w:sz w:val="24"/>
          <w:szCs w:val="24"/>
        </w:rPr>
        <w:t>树立以人为本、向善而治的人工智能技术发展导向</w:t>
      </w:r>
      <w:r>
        <w:rPr>
          <w:rFonts w:hint="eastAsia" w:ascii="宋体" w:hAnsi="宋体" w:eastAsia="宋体" w:cs="宋体"/>
          <w:sz w:val="24"/>
          <w:szCs w:val="24"/>
          <w:lang w:eastAsia="zh-CN"/>
        </w:rPr>
        <w:t>。</w:t>
      </w:r>
      <w:r>
        <w:rPr>
          <w:rStyle w:val="15"/>
          <w:rFonts w:hint="eastAsia" w:ascii="宋体" w:hAnsi="宋体" w:eastAsia="宋体" w:cs="宋体"/>
          <w:sz w:val="24"/>
          <w:szCs w:val="24"/>
          <w:lang w:eastAsia="zh-CN"/>
        </w:rPr>
        <w:t>[</w:t>
      </w:r>
      <w:r>
        <w:rPr>
          <w:rStyle w:val="15"/>
          <w:rFonts w:hint="eastAsia" w:ascii="宋体" w:hAnsi="宋体" w:eastAsia="宋体" w:cs="宋体"/>
          <w:sz w:val="24"/>
          <w:szCs w:val="24"/>
          <w:lang w:eastAsia="zh-CN"/>
        </w:rPr>
        <w:footnoteReference w:id="23"/>
      </w:r>
      <w:r>
        <w:rPr>
          <w:rStyle w:val="15"/>
          <w:rFonts w:hint="eastAsia" w:ascii="宋体" w:hAnsi="宋体" w:eastAsia="宋体" w:cs="宋体"/>
          <w:sz w:val="24"/>
          <w:szCs w:val="24"/>
          <w:lang w:eastAsia="zh-CN"/>
        </w:rPr>
        <w:t>]</w:t>
      </w:r>
      <w:r>
        <w:rPr>
          <w:rFonts w:hint="eastAsia" w:ascii="宋体" w:hAnsi="宋体" w:cs="宋体"/>
          <w:sz w:val="24"/>
          <w:szCs w:val="24"/>
          <w:lang w:val="en-US" w:eastAsia="zh-CN"/>
        </w:rPr>
        <w:t>数字时代下，伦理问题已不再是技术的软约束，而是后者全生命周期运行的刚性要求</w:t>
      </w:r>
      <w:r>
        <w:rPr>
          <w:rFonts w:hint="eastAsia"/>
          <w:color w:val="auto"/>
          <w:lang w:val="en-US" w:eastAsia="zh-CN"/>
        </w:rPr>
        <w:t>。</w:t>
      </w:r>
      <w:r>
        <w:rPr>
          <w:rFonts w:hint="eastAsia"/>
          <w:lang w:val="en-US" w:eastAsia="zh-CN"/>
        </w:rPr>
        <w:t>尽管我国人工智能伦理治理已具备初步基础，但整体仍受制于上位法缺位、标准体系零散、实践落地操作性不足等制度性短板，无法形成刚性的制度约束。为了增强伦理治理的规范性与权威性，亟须加快推动人工智能伦理治理的法定化落地。</w:t>
      </w:r>
      <w:r>
        <w:rPr>
          <w:rFonts w:hint="eastAsia"/>
          <w:color w:val="auto"/>
          <w:lang w:val="en-US" w:eastAsia="zh-CN"/>
        </w:rPr>
        <w:t>具体而言，一方面，将伦理审查嵌入涉人工智能立法规范中，并要求技术研发、平台运营、算法上线等关键环节必须进行伦理评估，而评估结果便可作为备案审查的主要依据。</w:t>
      </w:r>
      <w:r>
        <w:rPr>
          <w:rFonts w:hint="eastAsia"/>
          <w:lang w:val="en-US" w:eastAsia="zh-CN"/>
        </w:rPr>
        <w:t>另一方面，要明确界定各类主体的伦理职责与法律责任边界。对于人工智能系统的研发者、提供者及部署应用单位，应根据其角色定位分别设定相应的合规要求，特别是对涉及公共利益或人身安全的高风险系统，如自动驾驶、智能医疗、金融风控等领域，应构建差异化的强制性伦理规制体系。</w:t>
      </w:r>
    </w:p>
    <w:p w14:paraId="687E7EBC">
      <w:pPr>
        <w:numPr>
          <w:ilvl w:val="0"/>
          <w:numId w:val="0"/>
        </w:numPr>
        <w:spacing w:line="240" w:lineRule="auto"/>
        <w:ind w:firstLine="480" w:firstLineChars="200"/>
        <w:rPr>
          <w:rFonts w:hint="eastAsia"/>
          <w:lang w:val="en-US" w:eastAsia="zh-CN"/>
        </w:rPr>
      </w:pPr>
      <w:r>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t>3.</w:t>
      </w:r>
      <w:r>
        <w:rPr>
          <w:rFonts w:hint="eastAsia"/>
          <w:lang w:val="en-US" w:eastAsia="zh-CN"/>
        </w:rPr>
        <w:t>算法解释的协同监管机制</w:t>
      </w:r>
    </w:p>
    <w:p w14:paraId="5D166919">
      <w:pPr>
        <w:numPr>
          <w:ilvl w:val="0"/>
          <w:numId w:val="0"/>
        </w:numPr>
        <w:spacing w:line="240" w:lineRule="auto"/>
        <w:ind w:firstLine="480" w:firstLineChars="200"/>
        <w:rPr>
          <w:rFonts w:hint="eastAsia"/>
          <w:lang w:val="en-US" w:eastAsia="zh-CN"/>
        </w:rPr>
      </w:pPr>
      <w:r>
        <w:rPr>
          <w:rFonts w:hint="eastAsia"/>
          <w:lang w:val="en-US" w:eastAsia="zh-CN"/>
        </w:rPr>
        <w:t>面对生成式人工智能的复杂性与动态性，单纯依靠政府监管已难以满足治理需求。唯有推动多元主体之间的有效协作与及时沟通，才能更好地实现利益平衡、包容审慎的治理目标，从而提升风险识别与防控能力。</w:t>
      </w:r>
      <w:r>
        <w:rPr>
          <w:rStyle w:val="15"/>
          <w:rFonts w:hint="eastAsia"/>
          <w:lang w:val="en-US" w:eastAsia="zh-CN"/>
        </w:rPr>
        <w:t>[</w:t>
      </w:r>
      <w:r>
        <w:rPr>
          <w:rStyle w:val="15"/>
          <w:rFonts w:hint="eastAsia"/>
          <w:lang w:val="en-US" w:eastAsia="zh-CN"/>
        </w:rPr>
        <w:footnoteReference w:id="24"/>
      </w:r>
      <w:r>
        <w:rPr>
          <w:rStyle w:val="15"/>
          <w:rFonts w:hint="eastAsia"/>
          <w:lang w:val="en-US" w:eastAsia="zh-CN"/>
        </w:rPr>
        <w:t>]</w:t>
      </w:r>
      <w:r>
        <w:rPr>
          <w:rFonts w:hint="eastAsia"/>
          <w:lang w:val="en-US" w:eastAsia="zh-CN"/>
        </w:rPr>
        <w:t>因此，在构建中国特色人工智能协同监管机制的过程中，需要形成以政府监管为核心、企业和社会组织协同参与的多元共治型监管网络。</w:t>
      </w:r>
    </w:p>
    <w:p w14:paraId="7ABD8216">
      <w:pPr>
        <w:numPr>
          <w:ilvl w:val="0"/>
          <w:numId w:val="0"/>
        </w:numPr>
        <w:spacing w:line="240" w:lineRule="auto"/>
        <w:ind w:firstLine="480" w:firstLineChars="200"/>
        <w:rPr>
          <w:rFonts w:hint="eastAsia"/>
          <w:lang w:val="en-US" w:eastAsia="zh-CN"/>
        </w:rPr>
      </w:pPr>
      <w:r>
        <w:rPr>
          <w:rFonts w:hint="default"/>
          <w:lang w:val="en-US" w:eastAsia="zh-CN"/>
        </w:rPr>
        <w:t>在这一</w:t>
      </w:r>
      <w:r>
        <w:rPr>
          <w:rFonts w:hint="eastAsia"/>
          <w:lang w:val="en-US" w:eastAsia="zh-CN"/>
        </w:rPr>
        <w:t>监管网络</w:t>
      </w:r>
      <w:r>
        <w:rPr>
          <w:rFonts w:hint="default"/>
          <w:lang w:val="en-US" w:eastAsia="zh-CN"/>
        </w:rPr>
        <w:t>中</w:t>
      </w:r>
      <w:r>
        <w:rPr>
          <w:rFonts w:hint="eastAsia"/>
          <w:lang w:val="en-US" w:eastAsia="zh-CN"/>
        </w:rPr>
        <w:t>，政府作为政策引导者与规则制定主体，应当通过立法与政策明确人工智能发展的价值</w:t>
      </w:r>
      <w:r>
        <w:rPr>
          <w:rFonts w:hint="default"/>
          <w:lang w:val="en-US" w:eastAsia="zh-CN"/>
        </w:rPr>
        <w:t>导向</w:t>
      </w:r>
      <w:r>
        <w:rPr>
          <w:rFonts w:hint="eastAsia"/>
          <w:lang w:val="en-US" w:eastAsia="zh-CN"/>
        </w:rPr>
        <w:t>，一方面制定类型化的解释标准，另一方面根据技术演进动态实施监管，确保规则既具前瞻性又具适应性。企业作为生成式人工智能的主要研发者、部署者和商业化实施者，</w:t>
      </w:r>
      <w:r>
        <w:rPr>
          <w:rFonts w:hint="default"/>
          <w:lang w:val="en-US" w:eastAsia="zh-CN"/>
        </w:rPr>
        <w:t>不仅应制定高于法定标准的企业社会责任报告和可解释性实践指南，形成行业标杆，还应积极建立行业联盟，推动可解释性技术的共享与标准互认，从而降低整体合规成本</w:t>
      </w:r>
      <w:r>
        <w:rPr>
          <w:rFonts w:hint="eastAsia"/>
          <w:lang w:val="en-US" w:eastAsia="zh-CN"/>
        </w:rPr>
        <w:t>。社会组织与公众则承担监督反馈与价值表达的功能，可通过媒体、行业协会等渠道开展伦理认证与合规评估，推动形成可操作的自律公约与行为准则，在专业性和灵活性方面有效弥补政府监管的不足。</w:t>
      </w:r>
    </w:p>
    <w:p w14:paraId="7310F567">
      <w:pPr>
        <w:numPr>
          <w:ilvl w:val="0"/>
          <w:numId w:val="2"/>
        </w:numPr>
        <w:spacing w:line="240" w:lineRule="auto"/>
        <w:ind w:left="0" w:leftChars="0" w:firstLine="480" w:firstLineChars="200"/>
        <w:rPr>
          <w:rFonts w:hint="eastAsia"/>
          <w:b/>
          <w:bCs/>
          <w:lang w:val="en-US" w:eastAsia="zh-CN"/>
        </w:rPr>
      </w:pPr>
      <w:r>
        <w:rPr>
          <w:rFonts w:hint="eastAsia"/>
          <w:b/>
          <w:bCs/>
          <w:lang w:val="en-US" w:eastAsia="zh-CN"/>
        </w:rPr>
        <w:t>结语</w:t>
      </w:r>
    </w:p>
    <w:p w14:paraId="7EF26145">
      <w:pPr>
        <w:numPr>
          <w:ilvl w:val="0"/>
          <w:numId w:val="0"/>
        </w:numPr>
        <w:spacing w:line="240" w:lineRule="auto"/>
        <w:ind w:firstLine="480" w:firstLineChars="200"/>
        <w:rPr>
          <w:rFonts w:hint="default"/>
          <w:lang w:val="en-US" w:eastAsia="zh-CN"/>
        </w:rPr>
      </w:pPr>
      <w:r>
        <w:rPr>
          <w:rFonts w:hint="eastAsia"/>
          <w:lang w:val="en-US" w:eastAsia="zh-CN"/>
        </w:rPr>
        <w:t>随着生成式人工智能日益融入日常生活，它在赋能社会进步、提升生活品质的同时也催生了新的社会风险，给现有治理模式带来了前所未有的挑战。立足理论、价值与规则三个维度，可以为算法解释嵌入生成式人工智能可控治理奠定逻辑基础。当然，新兴事物的出现必然伴随风险，算法解释的实践应用同样暴露出解释标准难以满足不同主体需求、解释机制与商业秘密的天然对立、算法解释大模型的算力局限等问题，对此，需要立足分类分级、利益平衡与包容审慎的治理理念，设定类型化解释标准、限定解释内容与主体范围，以及建立以申诉反馈、伦理审查与协同监管为核心配套机制来推动生成式人工智能可控治理。通过上述举措，有望构建适配生成式人工智能技术特征的算法解释与可控治理体系，在有效规范算法解释的同时，促进生成式人工智能良性发展，实现技术革新与法律规制之间的动态平衡。</w:t>
      </w:r>
      <w:bookmarkStart w:id="0" w:name="_GoBack"/>
      <w:bookmarkEnd w:id="0"/>
    </w:p>
    <w:sectPr>
      <w:footnotePr>
        <w:numFmt w:val="decimal"/>
      </w:foot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2010600030101010101"/>
    <w:charset w:val="50"/>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中宋">
    <w:panose1 w:val="02010600040101010101"/>
    <w:charset w:val="86"/>
    <w:family w:val="auto"/>
    <w:pitch w:val="default"/>
    <w:sig w:usb0="00000287" w:usb1="080F0000" w:usb2="00000000" w:usb3="00000000" w:csb0="0004009F" w:csb1="DFD70000"/>
  </w:font>
  <w:font w:name="等线">
    <w:altName w:val="汉仪中等线KW"/>
    <w:panose1 w:val="02010600030101010101"/>
    <w:charset w:val="86"/>
    <w:family w:val="auto"/>
    <w:pitch w:val="default"/>
    <w:sig w:usb0="00000000" w:usb1="00000000" w:usb2="00000016" w:usb3="00000000" w:csb0="0004000F" w:csb1="00000000"/>
  </w:font>
  <w:font w:name="+西文正文">
    <w:altName w:val="苹方-简"/>
    <w:panose1 w:val="00000000000000000000"/>
    <w:charset w:val="00"/>
    <w:family w:val="auto"/>
    <w:pitch w:val="default"/>
    <w:sig w:usb0="00000000" w:usb1="00000000" w:usb2="00000000" w:usb3="00000000" w:csb0="00000000" w:csb1="00000000"/>
  </w:font>
  <w:font w:name="Segoe Print">
    <w:altName w:val="苹方-简"/>
    <w:panose1 w:val="02000600000000000000"/>
    <w:charset w:val="00"/>
    <w:family w:val="auto"/>
    <w:pitch w:val="default"/>
    <w:sig w:usb0="00000000" w:usb1="00000000" w:usb2="00000000" w:usb3="00000000" w:csb0="2000009F" w:csb1="47010000"/>
  </w:font>
  <w:font w:name="Calibri Light">
    <w:altName w:val="Helvetica Neue"/>
    <w:panose1 w:val="020F0302020204030204"/>
    <w:charset w:val="00"/>
    <w:family w:val="auto"/>
    <w:pitch w:val="default"/>
    <w:sig w:usb0="00000000" w:usb1="00000000" w:usb2="00000009" w:usb3="00000000" w:csb0="200001FF" w:csb1="00000000"/>
  </w:font>
  <w:font w:name="FZHTK--GBK1-0">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50">
    <w:p>
      <w:pPr>
        <w:spacing w:line="360" w:lineRule="auto"/>
        <w:ind w:firstLine="480"/>
      </w:pPr>
      <w:r>
        <w:separator/>
      </w:r>
    </w:p>
  </w:footnote>
  <w:footnote w:type="continuationSeparator" w:id="51">
    <w:p>
      <w:pPr>
        <w:spacing w:line="360" w:lineRule="auto"/>
        <w:ind w:firstLine="480"/>
      </w:pPr>
      <w:r>
        <w:continuationSeparator/>
      </w:r>
    </w:p>
  </w:footnote>
  <w:footnote w:id="0">
    <w:p w14:paraId="55098CBE">
      <w:pPr>
        <w:pStyle w:val="9"/>
        <w:snapToGrid w:val="0"/>
      </w:pPr>
    </w:p>
  </w:footnote>
  <w:footnote w:id="1">
    <w:p w14:paraId="52392928">
      <w:pPr>
        <w:pStyle w:val="9"/>
        <w:snapToGrid w:val="0"/>
        <w:rPr>
          <w:rFonts w:hint="default" w:eastAsia="宋体"/>
          <w:lang w:val="en-US" w:eastAsia="zh-CN"/>
        </w:rPr>
      </w:pPr>
      <w:r>
        <w:rPr>
          <w:rStyle w:val="15"/>
        </w:rPr>
        <w:t>[</w:t>
      </w:r>
      <w:r>
        <w:rPr>
          <w:rStyle w:val="15"/>
        </w:rPr>
        <w:footnoteRef/>
      </w:r>
      <w:r>
        <w:rPr>
          <w:rStyle w:val="15"/>
        </w:rPr>
        <w:t>]</w:t>
      </w:r>
      <w:r>
        <w:rPr>
          <w:rFonts w:hint="eastAsia"/>
          <w:lang w:val="en-US" w:eastAsia="zh-CN"/>
        </w:rPr>
        <w:t xml:space="preserve"> </w:t>
      </w:r>
      <w:r>
        <w:rPr>
          <w:rFonts w:hint="eastAsia"/>
        </w:rPr>
        <w:t>毕文轩</w:t>
      </w:r>
      <w:r>
        <w:rPr>
          <w:rFonts w:hint="eastAsia"/>
          <w:lang w:eastAsia="zh-CN"/>
        </w:rPr>
        <w:t>：《</w:t>
      </w:r>
      <w:r>
        <w:rPr>
          <w:rFonts w:hint="eastAsia"/>
        </w:rPr>
        <w:t>生成式人工智能的风险规制困境及其化解：以ChatGPT的规制为视角</w:t>
      </w:r>
      <w:r>
        <w:rPr>
          <w:rFonts w:hint="eastAsia"/>
          <w:lang w:eastAsia="zh-CN"/>
        </w:rPr>
        <w:t>》，</w:t>
      </w:r>
      <w:r>
        <w:rPr>
          <w:rFonts w:hint="eastAsia"/>
          <w:lang w:val="en-US" w:eastAsia="zh-CN"/>
        </w:rPr>
        <w:t>载</w:t>
      </w:r>
      <w:r>
        <w:rPr>
          <w:rFonts w:hint="eastAsia"/>
          <w:lang w:eastAsia="zh-CN"/>
        </w:rPr>
        <w:t>《</w:t>
      </w:r>
      <w:r>
        <w:rPr>
          <w:rFonts w:hint="eastAsia"/>
        </w:rPr>
        <w:t>比较法研究</w:t>
      </w:r>
      <w:r>
        <w:rPr>
          <w:rFonts w:hint="eastAsia"/>
          <w:lang w:eastAsia="zh-CN"/>
        </w:rPr>
        <w:t>》</w:t>
      </w:r>
      <w:r>
        <w:rPr>
          <w:rFonts w:hint="eastAsia"/>
        </w:rPr>
        <w:t>2023</w:t>
      </w:r>
      <w:r>
        <w:rPr>
          <w:rFonts w:hint="eastAsia"/>
          <w:lang w:val="en-US" w:eastAsia="zh-CN"/>
        </w:rPr>
        <w:t>年第</w:t>
      </w:r>
      <w:r>
        <w:rPr>
          <w:rFonts w:hint="eastAsia"/>
        </w:rPr>
        <w:t>3</w:t>
      </w:r>
      <w:r>
        <w:rPr>
          <w:rFonts w:hint="eastAsia"/>
          <w:lang w:val="en-US" w:eastAsia="zh-CN"/>
        </w:rPr>
        <w:t>期，第</w:t>
      </w:r>
      <w:r>
        <w:rPr>
          <w:rFonts w:hint="eastAsia"/>
        </w:rPr>
        <w:t>155-172</w:t>
      </w:r>
      <w:r>
        <w:rPr>
          <w:rFonts w:hint="eastAsia"/>
          <w:lang w:val="en-US" w:eastAsia="zh-CN"/>
        </w:rPr>
        <w:t>页。</w:t>
      </w:r>
    </w:p>
  </w:footnote>
  <w:footnote w:id="2">
    <w:p w14:paraId="6FC04F01">
      <w:pPr>
        <w:keepNext w:val="0"/>
        <w:keepLines w:val="0"/>
        <w:widowControl/>
        <w:suppressLineNumbers w:val="0"/>
        <w:ind w:left="0" w:leftChars="0" w:firstLine="0" w:firstLineChars="0"/>
        <w:jc w:val="left"/>
        <w:rPr>
          <w:rFonts w:hint="default"/>
          <w:lang w:val="en-US"/>
        </w:rPr>
      </w:pPr>
      <w:r>
        <w:rPr>
          <w:rStyle w:val="15"/>
          <w:rFonts w:hint="default" w:ascii="Times New Roman" w:hAnsi="Times New Roman" w:cs="Times New Roman"/>
          <w:sz w:val="18"/>
          <w:szCs w:val="18"/>
        </w:rPr>
        <w:t>[</w:t>
      </w:r>
      <w:r>
        <w:rPr>
          <w:rStyle w:val="15"/>
          <w:rFonts w:hint="default" w:ascii="Times New Roman" w:hAnsi="Times New Roman" w:cs="Times New Roman"/>
          <w:sz w:val="18"/>
          <w:szCs w:val="18"/>
        </w:rPr>
        <w:footnoteRef/>
      </w:r>
      <w:r>
        <w:rPr>
          <w:rStyle w:val="15"/>
          <w:rFonts w:hint="default" w:ascii="Times New Roman" w:hAnsi="Times New Roman" w:cs="Times New Roman"/>
          <w:sz w:val="18"/>
          <w:szCs w:val="18"/>
        </w:rPr>
        <w:t>]</w:t>
      </w:r>
      <w:r>
        <w:rPr>
          <w:rFonts w:hint="eastAsia"/>
          <w:lang w:val="en-US" w:eastAsia="zh-CN"/>
        </w:rPr>
        <w:t xml:space="preserve"> </w:t>
      </w:r>
      <w:r>
        <w:rPr>
          <w:rFonts w:hint="eastAsia" w:ascii="宋体" w:hAnsi="宋体" w:eastAsia="宋体" w:cs="宋体"/>
          <w:color w:val="000000" w:themeColor="text1"/>
          <w:kern w:val="0"/>
          <w:sz w:val="18"/>
          <w:szCs w:val="18"/>
          <w:lang w:val="en-US" w:eastAsia="zh-CN" w:bidi="ar"/>
          <w14:textFill>
            <w14:solidFill>
              <w14:schemeClr w14:val="tx1"/>
            </w14:solidFill>
          </w14:textFill>
        </w:rPr>
        <w:t>解正山：《算法决策规制--以算法“解释权”为中心》，</w:t>
      </w:r>
      <w:r>
        <w:rPr>
          <w:rFonts w:hint="eastAsia" w:ascii="宋体" w:hAnsi="宋体" w:cs="宋体"/>
          <w:color w:val="000000" w:themeColor="text1"/>
          <w:kern w:val="0"/>
          <w:sz w:val="18"/>
          <w:szCs w:val="18"/>
          <w:lang w:val="en-US" w:eastAsia="zh-CN" w:bidi="ar"/>
          <w14:textFill>
            <w14:solidFill>
              <w14:schemeClr w14:val="tx1"/>
            </w14:solidFill>
          </w14:textFill>
        </w:rPr>
        <w:t>载</w:t>
      </w:r>
      <w:r>
        <w:rPr>
          <w:rFonts w:hint="eastAsia" w:ascii="宋体" w:hAnsi="宋体" w:eastAsia="宋体" w:cs="宋体"/>
          <w:color w:val="000000" w:themeColor="text1"/>
          <w:kern w:val="0"/>
          <w:sz w:val="18"/>
          <w:szCs w:val="18"/>
          <w:lang w:val="en-US" w:eastAsia="zh-CN" w:bidi="ar"/>
          <w14:textFill>
            <w14:solidFill>
              <w14:schemeClr w14:val="tx1"/>
            </w14:solidFill>
          </w14:textFill>
        </w:rPr>
        <w:t>《现代法学》</w:t>
      </w:r>
      <w:r>
        <w:rPr>
          <w:rFonts w:hint="default" w:ascii="Times New Roman" w:hAnsi="Times New Roman" w:eastAsia="宋体" w:cs="Times New Roman"/>
          <w:color w:val="000000" w:themeColor="text1"/>
          <w:kern w:val="0"/>
          <w:sz w:val="18"/>
          <w:szCs w:val="18"/>
          <w:lang w:val="en-US" w:eastAsia="zh-CN" w:bidi="ar"/>
          <w14:textFill>
            <w14:solidFill>
              <w14:schemeClr w14:val="tx1"/>
            </w14:solidFill>
          </w14:textFill>
        </w:rPr>
        <w:t>2020</w:t>
      </w:r>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年第</w:t>
      </w:r>
      <w:r>
        <w:rPr>
          <w:rFonts w:hint="default" w:ascii="Times New Roman" w:hAnsi="Times New Roman" w:eastAsia="宋体" w:cs="Times New Roman"/>
          <w:color w:val="000000" w:themeColor="text1"/>
          <w:kern w:val="0"/>
          <w:sz w:val="18"/>
          <w:szCs w:val="18"/>
          <w:lang w:val="en-US" w:eastAsia="zh-CN" w:bidi="ar"/>
          <w14:textFill>
            <w14:solidFill>
              <w14:schemeClr w14:val="tx1"/>
            </w14:solidFill>
          </w14:textFill>
        </w:rPr>
        <w:t>1</w:t>
      </w:r>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期，第</w:t>
      </w:r>
      <w:r>
        <w:rPr>
          <w:rFonts w:hint="default" w:ascii="Times New Roman" w:hAnsi="Times New Roman" w:eastAsia="宋体" w:cs="Times New Roman"/>
          <w:color w:val="000000" w:themeColor="text1"/>
          <w:kern w:val="0"/>
          <w:sz w:val="18"/>
          <w:szCs w:val="18"/>
          <w:lang w:val="en-US" w:eastAsia="zh-CN" w:bidi="ar"/>
          <w14:textFill>
            <w14:solidFill>
              <w14:schemeClr w14:val="tx1"/>
            </w14:solidFill>
          </w14:textFill>
        </w:rPr>
        <w:t>179</w:t>
      </w:r>
      <w:r>
        <w:rPr>
          <w:rFonts w:hint="eastAsia" w:ascii="Times New Roman" w:hAnsi="Times New Roman" w:eastAsia="宋体" w:cs="Times New Roman"/>
          <w:color w:val="000000" w:themeColor="text1"/>
          <w:kern w:val="0"/>
          <w:sz w:val="18"/>
          <w:szCs w:val="18"/>
          <w:lang w:val="en-US" w:eastAsia="zh-CN" w:bidi="ar"/>
          <w14:textFill>
            <w14:solidFill>
              <w14:schemeClr w14:val="tx1"/>
            </w14:solidFill>
          </w14:textFill>
        </w:rPr>
        <w:t>页。</w:t>
      </w:r>
    </w:p>
  </w:footnote>
  <w:footnote w:id="3">
    <w:p w14:paraId="5191B5C8">
      <w:pPr>
        <w:pStyle w:val="9"/>
        <w:snapToGrid w:val="0"/>
        <w:rPr>
          <w:rFonts w:hint="eastAsia" w:eastAsia="宋体"/>
          <w:lang w:val="en-US" w:eastAsia="zh-CN"/>
        </w:rPr>
      </w:pPr>
      <w:r>
        <w:rPr>
          <w:rStyle w:val="15"/>
        </w:rPr>
        <w:t>[</w:t>
      </w:r>
      <w:r>
        <w:rPr>
          <w:rStyle w:val="15"/>
        </w:rPr>
        <w:footnoteRef/>
      </w:r>
      <w:r>
        <w:rPr>
          <w:rStyle w:val="15"/>
        </w:rPr>
        <w:t>]</w:t>
      </w:r>
      <w:r>
        <w:t xml:space="preserve"> </w:t>
      </w:r>
      <w:r>
        <w:rPr>
          <w:rFonts w:hint="eastAsia"/>
        </w:rPr>
        <w:t>梁晋铖</w:t>
      </w:r>
      <w:r>
        <w:rPr>
          <w:rFonts w:hint="eastAsia"/>
          <w:lang w:eastAsia="zh-CN"/>
        </w:rPr>
        <w:t>：《</w:t>
      </w:r>
      <w:r>
        <w:rPr>
          <w:rFonts w:hint="eastAsia"/>
        </w:rPr>
        <w:t>算法解释权的法理反思与赋权限制</w:t>
      </w:r>
      <w:r>
        <w:rPr>
          <w:rFonts w:hint="eastAsia"/>
          <w:lang w:eastAsia="zh-CN"/>
        </w:rPr>
        <w:t>》，</w:t>
      </w:r>
      <w:r>
        <w:rPr>
          <w:rFonts w:hint="eastAsia"/>
          <w:lang w:val="en-US" w:eastAsia="zh-CN"/>
        </w:rPr>
        <w:t>载</w:t>
      </w:r>
      <w:r>
        <w:rPr>
          <w:rFonts w:hint="eastAsia"/>
          <w:lang w:eastAsia="zh-CN"/>
        </w:rPr>
        <w:t>《</w:t>
      </w:r>
      <w:r>
        <w:rPr>
          <w:rFonts w:hint="eastAsia"/>
        </w:rPr>
        <w:t>科技与法律</w:t>
      </w:r>
      <w:r>
        <w:rPr>
          <w:rFonts w:hint="eastAsia"/>
          <w:lang w:eastAsia="zh-CN"/>
        </w:rPr>
        <w:t>（</w:t>
      </w:r>
      <w:r>
        <w:rPr>
          <w:rFonts w:hint="eastAsia"/>
        </w:rPr>
        <w:t>中英文</w:t>
      </w:r>
      <w:r>
        <w:rPr>
          <w:rFonts w:hint="eastAsia"/>
          <w:lang w:eastAsia="zh-CN"/>
        </w:rPr>
        <w:t>）》</w:t>
      </w:r>
      <w:r>
        <w:rPr>
          <w:rFonts w:hint="eastAsia"/>
        </w:rPr>
        <w:t>2025</w:t>
      </w:r>
      <w:r>
        <w:rPr>
          <w:rFonts w:hint="eastAsia"/>
          <w:lang w:val="en-US" w:eastAsia="zh-CN"/>
        </w:rPr>
        <w:t>年第</w:t>
      </w:r>
      <w:r>
        <w:rPr>
          <w:rFonts w:hint="eastAsia"/>
        </w:rPr>
        <w:t>4</w:t>
      </w:r>
      <w:r>
        <w:rPr>
          <w:rFonts w:hint="eastAsia"/>
          <w:lang w:val="en-US" w:eastAsia="zh-CN"/>
        </w:rPr>
        <w:t>期，第</w:t>
      </w:r>
      <w:r>
        <w:rPr>
          <w:rFonts w:hint="eastAsia"/>
        </w:rPr>
        <w:t>56-65</w:t>
      </w:r>
      <w:r>
        <w:rPr>
          <w:rFonts w:hint="eastAsia"/>
          <w:lang w:val="en-US" w:eastAsia="zh-CN"/>
        </w:rPr>
        <w:t>页。</w:t>
      </w:r>
    </w:p>
  </w:footnote>
  <w:footnote w:id="4">
    <w:p w14:paraId="34586568">
      <w:pPr>
        <w:pStyle w:val="9"/>
        <w:snapToGrid w:val="0"/>
        <w:rPr>
          <w:rFonts w:hint="eastAsia" w:eastAsia="宋体"/>
          <w:lang w:eastAsia="zh-CN"/>
        </w:rPr>
      </w:pPr>
      <w:r>
        <w:rPr>
          <w:rStyle w:val="15"/>
        </w:rPr>
        <w:t>[</w:t>
      </w:r>
      <w:r>
        <w:rPr>
          <w:rStyle w:val="15"/>
        </w:rPr>
        <w:footnoteRef/>
      </w:r>
      <w:r>
        <w:rPr>
          <w:rStyle w:val="15"/>
        </w:rPr>
        <w:t>]</w:t>
      </w:r>
      <w:r>
        <w:rPr>
          <w:rFonts w:hint="eastAsia"/>
          <w:lang w:val="en-US" w:eastAsia="zh-CN"/>
        </w:rPr>
        <w:t xml:space="preserve"> </w:t>
      </w:r>
      <w:r>
        <w:rPr>
          <w:rFonts w:hint="eastAsia"/>
        </w:rPr>
        <w:t>张凌寒</w:t>
      </w:r>
      <w:r>
        <w:rPr>
          <w:rFonts w:hint="eastAsia"/>
          <w:lang w:eastAsia="zh-CN"/>
        </w:rPr>
        <w:t>：《</w:t>
      </w:r>
      <w:r>
        <w:rPr>
          <w:rFonts w:hint="eastAsia"/>
        </w:rPr>
        <w:t>商业自动化决策的算法解释权研究</w:t>
      </w:r>
      <w:r>
        <w:rPr>
          <w:rFonts w:hint="eastAsia"/>
          <w:lang w:eastAsia="zh-CN"/>
        </w:rPr>
        <w:t>》，</w:t>
      </w:r>
      <w:r>
        <w:rPr>
          <w:rFonts w:hint="eastAsia"/>
          <w:lang w:val="en-US" w:eastAsia="zh-CN"/>
        </w:rPr>
        <w:t>载</w:t>
      </w:r>
      <w:r>
        <w:rPr>
          <w:rFonts w:hint="eastAsia"/>
          <w:lang w:eastAsia="zh-CN"/>
        </w:rPr>
        <w:t>《</w:t>
      </w:r>
      <w:r>
        <w:rPr>
          <w:rFonts w:hint="eastAsia"/>
        </w:rPr>
        <w:t>法律科学</w:t>
      </w:r>
      <w:r>
        <w:rPr>
          <w:rFonts w:hint="eastAsia"/>
          <w:lang w:eastAsia="zh-CN"/>
        </w:rPr>
        <w:t>（</w:t>
      </w:r>
      <w:r>
        <w:rPr>
          <w:rFonts w:hint="eastAsia"/>
        </w:rPr>
        <w:t>西北政法大学学报</w:t>
      </w:r>
      <w:r>
        <w:rPr>
          <w:rFonts w:hint="eastAsia"/>
          <w:lang w:eastAsia="zh-CN"/>
        </w:rPr>
        <w:t>）》</w:t>
      </w:r>
      <w:r>
        <w:rPr>
          <w:rFonts w:hint="eastAsia"/>
        </w:rPr>
        <w:t>2018</w:t>
      </w:r>
      <w:r>
        <w:rPr>
          <w:rFonts w:hint="eastAsia"/>
          <w:lang w:val="en-US" w:eastAsia="zh-CN"/>
        </w:rPr>
        <w:t>年第</w:t>
      </w:r>
      <w:r>
        <w:rPr>
          <w:rFonts w:hint="eastAsia"/>
        </w:rPr>
        <w:t>3</w:t>
      </w:r>
      <w:r>
        <w:rPr>
          <w:rFonts w:hint="eastAsia"/>
          <w:lang w:val="en-US" w:eastAsia="zh-CN"/>
        </w:rPr>
        <w:t>期，第</w:t>
      </w:r>
      <w:r>
        <w:rPr>
          <w:rFonts w:hint="eastAsia"/>
        </w:rPr>
        <w:t>65-74</w:t>
      </w:r>
      <w:r>
        <w:rPr>
          <w:rFonts w:hint="eastAsia"/>
          <w:lang w:val="en-US" w:eastAsia="zh-CN"/>
        </w:rPr>
        <w:t>页。</w:t>
      </w:r>
    </w:p>
  </w:footnote>
  <w:footnote w:id="5">
    <w:p w14:paraId="6CF4B2B5">
      <w:pPr>
        <w:pStyle w:val="9"/>
        <w:snapToGrid w:val="0"/>
      </w:pPr>
      <w:r>
        <w:rPr>
          <w:rStyle w:val="15"/>
        </w:rPr>
        <w:t>[</w:t>
      </w:r>
      <w:r>
        <w:rPr>
          <w:rStyle w:val="15"/>
        </w:rPr>
        <w:footnoteRef/>
      </w:r>
      <w:r>
        <w:rPr>
          <w:rStyle w:val="15"/>
        </w:rPr>
        <w:t>]</w:t>
      </w:r>
      <w:r>
        <w:rPr>
          <w:rFonts w:hint="eastAsia"/>
          <w:lang w:val="en-US" w:eastAsia="zh-CN"/>
        </w:rPr>
        <w:t xml:space="preserve"> </w:t>
      </w:r>
      <w:r>
        <w:rPr>
          <w:rFonts w:hint="eastAsia"/>
        </w:rPr>
        <w:t>汪庆华</w:t>
      </w:r>
      <w:r>
        <w:rPr>
          <w:rFonts w:hint="eastAsia"/>
          <w:lang w:eastAsia="zh-CN"/>
        </w:rPr>
        <w:t>：《</w:t>
      </w:r>
      <w:r>
        <w:rPr>
          <w:rFonts w:hint="eastAsia"/>
        </w:rPr>
        <w:t>算法透明的多重维度和算法问责</w:t>
      </w:r>
      <w:r>
        <w:rPr>
          <w:rFonts w:hint="eastAsia"/>
          <w:lang w:eastAsia="zh-CN"/>
        </w:rPr>
        <w:t>》，</w:t>
      </w:r>
      <w:r>
        <w:rPr>
          <w:rFonts w:hint="eastAsia"/>
          <w:lang w:val="en-US" w:eastAsia="zh-CN"/>
        </w:rPr>
        <w:t>载</w:t>
      </w:r>
      <w:r>
        <w:rPr>
          <w:rFonts w:hint="eastAsia"/>
          <w:lang w:eastAsia="zh-CN"/>
        </w:rPr>
        <w:t>《</w:t>
      </w:r>
      <w:r>
        <w:rPr>
          <w:rFonts w:hint="eastAsia"/>
        </w:rPr>
        <w:t>比较法研究</w:t>
      </w:r>
      <w:r>
        <w:rPr>
          <w:rFonts w:hint="eastAsia"/>
          <w:lang w:eastAsia="zh-CN"/>
        </w:rPr>
        <w:t>》</w:t>
      </w:r>
      <w:r>
        <w:rPr>
          <w:rFonts w:hint="eastAsia"/>
        </w:rPr>
        <w:t>2020</w:t>
      </w:r>
      <w:r>
        <w:rPr>
          <w:rFonts w:hint="eastAsia"/>
          <w:lang w:val="en-US" w:eastAsia="zh-CN"/>
        </w:rPr>
        <w:t>年第</w:t>
      </w:r>
      <w:r>
        <w:rPr>
          <w:rFonts w:hint="eastAsia"/>
        </w:rPr>
        <w:t>6</w:t>
      </w:r>
      <w:r>
        <w:rPr>
          <w:rFonts w:hint="eastAsia"/>
          <w:lang w:val="en-US" w:eastAsia="zh-CN"/>
        </w:rPr>
        <w:t>期，第</w:t>
      </w:r>
      <w:r>
        <w:rPr>
          <w:rFonts w:hint="eastAsia"/>
        </w:rPr>
        <w:t>16</w:t>
      </w:r>
      <w:r>
        <w:rPr>
          <w:rFonts w:hint="eastAsia"/>
          <w:lang w:val="en-US" w:eastAsia="zh-CN"/>
        </w:rPr>
        <w:t>5页。</w:t>
      </w:r>
    </w:p>
  </w:footnote>
  <w:footnote w:id="6">
    <w:p w14:paraId="44F6A5BC">
      <w:pPr>
        <w:pStyle w:val="9"/>
        <w:snapToGrid w:val="0"/>
      </w:pPr>
      <w:r>
        <w:rPr>
          <w:rStyle w:val="15"/>
        </w:rPr>
        <w:t>[</w:t>
      </w:r>
      <w:r>
        <w:rPr>
          <w:rStyle w:val="15"/>
        </w:rPr>
        <w:footnoteRef/>
      </w:r>
      <w:r>
        <w:rPr>
          <w:rStyle w:val="15"/>
        </w:rPr>
        <w:t>]</w:t>
      </w:r>
      <w:r>
        <w:rPr>
          <w:rFonts w:hint="eastAsia"/>
          <w:lang w:val="en-US" w:eastAsia="zh-CN"/>
        </w:rPr>
        <w:t xml:space="preserve"> </w:t>
      </w:r>
      <w:r>
        <w:rPr>
          <w:rFonts w:hint="eastAsia"/>
        </w:rPr>
        <w:t>张恩典</w:t>
      </w:r>
      <w:r>
        <w:rPr>
          <w:rFonts w:hint="eastAsia"/>
          <w:lang w:eastAsia="zh-CN"/>
        </w:rPr>
        <w:t>：《</w:t>
      </w:r>
      <w:r>
        <w:rPr>
          <w:rFonts w:hint="eastAsia"/>
        </w:rPr>
        <w:t>大数据时代的算法解释权:背景、逻辑与构造</w:t>
      </w:r>
      <w:r>
        <w:rPr>
          <w:rFonts w:hint="eastAsia"/>
          <w:lang w:eastAsia="zh-CN"/>
        </w:rPr>
        <w:t>》，</w:t>
      </w:r>
      <w:r>
        <w:rPr>
          <w:rFonts w:hint="eastAsia"/>
          <w:lang w:val="en-US" w:eastAsia="zh-CN"/>
        </w:rPr>
        <w:t>载</w:t>
      </w:r>
      <w:r>
        <w:rPr>
          <w:rFonts w:hint="eastAsia"/>
          <w:lang w:eastAsia="zh-CN"/>
        </w:rPr>
        <w:t>《</w:t>
      </w:r>
      <w:r>
        <w:rPr>
          <w:rFonts w:hint="eastAsia"/>
        </w:rPr>
        <w:t>法学论坛</w:t>
      </w:r>
      <w:r>
        <w:rPr>
          <w:rFonts w:hint="eastAsia"/>
          <w:lang w:eastAsia="zh-CN"/>
        </w:rPr>
        <w:t>》</w:t>
      </w:r>
      <w:r>
        <w:rPr>
          <w:rFonts w:hint="eastAsia"/>
        </w:rPr>
        <w:t>2019</w:t>
      </w:r>
      <w:r>
        <w:rPr>
          <w:rFonts w:hint="eastAsia"/>
          <w:lang w:val="en-US" w:eastAsia="zh-CN"/>
        </w:rPr>
        <w:t>年第</w:t>
      </w:r>
      <w:r>
        <w:rPr>
          <w:rFonts w:hint="eastAsia"/>
        </w:rPr>
        <w:t>4</w:t>
      </w:r>
      <w:r>
        <w:rPr>
          <w:rFonts w:hint="eastAsia"/>
          <w:lang w:val="en-US" w:eastAsia="zh-CN"/>
        </w:rPr>
        <w:t>期，第</w:t>
      </w:r>
      <w:r>
        <w:rPr>
          <w:rFonts w:hint="eastAsia"/>
        </w:rPr>
        <w:t>15</w:t>
      </w:r>
      <w:r>
        <w:rPr>
          <w:rFonts w:hint="eastAsia"/>
          <w:lang w:val="en-US" w:eastAsia="zh-CN"/>
        </w:rPr>
        <w:t>6页。</w:t>
      </w:r>
    </w:p>
  </w:footnote>
  <w:footnote w:id="7">
    <w:p w14:paraId="645E7CB2">
      <w:pPr>
        <w:pStyle w:val="9"/>
        <w:snapToGrid w:val="0"/>
      </w:pPr>
      <w:r>
        <w:rPr>
          <w:rStyle w:val="15"/>
        </w:rPr>
        <w:t>[</w:t>
      </w:r>
      <w:r>
        <w:rPr>
          <w:rStyle w:val="15"/>
        </w:rPr>
        <w:footnoteRef/>
      </w:r>
      <w:r>
        <w:rPr>
          <w:rStyle w:val="15"/>
        </w:rPr>
        <w:t>]</w:t>
      </w:r>
      <w:r>
        <w:t xml:space="preserve"> </w:t>
      </w:r>
      <w:r>
        <w:rPr>
          <w:rFonts w:hint="eastAsia"/>
        </w:rPr>
        <w:t>温昱</w:t>
      </w:r>
      <w:r>
        <w:rPr>
          <w:rFonts w:hint="eastAsia"/>
          <w:lang w:eastAsia="zh-CN"/>
        </w:rPr>
        <w:t>：《</w:t>
      </w:r>
      <w:r>
        <w:rPr>
          <w:rFonts w:hint="eastAsia"/>
        </w:rPr>
        <w:t>算法权利的本质与出路——基于算法权利与个人信息权的理论分疏与功能暗合</w:t>
      </w:r>
      <w:r>
        <w:rPr>
          <w:rFonts w:hint="eastAsia"/>
          <w:lang w:eastAsia="zh-CN"/>
        </w:rPr>
        <w:t>》，</w:t>
      </w:r>
      <w:r>
        <w:rPr>
          <w:rFonts w:hint="eastAsia"/>
          <w:lang w:val="en-US" w:eastAsia="zh-CN"/>
        </w:rPr>
        <w:t>载</w:t>
      </w:r>
      <w:r>
        <w:rPr>
          <w:rFonts w:hint="eastAsia"/>
          <w:lang w:eastAsia="zh-CN"/>
        </w:rPr>
        <w:t>《</w:t>
      </w:r>
      <w:r>
        <w:rPr>
          <w:rFonts w:hint="eastAsia"/>
        </w:rPr>
        <w:t>华中科技大学学报</w:t>
      </w:r>
      <w:r>
        <w:rPr>
          <w:rFonts w:hint="eastAsia"/>
          <w:lang w:eastAsia="zh-CN"/>
        </w:rPr>
        <w:t>（</w:t>
      </w:r>
      <w:r>
        <w:rPr>
          <w:rFonts w:hint="eastAsia"/>
        </w:rPr>
        <w:t>社会科学版</w:t>
      </w:r>
      <w:r>
        <w:rPr>
          <w:rFonts w:hint="eastAsia"/>
          <w:lang w:eastAsia="zh-CN"/>
        </w:rPr>
        <w:t>）》</w:t>
      </w:r>
      <w:r>
        <w:rPr>
          <w:rFonts w:hint="eastAsia"/>
        </w:rPr>
        <w:t>2022</w:t>
      </w:r>
      <w:r>
        <w:rPr>
          <w:rFonts w:hint="eastAsia"/>
          <w:lang w:val="en-US" w:eastAsia="zh-CN"/>
        </w:rPr>
        <w:t>年第</w:t>
      </w:r>
      <w:r>
        <w:rPr>
          <w:rFonts w:hint="eastAsia"/>
        </w:rPr>
        <w:t>1</w:t>
      </w:r>
      <w:r>
        <w:rPr>
          <w:rFonts w:hint="eastAsia"/>
          <w:lang w:val="en-US" w:eastAsia="zh-CN"/>
        </w:rPr>
        <w:t>期，第</w:t>
      </w:r>
      <w:r>
        <w:rPr>
          <w:rFonts w:hint="eastAsia"/>
        </w:rPr>
        <w:t>5</w:t>
      </w:r>
      <w:r>
        <w:rPr>
          <w:rFonts w:hint="eastAsia"/>
          <w:lang w:val="en-US" w:eastAsia="zh-CN"/>
        </w:rPr>
        <w:t>6页。</w:t>
      </w:r>
    </w:p>
  </w:footnote>
  <w:footnote w:id="8">
    <w:p w14:paraId="25E57A43">
      <w:pPr>
        <w:pStyle w:val="9"/>
        <w:snapToGrid w:val="0"/>
        <w:rPr>
          <w:rFonts w:hint="default" w:eastAsia="宋体"/>
          <w:lang w:val="en-US" w:eastAsia="zh-CN"/>
        </w:rPr>
      </w:pPr>
      <w:r>
        <w:rPr>
          <w:rStyle w:val="15"/>
        </w:rPr>
        <w:t>[</w:t>
      </w:r>
      <w:r>
        <w:rPr>
          <w:rStyle w:val="15"/>
        </w:rPr>
        <w:footnoteRef/>
      </w:r>
      <w:r>
        <w:rPr>
          <w:rStyle w:val="15"/>
        </w:rPr>
        <w:t>]</w:t>
      </w:r>
      <w:r>
        <w:t xml:space="preserve"> </w:t>
      </w:r>
      <w:r>
        <w:rPr>
          <w:rFonts w:hint="eastAsia"/>
        </w:rPr>
        <w:t>汪庆华：《算法透明多重维度和算法问责》，</w:t>
      </w:r>
      <w:r>
        <w:rPr>
          <w:rFonts w:hint="eastAsia"/>
          <w:lang w:val="en-US" w:eastAsia="zh-CN"/>
        </w:rPr>
        <w:t>载</w:t>
      </w:r>
      <w:r>
        <w:rPr>
          <w:rFonts w:hint="eastAsia"/>
        </w:rPr>
        <w:t>《比较法研究》2020年第6期</w:t>
      </w:r>
      <w:r>
        <w:rPr>
          <w:rFonts w:hint="eastAsia"/>
          <w:lang w:eastAsia="zh-CN"/>
        </w:rPr>
        <w:t>，</w:t>
      </w:r>
      <w:r>
        <w:rPr>
          <w:rFonts w:hint="eastAsia"/>
          <w:lang w:val="en-US" w:eastAsia="zh-CN"/>
        </w:rPr>
        <w:t>第163-173页。</w:t>
      </w:r>
    </w:p>
  </w:footnote>
  <w:footnote w:id="9">
    <w:p w14:paraId="13485E15">
      <w:pPr>
        <w:pStyle w:val="9"/>
        <w:snapToGrid w:val="0"/>
      </w:pPr>
      <w:r>
        <w:rPr>
          <w:rStyle w:val="15"/>
        </w:rPr>
        <w:t>[</w:t>
      </w:r>
      <w:r>
        <w:rPr>
          <w:rStyle w:val="15"/>
        </w:rPr>
        <w:footnoteRef/>
      </w:r>
      <w:r>
        <w:rPr>
          <w:rStyle w:val="15"/>
        </w:rPr>
        <w:t>]</w:t>
      </w:r>
      <w:r>
        <w:t xml:space="preserve"> </w:t>
      </w:r>
      <w:r>
        <w:rPr>
          <w:rFonts w:hint="eastAsia"/>
        </w:rPr>
        <w:t>张欣：《算法解释权与算法治理路径研究》，载《中外法学》2019年第6期，第1425-1445页。</w:t>
      </w:r>
    </w:p>
  </w:footnote>
  <w:footnote w:id="10">
    <w:p w14:paraId="01B51605">
      <w:pPr>
        <w:pStyle w:val="9"/>
        <w:snapToGrid w:val="0"/>
      </w:pPr>
      <w:r>
        <w:rPr>
          <w:rStyle w:val="15"/>
        </w:rPr>
        <w:t>[</w:t>
      </w:r>
      <w:r>
        <w:rPr>
          <w:rStyle w:val="15"/>
        </w:rPr>
        <w:footnoteRef/>
      </w:r>
      <w:r>
        <w:rPr>
          <w:rStyle w:val="15"/>
        </w:rPr>
        <w:t>]</w:t>
      </w:r>
      <w:r>
        <w:rPr>
          <w:rFonts w:hint="eastAsia"/>
          <w:lang w:val="en-US" w:eastAsia="zh-CN"/>
        </w:rPr>
        <w:t xml:space="preserve"> </w:t>
      </w:r>
      <w:r>
        <w:rPr>
          <w:rFonts w:hint="eastAsia"/>
        </w:rPr>
        <w:t>苏宇</w:t>
      </w:r>
      <w:r>
        <w:rPr>
          <w:rFonts w:hint="eastAsia"/>
          <w:lang w:eastAsia="zh-CN"/>
        </w:rPr>
        <w:t>：《</w:t>
      </w:r>
      <w:r>
        <w:rPr>
          <w:rFonts w:hint="eastAsia"/>
        </w:rPr>
        <w:t>算法解释制度的体系化构建</w:t>
      </w:r>
      <w:r>
        <w:rPr>
          <w:rFonts w:hint="eastAsia"/>
          <w:lang w:eastAsia="zh-CN"/>
        </w:rPr>
        <w:t>》，</w:t>
      </w:r>
      <w:r>
        <w:rPr>
          <w:rFonts w:hint="eastAsia"/>
          <w:lang w:val="en-US" w:eastAsia="zh-CN"/>
        </w:rPr>
        <w:t>载</w:t>
      </w:r>
      <w:r>
        <w:rPr>
          <w:rFonts w:hint="eastAsia"/>
          <w:lang w:eastAsia="zh-CN"/>
        </w:rPr>
        <w:t>《</w:t>
      </w:r>
      <w:r>
        <w:rPr>
          <w:rFonts w:hint="eastAsia"/>
        </w:rPr>
        <w:t>东方法学</w:t>
      </w:r>
      <w:r>
        <w:rPr>
          <w:rFonts w:hint="eastAsia"/>
          <w:lang w:eastAsia="zh-CN"/>
        </w:rPr>
        <w:t>》</w:t>
      </w:r>
      <w:r>
        <w:rPr>
          <w:rFonts w:hint="eastAsia"/>
        </w:rPr>
        <w:t>2024</w:t>
      </w:r>
      <w:r>
        <w:rPr>
          <w:rFonts w:hint="eastAsia"/>
          <w:lang w:val="en-US" w:eastAsia="zh-CN"/>
        </w:rPr>
        <w:t>年第</w:t>
      </w:r>
      <w:r>
        <w:rPr>
          <w:rFonts w:hint="eastAsia"/>
        </w:rPr>
        <w:t>1</w:t>
      </w:r>
      <w:r>
        <w:rPr>
          <w:rFonts w:hint="eastAsia"/>
          <w:lang w:val="en-US" w:eastAsia="zh-CN"/>
        </w:rPr>
        <w:t>期，第</w:t>
      </w:r>
      <w:r>
        <w:rPr>
          <w:rFonts w:hint="eastAsia"/>
        </w:rPr>
        <w:t>8</w:t>
      </w:r>
      <w:r>
        <w:rPr>
          <w:rFonts w:hint="eastAsia"/>
          <w:lang w:val="en-US" w:eastAsia="zh-CN"/>
        </w:rPr>
        <w:t>2页。</w:t>
      </w:r>
    </w:p>
  </w:footnote>
  <w:footnote w:id="11">
    <w:p w14:paraId="49691977">
      <w:pPr>
        <w:pStyle w:val="9"/>
        <w:snapToGrid w:val="0"/>
      </w:pPr>
      <w:r>
        <w:rPr>
          <w:rStyle w:val="15"/>
        </w:rPr>
        <w:t>[</w:t>
      </w:r>
      <w:r>
        <w:rPr>
          <w:rStyle w:val="15"/>
        </w:rPr>
        <w:footnoteRef/>
      </w:r>
      <w:r>
        <w:rPr>
          <w:rStyle w:val="15"/>
        </w:rPr>
        <w:t>]</w:t>
      </w:r>
      <w:r>
        <w:rPr>
          <w:rFonts w:hint="eastAsia"/>
          <w:lang w:val="en-US" w:eastAsia="zh-CN"/>
        </w:rPr>
        <w:t xml:space="preserve"> </w:t>
      </w:r>
      <w:r>
        <w:rPr>
          <w:rFonts w:hint="eastAsia"/>
        </w:rPr>
        <w:t>邹举、杨楠：《从“可控”“可知”到“可回答”：算法解释权的提出和实现》，</w:t>
      </w:r>
      <w:r>
        <w:rPr>
          <w:rFonts w:hint="eastAsia"/>
          <w:lang w:val="en-US" w:eastAsia="zh-CN"/>
        </w:rPr>
        <w:t>载</w:t>
      </w:r>
      <w:r>
        <w:rPr>
          <w:rFonts w:hint="eastAsia"/>
        </w:rPr>
        <w:t>《新闻大学》2025年第4期，第17-30页。</w:t>
      </w:r>
    </w:p>
  </w:footnote>
  <w:footnote w:id="12">
    <w:p w14:paraId="0EDE4B36">
      <w:pPr>
        <w:pStyle w:val="9"/>
        <w:snapToGrid w:val="0"/>
      </w:pPr>
      <w:r>
        <w:rPr>
          <w:rStyle w:val="15"/>
        </w:rPr>
        <w:t>[</w:t>
      </w:r>
      <w:r>
        <w:rPr>
          <w:rStyle w:val="15"/>
        </w:rPr>
        <w:footnoteRef/>
      </w:r>
      <w:r>
        <w:rPr>
          <w:rStyle w:val="15"/>
        </w:rPr>
        <w:t>]</w:t>
      </w:r>
      <w:r>
        <w:t xml:space="preserve"> </w:t>
      </w:r>
      <w:r>
        <w:rPr>
          <w:rFonts w:hint="eastAsia"/>
        </w:rPr>
        <w:t>刘琳</w:t>
      </w:r>
      <w:r>
        <w:rPr>
          <w:rFonts w:hint="eastAsia"/>
          <w:lang w:eastAsia="zh-CN"/>
        </w:rPr>
        <w:t>：《</w:t>
      </w:r>
      <w:r>
        <w:rPr>
          <w:rFonts w:hint="eastAsia"/>
        </w:rPr>
        <w:t>算法解释权与商业秘密保护的冲突化解</w:t>
      </w:r>
      <w:r>
        <w:rPr>
          <w:rFonts w:hint="eastAsia"/>
          <w:lang w:eastAsia="zh-CN"/>
        </w:rPr>
        <w:t>》，</w:t>
      </w:r>
      <w:r>
        <w:rPr>
          <w:rFonts w:hint="eastAsia"/>
          <w:lang w:val="en-US" w:eastAsia="zh-CN"/>
        </w:rPr>
        <w:t>载</w:t>
      </w:r>
      <w:r>
        <w:rPr>
          <w:rFonts w:hint="eastAsia"/>
          <w:lang w:eastAsia="zh-CN"/>
        </w:rPr>
        <w:t>《</w:t>
      </w:r>
      <w:r>
        <w:rPr>
          <w:rFonts w:hint="eastAsia"/>
        </w:rPr>
        <w:t>行政法学研究</w:t>
      </w:r>
      <w:r>
        <w:rPr>
          <w:rFonts w:hint="eastAsia"/>
          <w:lang w:eastAsia="zh-CN"/>
        </w:rPr>
        <w:t>》</w:t>
      </w:r>
      <w:r>
        <w:rPr>
          <w:rFonts w:hint="eastAsia"/>
        </w:rPr>
        <w:t>2023</w:t>
      </w:r>
      <w:r>
        <w:rPr>
          <w:rFonts w:hint="eastAsia"/>
          <w:lang w:val="en-US" w:eastAsia="zh-CN"/>
        </w:rPr>
        <w:t>年第</w:t>
      </w:r>
      <w:r>
        <w:rPr>
          <w:rFonts w:hint="eastAsia"/>
        </w:rPr>
        <w:t>2</w:t>
      </w:r>
      <w:r>
        <w:rPr>
          <w:rFonts w:hint="eastAsia"/>
          <w:lang w:val="en-US" w:eastAsia="zh-CN"/>
        </w:rPr>
        <w:t>期，第</w:t>
      </w:r>
      <w:r>
        <w:rPr>
          <w:rFonts w:hint="eastAsia"/>
        </w:rPr>
        <w:t>168</w:t>
      </w:r>
      <w:r>
        <w:rPr>
          <w:rFonts w:hint="eastAsia"/>
          <w:lang w:val="en-US" w:eastAsia="zh-CN"/>
        </w:rPr>
        <w:t>页。</w:t>
      </w:r>
    </w:p>
  </w:footnote>
  <w:footnote w:id="13">
    <w:p w14:paraId="06D4C8C6">
      <w:pPr>
        <w:pStyle w:val="9"/>
        <w:snapToGrid w:val="0"/>
        <w:rPr>
          <w:rFonts w:hint="default" w:eastAsia="宋体"/>
          <w:lang w:val="en-US" w:eastAsia="zh-CN"/>
        </w:rPr>
      </w:pPr>
      <w:r>
        <w:rPr>
          <w:rStyle w:val="15"/>
        </w:rPr>
        <w:t>[</w:t>
      </w:r>
      <w:r>
        <w:rPr>
          <w:rStyle w:val="15"/>
        </w:rPr>
        <w:footnoteRef/>
      </w:r>
      <w:r>
        <w:rPr>
          <w:rStyle w:val="15"/>
        </w:rPr>
        <w:t>]</w:t>
      </w:r>
      <w:r>
        <w:rPr>
          <w:rFonts w:hint="eastAsia"/>
          <w:lang w:val="en-US" w:eastAsia="zh-CN"/>
        </w:rPr>
        <w:t xml:space="preserve"> </w:t>
      </w:r>
      <w:r>
        <w:rPr>
          <w:rFonts w:hint="eastAsia"/>
        </w:rPr>
        <w:t>周翔</w:t>
      </w:r>
      <w:r>
        <w:rPr>
          <w:rFonts w:hint="eastAsia"/>
          <w:lang w:eastAsia="zh-CN"/>
        </w:rPr>
        <w:t>：《</w:t>
      </w:r>
      <w:r>
        <w:rPr>
          <w:rFonts w:hint="eastAsia"/>
        </w:rPr>
        <w:t>算法可解释性：一个技术概念的规范研究价值</w:t>
      </w:r>
      <w:r>
        <w:rPr>
          <w:rFonts w:hint="eastAsia"/>
          <w:lang w:eastAsia="zh-CN"/>
        </w:rPr>
        <w:t>》，载《</w:t>
      </w:r>
      <w:r>
        <w:rPr>
          <w:rFonts w:hint="eastAsia"/>
        </w:rPr>
        <w:t>比较法研究</w:t>
      </w:r>
      <w:r>
        <w:rPr>
          <w:rFonts w:hint="eastAsia"/>
          <w:lang w:eastAsia="zh-CN"/>
        </w:rPr>
        <w:t>》</w:t>
      </w:r>
      <w:r>
        <w:rPr>
          <w:rFonts w:hint="eastAsia"/>
        </w:rPr>
        <w:t>2023</w:t>
      </w:r>
      <w:r>
        <w:rPr>
          <w:rFonts w:hint="eastAsia"/>
          <w:lang w:val="en-US" w:eastAsia="zh-CN"/>
        </w:rPr>
        <w:t>年第</w:t>
      </w:r>
      <w:r>
        <w:rPr>
          <w:rFonts w:hint="eastAsia"/>
        </w:rPr>
        <w:t>3</w:t>
      </w:r>
      <w:r>
        <w:rPr>
          <w:rFonts w:hint="eastAsia"/>
          <w:lang w:val="en-US" w:eastAsia="zh-CN"/>
        </w:rPr>
        <w:t>期，第</w:t>
      </w:r>
      <w:r>
        <w:rPr>
          <w:rFonts w:hint="eastAsia"/>
        </w:rPr>
        <w:t>1</w:t>
      </w:r>
      <w:r>
        <w:rPr>
          <w:rFonts w:hint="eastAsia"/>
          <w:lang w:val="en-US" w:eastAsia="zh-CN"/>
        </w:rPr>
        <w:t>91页。</w:t>
      </w:r>
    </w:p>
  </w:footnote>
  <w:footnote w:id="14">
    <w:p w14:paraId="334ECC4B">
      <w:pPr>
        <w:pStyle w:val="9"/>
        <w:snapToGrid w:val="0"/>
      </w:pPr>
      <w:r>
        <w:rPr>
          <w:rStyle w:val="15"/>
        </w:rPr>
        <w:t>[</w:t>
      </w:r>
      <w:r>
        <w:rPr>
          <w:rStyle w:val="15"/>
        </w:rPr>
        <w:footnoteRef/>
      </w:r>
      <w:r>
        <w:rPr>
          <w:rStyle w:val="15"/>
        </w:rPr>
        <w:t>]</w:t>
      </w:r>
      <w:r>
        <w:t xml:space="preserve"> </w:t>
      </w:r>
      <w:r>
        <w:rPr>
          <w:rFonts w:hint="eastAsia"/>
        </w:rPr>
        <w:t>苏宇</w:t>
      </w:r>
      <w:r>
        <w:rPr>
          <w:rFonts w:hint="eastAsia"/>
          <w:lang w:eastAsia="zh-CN"/>
        </w:rPr>
        <w:t>：《</w:t>
      </w:r>
      <w:r>
        <w:rPr>
          <w:rFonts w:hint="eastAsia"/>
        </w:rPr>
        <w:t>从算法解释到系统测评——人工智能法治的信息工具变革</w:t>
      </w:r>
      <w:r>
        <w:rPr>
          <w:rFonts w:hint="eastAsia"/>
          <w:lang w:eastAsia="zh-CN"/>
        </w:rPr>
        <w:t>》，</w:t>
      </w:r>
      <w:r>
        <w:rPr>
          <w:rFonts w:hint="eastAsia"/>
          <w:lang w:val="en-US" w:eastAsia="zh-CN"/>
        </w:rPr>
        <w:t>载</w:t>
      </w:r>
      <w:r>
        <w:rPr>
          <w:rFonts w:hint="eastAsia"/>
          <w:lang w:eastAsia="zh-CN"/>
        </w:rPr>
        <w:t>《</w:t>
      </w:r>
      <w:r>
        <w:rPr>
          <w:rFonts w:hint="eastAsia"/>
        </w:rPr>
        <w:t>探索与争鸣</w:t>
      </w:r>
      <w:r>
        <w:rPr>
          <w:rFonts w:hint="eastAsia"/>
          <w:lang w:eastAsia="zh-CN"/>
        </w:rPr>
        <w:t>》</w:t>
      </w:r>
      <w:r>
        <w:rPr>
          <w:rFonts w:hint="eastAsia"/>
        </w:rPr>
        <w:t>2025</w:t>
      </w:r>
      <w:r>
        <w:rPr>
          <w:rFonts w:hint="eastAsia"/>
          <w:lang w:val="en-US" w:eastAsia="zh-CN"/>
        </w:rPr>
        <w:t>年第</w:t>
      </w:r>
      <w:r>
        <w:rPr>
          <w:rFonts w:hint="eastAsia"/>
        </w:rPr>
        <w:t>3</w:t>
      </w:r>
      <w:r>
        <w:rPr>
          <w:rFonts w:hint="eastAsia"/>
          <w:lang w:val="en-US" w:eastAsia="zh-CN"/>
        </w:rPr>
        <w:t>期，第</w:t>
      </w:r>
      <w:r>
        <w:rPr>
          <w:rFonts w:hint="eastAsia"/>
        </w:rPr>
        <w:t>10</w:t>
      </w:r>
      <w:r>
        <w:rPr>
          <w:rFonts w:hint="eastAsia"/>
          <w:lang w:val="en-US" w:eastAsia="zh-CN"/>
        </w:rPr>
        <w:t>9页。</w:t>
      </w:r>
    </w:p>
  </w:footnote>
  <w:footnote w:id="15">
    <w:p w14:paraId="14EB026F">
      <w:pPr>
        <w:pStyle w:val="9"/>
        <w:snapToGrid w:val="0"/>
      </w:pPr>
      <w:r>
        <w:rPr>
          <w:rStyle w:val="15"/>
        </w:rPr>
        <w:t>[</w:t>
      </w:r>
      <w:r>
        <w:rPr>
          <w:rStyle w:val="15"/>
        </w:rPr>
        <w:footnoteRef/>
      </w:r>
      <w:r>
        <w:rPr>
          <w:rStyle w:val="15"/>
        </w:rPr>
        <w:t>]</w:t>
      </w:r>
      <w:r>
        <w:t xml:space="preserve"> </w:t>
      </w:r>
      <w:r>
        <w:rPr>
          <w:rFonts w:hint="eastAsia"/>
        </w:rPr>
        <w:t>陈兵、董思琰：《常态化监管与算法分类分级治理模式更新》，载《学术论坛》2024年第3期，第46-55页。</w:t>
      </w:r>
    </w:p>
  </w:footnote>
  <w:footnote w:id="16">
    <w:p w14:paraId="2A797845">
      <w:pPr>
        <w:pStyle w:val="9"/>
        <w:snapToGrid w:val="0"/>
        <w:rPr>
          <w:rFonts w:hint="eastAsia" w:eastAsia="宋体"/>
          <w:lang w:val="en-US" w:eastAsia="zh-CN"/>
        </w:rPr>
      </w:pPr>
      <w:r>
        <w:rPr>
          <w:rStyle w:val="15"/>
        </w:rPr>
        <w:t>[</w:t>
      </w:r>
      <w:r>
        <w:rPr>
          <w:rStyle w:val="15"/>
        </w:rPr>
        <w:footnoteRef/>
      </w:r>
      <w:r>
        <w:rPr>
          <w:rStyle w:val="15"/>
        </w:rPr>
        <w:t>]</w:t>
      </w:r>
      <w:r>
        <w:t xml:space="preserve"> </w:t>
      </w:r>
      <w:r>
        <w:rPr>
          <w:rFonts w:hint="eastAsia"/>
        </w:rPr>
        <w:t>阳镇</w:t>
      </w:r>
      <w:r>
        <w:rPr>
          <w:rFonts w:hint="eastAsia"/>
          <w:lang w:eastAsia="zh-CN"/>
        </w:rPr>
        <w:t>、</w:t>
      </w:r>
      <w:r>
        <w:rPr>
          <w:rFonts w:hint="eastAsia"/>
        </w:rPr>
        <w:t>陈劲</w:t>
      </w:r>
      <w:r>
        <w:rPr>
          <w:rFonts w:hint="eastAsia"/>
          <w:lang w:eastAsia="zh-CN"/>
        </w:rPr>
        <w:t>：《</w:t>
      </w:r>
      <w:r>
        <w:rPr>
          <w:rFonts w:hint="eastAsia"/>
        </w:rPr>
        <w:t>算法治理的理论分野与融合框架</w:t>
      </w:r>
      <w:r>
        <w:rPr>
          <w:rFonts w:hint="eastAsia"/>
          <w:lang w:eastAsia="zh-CN"/>
        </w:rPr>
        <w:t>》，</w:t>
      </w:r>
      <w:r>
        <w:rPr>
          <w:rFonts w:hint="eastAsia"/>
          <w:lang w:val="en-US" w:eastAsia="zh-CN"/>
        </w:rPr>
        <w:t>载</w:t>
      </w:r>
      <w:r>
        <w:rPr>
          <w:rFonts w:hint="eastAsia"/>
          <w:lang w:eastAsia="zh-CN"/>
        </w:rPr>
        <w:t>《</w:t>
      </w:r>
      <w:r>
        <w:rPr>
          <w:rFonts w:hint="eastAsia"/>
        </w:rPr>
        <w:t>科学学研究</w:t>
      </w:r>
      <w:r>
        <w:rPr>
          <w:rFonts w:hint="eastAsia"/>
          <w:lang w:eastAsia="zh-CN"/>
        </w:rPr>
        <w:t>》</w:t>
      </w:r>
      <w:r>
        <w:rPr>
          <w:rFonts w:hint="eastAsia"/>
        </w:rPr>
        <w:t>2023</w:t>
      </w:r>
      <w:r>
        <w:rPr>
          <w:rFonts w:hint="eastAsia"/>
          <w:lang w:val="en-US" w:eastAsia="zh-CN"/>
        </w:rPr>
        <w:t>年第</w:t>
      </w:r>
      <w:r>
        <w:rPr>
          <w:rFonts w:hint="eastAsia"/>
        </w:rPr>
        <w:t>10</w:t>
      </w:r>
      <w:r>
        <w:rPr>
          <w:rFonts w:hint="eastAsia"/>
          <w:lang w:val="en-US" w:eastAsia="zh-CN"/>
        </w:rPr>
        <w:t>期，第</w:t>
      </w:r>
      <w:r>
        <w:rPr>
          <w:rFonts w:hint="eastAsia"/>
        </w:rPr>
        <w:t>1747-1754</w:t>
      </w:r>
      <w:r>
        <w:rPr>
          <w:rFonts w:hint="eastAsia"/>
          <w:lang w:val="en-US" w:eastAsia="zh-CN"/>
        </w:rPr>
        <w:t>页。</w:t>
      </w:r>
    </w:p>
  </w:footnote>
  <w:footnote w:id="17">
    <w:p w14:paraId="240B8F62">
      <w:pPr>
        <w:pStyle w:val="9"/>
        <w:snapToGrid w:val="0"/>
        <w:rPr>
          <w:rFonts w:hint="eastAsia" w:eastAsia="宋体"/>
          <w:lang w:val="en-US" w:eastAsia="zh-CN"/>
        </w:rPr>
      </w:pPr>
      <w:r>
        <w:rPr>
          <w:rStyle w:val="15"/>
        </w:rPr>
        <w:t>[</w:t>
      </w:r>
      <w:r>
        <w:rPr>
          <w:rStyle w:val="15"/>
        </w:rPr>
        <w:footnoteRef/>
      </w:r>
      <w:r>
        <w:rPr>
          <w:rStyle w:val="15"/>
        </w:rPr>
        <w:t>]</w:t>
      </w:r>
      <w:r>
        <w:t xml:space="preserve"> </w:t>
      </w:r>
      <w:r>
        <w:rPr>
          <w:rFonts w:hint="eastAsia"/>
        </w:rPr>
        <w:t>欧达婧</w:t>
      </w:r>
      <w:r>
        <w:rPr>
          <w:rFonts w:hint="eastAsia"/>
          <w:lang w:eastAsia="zh-CN"/>
        </w:rPr>
        <w:t>：《</w:t>
      </w:r>
      <w:r>
        <w:rPr>
          <w:rFonts w:hint="eastAsia"/>
        </w:rPr>
        <w:t>“算法黑箱”与“算法公开”天然冲突的解决路径——以我国算法解释与算法备案的适用为中心</w:t>
      </w:r>
      <w:r>
        <w:rPr>
          <w:rFonts w:hint="eastAsia"/>
          <w:lang w:eastAsia="zh-CN"/>
        </w:rPr>
        <w:t>》，</w:t>
      </w:r>
      <w:r>
        <w:rPr>
          <w:rFonts w:hint="eastAsia"/>
          <w:lang w:val="en-US" w:eastAsia="zh-CN"/>
        </w:rPr>
        <w:t>载</w:t>
      </w:r>
      <w:r>
        <w:rPr>
          <w:rFonts w:hint="eastAsia"/>
          <w:lang w:eastAsia="zh-CN"/>
        </w:rPr>
        <w:t>《</w:t>
      </w:r>
      <w:r>
        <w:rPr>
          <w:rFonts w:hint="eastAsia"/>
        </w:rPr>
        <w:t>南海法学</w:t>
      </w:r>
      <w:r>
        <w:rPr>
          <w:rFonts w:hint="eastAsia"/>
          <w:lang w:eastAsia="zh-CN"/>
        </w:rPr>
        <w:t>》</w:t>
      </w:r>
      <w:r>
        <w:rPr>
          <w:rFonts w:hint="eastAsia"/>
        </w:rPr>
        <w:t>2023</w:t>
      </w:r>
      <w:r>
        <w:rPr>
          <w:rFonts w:hint="eastAsia"/>
          <w:lang w:val="en-US" w:eastAsia="zh-CN"/>
        </w:rPr>
        <w:t>年第</w:t>
      </w:r>
      <w:r>
        <w:rPr>
          <w:rFonts w:hint="eastAsia"/>
        </w:rPr>
        <w:t>2</w:t>
      </w:r>
      <w:r>
        <w:rPr>
          <w:rFonts w:hint="eastAsia"/>
          <w:lang w:val="en-US" w:eastAsia="zh-CN"/>
        </w:rPr>
        <w:t>期，第</w:t>
      </w:r>
      <w:r>
        <w:rPr>
          <w:rFonts w:hint="eastAsia"/>
        </w:rPr>
        <w:t>68-77</w:t>
      </w:r>
      <w:r>
        <w:rPr>
          <w:rFonts w:hint="eastAsia"/>
          <w:lang w:val="en-US" w:eastAsia="zh-CN"/>
        </w:rPr>
        <w:t>页。</w:t>
      </w:r>
    </w:p>
  </w:footnote>
  <w:footnote w:id="18">
    <w:p w14:paraId="0F03E1EA">
      <w:pPr>
        <w:pStyle w:val="9"/>
        <w:snapToGrid w:val="0"/>
        <w:rPr>
          <w:rFonts w:hint="eastAsia" w:eastAsia="宋体"/>
          <w:lang w:val="en-US" w:eastAsia="zh-CN"/>
        </w:rPr>
      </w:pPr>
      <w:r>
        <w:rPr>
          <w:rStyle w:val="15"/>
        </w:rPr>
        <w:t>[</w:t>
      </w:r>
      <w:r>
        <w:rPr>
          <w:rStyle w:val="15"/>
        </w:rPr>
        <w:footnoteRef/>
      </w:r>
      <w:r>
        <w:rPr>
          <w:rStyle w:val="15"/>
        </w:rPr>
        <w:t>]</w:t>
      </w:r>
      <w:r>
        <w:t xml:space="preserve"> </w:t>
      </w:r>
      <w:r>
        <w:rPr>
          <w:rFonts w:hint="eastAsia"/>
        </w:rPr>
        <w:t>曹建峰</w:t>
      </w:r>
      <w:r>
        <w:rPr>
          <w:rFonts w:hint="eastAsia"/>
          <w:lang w:eastAsia="zh-CN"/>
        </w:rPr>
        <w:t>：《</w:t>
      </w:r>
      <w:r>
        <w:rPr>
          <w:rFonts w:hint="eastAsia"/>
        </w:rPr>
        <w:t>迈向可信AI:ChatGPT类生成式人工智能的治理挑战及应对</w:t>
      </w:r>
      <w:r>
        <w:rPr>
          <w:rFonts w:hint="eastAsia"/>
          <w:lang w:eastAsia="zh-CN"/>
        </w:rPr>
        <w:t>》，</w:t>
      </w:r>
      <w:r>
        <w:rPr>
          <w:rFonts w:hint="eastAsia"/>
          <w:lang w:val="en-US" w:eastAsia="zh-CN"/>
        </w:rPr>
        <w:t>载</w:t>
      </w:r>
      <w:r>
        <w:rPr>
          <w:rFonts w:hint="eastAsia"/>
          <w:lang w:eastAsia="zh-CN"/>
        </w:rPr>
        <w:t>《</w:t>
      </w:r>
      <w:r>
        <w:rPr>
          <w:rFonts w:hint="eastAsia"/>
        </w:rPr>
        <w:t>上海政法学院学报</w:t>
      </w:r>
      <w:r>
        <w:rPr>
          <w:rFonts w:hint="eastAsia"/>
          <w:lang w:eastAsia="zh-CN"/>
        </w:rPr>
        <w:t>（</w:t>
      </w:r>
      <w:r>
        <w:rPr>
          <w:rFonts w:hint="eastAsia"/>
        </w:rPr>
        <w:t>法治论丛</w:t>
      </w:r>
      <w:r>
        <w:rPr>
          <w:rFonts w:hint="eastAsia"/>
          <w:lang w:eastAsia="zh-CN"/>
        </w:rPr>
        <w:t>）》</w:t>
      </w:r>
      <w:r>
        <w:rPr>
          <w:rFonts w:hint="eastAsia"/>
        </w:rPr>
        <w:t>2023</w:t>
      </w:r>
      <w:r>
        <w:rPr>
          <w:rFonts w:hint="eastAsia"/>
          <w:lang w:val="en-US" w:eastAsia="zh-CN"/>
        </w:rPr>
        <w:t>年第</w:t>
      </w:r>
      <w:r>
        <w:rPr>
          <w:rFonts w:hint="eastAsia"/>
        </w:rPr>
        <w:t>4</w:t>
      </w:r>
      <w:r>
        <w:rPr>
          <w:rFonts w:hint="eastAsia"/>
          <w:lang w:val="en-US" w:eastAsia="zh-CN"/>
        </w:rPr>
        <w:t>期，第</w:t>
      </w:r>
      <w:r>
        <w:rPr>
          <w:rFonts w:hint="eastAsia"/>
        </w:rPr>
        <w:t>28-42</w:t>
      </w:r>
      <w:r>
        <w:rPr>
          <w:rFonts w:hint="eastAsia"/>
          <w:lang w:val="en-US" w:eastAsia="zh-CN"/>
        </w:rPr>
        <w:t>页。</w:t>
      </w:r>
    </w:p>
  </w:footnote>
  <w:footnote w:id="19">
    <w:p w14:paraId="3B60513C">
      <w:pPr>
        <w:pStyle w:val="9"/>
        <w:snapToGrid w:val="0"/>
        <w:rPr>
          <w:rFonts w:hint="eastAsia" w:eastAsia="宋体"/>
          <w:lang w:val="en-US" w:eastAsia="zh-CN"/>
        </w:rPr>
      </w:pPr>
      <w:r>
        <w:rPr>
          <w:rStyle w:val="15"/>
        </w:rPr>
        <w:t>[</w:t>
      </w:r>
      <w:r>
        <w:rPr>
          <w:rStyle w:val="15"/>
        </w:rPr>
        <w:footnoteRef/>
      </w:r>
      <w:r>
        <w:rPr>
          <w:rStyle w:val="15"/>
        </w:rPr>
        <w:t>]</w:t>
      </w:r>
      <w:r>
        <w:t xml:space="preserve"> </w:t>
      </w:r>
      <w:r>
        <w:rPr>
          <w:rFonts w:hint="eastAsia"/>
        </w:rPr>
        <w:t>高富平</w:t>
      </w:r>
      <w:r>
        <w:rPr>
          <w:rFonts w:hint="eastAsia"/>
          <w:lang w:eastAsia="zh-CN"/>
        </w:rPr>
        <w:t>、</w:t>
      </w:r>
      <w:r>
        <w:rPr>
          <w:rFonts w:hint="eastAsia"/>
        </w:rPr>
        <w:t>张启航</w:t>
      </w:r>
      <w:r>
        <w:rPr>
          <w:rFonts w:hint="eastAsia"/>
          <w:lang w:eastAsia="zh-CN"/>
        </w:rPr>
        <w:t>：《</w:t>
      </w:r>
      <w:r>
        <w:rPr>
          <w:rFonts w:hint="eastAsia"/>
        </w:rPr>
        <w:t>可信AI</w:t>
      </w:r>
      <w:r>
        <w:rPr>
          <w:rFonts w:hint="eastAsia"/>
          <w:lang w:eastAsia="zh-CN"/>
        </w:rPr>
        <w:t>：</w:t>
      </w:r>
      <w:r>
        <w:rPr>
          <w:rFonts w:hint="eastAsia"/>
        </w:rPr>
        <w:t>人工智能法律治理的内在逻辑与实现路径</w:t>
      </w:r>
      <w:r>
        <w:rPr>
          <w:rFonts w:hint="eastAsia"/>
          <w:lang w:eastAsia="zh-CN"/>
        </w:rPr>
        <w:t>》，</w:t>
      </w:r>
      <w:r>
        <w:rPr>
          <w:rFonts w:hint="eastAsia"/>
          <w:lang w:val="en-US" w:eastAsia="zh-CN"/>
        </w:rPr>
        <w:t>载</w:t>
      </w:r>
      <w:r>
        <w:rPr>
          <w:rFonts w:hint="eastAsia"/>
          <w:lang w:eastAsia="zh-CN"/>
        </w:rPr>
        <w:t>《</w:t>
      </w:r>
      <w:r>
        <w:rPr>
          <w:rFonts w:hint="eastAsia"/>
        </w:rPr>
        <w:t>学术探索</w:t>
      </w:r>
      <w:r>
        <w:rPr>
          <w:rFonts w:hint="eastAsia"/>
          <w:lang w:eastAsia="zh-CN"/>
        </w:rPr>
        <w:t>》</w:t>
      </w:r>
      <w:r>
        <w:rPr>
          <w:rFonts w:hint="eastAsia"/>
        </w:rPr>
        <w:t>2025</w:t>
      </w:r>
      <w:r>
        <w:rPr>
          <w:rFonts w:hint="eastAsia"/>
          <w:lang w:val="en-US" w:eastAsia="zh-CN"/>
        </w:rPr>
        <w:t>年第</w:t>
      </w:r>
      <w:r>
        <w:rPr>
          <w:rFonts w:hint="eastAsia"/>
        </w:rPr>
        <w:t>9</w:t>
      </w:r>
      <w:r>
        <w:rPr>
          <w:rFonts w:hint="eastAsia"/>
          <w:lang w:val="en-US" w:eastAsia="zh-CN"/>
        </w:rPr>
        <w:t>期，第</w:t>
      </w:r>
      <w:r>
        <w:rPr>
          <w:rFonts w:hint="eastAsia"/>
        </w:rPr>
        <w:t>79-89</w:t>
      </w:r>
      <w:r>
        <w:rPr>
          <w:rFonts w:hint="eastAsia"/>
          <w:lang w:val="en-US" w:eastAsia="zh-CN"/>
        </w:rPr>
        <w:t>页。</w:t>
      </w:r>
    </w:p>
  </w:footnote>
  <w:footnote w:id="20">
    <w:p w14:paraId="342E9A24">
      <w:pPr>
        <w:pStyle w:val="9"/>
        <w:snapToGrid w:val="0"/>
        <w:rPr>
          <w:rFonts w:hint="default" w:eastAsia="宋体"/>
          <w:lang w:val="en-US" w:eastAsia="zh-CN"/>
        </w:rPr>
      </w:pPr>
      <w:r>
        <w:rPr>
          <w:rStyle w:val="15"/>
        </w:rPr>
        <w:t>[</w:t>
      </w:r>
      <w:r>
        <w:rPr>
          <w:rStyle w:val="15"/>
        </w:rPr>
        <w:footnoteRef/>
      </w:r>
      <w:r>
        <w:rPr>
          <w:rStyle w:val="15"/>
        </w:rPr>
        <w:t>]</w:t>
      </w:r>
      <w:r>
        <w:t xml:space="preserve"> </w:t>
      </w:r>
      <w:r>
        <w:rPr>
          <w:rFonts w:hint="eastAsia"/>
        </w:rPr>
        <w:t>卢超</w:t>
      </w:r>
      <w:r>
        <w:rPr>
          <w:rFonts w:hint="eastAsia"/>
          <w:lang w:eastAsia="zh-CN"/>
        </w:rPr>
        <w:t>：《</w:t>
      </w:r>
      <w:r>
        <w:rPr>
          <w:rFonts w:hint="eastAsia"/>
        </w:rPr>
        <w:t>包容审慎监管的行政法理与中国实践</w:t>
      </w:r>
      <w:r>
        <w:rPr>
          <w:rFonts w:hint="eastAsia"/>
          <w:lang w:eastAsia="zh-CN"/>
        </w:rPr>
        <w:t>》，</w:t>
      </w:r>
      <w:r>
        <w:rPr>
          <w:rFonts w:hint="eastAsia"/>
          <w:lang w:val="en-US" w:eastAsia="zh-CN"/>
        </w:rPr>
        <w:t>载</w:t>
      </w:r>
      <w:r>
        <w:rPr>
          <w:rFonts w:hint="eastAsia"/>
          <w:lang w:eastAsia="zh-CN"/>
        </w:rPr>
        <w:t>《</w:t>
      </w:r>
      <w:r>
        <w:rPr>
          <w:rFonts w:hint="eastAsia"/>
        </w:rPr>
        <w:t>中外法学</w:t>
      </w:r>
      <w:r>
        <w:rPr>
          <w:rFonts w:hint="eastAsia"/>
          <w:lang w:eastAsia="zh-CN"/>
        </w:rPr>
        <w:t>》</w:t>
      </w:r>
      <w:r>
        <w:rPr>
          <w:rFonts w:hint="eastAsia"/>
        </w:rPr>
        <w:t>2024</w:t>
      </w:r>
      <w:r>
        <w:rPr>
          <w:rFonts w:hint="eastAsia"/>
          <w:lang w:val="en-US" w:eastAsia="zh-CN"/>
        </w:rPr>
        <w:t>年第</w:t>
      </w:r>
      <w:r>
        <w:rPr>
          <w:rFonts w:hint="eastAsia"/>
        </w:rPr>
        <w:t>1</w:t>
      </w:r>
      <w:r>
        <w:rPr>
          <w:rFonts w:hint="eastAsia"/>
          <w:lang w:val="en-US" w:eastAsia="zh-CN"/>
        </w:rPr>
        <w:t>期，第</w:t>
      </w:r>
      <w:r>
        <w:rPr>
          <w:rFonts w:hint="eastAsia"/>
        </w:rPr>
        <w:t>14</w:t>
      </w:r>
      <w:r>
        <w:rPr>
          <w:rFonts w:hint="eastAsia"/>
          <w:lang w:val="en-US" w:eastAsia="zh-CN"/>
        </w:rPr>
        <w:t>4页。</w:t>
      </w:r>
    </w:p>
  </w:footnote>
  <w:footnote w:id="21">
    <w:p w14:paraId="0032784F">
      <w:pPr>
        <w:pStyle w:val="9"/>
        <w:snapToGrid w:val="0"/>
      </w:pPr>
      <w:r>
        <w:rPr>
          <w:rStyle w:val="15"/>
        </w:rPr>
        <w:t>[</w:t>
      </w:r>
      <w:r>
        <w:rPr>
          <w:rStyle w:val="15"/>
        </w:rPr>
        <w:footnoteRef/>
      </w:r>
      <w:r>
        <w:rPr>
          <w:rStyle w:val="15"/>
        </w:rPr>
        <w:t>]</w:t>
      </w:r>
      <w:r>
        <w:t xml:space="preserve"> </w:t>
      </w:r>
      <w:r>
        <w:rPr>
          <w:rFonts w:hint="eastAsia"/>
        </w:rPr>
        <w:t>刘琳</w:t>
      </w:r>
      <w:r>
        <w:rPr>
          <w:rFonts w:hint="eastAsia"/>
          <w:lang w:eastAsia="zh-CN"/>
        </w:rPr>
        <w:t>：《</w:t>
      </w:r>
      <w:r>
        <w:rPr>
          <w:rFonts w:hint="eastAsia"/>
        </w:rPr>
        <w:t>算法解释权与商业秘密保护的冲突化解</w:t>
      </w:r>
      <w:r>
        <w:rPr>
          <w:rFonts w:hint="eastAsia"/>
          <w:lang w:eastAsia="zh-CN"/>
        </w:rPr>
        <w:t>》，</w:t>
      </w:r>
      <w:r>
        <w:rPr>
          <w:rFonts w:hint="eastAsia"/>
          <w:lang w:val="en-US" w:eastAsia="zh-CN"/>
        </w:rPr>
        <w:t>载</w:t>
      </w:r>
      <w:r>
        <w:rPr>
          <w:rFonts w:hint="eastAsia"/>
          <w:lang w:eastAsia="zh-CN"/>
        </w:rPr>
        <w:t>《</w:t>
      </w:r>
      <w:r>
        <w:rPr>
          <w:rFonts w:hint="eastAsia"/>
        </w:rPr>
        <w:t>行政法学研究</w:t>
      </w:r>
      <w:r>
        <w:rPr>
          <w:rFonts w:hint="eastAsia"/>
          <w:lang w:eastAsia="zh-CN"/>
        </w:rPr>
        <w:t>》</w:t>
      </w:r>
      <w:r>
        <w:rPr>
          <w:rFonts w:hint="eastAsia"/>
        </w:rPr>
        <w:t>2023</w:t>
      </w:r>
      <w:r>
        <w:rPr>
          <w:rFonts w:hint="eastAsia"/>
          <w:lang w:val="en-US" w:eastAsia="zh-CN"/>
        </w:rPr>
        <w:t>年第</w:t>
      </w:r>
      <w:r>
        <w:rPr>
          <w:rFonts w:hint="eastAsia"/>
        </w:rPr>
        <w:t>2</w:t>
      </w:r>
      <w:r>
        <w:rPr>
          <w:rFonts w:hint="eastAsia"/>
          <w:lang w:val="en-US" w:eastAsia="zh-CN"/>
        </w:rPr>
        <w:t>期，第</w:t>
      </w:r>
      <w:r>
        <w:rPr>
          <w:rFonts w:hint="eastAsia"/>
        </w:rPr>
        <w:t>168-176</w:t>
      </w:r>
      <w:r>
        <w:rPr>
          <w:rFonts w:hint="eastAsia"/>
          <w:lang w:val="en-US" w:eastAsia="zh-CN"/>
        </w:rPr>
        <w:t>页。</w:t>
      </w:r>
    </w:p>
  </w:footnote>
  <w:footnote w:id="22">
    <w:p w14:paraId="6BB72419">
      <w:pPr>
        <w:pStyle w:val="9"/>
        <w:snapToGrid w:val="0"/>
      </w:pPr>
      <w:r>
        <w:rPr>
          <w:rStyle w:val="15"/>
        </w:rPr>
        <w:t>[</w:t>
      </w:r>
      <w:r>
        <w:rPr>
          <w:rStyle w:val="15"/>
        </w:rPr>
        <w:footnoteRef/>
      </w:r>
      <w:r>
        <w:rPr>
          <w:rStyle w:val="15"/>
        </w:rPr>
        <w:t>]</w:t>
      </w:r>
      <w:r>
        <w:t xml:space="preserve"> </w:t>
      </w:r>
      <w:r>
        <w:rPr>
          <w:rFonts w:hint="eastAsia"/>
        </w:rPr>
        <w:t>唐林垚：</w:t>
      </w:r>
      <w:r>
        <w:rPr>
          <w:rFonts w:hint="eastAsia"/>
          <w:lang w:eastAsia="zh-CN"/>
        </w:rPr>
        <w:t>《</w:t>
      </w:r>
      <w:r>
        <w:rPr>
          <w:rFonts w:hint="eastAsia"/>
        </w:rPr>
        <w:t>脱离算法自动化决策权的虚幻承诺</w:t>
      </w:r>
      <w:r>
        <w:rPr>
          <w:rFonts w:hint="eastAsia"/>
          <w:lang w:eastAsia="zh-CN"/>
        </w:rPr>
        <w:t>》</w:t>
      </w:r>
      <w:r>
        <w:rPr>
          <w:rFonts w:hint="eastAsia"/>
        </w:rPr>
        <w:t>，</w:t>
      </w:r>
      <w:r>
        <w:rPr>
          <w:rFonts w:hint="eastAsia"/>
          <w:lang w:val="en-US" w:eastAsia="zh-CN"/>
        </w:rPr>
        <w:t>载</w:t>
      </w:r>
      <w:r>
        <w:rPr>
          <w:rFonts w:hint="eastAsia"/>
        </w:rPr>
        <w:t>《东方法学》2020年第6期</w:t>
      </w:r>
      <w:r>
        <w:rPr>
          <w:rFonts w:hint="eastAsia"/>
          <w:lang w:eastAsia="zh-CN"/>
        </w:rPr>
        <w:t>，</w:t>
      </w:r>
      <w:r>
        <w:rPr>
          <w:rFonts w:hint="eastAsia"/>
        </w:rPr>
        <w:t>第77页。</w:t>
      </w:r>
    </w:p>
  </w:footnote>
  <w:footnote w:id="23">
    <w:p w14:paraId="6CA3FCF2">
      <w:pPr>
        <w:pStyle w:val="9"/>
        <w:snapToGrid w:val="0"/>
      </w:pPr>
      <w:r>
        <w:rPr>
          <w:rStyle w:val="15"/>
        </w:rPr>
        <w:t>[</w:t>
      </w:r>
      <w:r>
        <w:rPr>
          <w:rStyle w:val="15"/>
        </w:rPr>
        <w:footnoteRef/>
      </w:r>
      <w:r>
        <w:rPr>
          <w:rStyle w:val="15"/>
        </w:rPr>
        <w:t>]</w:t>
      </w:r>
      <w:r>
        <w:t xml:space="preserve"> </w:t>
      </w:r>
      <w:r>
        <w:rPr>
          <w:rFonts w:hint="eastAsia"/>
        </w:rPr>
        <w:t>陈柳钦</w:t>
      </w:r>
      <w:r>
        <w:rPr>
          <w:rFonts w:hint="eastAsia"/>
          <w:lang w:eastAsia="zh-CN"/>
        </w:rPr>
        <w:t>：《</w:t>
      </w:r>
      <w:r>
        <w:rPr>
          <w:rFonts w:hint="eastAsia"/>
        </w:rPr>
        <w:t>我国人工智能治理体系的构建路径</w:t>
      </w:r>
      <w:r>
        <w:rPr>
          <w:rFonts w:hint="eastAsia"/>
          <w:lang w:eastAsia="zh-CN"/>
        </w:rPr>
        <w:t>》，</w:t>
      </w:r>
      <w:r>
        <w:rPr>
          <w:rFonts w:hint="eastAsia"/>
          <w:lang w:val="en-US" w:eastAsia="zh-CN"/>
        </w:rPr>
        <w:t>载</w:t>
      </w:r>
      <w:r>
        <w:rPr>
          <w:rFonts w:hint="eastAsia"/>
          <w:lang w:eastAsia="zh-CN"/>
        </w:rPr>
        <w:t>《</w:t>
      </w:r>
      <w:r>
        <w:rPr>
          <w:rFonts w:hint="eastAsia"/>
        </w:rPr>
        <w:t>贵州省党校学报</w:t>
      </w:r>
      <w:r>
        <w:rPr>
          <w:rFonts w:hint="eastAsia"/>
          <w:lang w:eastAsia="zh-CN"/>
        </w:rPr>
        <w:t>》</w:t>
      </w:r>
      <w:r>
        <w:rPr>
          <w:rFonts w:hint="eastAsia"/>
          <w:lang w:val="en-US" w:eastAsia="zh-CN"/>
        </w:rPr>
        <w:t>2025年第6期，第79页。</w:t>
      </w:r>
    </w:p>
  </w:footnote>
  <w:footnote w:id="24">
    <w:p w14:paraId="7ECDB2A3">
      <w:pPr>
        <w:pStyle w:val="9"/>
        <w:snapToGrid w:val="0"/>
      </w:pPr>
      <w:r>
        <w:rPr>
          <w:rStyle w:val="15"/>
        </w:rPr>
        <w:t>[</w:t>
      </w:r>
      <w:r>
        <w:rPr>
          <w:rStyle w:val="15"/>
        </w:rPr>
        <w:footnoteRef/>
      </w:r>
      <w:r>
        <w:rPr>
          <w:rStyle w:val="15"/>
        </w:rPr>
        <w:t>]</w:t>
      </w:r>
      <w:r>
        <w:t xml:space="preserve"> </w:t>
      </w:r>
      <w:r>
        <w:rPr>
          <w:rFonts w:hint="eastAsia"/>
        </w:rPr>
        <w:t>张吉豫</w:t>
      </w:r>
      <w:r>
        <w:rPr>
          <w:rFonts w:hint="eastAsia"/>
          <w:lang w:eastAsia="zh-CN"/>
        </w:rPr>
        <w:t>：《</w:t>
      </w:r>
      <w:r>
        <w:rPr>
          <w:rFonts w:hint="eastAsia"/>
        </w:rPr>
        <w:t>赋能型人工智能治理的理念确立与机制构建</w:t>
      </w:r>
      <w:r>
        <w:rPr>
          <w:rFonts w:hint="eastAsia"/>
          <w:lang w:eastAsia="zh-CN"/>
        </w:rPr>
        <w:t>》，</w:t>
      </w:r>
      <w:r>
        <w:rPr>
          <w:rFonts w:hint="eastAsia"/>
          <w:lang w:val="en-US" w:eastAsia="zh-CN"/>
        </w:rPr>
        <w:t>载</w:t>
      </w:r>
      <w:r>
        <w:rPr>
          <w:rFonts w:hint="eastAsia"/>
          <w:lang w:eastAsia="zh-CN"/>
        </w:rPr>
        <w:t>《</w:t>
      </w:r>
      <w:r>
        <w:rPr>
          <w:rFonts w:hint="eastAsia"/>
        </w:rPr>
        <w:t>中国法学</w:t>
      </w:r>
      <w:r>
        <w:rPr>
          <w:rFonts w:hint="eastAsia"/>
          <w:lang w:eastAsia="zh-CN"/>
        </w:rPr>
        <w:t>》</w:t>
      </w:r>
      <w:r>
        <w:rPr>
          <w:rFonts w:hint="eastAsia"/>
        </w:rPr>
        <w:t>2024</w:t>
      </w:r>
      <w:r>
        <w:rPr>
          <w:rFonts w:hint="eastAsia"/>
          <w:lang w:val="en-US" w:eastAsia="zh-CN"/>
        </w:rPr>
        <w:t>年第</w:t>
      </w:r>
      <w:r>
        <w:rPr>
          <w:rFonts w:hint="eastAsia"/>
        </w:rPr>
        <w:t>5</w:t>
      </w:r>
      <w:r>
        <w:rPr>
          <w:rFonts w:hint="eastAsia"/>
          <w:lang w:val="en-US" w:eastAsia="zh-CN"/>
        </w:rPr>
        <w:t>期，第</w:t>
      </w:r>
      <w:r>
        <w:rPr>
          <w:rFonts w:hint="eastAsia"/>
        </w:rPr>
        <w:t>61-81</w:t>
      </w:r>
      <w:r>
        <w:rPr>
          <w:rFonts w:hint="eastAsia"/>
          <w:lang w:val="en-US" w:eastAsia="zh-CN"/>
        </w:rPr>
        <w:t>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FB511A"/>
    <w:multiLevelType w:val="singleLevel"/>
    <w:tmpl w:val="D3FB511A"/>
    <w:lvl w:ilvl="0" w:tentative="0">
      <w:start w:val="3"/>
      <w:numFmt w:val="chineseCounting"/>
      <w:suff w:val="nothing"/>
      <w:lvlText w:val="（%1）"/>
      <w:lvlJc w:val="left"/>
      <w:rPr>
        <w:rFonts w:hint="eastAsia"/>
      </w:rPr>
    </w:lvl>
  </w:abstractNum>
  <w:abstractNum w:abstractNumId="1">
    <w:nsid w:val="4C565A79"/>
    <w:multiLevelType w:val="singleLevel"/>
    <w:tmpl w:val="4C565A79"/>
    <w:lvl w:ilvl="0" w:tentative="0">
      <w:start w:val="4"/>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50"/>
    <w:footnote w:id="5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1150A2"/>
    <w:rsid w:val="0216462A"/>
    <w:rsid w:val="02197CE6"/>
    <w:rsid w:val="030663D5"/>
    <w:rsid w:val="031C4028"/>
    <w:rsid w:val="049C2D1F"/>
    <w:rsid w:val="05065269"/>
    <w:rsid w:val="054F4152"/>
    <w:rsid w:val="05F94DCD"/>
    <w:rsid w:val="066E1317"/>
    <w:rsid w:val="07372051"/>
    <w:rsid w:val="076D3DE5"/>
    <w:rsid w:val="07DA78EE"/>
    <w:rsid w:val="07DB536F"/>
    <w:rsid w:val="084908AD"/>
    <w:rsid w:val="096806FF"/>
    <w:rsid w:val="099B68C7"/>
    <w:rsid w:val="0A111F62"/>
    <w:rsid w:val="0A834F10"/>
    <w:rsid w:val="0ABC6D82"/>
    <w:rsid w:val="0B016BFE"/>
    <w:rsid w:val="0BF0588E"/>
    <w:rsid w:val="0DE50B0D"/>
    <w:rsid w:val="101E3DAE"/>
    <w:rsid w:val="10811EF4"/>
    <w:rsid w:val="116F23E8"/>
    <w:rsid w:val="11CB5DFD"/>
    <w:rsid w:val="12382E3C"/>
    <w:rsid w:val="127C08E1"/>
    <w:rsid w:val="13B332D0"/>
    <w:rsid w:val="15BC67B5"/>
    <w:rsid w:val="15FB249C"/>
    <w:rsid w:val="16900E36"/>
    <w:rsid w:val="175F6675"/>
    <w:rsid w:val="17864B27"/>
    <w:rsid w:val="179B7A92"/>
    <w:rsid w:val="18A84B5D"/>
    <w:rsid w:val="18E46663"/>
    <w:rsid w:val="19185113"/>
    <w:rsid w:val="198F3FC3"/>
    <w:rsid w:val="1A091C0D"/>
    <w:rsid w:val="1A6E76E0"/>
    <w:rsid w:val="1A9255A6"/>
    <w:rsid w:val="1B2E0C1E"/>
    <w:rsid w:val="1B450D4A"/>
    <w:rsid w:val="1B6A3C9A"/>
    <w:rsid w:val="1BB12716"/>
    <w:rsid w:val="1BD651AE"/>
    <w:rsid w:val="1BE35ACF"/>
    <w:rsid w:val="1CF4520D"/>
    <w:rsid w:val="1D0934BC"/>
    <w:rsid w:val="1D8061E7"/>
    <w:rsid w:val="1D8B67FB"/>
    <w:rsid w:val="1E48649A"/>
    <w:rsid w:val="1E5F4614"/>
    <w:rsid w:val="1EEC4BC2"/>
    <w:rsid w:val="1F1A5F65"/>
    <w:rsid w:val="1FE47B4B"/>
    <w:rsid w:val="20340CCA"/>
    <w:rsid w:val="211508B6"/>
    <w:rsid w:val="211C02C6"/>
    <w:rsid w:val="21C051B3"/>
    <w:rsid w:val="228D4308"/>
    <w:rsid w:val="228E126C"/>
    <w:rsid w:val="22FF7A6F"/>
    <w:rsid w:val="23041CB6"/>
    <w:rsid w:val="23400B66"/>
    <w:rsid w:val="23717C20"/>
    <w:rsid w:val="249D7011"/>
    <w:rsid w:val="25570229"/>
    <w:rsid w:val="259A75DB"/>
    <w:rsid w:val="26997EBC"/>
    <w:rsid w:val="27081E15"/>
    <w:rsid w:val="2717588C"/>
    <w:rsid w:val="27CC0928"/>
    <w:rsid w:val="28102647"/>
    <w:rsid w:val="2925470E"/>
    <w:rsid w:val="2AB033FD"/>
    <w:rsid w:val="2B6739C3"/>
    <w:rsid w:val="2BAC0068"/>
    <w:rsid w:val="2BC30006"/>
    <w:rsid w:val="2D3F1488"/>
    <w:rsid w:val="2D5C5C08"/>
    <w:rsid w:val="2DCD42C6"/>
    <w:rsid w:val="2E8A0EBB"/>
    <w:rsid w:val="301E4C48"/>
    <w:rsid w:val="3071362F"/>
    <w:rsid w:val="31C61758"/>
    <w:rsid w:val="31F340BE"/>
    <w:rsid w:val="322769AE"/>
    <w:rsid w:val="3235605E"/>
    <w:rsid w:val="325D6B94"/>
    <w:rsid w:val="32A55811"/>
    <w:rsid w:val="349637C4"/>
    <w:rsid w:val="34BF7E98"/>
    <w:rsid w:val="36C76F19"/>
    <w:rsid w:val="371C5779"/>
    <w:rsid w:val="375A6BCB"/>
    <w:rsid w:val="38196915"/>
    <w:rsid w:val="38610702"/>
    <w:rsid w:val="3A127D55"/>
    <w:rsid w:val="3A4F49E1"/>
    <w:rsid w:val="3A612B05"/>
    <w:rsid w:val="3B27789D"/>
    <w:rsid w:val="3B2B0270"/>
    <w:rsid w:val="3B3A303A"/>
    <w:rsid w:val="3C4C6BE1"/>
    <w:rsid w:val="3CD236A7"/>
    <w:rsid w:val="3E7E456A"/>
    <w:rsid w:val="3EFD487A"/>
    <w:rsid w:val="40760A35"/>
    <w:rsid w:val="40FB7928"/>
    <w:rsid w:val="4177481D"/>
    <w:rsid w:val="417F59AF"/>
    <w:rsid w:val="418272E4"/>
    <w:rsid w:val="41E212A8"/>
    <w:rsid w:val="43561D06"/>
    <w:rsid w:val="43CD5571"/>
    <w:rsid w:val="43CE4B96"/>
    <w:rsid w:val="442B4735"/>
    <w:rsid w:val="44AA52C3"/>
    <w:rsid w:val="44AB315B"/>
    <w:rsid w:val="459040FF"/>
    <w:rsid w:val="45C76287"/>
    <w:rsid w:val="476A1887"/>
    <w:rsid w:val="47811F51"/>
    <w:rsid w:val="47DA0270"/>
    <w:rsid w:val="47F009C8"/>
    <w:rsid w:val="486C55E1"/>
    <w:rsid w:val="487C33A3"/>
    <w:rsid w:val="489932CB"/>
    <w:rsid w:val="48A65C4C"/>
    <w:rsid w:val="48D52555"/>
    <w:rsid w:val="49287C6C"/>
    <w:rsid w:val="4A693DA2"/>
    <w:rsid w:val="4B914FD4"/>
    <w:rsid w:val="4C397C9D"/>
    <w:rsid w:val="4C5B7215"/>
    <w:rsid w:val="4ECD6554"/>
    <w:rsid w:val="4EFB4F00"/>
    <w:rsid w:val="4F166E11"/>
    <w:rsid w:val="4F411D97"/>
    <w:rsid w:val="4F4D2326"/>
    <w:rsid w:val="4F867008"/>
    <w:rsid w:val="4F960564"/>
    <w:rsid w:val="4FDF1F0B"/>
    <w:rsid w:val="502E3BE2"/>
    <w:rsid w:val="53F91A55"/>
    <w:rsid w:val="55480552"/>
    <w:rsid w:val="55EB73E1"/>
    <w:rsid w:val="568B06F7"/>
    <w:rsid w:val="575C513B"/>
    <w:rsid w:val="59071207"/>
    <w:rsid w:val="593625E5"/>
    <w:rsid w:val="59414D23"/>
    <w:rsid w:val="5B956D6B"/>
    <w:rsid w:val="5BFE5E0F"/>
    <w:rsid w:val="5C6575A6"/>
    <w:rsid w:val="5C993ABE"/>
    <w:rsid w:val="5CD2310C"/>
    <w:rsid w:val="5CF625B4"/>
    <w:rsid w:val="5D0A5B35"/>
    <w:rsid w:val="5DAA7B74"/>
    <w:rsid w:val="5F8C3EEF"/>
    <w:rsid w:val="5F954394"/>
    <w:rsid w:val="600D1B70"/>
    <w:rsid w:val="61333E65"/>
    <w:rsid w:val="615362B5"/>
    <w:rsid w:val="619D1807"/>
    <w:rsid w:val="620E04AF"/>
    <w:rsid w:val="628F5E41"/>
    <w:rsid w:val="62AE658B"/>
    <w:rsid w:val="631728A2"/>
    <w:rsid w:val="634E31D8"/>
    <w:rsid w:val="636D5257"/>
    <w:rsid w:val="63781BD6"/>
    <w:rsid w:val="63DA7618"/>
    <w:rsid w:val="64442CDB"/>
    <w:rsid w:val="64917820"/>
    <w:rsid w:val="64DE225B"/>
    <w:rsid w:val="65960E66"/>
    <w:rsid w:val="66624588"/>
    <w:rsid w:val="66EA2591"/>
    <w:rsid w:val="67424E02"/>
    <w:rsid w:val="67BB4BB4"/>
    <w:rsid w:val="680A55C5"/>
    <w:rsid w:val="682E5386"/>
    <w:rsid w:val="684B418A"/>
    <w:rsid w:val="686739D9"/>
    <w:rsid w:val="6A667C1B"/>
    <w:rsid w:val="6C9360FF"/>
    <w:rsid w:val="6D961C9B"/>
    <w:rsid w:val="6E0C43BB"/>
    <w:rsid w:val="6F133C61"/>
    <w:rsid w:val="6F6F4C02"/>
    <w:rsid w:val="6F7828E6"/>
    <w:rsid w:val="7016507D"/>
    <w:rsid w:val="7060279C"/>
    <w:rsid w:val="70B950FC"/>
    <w:rsid w:val="713A6130"/>
    <w:rsid w:val="71D376CA"/>
    <w:rsid w:val="72E60F3E"/>
    <w:rsid w:val="734931FB"/>
    <w:rsid w:val="7354542B"/>
    <w:rsid w:val="73610D05"/>
    <w:rsid w:val="73736B12"/>
    <w:rsid w:val="73BF77DA"/>
    <w:rsid w:val="745065B3"/>
    <w:rsid w:val="74967C23"/>
    <w:rsid w:val="75174D34"/>
    <w:rsid w:val="753C5428"/>
    <w:rsid w:val="75D00AC8"/>
    <w:rsid w:val="75DA6037"/>
    <w:rsid w:val="7634625D"/>
    <w:rsid w:val="764F23CF"/>
    <w:rsid w:val="76AF5AC7"/>
    <w:rsid w:val="76E31582"/>
    <w:rsid w:val="77355374"/>
    <w:rsid w:val="775D7FF1"/>
    <w:rsid w:val="77BA09E4"/>
    <w:rsid w:val="78206C22"/>
    <w:rsid w:val="786120E9"/>
    <w:rsid w:val="78FF6FF6"/>
    <w:rsid w:val="7AD973D3"/>
    <w:rsid w:val="7B094D12"/>
    <w:rsid w:val="7B43189B"/>
    <w:rsid w:val="7BAC7174"/>
    <w:rsid w:val="7BF0370D"/>
    <w:rsid w:val="7C2A1C3C"/>
    <w:rsid w:val="7C8A0D60"/>
    <w:rsid w:val="7C8E77D0"/>
    <w:rsid w:val="7E5C520E"/>
    <w:rsid w:val="7F280929"/>
    <w:rsid w:val="FC6EF6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60" w:lineRule="auto"/>
      <w:ind w:firstLine="643" w:firstLineChars="200"/>
      <w:jc w:val="both"/>
    </w:pPr>
    <w:rPr>
      <w:rFonts w:eastAsia="宋体" w:asciiTheme="minorAscii" w:hAnsiTheme="minorAscii" w:cstheme="minorBidi"/>
      <w:color w:val="000000" w:themeColor="text1"/>
      <w:kern w:val="2"/>
      <w:sz w:val="24"/>
      <w:szCs w:val="24"/>
      <w:lang w:val="en-US" w:eastAsia="zh-CN" w:bidi="ar-SA"/>
      <w14:textFill>
        <w14:solidFill>
          <w14:schemeClr w14:val="tx1"/>
        </w14:solidFill>
      </w14:textFill>
    </w:rPr>
  </w:style>
  <w:style w:type="paragraph" w:styleId="2">
    <w:name w:val="heading 1"/>
    <w:basedOn w:val="1"/>
    <w:next w:val="1"/>
    <w:qFormat/>
    <w:uiPriority w:val="0"/>
    <w:pPr>
      <w:keepNext/>
      <w:keepLines/>
      <w:ind w:firstLine="667"/>
      <w:jc w:val="center"/>
      <w:outlineLvl w:val="0"/>
    </w:pPr>
    <w:rPr>
      <w:rFonts w:ascii="黑体" w:hAnsi="黑体" w:eastAsia="黑体" w:cs="Times New Roman"/>
      <w:b/>
      <w:bCs/>
      <w:kern w:val="44"/>
      <w:sz w:val="32"/>
      <w:szCs w:val="32"/>
    </w:rPr>
  </w:style>
  <w:style w:type="paragraph" w:styleId="3">
    <w:name w:val="heading 2"/>
    <w:basedOn w:val="1"/>
    <w:next w:val="1"/>
    <w:link w:val="16"/>
    <w:semiHidden/>
    <w:unhideWhenUsed/>
    <w:qFormat/>
    <w:uiPriority w:val="0"/>
    <w:pPr>
      <w:keepNext/>
      <w:adjustRightInd w:val="0"/>
      <w:snapToGrid w:val="0"/>
      <w:jc w:val="center"/>
      <w:outlineLvl w:val="1"/>
    </w:pPr>
    <w:rPr>
      <w:rFonts w:ascii="Times New Roman" w:hAnsi="Times New Roman" w:eastAsia="华文中宋" w:cs="Times New Roman"/>
      <w:b/>
      <w:sz w:val="32"/>
      <w:szCs w:val="20"/>
    </w:rPr>
  </w:style>
  <w:style w:type="paragraph" w:styleId="4">
    <w:name w:val="heading 3"/>
    <w:basedOn w:val="1"/>
    <w:next w:val="1"/>
    <w:link w:val="17"/>
    <w:autoRedefine/>
    <w:semiHidden/>
    <w:unhideWhenUsed/>
    <w:qFormat/>
    <w:uiPriority w:val="0"/>
    <w:pPr>
      <w:keepNext/>
      <w:keepLines/>
      <w:adjustRightInd w:val="0"/>
      <w:snapToGrid w:val="0"/>
      <w:ind w:firstLine="562"/>
      <w:outlineLvl w:val="2"/>
    </w:pPr>
    <w:rPr>
      <w:rFonts w:eastAsia="黑体" w:cs="Times New Roman"/>
      <w:b/>
      <w:szCs w:val="22"/>
    </w:rPr>
  </w:style>
  <w:style w:type="paragraph" w:styleId="5">
    <w:name w:val="heading 4"/>
    <w:basedOn w:val="1"/>
    <w:next w:val="1"/>
    <w:link w:val="18"/>
    <w:semiHidden/>
    <w:unhideWhenUsed/>
    <w:qFormat/>
    <w:uiPriority w:val="0"/>
    <w:pPr>
      <w:keepNext/>
      <w:keepLines/>
      <w:adjustRightInd w:val="0"/>
      <w:snapToGrid w:val="0"/>
      <w:spacing w:line="360" w:lineRule="auto"/>
      <w:ind w:firstLine="721"/>
      <w:outlineLvl w:val="3"/>
    </w:pPr>
    <w:rPr>
      <w:rFonts w:hint="eastAsia" w:ascii="等线" w:hAnsi="等线" w:eastAsia="黑体" w:cs="Times New Roman"/>
      <w:b/>
      <w:bCs/>
      <w:szCs w:val="28"/>
    </w:rPr>
  </w:style>
  <w:style w:type="paragraph" w:styleId="6">
    <w:name w:val="heading 5"/>
    <w:basedOn w:val="1"/>
    <w:next w:val="1"/>
    <w:semiHidden/>
    <w:unhideWhenUsed/>
    <w:qFormat/>
    <w:uiPriority w:val="0"/>
    <w:pPr>
      <w:keepNext/>
      <w:keepLines/>
      <w:spacing w:beforeLines="0" w:beforeAutospacing="0" w:afterLines="0" w:afterAutospacing="0" w:line="360" w:lineRule="auto"/>
      <w:outlineLvl w:val="4"/>
    </w:pPr>
    <w:rPr>
      <w:rFonts w:eastAsia="黑体"/>
      <w:b/>
      <w:sz w:val="24"/>
    </w:rPr>
  </w:style>
  <w:style w:type="paragraph" w:styleId="7">
    <w:name w:val="heading 6"/>
    <w:basedOn w:val="1"/>
    <w:next w:val="1"/>
    <w:semiHidden/>
    <w:unhideWhenUsed/>
    <w:qFormat/>
    <w:uiPriority w:val="0"/>
    <w:pPr>
      <w:keepNext/>
      <w:keepLines/>
      <w:spacing w:beforeLines="0" w:beforeAutospacing="0" w:afterLines="0" w:afterAutospacing="0" w:line="360" w:lineRule="auto"/>
      <w:outlineLvl w:val="5"/>
    </w:pPr>
    <w:rPr>
      <w:rFonts w:ascii="Arial" w:hAnsi="Arial" w:eastAsia="黑体"/>
      <w:b/>
    </w:rPr>
  </w:style>
  <w:style w:type="character" w:default="1" w:styleId="12">
    <w:name w:val="Default Paragraph Font"/>
    <w:semiHidden/>
    <w:qFormat/>
    <w:uiPriority w:val="0"/>
  </w:style>
  <w:style w:type="table" w:default="1" w:styleId="11">
    <w:name w:val="Normal Table"/>
    <w:autoRedefine/>
    <w:semiHidden/>
    <w:qFormat/>
    <w:uiPriority w:val="0"/>
    <w:tblPr>
      <w:tblCellMar>
        <w:top w:w="0" w:type="dxa"/>
        <w:left w:w="108" w:type="dxa"/>
        <w:bottom w:w="0" w:type="dxa"/>
        <w:right w:w="108" w:type="dxa"/>
      </w:tblCellMar>
    </w:tblPr>
  </w:style>
  <w:style w:type="paragraph" w:styleId="8">
    <w:name w:val="annotation text"/>
    <w:basedOn w:val="1"/>
    <w:qFormat/>
    <w:uiPriority w:val="0"/>
    <w:pPr>
      <w:jc w:val="left"/>
    </w:pPr>
  </w:style>
  <w:style w:type="paragraph" w:styleId="9">
    <w:name w:val="footnote text"/>
    <w:basedOn w:val="1"/>
    <w:qFormat/>
    <w:uiPriority w:val="0"/>
    <w:pPr>
      <w:wordWrap w:val="0"/>
      <w:adjustRightInd w:val="0"/>
      <w:snapToGrid w:val="0"/>
      <w:spacing w:line="240" w:lineRule="auto"/>
      <w:ind w:firstLine="0" w:firstLineChars="0"/>
      <w:jc w:val="both"/>
    </w:pPr>
    <w:rPr>
      <w:rFonts w:ascii="Times New Roman" w:hAnsi="Times New Roman" w:eastAsia="宋体" w:cs="Times New Roman"/>
      <w:sz w:val="18"/>
      <w:szCs w:val="18"/>
    </w:rPr>
  </w:style>
  <w:style w:type="paragraph" w:styleId="10">
    <w:name w:val="Normal (Web)"/>
    <w:basedOn w:val="1"/>
    <w:qFormat/>
    <w:uiPriority w:val="0"/>
    <w:rPr>
      <w:sz w:val="24"/>
    </w:rPr>
  </w:style>
  <w:style w:type="character" w:styleId="13">
    <w:name w:val="Strong"/>
    <w:basedOn w:val="12"/>
    <w:qFormat/>
    <w:uiPriority w:val="0"/>
    <w:rPr>
      <w:b/>
    </w:rPr>
  </w:style>
  <w:style w:type="character" w:styleId="14">
    <w:name w:val="Hyperlink"/>
    <w:basedOn w:val="12"/>
    <w:qFormat/>
    <w:uiPriority w:val="0"/>
    <w:rPr>
      <w:color w:val="0000FF"/>
      <w:u w:val="single"/>
    </w:rPr>
  </w:style>
  <w:style w:type="character" w:styleId="15">
    <w:name w:val="footnote reference"/>
    <w:basedOn w:val="12"/>
    <w:qFormat/>
    <w:uiPriority w:val="0"/>
    <w:rPr>
      <w:vertAlign w:val="superscript"/>
    </w:rPr>
  </w:style>
  <w:style w:type="character" w:customStyle="1" w:styleId="16">
    <w:name w:val="标题 2 Char"/>
    <w:link w:val="3"/>
    <w:autoRedefine/>
    <w:qFormat/>
    <w:uiPriority w:val="0"/>
    <w:rPr>
      <w:rFonts w:ascii="Times New Roman" w:hAnsi="Times New Roman" w:eastAsia="华文中宋" w:cs="Times New Roman"/>
      <w:b/>
      <w:bCs/>
      <w:sz w:val="30"/>
      <w:szCs w:val="32"/>
    </w:rPr>
  </w:style>
  <w:style w:type="character" w:customStyle="1" w:styleId="17">
    <w:name w:val="标题 3 Char"/>
    <w:link w:val="4"/>
    <w:autoRedefine/>
    <w:qFormat/>
    <w:uiPriority w:val="0"/>
    <w:rPr>
      <w:rFonts w:ascii="+西文正文" w:hAnsi="+西文正文" w:eastAsia="黑体" w:cs="Times New Roman"/>
      <w:b/>
      <w:sz w:val="24"/>
      <w:szCs w:val="22"/>
    </w:rPr>
  </w:style>
  <w:style w:type="character" w:customStyle="1" w:styleId="18">
    <w:name w:val="标题 4 Char"/>
    <w:link w:val="5"/>
    <w:qFormat/>
    <w:uiPriority w:val="9"/>
    <w:rPr>
      <w:rFonts w:eastAsia="黑体" w:cs="Times New Roman" w:asciiTheme="majorAscii" w:hAnsiTheme="majorAscii"/>
      <w:b/>
      <w:bCs/>
      <w:sz w:val="24"/>
      <w:szCs w:val="2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bc5210e4-81c6-4a1a-8e92-c54c39502eb4</errorID>
      <errorWord>。</errorWord>
      <group>L1_Grammar</group>
      <groupName>语法问题</groupName>
      <ability>L2_Missing</ability>
      <abilityName>成分残缺</abilityName>
      <candidateList>
        <item>产业。</item>
      </candidateList>
      <explain>句子中可能存在主谓宾、修饰语或者必要的词语残缺。</explain>
      <paraID> D8161BF</paraID>
      <start>35</start>
      <end>36</end>
      <status>unmodified</status>
      <modifiedWord/>
      <trackRevisions>false</trackRevisions>
    </reviewItem>
    <reviewItem>
      <errorID>bc13e021-91eb-4c2f-ba70-c44bc05dfbed</errorID>
      <errorWord>社会全</errorWord>
      <group>L1_Word</group>
      <groupName>字词问题</groupName>
      <ability>L2_Typo</ability>
      <abilityName>字词错误</abilityName>
      <candidateList>
        <item>社会</item>
      </candidateList>
      <explain>〈名〉❶指由一定的经济基础和上层建筑构成的整体。也叫社会形态。原始共产主义社会、奴隶社会、封建社会、资本主义社会、共产主义社会是人类社会的五种基本形态。❷泛指由于共同物质条件而互相联系起来的人群。</explain>
      <paraID> D8161BF</paraID>
      <start>208</start>
      <end>211</end>
      <status>unmodified</status>
      <modifiedWord/>
      <trackRevisions>false</trackRevisions>
    </reviewItem>
    <reviewItem>
      <errorID>6014056d-f0f5-4786-a0d3-a08fdff5a7cf</errorID>
      <errorWord>《中华人民共和国个人信息保护法》（以下简称《个人信息保护法》）</errorWord>
      <group>L1_Knowledge</group>
      <groupName>知识性问题</groupName>
      <ability>L2_Knowledge</ability>
      <abilityName>其他知识</abilityName>
      <candidateList>
        <item>《中华人民共和国个人信息保护法》（以下简称“个人信息保护法”）</item>
      </candidateList>
      <explain>疑似政策文件、法律法规名称等书写不规范，请注意检查。</explain>
      <paraID> D8161BF</paraID>
      <start>462</start>
      <end>493</end>
      <status>unmodified</status>
      <modifiedWord/>
      <trackRevisions>false</trackRevisions>
    </reviewItem>
    <reviewItem>
      <errorID>90adde82-fbf3-4482-90d8-ac9d6e2d38a7</errorID>
      <errorWord>，</errorWord>
      <group>L1_Word</group>
      <groupName>字词问题</groupName>
      <ability>L2_Typo</ability>
      <abilityName>字词错误</abilityName>
      <candidateList>
        <item>，但</item>
      </candidateList>
      <explain/>
      <paraID>657F2B42</paraID>
      <start>102</start>
      <end>105</end>
      <status>modified</status>
      <modifiedWord>，但</modifiedWord>
      <trackRevisions>true</trackRevisions>
    </reviewItem>
    <reviewItem>
      <errorID>6b53e71e-8a8c-47c6-bc8d-c8d8d23c57be</errorID>
      <errorWord>-</errorWord>
      <group>L1_Format</group>
      <groupName>格式问题</groupName>
      <ability>L2_HalfPunc</ability>
      <abilityName>全半角检查</abilityName>
      <candidateList>
        <item>－</item>
      </candidateList>
      <explain>文本全半角错误。</explain>
      <paraID>657F2B42</paraID>
      <start>234</start>
      <end>236</end>
      <status>modified</status>
      <modifiedWord>－</modifiedWord>
      <trackRevisions>true</trackRevisions>
    </reviewItem>
    <reviewItem>
      <errorID>8e01f88d-b3c8-45ad-b5cd-22e081fbf80a</errorID>
      <errorWord>-</errorWord>
      <group>L1_Format</group>
      <groupName>格式问题</groupName>
      <ability>L2_HalfPunc</ability>
      <abilityName>全半角检查</abilityName>
      <candidateList>
        <item>－</item>
      </candidateList>
      <explain>文本全半角错误。</explain>
      <paraID>657F2B42</paraID>
      <start>238</start>
      <end>240</end>
      <status>modified</status>
      <modifiedWord>－</modifiedWord>
      <trackRevisions>true</trackRevisions>
    </reviewItem>
    <reviewItem>
      <errorID>7440be82-698d-4a59-a0e5-9c2cdf8bd21a</errorID>
      <errorWord>导致当</errorWord>
      <group>L1_Word</group>
      <groupName>字词问题</groupName>
      <ability>L2_Typo</ability>
      <abilityName>字词错误</abilityName>
      <candidateList>
        <item>导致</item>
      </candidateList>
      <explain>〈动〉引起：由一些小的矛盾～双方关系破裂。</explain>
      <paraID>7CDCD4DD</paraID>
      <start>227</start>
      <end>230</end>
      <status>unmodified</status>
      <modifiedWord/>
      <trackRevisions>false</trackRevisions>
    </reviewItem>
    <reviewItem>
      <errorID>8da6f15d-4702-42bb-940d-432448ba3dbb</errorID>
      <errorWord>泄漏</errorWord>
      <group>L1_Word</group>
      <groupName>字词问题</groupName>
      <ability>L2_Typo</ability>
      <abilityName>字词错误</abilityName>
      <candidateList>
        <item>泄露</item>
      </candidateList>
      <explain/>
      <paraID>1E80FBDA</paraID>
      <start>162</start>
      <end>164</end>
      <status>unmodified</status>
      <modifiedWord/>
      <trackRevisions>false</trackRevisions>
    </reviewItem>
    <reviewItem>
      <errorID>b81b03e2-2fdc-403e-a777-2ad4e8d62a12</errorID>
      <errorWord>须</errorWord>
      <group>L1_Word</group>
      <groupName>字词问题</groupName>
      <ability>L2_Typo</ability>
      <abilityName>字词错误</abilityName>
      <candidateList>
        <item>需</item>
      </candidateList>
      <explain>存在发音相同字词的误用。</explain>
      <paraID>12A8C454</paraID>
      <start>286</start>
      <end>288</end>
      <status>modified</status>
      <modifiedWord>需</modifiedWord>
      <trackRevisions>true</trackRevisions>
    </reviewItem>
    <reviewItem>
      <errorID>e4cacb73-8273-4186-892f-d1fe561e94cb</errorID>
      <errorWord>，</errorWord>
      <group>L1_Word</group>
      <groupName>字词问题</groupName>
      <ability>L2_Typo</ability>
      <abilityName>字词错误</abilityName>
      <candidateList>
        <item>，在</item>
      </candidateList>
      <explain/>
      <paraID>12A8C454</paraID>
      <start>372</start>
      <end>375</end>
      <status>modified</status>
      <modifiedWord>，在</modifiedWord>
      <trackRevisions>true</trackRevisions>
    </reviewItem>
    <reviewItem>
      <errorID>3bf2e52f-088b-45f5-a655-597adbade2b5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12A8C454</paraID>
      <start>555</start>
      <end>556</end>
      <status>unmodified</status>
      <modifiedWord/>
      <trackRevisions>false</trackRevisions>
    </reviewItem>
    <reviewItem>
      <errorID>7593f9e5-7af1-4a32-96b8-3a21b59fe658</errorID>
      <errorWord>作</errorWord>
      <group>L1_Word</group>
      <groupName>字词问题</groupName>
      <ability>L2_Typo</ability>
      <abilityName>字词错误</abilityName>
      <candidateList>
        <item>作性</item>
      </candidateList>
      <explain/>
      <paraID>12A8C454</paraID>
      <start>614</start>
      <end>615</end>
      <status>unmodified</status>
      <modifiedWord/>
      <trackRevisions>false</trackRevisions>
    </reviewItem>
    <reviewItem>
      <errorID>062abe69-3d91-4c85-aef3-efb150c48ba2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7225C5FE</paraID>
      <start>23</start>
      <end>24</end>
      <status>unmodified</status>
      <modifiedWord/>
      <trackRevisions>false</trackRevisions>
    </reviewItem>
    <reviewItem>
      <errorID>9b449b48-5f11-4ede-9823-da63fc15cecb</errorID>
      <errorWord>泄露</errorWord>
      <group>L1_Word</group>
      <groupName>字词问题</groupName>
      <ability>L2_Typo</ability>
      <abilityName>字词错误</abilityName>
      <candidateList>
        <item>泄漏</item>
      </candidateList>
      <explain>存在发音相同字词的误用。</explain>
      <paraID>13A6AB16</paraID>
      <start>235</start>
      <end>237</end>
      <status>unmodified</status>
      <modifiedWord/>
      <trackRevisions>false</trackRevisions>
    </reviewItem>
    <reviewItem>
      <errorID>959f4fc6-a482-4995-82f0-383c2e3f4a66</errorID>
      <errorWord>个人信息保护法</errorWord>
      <group>L1_Knowledge</group>
      <groupName>知识性问题</groupName>
      <ability>L2_Knowledge</ability>
      <abilityName>其他知识</abilityName>
      <candidateList>
        <item>中华人民共和国个人信息保护法</item>
      </candidateList>
      <explain>当前法律法规名称使用简称，请注意是否应当使用全称。</explain>
      <paraID>5AE91CDF</paraID>
      <start>60</start>
      <end>67</end>
      <status>unmodified</status>
      <modifiedWord/>
      <trackRevisions>false</trackRevisions>
    </reviewItem>
    <reviewItem>
      <errorID>b3388be3-71b4-49cd-8acb-923e4fede312</errorID>
      <errorWord>第24条</errorWord>
      <group>L1_Knowledge</group>
      <groupName>知识性问题</groupName>
      <ability>L2_Knowledge</ability>
      <abilityName>其他知识</abilityName>
      <candidateList>
        <item>第二十四条</item>
      </candidateList>
      <explain/>
      <paraID>5AE91CDF</paraID>
      <start>68</start>
      <end>72</end>
      <status>unmodified</status>
      <modifiedWord/>
      <trackRevisions>false</trackRevisions>
    </reviewItem>
    <reviewItem>
      <errorID>214cfaad-bc8b-44be-b3d3-a607f068b612</errorID>
      <errorWord>晰</errorWord>
      <group>L1_Word</group>
      <groupName>字词问题</groupName>
      <ability>L2_Typo</ability>
      <abilityName>字词错误</abilityName>
      <candidateList>
        <item>晰地</item>
      </candidateList>
      <explain/>
      <paraID>6060221A</paraID>
      <start>148</start>
      <end>149</end>
      <status>unmodified</status>
      <modifiedWord/>
      <trackRevisions>false</trackRevisions>
    </reviewItem>
    <reviewItem>
      <errorID>2e5f0000-9612-4652-9928-4dc3d395fd1f</errorID>
      <errorWord>地</errorWord>
      <group>L1_Word</group>
      <groupName>字词问题</groupName>
      <ability>L2_DDD</ability>
      <abilityName>的地得用法</abilityName>
      <candidateList>
        <item>的</item>
      </candidateList>
      <explain>“的”常用于连接修饰语与名词性中心语，表示属性、所属或描述。</explain>
      <paraID>3551565F</paraID>
      <start>109</start>
      <end>110</end>
      <status>unmodified</status>
      <modifiedWord/>
      <trackRevisions>false</trackRevisions>
    </reviewItem>
    <reviewItem>
      <errorID>ba7b4787-0d4f-4040-a6f0-02ca966c57c8</errorID>
      <errorWord>作出</errorWord>
      <group>L1_Word</group>
      <groupName>字词问题</groupName>
      <ability>L2_Typo</ability>
      <abilityName>字词错误</abilityName>
      <candidateList>
        <item>做出</item>
      </candidateList>
      <explain/>
      <paraID>3551565F</paraID>
      <start>150</start>
      <end>154</end>
      <status>modified</status>
      <modifiedWord>做出</modifiedWord>
      <trackRevisions>true</trackRevisions>
    </reviewItem>
    <reviewItem>
      <errorID>43da5f6f-e77d-4565-b2a0-02576c6d7dde</errorID>
      <errorWord>个人信息保护法</errorWord>
      <group>L1_Knowledge</group>
      <groupName>知识性问题</groupName>
      <ability>L2_Knowledge</ability>
      <abilityName>其他知识</abilityName>
      <candidateList>
        <item>中华人民共和国个人信息保护法</item>
      </candidateList>
      <explain>当前法律法规名称使用简称，请注意是否应当使用全称。</explain>
      <paraID>5BB39E73</paraID>
      <start>75</start>
      <end>82</end>
      <status>unmodified</status>
      <modifiedWord/>
      <trackRevisions>false</trackRevisions>
    </reviewItem>
    <reviewItem>
      <errorID>2561431a-ef4a-499a-8c7b-6d3063c2420e</errorID>
      <errorWord>第24条</errorWord>
      <group>L1_Knowledge</group>
      <groupName>知识性问题</groupName>
      <ability>L2_Knowledge</ability>
      <abilityName>其他知识</abilityName>
      <candidateList>
        <item>第二十四条</item>
      </candidateList>
      <explain/>
      <paraID>5BB39E73</paraID>
      <start>83</start>
      <end>87</end>
      <status>unmodified</status>
      <modifiedWord/>
      <trackRevisions>false</trackRevisions>
    </reviewItem>
    <reviewItem>
      <errorID>ee1b0740-a94c-4c3f-b4be-8433d70ca380</errorID>
      <errorWord>具</errorWord>
      <group>L1_Word</group>
      <groupName>字词问题</groupName>
      <ability>L2_Typo</ability>
      <abilityName>字词错误</abilityName>
      <candidateList>
        <item>具有</item>
      </candidateList>
      <explain>〈动〉有（多用于抽象事物）：～信心｜～伟大的意义。</explain>
      <paraID>6FEEFD38</paraID>
      <start>345</start>
      <end>348</end>
      <status>modified</status>
      <modifiedWord>具有</modifiedWord>
      <trackRevisions>true</trackRevisions>
    </reviewItem>
  </reviewItems>
  <config/>
</contractReview>
</file>

<file path=customXml/itemProps1.xml><?xml version="1.0" encoding="utf-8"?>
<ds:datastoreItem xmlns:ds="http://schemas.openxmlformats.org/officeDocument/2006/customXml" ds:itemID="{2ade8b34-cbb0-4997-a22b-6a10af0cc835}">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12179</Words>
  <Characters>13558</Characters>
  <Lines>0</Lines>
  <Paragraphs>0</Paragraphs>
  <TotalTime>0</TotalTime>
  <ScaleCrop>false</ScaleCrop>
  <LinksUpToDate>false</LinksUpToDate>
  <CharactersWithSpaces>13755</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2022-06-22T19:35:00Z</dcterms:created>
  <dc:creator>shipe</dc:creator>
  <cp:lastModifiedBy>研究生学报</cp:lastModifiedBy>
  <dcterms:modified xsi:type="dcterms:W3CDTF">2026-04-12T21:22:37Z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A102BC3442404FA48114A7274C84B779_13</vt:lpwstr>
  </property>
  <property fmtid="{D5CDD505-2E9C-101B-9397-08002B2CF9AE}" pid="4" name="KSOTemplateDocerSaveRecord">
    <vt:lpwstr>eyJoZGlkIjoiMGU0ZDYwYmE0OTY2MWY1NGEyZGQyODdjMDUyMDFjYjYiLCJ1c2VySWQiOiI2NjQ3MDU3NzEifQ==</vt:lpwstr>
  </property>
</Properties>
</file>