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D16B50">
      <w:pPr>
        <w:spacing w:line="360" w:lineRule="auto"/>
        <w:jc w:val="center"/>
        <w:rPr>
          <w:rFonts w:ascii="黑体" w:hAnsi="黑体" w:eastAsia="黑体"/>
          <w:b/>
          <w:bCs/>
          <w:sz w:val="32"/>
          <w:szCs w:val="32"/>
        </w:rPr>
      </w:pPr>
      <w:r>
        <w:rPr>
          <w:rFonts w:ascii="黑体" w:hAnsi="黑体" w:eastAsia="黑体"/>
          <w:b/>
          <w:bCs/>
          <w:sz w:val="32"/>
          <w:szCs w:val="32"/>
        </w:rPr>
        <w:t>《民法典》第1182条“侵权人获利”的适用</w:t>
      </w:r>
      <w:r>
        <w:rPr>
          <w:rFonts w:hint="eastAsia" w:ascii="黑体" w:hAnsi="黑体" w:eastAsia="黑体"/>
          <w:b/>
          <w:bCs/>
          <w:sz w:val="32"/>
          <w:szCs w:val="32"/>
        </w:rPr>
        <w:t>研究</w:t>
      </w:r>
      <w:r>
        <w:rPr>
          <w:rFonts w:ascii="黑体" w:hAnsi="黑体" w:eastAsia="黑体"/>
          <w:sz w:val="32"/>
          <w:szCs w:val="32"/>
          <w:vertAlign w:val="superscript"/>
        </w:rPr>
        <w:footnoteReference w:id="0" w:customMarkFollows="1"/>
        <w:sym w:font="Symbol" w:char="F02A"/>
      </w:r>
    </w:p>
    <w:p w14:paraId="716F8D6B">
      <w:pPr>
        <w:spacing w:line="360" w:lineRule="auto"/>
        <w:jc w:val="center"/>
        <w:rPr>
          <w:sz w:val="24"/>
        </w:rPr>
      </w:pPr>
      <w:bookmarkStart w:id="0" w:name="_Hlk162777839"/>
    </w:p>
    <w:p w14:paraId="089E9979">
      <w:pPr>
        <w:spacing w:line="360" w:lineRule="auto"/>
        <w:ind w:firstLine="480" w:firstLineChars="200"/>
      </w:pPr>
      <w:r>
        <w:rPr>
          <w:rFonts w:hint="eastAsia"/>
          <w:b/>
          <w:bCs/>
          <w:sz w:val="24"/>
        </w:rPr>
        <w:t>【</w:t>
      </w:r>
      <w:r>
        <w:rPr>
          <w:b/>
          <w:bCs/>
          <w:sz w:val="24"/>
        </w:rPr>
        <w:t>摘要</w:t>
      </w:r>
      <w:r>
        <w:rPr>
          <w:rFonts w:hint="eastAsia"/>
          <w:sz w:val="24"/>
        </w:rPr>
        <w:t>】</w:t>
      </w:r>
      <w:r>
        <w:rPr>
          <w:sz w:val="24"/>
        </w:rPr>
        <w:t>数字科技的快速发展将人身权益中的财产利益放大，侵害人身权益获利返还被纳入救济路径选择的视野</w:t>
      </w:r>
      <w:r>
        <w:rPr>
          <w:rFonts w:hint="eastAsia"/>
          <w:sz w:val="24"/>
        </w:rPr>
        <w:t>。但该规则</w:t>
      </w:r>
      <w:r>
        <w:rPr>
          <w:sz w:val="24"/>
        </w:rPr>
        <w:t>在司法实践过程中</w:t>
      </w:r>
      <w:r>
        <w:rPr>
          <w:rFonts w:hint="eastAsia"/>
          <w:sz w:val="24"/>
        </w:rPr>
        <w:t>仍面临</w:t>
      </w:r>
      <w:r>
        <w:rPr>
          <w:sz w:val="24"/>
        </w:rPr>
        <w:t>的适用率较低</w:t>
      </w:r>
      <w:r>
        <w:rPr>
          <w:rFonts w:hint="eastAsia"/>
          <w:sz w:val="24"/>
        </w:rPr>
        <w:t>、</w:t>
      </w:r>
      <w:r>
        <w:rPr>
          <w:sz w:val="24"/>
        </w:rPr>
        <w:t>概括性说理、获利难以认定计算等现象</w:t>
      </w:r>
      <w:r>
        <w:rPr>
          <w:rFonts w:hint="eastAsia"/>
          <w:sz w:val="24"/>
        </w:rPr>
        <w:t>，因此有必要</w:t>
      </w:r>
      <w:r>
        <w:rPr>
          <w:sz w:val="24"/>
        </w:rPr>
        <w:t>剖析</w:t>
      </w:r>
      <w:r>
        <w:rPr>
          <w:rFonts w:hint="eastAsia"/>
          <w:sz w:val="24"/>
        </w:rPr>
        <w:t>其理论</w:t>
      </w:r>
      <w:r>
        <w:rPr>
          <w:sz w:val="24"/>
        </w:rPr>
        <w:t>内涵</w:t>
      </w:r>
      <w:r>
        <w:rPr>
          <w:rFonts w:hint="eastAsia"/>
          <w:sz w:val="24"/>
        </w:rPr>
        <w:t>，解决获利界定</w:t>
      </w:r>
      <w:r>
        <w:rPr>
          <w:sz w:val="24"/>
        </w:rPr>
        <w:t>困境与因果关系的证明难点</w:t>
      </w:r>
      <w:r>
        <w:rPr>
          <w:rFonts w:hint="eastAsia"/>
          <w:sz w:val="24"/>
        </w:rPr>
        <w:t>，</w:t>
      </w:r>
      <w:r>
        <w:rPr>
          <w:rFonts w:hint="eastAsia" w:ascii="宋体" w:hAnsi="宋体"/>
          <w:sz w:val="24"/>
        </w:rPr>
        <w:t>并在此基础上构建计算模型以</w:t>
      </w:r>
      <w:r>
        <w:rPr>
          <w:sz w:val="24"/>
        </w:rPr>
        <w:t>纾解侵害人身权益获利返还规则适用的司法症结。</w:t>
      </w:r>
      <w:r>
        <w:rPr>
          <w:rFonts w:hint="eastAsia"/>
          <w:sz w:val="24"/>
        </w:rPr>
        <w:t>侵害人身权益获利返还</w:t>
      </w:r>
      <w:r>
        <w:rPr>
          <w:sz w:val="24"/>
        </w:rPr>
        <w:t>并非对传统侵权法的背离，而是一次重要的理论演进</w:t>
      </w:r>
      <w:r>
        <w:rPr>
          <w:rFonts w:hint="eastAsia"/>
          <w:sz w:val="24"/>
        </w:rPr>
        <w:t>，其通过对矫正正义的补充和修正、对传统侵权法填平功能的扩展，</w:t>
      </w:r>
      <w:r>
        <w:rPr>
          <w:sz w:val="24"/>
        </w:rPr>
        <w:t>推动侵权法向综合性的风险行为调控工具转型</w:t>
      </w:r>
      <w:r>
        <w:rPr>
          <w:rFonts w:hint="eastAsia"/>
          <w:sz w:val="24"/>
        </w:rPr>
        <w:t>。</w:t>
      </w:r>
    </w:p>
    <w:p w14:paraId="2A760E8D">
      <w:pPr>
        <w:spacing w:line="360" w:lineRule="auto"/>
        <w:ind w:firstLine="480" w:firstLineChars="200"/>
        <w:rPr>
          <w:sz w:val="24"/>
        </w:rPr>
      </w:pPr>
      <w:r>
        <w:rPr>
          <w:rFonts w:hint="eastAsia"/>
          <w:b/>
          <w:bCs/>
          <w:sz w:val="24"/>
        </w:rPr>
        <w:t>【</w:t>
      </w:r>
      <w:r>
        <w:rPr>
          <w:b/>
          <w:bCs/>
          <w:sz w:val="24"/>
        </w:rPr>
        <w:t>关键词</w:t>
      </w:r>
      <w:r>
        <w:rPr>
          <w:rFonts w:hint="eastAsia"/>
          <w:sz w:val="24"/>
        </w:rPr>
        <w:t>】</w:t>
      </w:r>
      <w:r>
        <w:rPr>
          <w:sz w:val="24"/>
        </w:rPr>
        <w:t>侵权</w:t>
      </w:r>
      <w:r>
        <w:rPr>
          <w:rFonts w:hint="eastAsia"/>
          <w:sz w:val="24"/>
        </w:rPr>
        <w:t>人</w:t>
      </w:r>
      <w:r>
        <w:rPr>
          <w:sz w:val="24"/>
        </w:rPr>
        <w:t>获利、</w:t>
      </w:r>
      <w:r>
        <w:rPr>
          <w:rFonts w:hint="eastAsia"/>
          <w:sz w:val="24"/>
        </w:rPr>
        <w:t>矫正正义、预防功能、</w:t>
      </w:r>
      <w:r>
        <w:rPr>
          <w:sz w:val="24"/>
        </w:rPr>
        <w:t>获利数额计算</w:t>
      </w:r>
    </w:p>
    <w:p w14:paraId="1E1049E2">
      <w:pPr>
        <w:pStyle w:val="2"/>
        <w:spacing w:before="0" w:after="0" w:line="360" w:lineRule="auto"/>
        <w:jc w:val="left"/>
        <w:rPr>
          <w:rFonts w:ascii="宋体" w:hAnsi="宋体"/>
          <w:sz w:val="28"/>
          <w:szCs w:val="28"/>
        </w:rPr>
      </w:pPr>
      <w:bookmarkStart w:id="35" w:name="_GoBack"/>
      <w:bookmarkEnd w:id="35"/>
      <w:r>
        <w:rPr>
          <w:rFonts w:hint="eastAsia" w:ascii="宋体" w:hAnsi="宋体"/>
          <w:sz w:val="28"/>
          <w:szCs w:val="28"/>
        </w:rPr>
        <w:t>一、问题的提出</w:t>
      </w:r>
    </w:p>
    <w:p w14:paraId="785743D6">
      <w:pPr>
        <w:spacing w:line="360" w:lineRule="auto"/>
        <w:ind w:firstLine="480" w:firstLineChars="200"/>
        <w:rPr>
          <w:rFonts w:ascii="宋体" w:hAnsi="宋体"/>
          <w:sz w:val="24"/>
        </w:rPr>
      </w:pPr>
      <w:r>
        <w:rPr>
          <w:rFonts w:ascii="宋体" w:hAnsi="宋体"/>
          <w:sz w:val="24"/>
        </w:rPr>
        <w:t>“侵害人身权益获利返还”</w:t>
      </w:r>
      <w:r>
        <w:rPr>
          <w:rFonts w:hint="eastAsia" w:ascii="宋体" w:hAnsi="宋体"/>
          <w:sz w:val="24"/>
        </w:rPr>
        <w:t>最早出现于《侵权责任法》第20条，</w:t>
      </w:r>
      <w:r>
        <w:rPr>
          <w:sz w:val="24"/>
        </w:rPr>
        <w:t>根据全国人大法工委的记载《侵权责任法》共有四次审议稿，该规定只出现在第三、第四次审议稿中，第三次审议</w:t>
      </w:r>
      <w:r>
        <w:rPr>
          <w:rFonts w:hint="eastAsia"/>
          <w:sz w:val="24"/>
        </w:rPr>
        <w:t>中</w:t>
      </w:r>
      <w:r>
        <w:rPr>
          <w:sz w:val="24"/>
        </w:rPr>
        <w:t>相关委员、专家提出侵害姓名权、肖像权、隐私权等造成财产损失的损失赔偿额往往难以计算，草案应当对侵害人身权如何赔偿进行规定</w:t>
      </w:r>
      <w:r>
        <w:rPr>
          <w:rFonts w:hint="eastAsia"/>
          <w:sz w:val="24"/>
        </w:rPr>
        <w:t>；</w:t>
      </w:r>
      <w:r>
        <w:rPr>
          <w:rStyle w:val="20"/>
          <w:sz w:val="24"/>
        </w:rPr>
        <w:footnoteReference w:id="1"/>
      </w:r>
      <w:r>
        <w:rPr>
          <w:sz w:val="24"/>
        </w:rPr>
        <w:t>后来在第四次审议稿中提出草案应当进一步规定侵权人获利难以计算时赔偿数额的确定方法</w:t>
      </w:r>
      <w:r>
        <w:rPr>
          <w:rFonts w:hint="eastAsia"/>
          <w:sz w:val="24"/>
        </w:rPr>
        <w:t>；</w:t>
      </w:r>
      <w:r>
        <w:rPr>
          <w:rStyle w:val="20"/>
          <w:sz w:val="24"/>
        </w:rPr>
        <w:footnoteReference w:id="2"/>
      </w:r>
      <w:r>
        <w:rPr>
          <w:sz w:val="24"/>
        </w:rPr>
        <w:t>由此形成了《侵权责任法》第20条的规定</w:t>
      </w:r>
      <w:r>
        <w:rPr>
          <w:rFonts w:hint="eastAsia"/>
          <w:sz w:val="24"/>
        </w:rPr>
        <w:t>，</w:t>
      </w:r>
      <w:r>
        <w:rPr>
          <w:sz w:val="24"/>
        </w:rPr>
        <w:t>但</w:t>
      </w:r>
      <w:r>
        <w:rPr>
          <w:rFonts w:hint="eastAsia"/>
          <w:sz w:val="24"/>
        </w:rPr>
        <w:t>该条将</w:t>
      </w:r>
      <w:r>
        <w:rPr>
          <w:rFonts w:ascii="宋体" w:hAnsi="宋体"/>
          <w:sz w:val="24"/>
        </w:rPr>
        <w:t>“侵害人身权益获利返还”</w:t>
      </w:r>
      <w:r>
        <w:rPr>
          <w:rFonts w:hint="eastAsia" w:ascii="宋体" w:hAnsi="宋体"/>
          <w:sz w:val="24"/>
        </w:rPr>
        <w:t>作为“赔偿损失”的辅助或替代性计算方法</w:t>
      </w:r>
      <w:r>
        <w:rPr>
          <w:sz w:val="24"/>
        </w:rPr>
        <w:t>。</w:t>
      </w:r>
      <w:r>
        <w:rPr>
          <w:rFonts w:hint="eastAsia" w:ascii="宋体" w:hAnsi="宋体"/>
          <w:sz w:val="24"/>
        </w:rPr>
        <w:t>从《侵权责任法》第2</w:t>
      </w:r>
      <w:r>
        <w:rPr>
          <w:rFonts w:ascii="宋体" w:hAnsi="宋体"/>
          <w:sz w:val="24"/>
        </w:rPr>
        <w:t>0条的</w:t>
      </w:r>
      <w:r>
        <w:rPr>
          <w:rFonts w:hint="eastAsia" w:ascii="宋体" w:hAnsi="宋体"/>
          <w:sz w:val="24"/>
        </w:rPr>
        <w:t>立法变革中可以看出，</w:t>
      </w:r>
      <w:bookmarkStart w:id="1" w:name="_Hlk145623338"/>
      <w:r>
        <w:rPr>
          <w:rFonts w:hint="eastAsia" w:ascii="宋体" w:hAnsi="宋体"/>
          <w:sz w:val="24"/>
        </w:rPr>
        <w:t>侵害人身权益获利返还</w:t>
      </w:r>
      <w:r>
        <w:rPr>
          <w:rFonts w:ascii="宋体" w:hAnsi="宋体"/>
          <w:sz w:val="24"/>
        </w:rPr>
        <w:t>规定</w:t>
      </w:r>
      <w:r>
        <w:rPr>
          <w:rFonts w:hint="eastAsia" w:ascii="宋体" w:hAnsi="宋体"/>
          <w:sz w:val="24"/>
        </w:rPr>
        <w:t>的</w:t>
      </w:r>
      <w:r>
        <w:rPr>
          <w:rFonts w:ascii="宋体" w:hAnsi="宋体"/>
          <w:sz w:val="24"/>
        </w:rPr>
        <w:t>出现更多的是司法实践经验提炼的结果</w:t>
      </w:r>
      <w:r>
        <w:rPr>
          <w:rFonts w:hint="eastAsia" w:ascii="宋体" w:hAnsi="宋体"/>
          <w:sz w:val="24"/>
        </w:rPr>
        <w:t>，</w:t>
      </w:r>
      <w:r>
        <w:rPr>
          <w:rStyle w:val="20"/>
          <w:rFonts w:ascii="宋体" w:hAnsi="宋体"/>
          <w:sz w:val="24"/>
        </w:rPr>
        <w:footnoteReference w:id="3"/>
      </w:r>
      <w:r>
        <w:rPr>
          <w:rFonts w:hint="eastAsia" w:ascii="宋体" w:hAnsi="宋体"/>
          <w:sz w:val="24"/>
        </w:rPr>
        <w:t>而非学术理论讨论的结果</w:t>
      </w:r>
      <w:bookmarkEnd w:id="1"/>
      <w:r>
        <w:rPr>
          <w:rFonts w:hint="eastAsia" w:ascii="宋体" w:hAnsi="宋体"/>
          <w:sz w:val="24"/>
        </w:rPr>
        <w:t>，对于损害赔偿和获利返还的区分并不清晰。</w:t>
      </w:r>
    </w:p>
    <w:p w14:paraId="43C5B45E">
      <w:pPr>
        <w:spacing w:line="360" w:lineRule="auto"/>
        <w:ind w:firstLine="480" w:firstLineChars="200"/>
        <w:rPr>
          <w:rFonts w:ascii="宋体" w:hAnsi="宋体"/>
          <w:sz w:val="24"/>
        </w:rPr>
      </w:pPr>
      <w:r>
        <w:rPr>
          <w:sz w:val="24"/>
        </w:rPr>
        <w:t>为进一步强调侵害人身权益获利返还的重要性，《民法典》第1182条将获利返还与损害赔偿置于同一位置</w:t>
      </w:r>
      <w:r>
        <w:rPr>
          <w:rFonts w:hint="eastAsia"/>
          <w:sz w:val="24"/>
        </w:rPr>
        <w:t>。但观察“侵害人身权益获利返还”条款的适用，发现</w:t>
      </w:r>
      <w:r>
        <w:rPr>
          <w:sz w:val="24"/>
        </w:rPr>
        <w:t>实践中多数案例均会面临受害人无法举证证明自身损失或侵权人获利的困境，从而采取</w:t>
      </w:r>
      <w:r>
        <w:rPr>
          <w:rFonts w:hint="eastAsia"/>
          <w:sz w:val="24"/>
        </w:rPr>
        <w:t>法院</w:t>
      </w:r>
      <w:r>
        <w:rPr>
          <w:sz w:val="24"/>
        </w:rPr>
        <w:t>酌定方式对案件简单化处理，导致</w:t>
      </w:r>
      <w:r>
        <w:rPr>
          <w:rFonts w:hint="eastAsia"/>
          <w:sz w:val="24"/>
        </w:rPr>
        <w:t>该条款</w:t>
      </w:r>
      <w:r>
        <w:rPr>
          <w:sz w:val="24"/>
        </w:rPr>
        <w:t>适用率极低，面临沦为具文的风险</w:t>
      </w:r>
      <w:r>
        <w:rPr>
          <w:rFonts w:hint="eastAsia"/>
          <w:sz w:val="24"/>
        </w:rPr>
        <w:t>，</w:t>
      </w:r>
      <w:r>
        <w:rPr>
          <w:sz w:val="24"/>
        </w:rPr>
        <w:t>并且</w:t>
      </w:r>
      <w:r>
        <w:rPr>
          <w:rFonts w:hint="eastAsia"/>
          <w:sz w:val="24"/>
        </w:rPr>
        <w:t>侵权</w:t>
      </w:r>
      <w:r>
        <w:rPr>
          <w:sz w:val="24"/>
        </w:rPr>
        <w:t>人获利的认定</w:t>
      </w:r>
      <w:r>
        <w:rPr>
          <w:rFonts w:hint="eastAsia"/>
          <w:sz w:val="24"/>
        </w:rPr>
        <w:t>和</w:t>
      </w:r>
      <w:r>
        <w:rPr>
          <w:sz w:val="24"/>
        </w:rPr>
        <w:t>计算</w:t>
      </w:r>
      <w:r>
        <w:rPr>
          <w:rFonts w:hint="eastAsia"/>
          <w:sz w:val="24"/>
        </w:rPr>
        <w:t>尚未</w:t>
      </w:r>
      <w:r>
        <w:rPr>
          <w:sz w:val="24"/>
        </w:rPr>
        <w:t>形成统一规则</w:t>
      </w:r>
      <w:r>
        <w:rPr>
          <w:rFonts w:hint="eastAsia"/>
          <w:sz w:val="24"/>
        </w:rPr>
        <w:t>。</w:t>
      </w:r>
      <w:r>
        <w:rPr>
          <w:rFonts w:hint="eastAsia" w:ascii="宋体" w:hAnsi="宋体"/>
          <w:sz w:val="24"/>
        </w:rPr>
        <w:t>《民法典》第</w:t>
      </w:r>
      <w:r>
        <w:rPr>
          <w:sz w:val="24"/>
        </w:rPr>
        <w:t>1182</w:t>
      </w:r>
      <w:r>
        <w:rPr>
          <w:rFonts w:hint="eastAsia" w:ascii="宋体" w:hAnsi="宋体"/>
          <w:sz w:val="24"/>
        </w:rPr>
        <w:t>条确实在法律层面提高了侵害人身权益获利返还的地位，但其发展不应当止步于此。</w:t>
      </w:r>
      <w:r>
        <w:rPr>
          <w:rStyle w:val="20"/>
          <w:rFonts w:ascii="宋体" w:hAnsi="宋体"/>
          <w:sz w:val="24"/>
        </w:rPr>
        <w:footnoteReference w:id="4"/>
      </w:r>
      <w:r>
        <w:rPr>
          <w:rFonts w:hint="eastAsia" w:ascii="宋体" w:hAnsi="宋体"/>
          <w:sz w:val="24"/>
        </w:rPr>
        <w:t>为进一步理解应用侵害人身权益获利返还，首先需要厘清侵权人获利的理论基础，即探讨侵权人获得的利益为什么需要返还？为什么受害人可以获得多于实际损害的利益？受害人获利返还诉求所依赖的请求权基础是什么？这是侵害人身权益获利返还司法适用的理论之基。其次需要明确“获利”的界定与计算，这是司法适用中最直观的问题，也是侵害人身权益获利返还在司法实践中较少适用的直接因素，最后，以实现侵害人身权益获利返还规则功能的发挥以及在实践中的有效运用。</w:t>
      </w:r>
    </w:p>
    <w:p w14:paraId="272BD794">
      <w:pPr>
        <w:pStyle w:val="2"/>
        <w:spacing w:before="0" w:after="0" w:line="360" w:lineRule="auto"/>
        <w:jc w:val="left"/>
        <w:rPr>
          <w:rFonts w:ascii="宋体" w:hAnsi="宋体"/>
          <w:sz w:val="28"/>
          <w:szCs w:val="28"/>
        </w:rPr>
      </w:pPr>
      <w:r>
        <w:rPr>
          <w:rFonts w:hint="eastAsia" w:ascii="宋体" w:hAnsi="宋体"/>
          <w:sz w:val="28"/>
          <w:szCs w:val="28"/>
        </w:rPr>
        <w:t>二</w:t>
      </w:r>
      <w:r>
        <w:rPr>
          <w:rFonts w:ascii="宋体" w:hAnsi="宋体"/>
          <w:sz w:val="28"/>
          <w:szCs w:val="28"/>
        </w:rPr>
        <w:t>、</w:t>
      </w:r>
      <w:r>
        <w:rPr>
          <w:rFonts w:hint="eastAsia" w:ascii="宋体" w:hAnsi="宋体"/>
          <w:sz w:val="28"/>
          <w:szCs w:val="28"/>
        </w:rPr>
        <w:t>“侵权人获利”规则适用的检视</w:t>
      </w:r>
    </w:p>
    <w:p w14:paraId="67D34274">
      <w:pPr>
        <w:spacing w:line="360" w:lineRule="auto"/>
        <w:ind w:firstLine="480" w:firstLineChars="200"/>
        <w:rPr>
          <w:sz w:val="24"/>
        </w:rPr>
      </w:pPr>
      <w:r>
        <w:rPr>
          <w:rFonts w:hint="eastAsia"/>
          <w:sz w:val="24"/>
        </w:rPr>
        <w:t>“侵权人获利”规则在司法实践中面临双重困境，一方面，该规则呈现适用率低与裁判说理不足的显著特征，反映其司法适用被边缘化的现实以及基础理论供给的匮乏。另一方面，“获利”本身的界定与计算存在理论障碍，司法实践囿于传统损害填补思维，难以对“获利”要件进行充分认定与运用，导致其在适用中呈现随意性与模糊性。这两方面问题相互交织，共同制约了获利返还规则制度功能的有效发挥。</w:t>
      </w:r>
    </w:p>
    <w:p w14:paraId="2EA94F9B">
      <w:pPr>
        <w:pStyle w:val="3"/>
        <w:spacing w:before="0" w:after="0" w:line="360" w:lineRule="auto"/>
        <w:rPr>
          <w:rFonts w:ascii="宋体" w:hAnsi="宋体" w:eastAsia="宋体"/>
          <w:sz w:val="24"/>
          <w:szCs w:val="24"/>
        </w:rPr>
      </w:pPr>
      <w:r>
        <w:rPr>
          <w:rFonts w:hint="eastAsia" w:ascii="宋体" w:hAnsi="宋体" w:eastAsia="宋体"/>
          <w:sz w:val="24"/>
          <w:szCs w:val="24"/>
        </w:rPr>
        <w:t>（一）“侵权人获利”规则适用率低且说理不足</w:t>
      </w:r>
    </w:p>
    <w:p w14:paraId="681F503D">
      <w:pPr>
        <w:spacing w:line="360" w:lineRule="auto"/>
        <w:ind w:firstLine="480" w:firstLineChars="200"/>
        <w:rPr>
          <w:sz w:val="24"/>
        </w:rPr>
      </w:pPr>
      <w:bookmarkStart w:id="2" w:name="_Toc164120497"/>
      <w:r>
        <w:rPr>
          <w:sz w:val="24"/>
        </w:rPr>
        <w:t>《民法典》第1182条虽明确将</w:t>
      </w:r>
      <w:r>
        <w:rPr>
          <w:rFonts w:hint="eastAsia"/>
          <w:sz w:val="24"/>
        </w:rPr>
        <w:t>“侵权人获利”</w:t>
      </w:r>
      <w:r>
        <w:rPr>
          <w:sz w:val="24"/>
        </w:rPr>
        <w:t>列为侵害人身权益的核心救济路径之一，但其在司法</w:t>
      </w:r>
      <w:r>
        <w:rPr>
          <w:rFonts w:hint="eastAsia"/>
          <w:sz w:val="24"/>
        </w:rPr>
        <w:t>中仍</w:t>
      </w:r>
      <w:r>
        <w:rPr>
          <w:sz w:val="24"/>
        </w:rPr>
        <w:t>面临被边缘化的现实</w:t>
      </w:r>
      <w:r>
        <w:rPr>
          <w:rFonts w:hint="eastAsia"/>
          <w:sz w:val="24"/>
        </w:rPr>
        <w:t>。司法实践</w:t>
      </w:r>
      <w:r>
        <w:rPr>
          <w:sz w:val="24"/>
        </w:rPr>
        <w:t>多以</w:t>
      </w:r>
      <w:r>
        <w:rPr>
          <w:rFonts w:hint="eastAsia"/>
          <w:sz w:val="24"/>
        </w:rPr>
        <w:t>“</w:t>
      </w:r>
      <w:r>
        <w:rPr>
          <w:sz w:val="24"/>
        </w:rPr>
        <w:t>综合考量</w:t>
      </w:r>
      <w:r>
        <w:rPr>
          <w:rFonts w:hint="eastAsia"/>
          <w:sz w:val="24"/>
        </w:rPr>
        <w:t>”</w:t>
      </w:r>
      <w:r>
        <w:rPr>
          <w:sz w:val="24"/>
        </w:rPr>
        <w:t>等原则性表述替代对获利构成、计算方式及法理基础的实质性论证</w:t>
      </w:r>
      <w:r>
        <w:rPr>
          <w:rFonts w:hint="eastAsia"/>
          <w:sz w:val="24"/>
        </w:rPr>
        <w:t>。</w:t>
      </w:r>
    </w:p>
    <w:p w14:paraId="000E514D">
      <w:pPr>
        <w:spacing w:line="360" w:lineRule="auto"/>
        <w:ind w:firstLine="480" w:firstLineChars="200"/>
        <w:rPr>
          <w:sz w:val="24"/>
        </w:rPr>
      </w:pPr>
      <w:r>
        <w:rPr>
          <w:rFonts w:hint="eastAsia"/>
          <w:sz w:val="24"/>
        </w:rPr>
        <w:t>首先，以“侵权人获利”返还作为追责或救济方式，结案率占比较低。</w:t>
      </w:r>
      <w:r>
        <w:rPr>
          <w:sz w:val="24"/>
        </w:rPr>
        <w:t>依据第1182条的规定</w:t>
      </w:r>
      <w:r>
        <w:rPr>
          <w:rFonts w:hint="eastAsia"/>
          <w:sz w:val="24"/>
        </w:rPr>
        <w:t>侵害人身权益案件受害人可通过</w:t>
      </w:r>
      <w:r>
        <w:rPr>
          <w:sz w:val="24"/>
        </w:rPr>
        <w:t xml:space="preserve"> </w:t>
      </w:r>
      <w:r>
        <w:rPr>
          <w:rFonts w:hint="eastAsia"/>
          <w:sz w:val="24"/>
        </w:rPr>
        <w:t>“</w:t>
      </w:r>
      <w:r>
        <w:rPr>
          <w:sz w:val="24"/>
        </w:rPr>
        <w:t>侵权损害赔偿</w:t>
      </w:r>
      <w:r>
        <w:rPr>
          <w:rFonts w:hint="eastAsia"/>
          <w:sz w:val="24"/>
        </w:rPr>
        <w:t>”</w:t>
      </w:r>
      <w:r>
        <w:rPr>
          <w:sz w:val="24"/>
        </w:rPr>
        <w:t>、</w:t>
      </w:r>
      <w:r>
        <w:rPr>
          <w:rFonts w:hint="eastAsia"/>
          <w:sz w:val="24"/>
        </w:rPr>
        <w:t>“</w:t>
      </w:r>
      <w:r>
        <w:rPr>
          <w:rFonts w:hint="eastAsia" w:ascii="宋体" w:hAnsi="宋体"/>
          <w:sz w:val="24"/>
        </w:rPr>
        <w:t>侵权人获利返还</w:t>
      </w:r>
      <w:r>
        <w:rPr>
          <w:rFonts w:hint="eastAsia"/>
          <w:sz w:val="24"/>
        </w:rPr>
        <w:t>”</w:t>
      </w:r>
      <w:r>
        <w:rPr>
          <w:sz w:val="24"/>
        </w:rPr>
        <w:t>、</w:t>
      </w:r>
      <w:r>
        <w:rPr>
          <w:rFonts w:hint="eastAsia"/>
          <w:sz w:val="24"/>
        </w:rPr>
        <w:t>“</w:t>
      </w:r>
      <w:r>
        <w:rPr>
          <w:sz w:val="24"/>
        </w:rPr>
        <w:t>法院酌定</w:t>
      </w:r>
      <w:r>
        <w:rPr>
          <w:rFonts w:hint="eastAsia"/>
          <w:sz w:val="24"/>
        </w:rPr>
        <w:t>”</w:t>
      </w:r>
      <w:r>
        <w:rPr>
          <w:sz w:val="24"/>
        </w:rPr>
        <w:t>作为</w:t>
      </w:r>
      <w:r>
        <w:rPr>
          <w:rFonts w:hint="eastAsia"/>
          <w:sz w:val="24"/>
        </w:rPr>
        <w:t>救济</w:t>
      </w:r>
      <w:r>
        <w:rPr>
          <w:sz w:val="24"/>
        </w:rPr>
        <w:t>路径</w:t>
      </w:r>
      <w:r>
        <w:rPr>
          <w:rFonts w:hint="eastAsia"/>
          <w:sz w:val="24"/>
        </w:rPr>
        <w:t>，根据已公开案件对</w:t>
      </w:r>
      <w:r>
        <w:rPr>
          <w:sz w:val="24"/>
        </w:rPr>
        <w:t>第1182条</w:t>
      </w:r>
      <w:r>
        <w:rPr>
          <w:rFonts w:hint="eastAsia"/>
          <w:sz w:val="24"/>
        </w:rPr>
        <w:t>的适用进行整理发现，“</w:t>
      </w:r>
      <w:r>
        <w:rPr>
          <w:sz w:val="24"/>
        </w:rPr>
        <w:t>获利返还</w:t>
      </w:r>
      <w:r>
        <w:rPr>
          <w:rFonts w:hint="eastAsia"/>
          <w:sz w:val="24"/>
        </w:rPr>
        <w:t>”结案占比1%，法院酌定结案占比60%。</w:t>
      </w:r>
      <w:r>
        <w:rPr>
          <w:rStyle w:val="20"/>
          <w:sz w:val="24"/>
        </w:rPr>
        <w:footnoteReference w:id="5"/>
      </w:r>
      <w:r>
        <w:rPr>
          <w:sz w:val="24"/>
        </w:rPr>
        <w:t>根据第1182条的规范设计，只有双方当事人既不能证明损失又无法证明获利，且双方不能协商一致时才可由法院根绝具体案件情况酌定数额</w:t>
      </w:r>
      <w:r>
        <w:rPr>
          <w:rFonts w:hint="eastAsia"/>
          <w:sz w:val="24"/>
        </w:rPr>
        <w:t>。</w:t>
      </w:r>
      <w:r>
        <w:rPr>
          <w:sz w:val="24"/>
        </w:rPr>
        <w:t>但现实数据表明，司法实践在很大程度上偏离了这一立法预设，反映出受害人普遍面临举证困难，法院也倾向于以酌定赔偿这一更具弹性的方式替代对</w:t>
      </w:r>
      <w:r>
        <w:rPr>
          <w:rFonts w:hint="eastAsia"/>
          <w:sz w:val="24"/>
        </w:rPr>
        <w:t>“</w:t>
      </w:r>
      <w:r>
        <w:rPr>
          <w:sz w:val="24"/>
        </w:rPr>
        <w:t>获利</w:t>
      </w:r>
      <w:r>
        <w:rPr>
          <w:rFonts w:hint="eastAsia"/>
          <w:sz w:val="24"/>
        </w:rPr>
        <w:t>”</w:t>
      </w:r>
      <w:r>
        <w:rPr>
          <w:sz w:val="24"/>
        </w:rPr>
        <w:t>的</w:t>
      </w:r>
      <w:r>
        <w:rPr>
          <w:rFonts w:hint="eastAsia"/>
          <w:sz w:val="24"/>
        </w:rPr>
        <w:t>认定和计算</w:t>
      </w:r>
      <w:r>
        <w:rPr>
          <w:sz w:val="24"/>
        </w:rPr>
        <w:t>，从而简化案件处理流程，导致</w:t>
      </w:r>
      <w:r>
        <w:rPr>
          <w:rFonts w:hint="eastAsia" w:ascii="宋体" w:hAnsi="宋体"/>
          <w:sz w:val="24"/>
        </w:rPr>
        <w:t>“侵权人获利”</w:t>
      </w:r>
      <w:r>
        <w:rPr>
          <w:sz w:val="24"/>
        </w:rPr>
        <w:t>返还规则被虚置。</w:t>
      </w:r>
    </w:p>
    <w:p w14:paraId="11AE8732">
      <w:pPr>
        <w:spacing w:line="360" w:lineRule="auto"/>
        <w:ind w:firstLine="480" w:firstLineChars="200"/>
        <w:rPr>
          <w:sz w:val="24"/>
        </w:rPr>
      </w:pPr>
      <w:r>
        <w:rPr>
          <w:rFonts w:hint="eastAsia"/>
          <w:sz w:val="24"/>
        </w:rPr>
        <w:t>其次，法院在相关案件的裁判说理过程中普遍存在概括化、程式化倾向。</w:t>
      </w:r>
      <w:r>
        <w:rPr>
          <w:sz w:val="24"/>
        </w:rPr>
        <w:t>梳理发现裁判说理过程</w:t>
      </w:r>
      <w:bookmarkEnd w:id="2"/>
      <w:r>
        <w:rPr>
          <w:sz w:val="24"/>
        </w:rPr>
        <w:t>多表现为</w:t>
      </w:r>
      <w:r>
        <w:rPr>
          <w:rFonts w:hint="eastAsia"/>
          <w:sz w:val="24"/>
        </w:rPr>
        <w:t>“</w:t>
      </w:r>
      <w:r>
        <w:rPr>
          <w:sz w:val="24"/>
        </w:rPr>
        <w:t>案件事实＋法律规范=裁判结果</w:t>
      </w:r>
      <w:r>
        <w:rPr>
          <w:rFonts w:hint="eastAsia"/>
          <w:sz w:val="24"/>
        </w:rPr>
        <w:t>”</w:t>
      </w:r>
      <w:r>
        <w:rPr>
          <w:sz w:val="24"/>
        </w:rPr>
        <w:t>的裁判方式</w:t>
      </w:r>
      <w:r>
        <w:rPr>
          <w:rFonts w:hint="eastAsia"/>
          <w:sz w:val="24"/>
        </w:rPr>
        <w:t>，缺乏对获利构成要件、计算依据及返还法理的深入阐释。</w:t>
      </w:r>
      <w:r>
        <w:rPr>
          <w:sz w:val="24"/>
        </w:rPr>
        <w:t>如</w:t>
      </w:r>
      <w:r>
        <w:rPr>
          <w:rFonts w:hint="eastAsia"/>
          <w:sz w:val="24"/>
        </w:rPr>
        <w:t>“</w:t>
      </w:r>
      <w:r>
        <w:rPr>
          <w:sz w:val="24"/>
        </w:rPr>
        <w:t>浙江某公司与被孙某雷姓名权、肖像权、名誉权纠纷案</w:t>
      </w:r>
      <w:r>
        <w:rPr>
          <w:rFonts w:hint="eastAsia"/>
          <w:sz w:val="24"/>
        </w:rPr>
        <w:t>”</w:t>
      </w:r>
      <w:r>
        <w:rPr>
          <w:rStyle w:val="20"/>
          <w:sz w:val="24"/>
        </w:rPr>
        <w:footnoteReference w:id="6"/>
      </w:r>
      <w:r>
        <w:rPr>
          <w:sz w:val="24"/>
        </w:rPr>
        <w:t>，一审法院认为原告作为知名演员，其肖像具有较高的商业价值，利用其肖像作广告的行为使相关公众误认为原被告之间存在品牌代言关系，主观故意明显，情节严重；综合考量侵权行为的情节、时间、后果等情况，依据公平原则认定被告承担侵权责任。</w:t>
      </w:r>
      <w:r>
        <w:rPr>
          <w:rFonts w:hint="eastAsia"/>
          <w:sz w:val="24"/>
        </w:rPr>
        <w:t>法院并未进一步剖析“获利”的具体构成、如何量化，亦未阐明将“获利”归属于权利人的法理基础。这种说理方式实质上是将复杂的利益衡量过程隐藏于“公平原则”等抽象概念之后，未能清晰展现从案件事实到裁判结论的逻辑推演，既不符合法律论证的严谨性要求，也削弱了判决的可预期性与说服力。</w:t>
      </w:r>
    </w:p>
    <w:p w14:paraId="17CFE8AA">
      <w:pPr>
        <w:spacing w:line="360" w:lineRule="auto"/>
        <w:ind w:firstLine="480" w:firstLineChars="200"/>
        <w:rPr>
          <w:sz w:val="24"/>
        </w:rPr>
      </w:pPr>
      <w:r>
        <w:rPr>
          <w:rFonts w:hint="eastAsia"/>
          <w:sz w:val="24"/>
        </w:rPr>
        <w:t>最后，获利返还适用率低与说理不足现象表明，共同指向其在理论基础上的模糊性。</w:t>
      </w:r>
      <w:r>
        <w:rPr>
          <w:sz w:val="24"/>
        </w:rPr>
        <w:t>当前，关于</w:t>
      </w:r>
      <w:r>
        <w:rPr>
          <w:rFonts w:hint="eastAsia" w:ascii="宋体" w:hAnsi="宋体"/>
          <w:sz w:val="24"/>
        </w:rPr>
        <w:t>“侵权人获利”</w:t>
      </w:r>
      <w:r>
        <w:rPr>
          <w:sz w:val="24"/>
        </w:rPr>
        <w:t>返还的法理基础，学界仍存在</w:t>
      </w:r>
      <w:r>
        <w:rPr>
          <w:rFonts w:hint="eastAsia"/>
          <w:sz w:val="24"/>
        </w:rPr>
        <w:t>“</w:t>
      </w:r>
      <w:r>
        <w:rPr>
          <w:sz w:val="24"/>
        </w:rPr>
        <w:t>侵权损害赔偿说</w:t>
      </w:r>
      <w:r>
        <w:rPr>
          <w:rFonts w:hint="eastAsia"/>
          <w:sz w:val="24"/>
        </w:rPr>
        <w:t>”“</w:t>
      </w:r>
      <w:r>
        <w:rPr>
          <w:sz w:val="24"/>
        </w:rPr>
        <w:t>不当得利说</w:t>
      </w:r>
      <w:r>
        <w:rPr>
          <w:rFonts w:hint="eastAsia"/>
          <w:sz w:val="24"/>
        </w:rPr>
        <w:t>”</w:t>
      </w:r>
      <w:r>
        <w:rPr>
          <w:sz w:val="24"/>
        </w:rPr>
        <w:t>等不同主张。这种理论共识的缺失，直接导致司法者在面对</w:t>
      </w:r>
      <w:r>
        <w:rPr>
          <w:rFonts w:hint="eastAsia"/>
          <w:sz w:val="24"/>
        </w:rPr>
        <w:t>“</w:t>
      </w:r>
      <w:r>
        <w:rPr>
          <w:sz w:val="24"/>
        </w:rPr>
        <w:t>何为可返还之获利</w:t>
      </w:r>
      <w:r>
        <w:rPr>
          <w:rFonts w:hint="eastAsia"/>
          <w:sz w:val="24"/>
        </w:rPr>
        <w:t>”“</w:t>
      </w:r>
      <w:r>
        <w:rPr>
          <w:sz w:val="24"/>
        </w:rPr>
        <w:t>获利如何计算</w:t>
      </w:r>
      <w:r>
        <w:rPr>
          <w:rFonts w:hint="eastAsia"/>
          <w:sz w:val="24"/>
        </w:rPr>
        <w:t>”“</w:t>
      </w:r>
      <w:r>
        <w:rPr>
          <w:sz w:val="24"/>
        </w:rPr>
        <w:t>因果关系如何认定</w:t>
      </w:r>
      <w:r>
        <w:rPr>
          <w:rFonts w:hint="eastAsia"/>
          <w:sz w:val="24"/>
        </w:rPr>
        <w:t>”</w:t>
      </w:r>
      <w:r>
        <w:rPr>
          <w:sz w:val="24"/>
        </w:rPr>
        <w:t>等核心问题时缺乏清晰的判断标准，进而倾向于采取保守立场，以笼统说理回避技术性论证。因此，要激活获利返还规则的制度功能，不仅需完善举证规则、细化计算方法，更需从根本上厘清其法理定位，为司法裁判提供</w:t>
      </w:r>
      <w:r>
        <w:rPr>
          <w:rFonts w:hint="eastAsia"/>
          <w:sz w:val="24"/>
        </w:rPr>
        <w:t>理论</w:t>
      </w:r>
      <w:r>
        <w:rPr>
          <w:sz w:val="24"/>
        </w:rPr>
        <w:t>支撑。</w:t>
      </w:r>
    </w:p>
    <w:p w14:paraId="65F47889">
      <w:pPr>
        <w:pStyle w:val="3"/>
        <w:spacing w:before="0" w:after="0" w:line="360" w:lineRule="auto"/>
        <w:rPr>
          <w:rFonts w:ascii="宋体" w:hAnsi="宋体" w:eastAsia="宋体"/>
          <w:sz w:val="24"/>
          <w:szCs w:val="24"/>
        </w:rPr>
      </w:pPr>
      <w:r>
        <w:rPr>
          <w:rFonts w:ascii="宋体" w:hAnsi="宋体" w:eastAsia="宋体"/>
          <w:sz w:val="24"/>
          <w:szCs w:val="24"/>
        </w:rPr>
        <w:t>（</w:t>
      </w:r>
      <w:r>
        <w:rPr>
          <w:rFonts w:hint="eastAsia" w:ascii="宋体" w:hAnsi="宋体" w:eastAsia="宋体"/>
          <w:sz w:val="24"/>
          <w:szCs w:val="24"/>
        </w:rPr>
        <w:t>二</w:t>
      </w:r>
      <w:r>
        <w:rPr>
          <w:rFonts w:ascii="宋体" w:hAnsi="宋体" w:eastAsia="宋体"/>
          <w:sz w:val="24"/>
          <w:szCs w:val="24"/>
        </w:rPr>
        <w:t>）</w:t>
      </w:r>
      <w:r>
        <w:rPr>
          <w:rFonts w:hint="eastAsia" w:ascii="宋体" w:hAnsi="宋体" w:eastAsia="宋体"/>
          <w:sz w:val="24"/>
          <w:szCs w:val="24"/>
        </w:rPr>
        <w:t>“获利”的界定和计算存在理论障碍</w:t>
      </w:r>
    </w:p>
    <w:p w14:paraId="6EC11C86">
      <w:pPr>
        <w:spacing w:line="360" w:lineRule="auto"/>
        <w:ind w:firstLine="480" w:firstLineChars="200"/>
        <w:rPr>
          <w:sz w:val="24"/>
        </w:rPr>
      </w:pPr>
      <w:r>
        <w:rPr>
          <w:rFonts w:hint="eastAsia"/>
          <w:sz w:val="24"/>
        </w:rPr>
        <w:t>“</w:t>
      </w:r>
      <w:r>
        <w:rPr>
          <w:sz w:val="24"/>
        </w:rPr>
        <w:t>侵权人获利</w:t>
      </w:r>
      <w:r>
        <w:rPr>
          <w:rFonts w:hint="eastAsia"/>
          <w:sz w:val="24"/>
        </w:rPr>
        <w:t>”要素</w:t>
      </w:r>
      <w:r>
        <w:rPr>
          <w:sz w:val="24"/>
        </w:rPr>
        <w:t>在实践中的</w:t>
      </w:r>
      <w:r>
        <w:rPr>
          <w:rFonts w:hint="eastAsia"/>
          <w:sz w:val="24"/>
        </w:rPr>
        <w:t>适用</w:t>
      </w:r>
      <w:r>
        <w:rPr>
          <w:sz w:val="24"/>
        </w:rPr>
        <w:t>具有随意性，实践中往往囿于传统侵权损害赔偿四要件的传统思维，在责任构成要件的判断上往往偏向于对损害结果进行考量，难以对侵权人获利进行充分的理解和运用</w:t>
      </w:r>
      <w:r>
        <w:rPr>
          <w:rFonts w:hint="eastAsia"/>
          <w:sz w:val="24"/>
        </w:rPr>
        <w:t>，导致</w:t>
      </w:r>
      <w:r>
        <w:rPr>
          <w:sz w:val="24"/>
        </w:rPr>
        <w:t>侵权人获利的认定不明确。</w:t>
      </w:r>
    </w:p>
    <w:p w14:paraId="01702B15">
      <w:pPr>
        <w:spacing w:line="360" w:lineRule="auto"/>
        <w:ind w:firstLine="480" w:firstLineChars="200"/>
        <w:rPr>
          <w:sz w:val="24"/>
        </w:rPr>
      </w:pPr>
      <w:r>
        <w:rPr>
          <w:rFonts w:hint="eastAsia"/>
          <w:sz w:val="24"/>
        </w:rPr>
        <w:t>首先，</w:t>
      </w:r>
      <w:r>
        <w:rPr>
          <w:sz w:val="24"/>
        </w:rPr>
        <w:t>计算上的间接性与模糊性​</w:t>
      </w:r>
      <w:r>
        <w:rPr>
          <w:rFonts w:hint="eastAsia"/>
          <w:sz w:val="24"/>
        </w:rPr>
        <w:t>。由于</w:t>
      </w:r>
      <w:r>
        <w:rPr>
          <w:rFonts w:hint="eastAsia" w:ascii="宋体" w:hAnsi="宋体"/>
          <w:sz w:val="24"/>
        </w:rPr>
        <w:t>“侵权人获利”规则</w:t>
      </w:r>
      <w:r>
        <w:rPr>
          <w:rFonts w:hint="eastAsia"/>
          <w:sz w:val="24"/>
        </w:rPr>
        <w:t>在知识产权领域应用较为广泛，于是存在以“知识产权领域获利的计算”作为侵害人身权益获利返还的间接计算方法，但是该种做法忽略了</w:t>
      </w:r>
      <w:r>
        <w:rPr>
          <w:rFonts w:hint="eastAsia" w:ascii="宋体" w:hAnsi="宋体"/>
          <w:sz w:val="24"/>
        </w:rPr>
        <w:t>知识产权与人身权益的客体内容不同，侵害知识产权获利返还往往涉及具体的有形物，能够为获利返还数额的计算提供基点。而在人身权益侵权获利返还中，其所涉及的往往是某一人身权益所具有的美感或特征，难以</w:t>
      </w:r>
      <w:r>
        <w:rPr>
          <w:rFonts w:hint="eastAsia"/>
          <w:sz w:val="24"/>
        </w:rPr>
        <w:t>将获利数额的计算方式转向权利所依附的商品。在放弃利用“知识产权领域获利的计算”后，</w:t>
      </w:r>
      <w:r>
        <w:rPr>
          <w:sz w:val="24"/>
        </w:rPr>
        <w:t>实践</w:t>
      </w:r>
      <w:r>
        <w:rPr>
          <w:rFonts w:hint="eastAsia"/>
          <w:sz w:val="24"/>
        </w:rPr>
        <w:t>还</w:t>
      </w:r>
      <w:r>
        <w:rPr>
          <w:sz w:val="24"/>
        </w:rPr>
        <w:t>存在以下两种</w:t>
      </w:r>
      <w:r>
        <w:rPr>
          <w:rFonts w:hint="eastAsia"/>
          <w:sz w:val="24"/>
        </w:rPr>
        <w:t>模糊</w:t>
      </w:r>
      <w:r>
        <w:rPr>
          <w:sz w:val="24"/>
        </w:rPr>
        <w:t>做法：一是法院将侵权人的获利全部加以计算，二是通过法院酌定回避获利返还数额的计算问题。前者不加区分地将侵权人全部获利计算在内，是否符合民法上的公平原则有待论证，是否符合政治经济学上的按劳分配理论也有待商榷。后者的做法更值得反思，舍弃侵权获利返还规则的适用而向法院酌定逃逸会使得该规则沦为具文</w:t>
      </w:r>
      <w:r>
        <w:rPr>
          <w:rFonts w:hint="eastAsia"/>
          <w:sz w:val="24"/>
        </w:rPr>
        <w:t>。</w:t>
      </w:r>
    </w:p>
    <w:p w14:paraId="47317568">
      <w:pPr>
        <w:spacing w:line="360" w:lineRule="auto"/>
        <w:ind w:firstLine="480" w:firstLineChars="200"/>
        <w:rPr>
          <w:rFonts w:ascii="宋体" w:hAnsi="宋体"/>
          <w:sz w:val="24"/>
        </w:rPr>
      </w:pPr>
      <w:r>
        <w:rPr>
          <w:rFonts w:hint="eastAsia"/>
          <w:sz w:val="24"/>
        </w:rPr>
        <w:t>其次，</w:t>
      </w:r>
      <w:r>
        <w:rPr>
          <w:sz w:val="24"/>
        </w:rPr>
        <w:t>因果关联</w:t>
      </w:r>
      <w:r>
        <w:rPr>
          <w:rFonts w:hint="eastAsia"/>
          <w:sz w:val="24"/>
        </w:rPr>
        <w:t>的</w:t>
      </w:r>
      <w:r>
        <w:rPr>
          <w:sz w:val="24"/>
        </w:rPr>
        <w:t>证明难度</w:t>
      </w:r>
      <w:r>
        <w:rPr>
          <w:rFonts w:hint="eastAsia"/>
          <w:sz w:val="24"/>
        </w:rPr>
        <w:t>较高</w:t>
      </w:r>
      <w:r>
        <w:rPr>
          <w:sz w:val="24"/>
        </w:rPr>
        <w:t>​</w:t>
      </w:r>
      <w:r>
        <w:rPr>
          <w:rFonts w:hint="eastAsia"/>
          <w:sz w:val="24"/>
        </w:rPr>
        <w:t>。</w:t>
      </w:r>
      <w:r>
        <w:rPr>
          <w:rFonts w:hint="eastAsia" w:ascii="宋体" w:hAnsi="宋体"/>
          <w:sz w:val="24"/>
        </w:rPr>
        <w:t>因果关系要求侵权人获利应当与侵权行为具有法律上的因果关系，通过对因果关系的判断和衡量可以有效界定侵权人获利返还的范围。但是人身权益并非有形物，无法被人感知，因果关系证明难度较大。</w:t>
      </w:r>
      <w:bookmarkStart w:id="3" w:name="_Hlk145667968"/>
      <w:r>
        <w:rPr>
          <w:rFonts w:hint="eastAsia" w:ascii="宋体" w:hAnsi="宋体"/>
          <w:sz w:val="24"/>
        </w:rPr>
        <w:t>同时，侵权人获利是被侵害的人格权益与侵权人劳动付出共同作用的结果，通过对侵权人劳动付出与侵权人获利因果关系的判断和衡量有利于在确定获利返还数额时将合理的劳动成本排除。但实践中进行责任认定时往往忽略“获利”与“行为”之间的因果关系，缺少明晰的“因果关系”判断路径。</w:t>
      </w:r>
    </w:p>
    <w:bookmarkEnd w:id="3"/>
    <w:p w14:paraId="4F71FA23">
      <w:pPr>
        <w:spacing w:line="360" w:lineRule="auto"/>
        <w:ind w:firstLine="480" w:firstLineChars="200"/>
        <w:rPr>
          <w:rFonts w:ascii="宋体" w:hAnsi="宋体"/>
          <w:sz w:val="24"/>
        </w:rPr>
      </w:pPr>
      <w:r>
        <w:rPr>
          <w:rFonts w:hint="eastAsia"/>
          <w:sz w:val="24"/>
        </w:rPr>
        <w:t>最后，</w:t>
      </w:r>
      <w:r>
        <w:rPr>
          <w:rFonts w:hint="eastAsia" w:ascii="宋体" w:hAnsi="宋体"/>
          <w:sz w:val="24"/>
        </w:rPr>
        <w:t>侵害人身权益获利返还的数额尚未形成统一的计算方法。对此可通过分析比较相关域外实践。美国区分了侵权人的主观状态，不同的主观过错程度应当对应不同的获利返还数额，过失侵权的侵权人在确定获利返还数额时应当以合理许可使用费为标准；故意侵权的侵权人在侵权获利返还的范围上不应当限于合理许可使用费，应当根据其获利情况确定返还数额。而英国则采取更为严格的做法，即使侵权人的主观为善意，权利人仍可主张高于市场价格的获利返还。</w:t>
      </w:r>
      <w:r>
        <w:rPr>
          <w:vertAlign w:val="superscript"/>
        </w:rPr>
        <w:footnoteReference w:id="7"/>
      </w:r>
      <w:r>
        <w:rPr>
          <w:rFonts w:hint="eastAsia" w:ascii="宋体" w:hAnsi="宋体"/>
          <w:sz w:val="24"/>
        </w:rPr>
        <w:t>其中美国法当将目光聚焦于侵权人获利。将目光聚焦于侵权人获利并不意味着完全忽视受害人损失，只是强调侧重对侵权人获利结果的考量。并将主观过错程度的区分纳入获利返还数额的确定上，有利于法院在司法实务中更好的把握侵权人主观过错对获利返还责任的认定及责任范围的承担，对于法院在实务中解决相关司法案件颇有益处。</w:t>
      </w:r>
    </w:p>
    <w:bookmarkEnd w:id="0"/>
    <w:p w14:paraId="1376EAC0">
      <w:pPr>
        <w:pStyle w:val="2"/>
        <w:spacing w:before="0" w:after="0" w:line="360" w:lineRule="auto"/>
        <w:jc w:val="left"/>
        <w:rPr>
          <w:rFonts w:ascii="宋体" w:hAnsi="宋体"/>
          <w:sz w:val="28"/>
          <w:szCs w:val="28"/>
        </w:rPr>
      </w:pPr>
      <w:r>
        <w:rPr>
          <w:rFonts w:hint="eastAsia" w:ascii="宋体" w:hAnsi="宋体"/>
          <w:sz w:val="28"/>
          <w:szCs w:val="28"/>
        </w:rPr>
        <w:t>三</w:t>
      </w:r>
      <w:r>
        <w:rPr>
          <w:rFonts w:ascii="宋体" w:hAnsi="宋体"/>
          <w:sz w:val="28"/>
          <w:szCs w:val="28"/>
        </w:rPr>
        <w:t>、</w:t>
      </w:r>
      <w:r>
        <w:rPr>
          <w:rFonts w:hint="eastAsia" w:ascii="宋体" w:hAnsi="宋体"/>
          <w:sz w:val="28"/>
          <w:szCs w:val="28"/>
        </w:rPr>
        <w:t>“侵权人获利”返还的理论演进</w:t>
      </w:r>
    </w:p>
    <w:p w14:paraId="7AC22AF6">
      <w:pPr>
        <w:spacing w:line="360" w:lineRule="auto"/>
        <w:ind w:firstLine="480" w:firstLineChars="200"/>
        <w:rPr>
          <w:sz w:val="24"/>
        </w:rPr>
      </w:pPr>
      <w:r>
        <w:rPr>
          <w:rFonts w:hint="eastAsia"/>
          <w:sz w:val="24"/>
        </w:rPr>
        <w:t>“侵权人获利”</w:t>
      </w:r>
      <w:r>
        <w:rPr>
          <w:sz w:val="24"/>
        </w:rPr>
        <w:t>返还是对传统侵权法理论的深刻理论重述与演进</w:t>
      </w:r>
      <w:r>
        <w:rPr>
          <w:rFonts w:hint="eastAsia"/>
          <w:sz w:val="24"/>
        </w:rPr>
        <w:t>，其修正与</w:t>
      </w:r>
      <w:r>
        <w:rPr>
          <w:sz w:val="24"/>
        </w:rPr>
        <w:t>补充</w:t>
      </w:r>
      <w:r>
        <w:rPr>
          <w:rFonts w:hint="eastAsia"/>
          <w:sz w:val="24"/>
        </w:rPr>
        <w:t>了</w:t>
      </w:r>
      <w:r>
        <w:rPr>
          <w:sz w:val="24"/>
        </w:rPr>
        <w:t>古典矫正正义</w:t>
      </w:r>
      <w:r>
        <w:rPr>
          <w:rFonts w:hint="eastAsia"/>
          <w:sz w:val="24"/>
        </w:rPr>
        <w:t>，解决了“</w:t>
      </w:r>
      <w:r>
        <w:rPr>
          <w:sz w:val="24"/>
        </w:rPr>
        <w:t>侵权有利可图</w:t>
      </w:r>
      <w:r>
        <w:rPr>
          <w:rFonts w:hint="eastAsia"/>
          <w:sz w:val="24"/>
        </w:rPr>
        <w:t>”</w:t>
      </w:r>
      <w:r>
        <w:rPr>
          <w:sz w:val="24"/>
        </w:rPr>
        <w:t>的悖论</w:t>
      </w:r>
      <w:r>
        <w:rPr>
          <w:rFonts w:hint="eastAsia"/>
          <w:sz w:val="24"/>
        </w:rPr>
        <w:t>；并</w:t>
      </w:r>
      <w:r>
        <w:rPr>
          <w:sz w:val="24"/>
        </w:rPr>
        <w:t>​​通过</w:t>
      </w:r>
      <w:r>
        <w:rPr>
          <w:rFonts w:hint="eastAsia"/>
          <w:sz w:val="24"/>
        </w:rPr>
        <w:t>增加</w:t>
      </w:r>
      <w:r>
        <w:rPr>
          <w:sz w:val="24"/>
        </w:rPr>
        <w:t>侵权成本，有效威慑潜在侵权行为，</w:t>
      </w:r>
      <w:r>
        <w:rPr>
          <w:rFonts w:hint="eastAsia"/>
          <w:sz w:val="24"/>
        </w:rPr>
        <w:t>超越</w:t>
      </w:r>
      <w:r>
        <w:rPr>
          <w:sz w:val="24"/>
        </w:rPr>
        <w:t>传统侵权法</w:t>
      </w:r>
      <w:r>
        <w:rPr>
          <w:rFonts w:hint="eastAsia"/>
          <w:sz w:val="24"/>
        </w:rPr>
        <w:t>“</w:t>
      </w:r>
      <w:r>
        <w:rPr>
          <w:sz w:val="24"/>
        </w:rPr>
        <w:t>填补损害</w:t>
      </w:r>
      <w:r>
        <w:rPr>
          <w:rFonts w:hint="eastAsia"/>
          <w:sz w:val="24"/>
        </w:rPr>
        <w:t>”</w:t>
      </w:r>
      <w:r>
        <w:rPr>
          <w:sz w:val="24"/>
        </w:rPr>
        <w:t>的事后补救范畴，实现了向</w:t>
      </w:r>
      <w:r>
        <w:rPr>
          <w:rFonts w:hint="eastAsia"/>
          <w:sz w:val="24"/>
        </w:rPr>
        <w:t>“</w:t>
      </w:r>
      <w:r>
        <w:rPr>
          <w:sz w:val="24"/>
        </w:rPr>
        <w:t>惩戒与预防</w:t>
      </w:r>
      <w:r>
        <w:rPr>
          <w:rFonts w:hint="eastAsia"/>
          <w:sz w:val="24"/>
        </w:rPr>
        <w:t>”</w:t>
      </w:r>
      <w:r>
        <w:rPr>
          <w:sz w:val="24"/>
        </w:rPr>
        <w:t>的</w:t>
      </w:r>
      <w:r>
        <w:rPr>
          <w:rFonts w:hint="eastAsia"/>
          <w:sz w:val="24"/>
        </w:rPr>
        <w:t>功能</w:t>
      </w:r>
      <w:r>
        <w:rPr>
          <w:sz w:val="24"/>
        </w:rPr>
        <w:t>拓展。</w:t>
      </w:r>
    </w:p>
    <w:p w14:paraId="721611B8">
      <w:pPr>
        <w:pStyle w:val="3"/>
        <w:spacing w:before="0" w:after="0" w:line="360" w:lineRule="auto"/>
        <w:rPr>
          <w:rFonts w:ascii="宋体" w:hAnsi="宋体" w:eastAsia="宋体"/>
          <w:sz w:val="24"/>
          <w:szCs w:val="24"/>
        </w:rPr>
      </w:pPr>
      <w:r>
        <w:rPr>
          <w:rFonts w:hint="eastAsia" w:ascii="宋体" w:hAnsi="宋体" w:eastAsia="宋体"/>
          <w:sz w:val="24"/>
          <w:szCs w:val="24"/>
        </w:rPr>
        <w:t>（一）对</w:t>
      </w:r>
      <w:r>
        <w:rPr>
          <w:rFonts w:ascii="Times New Roman" w:hAnsi="Times New Roman" w:eastAsia="宋体" w:cs="Times New Roman"/>
          <w:sz w:val="24"/>
          <w:szCs w:val="24"/>
        </w:rPr>
        <w:t>​​</w:t>
      </w:r>
      <w:r>
        <w:rPr>
          <w:rFonts w:hint="eastAsia" w:ascii="宋体" w:hAnsi="宋体" w:eastAsia="宋体" w:cs="宋体"/>
          <w:sz w:val="24"/>
          <w:szCs w:val="24"/>
        </w:rPr>
        <w:t>矫正正义</w:t>
      </w:r>
      <w:r>
        <w:rPr>
          <w:rFonts w:ascii="Times New Roman" w:hAnsi="Times New Roman" w:eastAsia="宋体" w:cs="Times New Roman"/>
          <w:sz w:val="24"/>
          <w:szCs w:val="24"/>
        </w:rPr>
        <w:t>​​</w:t>
      </w:r>
      <w:r>
        <w:rPr>
          <w:rFonts w:hint="eastAsia" w:ascii="宋体" w:hAnsi="宋体" w:eastAsia="宋体" w:cs="宋体"/>
          <w:sz w:val="24"/>
          <w:szCs w:val="24"/>
        </w:rPr>
        <w:t>的补充与修正</w:t>
      </w:r>
    </w:p>
    <w:p w14:paraId="2129AB1C">
      <w:pPr>
        <w:spacing w:line="360" w:lineRule="auto"/>
        <w:ind w:firstLine="480" w:firstLineChars="200"/>
        <w:rPr>
          <w:sz w:val="24"/>
        </w:rPr>
      </w:pPr>
      <w:r>
        <w:rPr>
          <w:sz w:val="24"/>
        </w:rPr>
        <w:t xml:space="preserve"> </w:t>
      </w:r>
      <w:r>
        <w:rPr>
          <w:rFonts w:hint="eastAsia"/>
          <w:sz w:val="24"/>
        </w:rPr>
        <w:t>“</w:t>
      </w:r>
      <w:r>
        <w:rPr>
          <w:sz w:val="24"/>
        </w:rPr>
        <w:t>任何人不得从其不法行为中获益</w:t>
      </w:r>
      <w:r>
        <w:rPr>
          <w:rFonts w:hint="eastAsia"/>
          <w:sz w:val="24"/>
        </w:rPr>
        <w:t>”</w:t>
      </w:r>
      <w:r>
        <w:rPr>
          <w:sz w:val="24"/>
        </w:rPr>
        <w:t>为</w:t>
      </w:r>
      <w:r>
        <w:rPr>
          <w:rFonts w:hint="eastAsia" w:ascii="宋体" w:hAnsi="宋体"/>
          <w:sz w:val="24"/>
        </w:rPr>
        <w:t>“侵权人获利”</w:t>
      </w:r>
      <w:r>
        <w:rPr>
          <w:sz w:val="24"/>
        </w:rPr>
        <w:t>返还提供了理论依据，但侵权人</w:t>
      </w:r>
      <w:r>
        <w:rPr>
          <w:rFonts w:hint="eastAsia"/>
          <w:sz w:val="24"/>
        </w:rPr>
        <w:t>返还</w:t>
      </w:r>
      <w:r>
        <w:rPr>
          <w:sz w:val="24"/>
        </w:rPr>
        <w:t>获利也会导致受害人无故获得多于其损失的利益，</w:t>
      </w:r>
      <w:r>
        <w:rPr>
          <w:rFonts w:hint="eastAsia"/>
          <w:sz w:val="24"/>
        </w:rPr>
        <w:t>似乎</w:t>
      </w:r>
      <w:r>
        <w:rPr>
          <w:sz w:val="24"/>
        </w:rPr>
        <w:t>有违矫正正义。</w:t>
      </w:r>
      <w:r>
        <w:rPr>
          <w:rFonts w:hint="eastAsia"/>
          <w:sz w:val="24"/>
        </w:rPr>
        <w:t>然而，侵害人身权益获利返还</w:t>
      </w:r>
      <w:r>
        <w:rPr>
          <w:sz w:val="24"/>
        </w:rPr>
        <w:t>作为侵权法的救济方式</w:t>
      </w:r>
      <w:r>
        <w:rPr>
          <w:rFonts w:hint="eastAsia"/>
          <w:sz w:val="24"/>
        </w:rPr>
        <w:t>之一是对</w:t>
      </w:r>
      <w:r>
        <w:rPr>
          <w:sz w:val="24"/>
        </w:rPr>
        <w:t>侵权法基本理念</w:t>
      </w:r>
      <w:r>
        <w:rPr>
          <w:rFonts w:hint="eastAsia"/>
          <w:sz w:val="24"/>
        </w:rPr>
        <w:t>“矫正正义”的修正和补充，该理论解决“侵权人获得的利益为什么需要返还？为什么受害人可以获得多于实际损害的利益？”的问题。</w:t>
      </w:r>
    </w:p>
    <w:p w14:paraId="7CEEE141">
      <w:pPr>
        <w:spacing w:line="360" w:lineRule="auto"/>
        <w:ind w:firstLine="480" w:firstLineChars="200"/>
        <w:rPr>
          <w:sz w:val="24"/>
        </w:rPr>
      </w:pPr>
      <w:r>
        <w:rPr>
          <w:rFonts w:hint="eastAsia"/>
          <w:sz w:val="24"/>
        </w:rPr>
        <w:t>从权益平等的角度来看，</w:t>
      </w:r>
      <w:r>
        <w:rPr>
          <w:sz w:val="24"/>
        </w:rPr>
        <w:t>矫正正义是指私主体之间的行为导致被告获利与原告损失相等，以获利赔偿损失可恢复至行为发生之前的平等状态。</w:t>
      </w:r>
      <w:r>
        <w:rPr>
          <w:rStyle w:val="20"/>
          <w:sz w:val="24"/>
        </w:rPr>
        <w:footnoteReference w:id="8"/>
      </w:r>
      <w:r>
        <w:rPr>
          <w:rFonts w:hint="eastAsia"/>
          <w:sz w:val="24"/>
        </w:rPr>
        <w:t>侵害人以侵害受害人权益为代价获取收益的行为具有双面性，该行为既消耗了受害人本身的权益，又为受害人带来利益。“侵权人获利”</w:t>
      </w:r>
      <w:r>
        <w:rPr>
          <w:sz w:val="24"/>
        </w:rPr>
        <w:t>返还</w:t>
      </w:r>
      <w:r>
        <w:rPr>
          <w:rFonts w:hint="eastAsia"/>
          <w:sz w:val="24"/>
        </w:rPr>
        <w:t>在适用时由于行为过程产生利益，</w:t>
      </w:r>
      <w:r>
        <w:rPr>
          <w:sz w:val="24"/>
        </w:rPr>
        <w:t>双方定然不能</w:t>
      </w:r>
      <w:r>
        <w:rPr>
          <w:rFonts w:hint="eastAsia"/>
          <w:sz w:val="24"/>
        </w:rPr>
        <w:t>恢复</w:t>
      </w:r>
      <w:r>
        <w:rPr>
          <w:sz w:val="24"/>
        </w:rPr>
        <w:t>至最初的</w:t>
      </w:r>
      <w:r>
        <w:rPr>
          <w:rFonts w:hint="eastAsia"/>
          <w:sz w:val="24"/>
        </w:rPr>
        <w:t>权益平等</w:t>
      </w:r>
      <w:r>
        <w:rPr>
          <w:sz w:val="24"/>
        </w:rPr>
        <w:t>状态</w:t>
      </w:r>
      <w:r>
        <w:rPr>
          <w:rFonts w:hint="eastAsia"/>
          <w:sz w:val="24"/>
        </w:rPr>
        <w:t>，</w:t>
      </w:r>
      <w:r>
        <w:rPr>
          <w:sz w:val="24"/>
        </w:rPr>
        <w:t>与矫正正义相违背。</w:t>
      </w:r>
      <w:r>
        <w:rPr>
          <w:rFonts w:hint="eastAsia"/>
          <w:sz w:val="24"/>
        </w:rPr>
        <w:t>但若从权益分配平等的角度来看，便可得到肯定性评价。</w:t>
      </w:r>
      <w:r>
        <w:rPr>
          <w:sz w:val="24"/>
        </w:rPr>
        <w:t>矫正正义</w:t>
      </w:r>
      <w:r>
        <w:rPr>
          <w:rFonts w:hint="eastAsia"/>
          <w:sz w:val="24"/>
        </w:rPr>
        <w:t>所达成的并非权益正义，而是权益分配正义，其追求</w:t>
      </w:r>
      <w:r>
        <w:rPr>
          <w:sz w:val="24"/>
        </w:rPr>
        <w:t>规范性结果</w:t>
      </w:r>
      <w:r>
        <w:rPr>
          <w:rFonts w:hint="eastAsia"/>
          <w:sz w:val="24"/>
        </w:rPr>
        <w:t>；</w:t>
      </w:r>
      <w:r>
        <w:rPr>
          <w:sz w:val="24"/>
        </w:rPr>
        <w:t>侵权人明知或应知自己的行为会侵犯他人的合法权益但仍实施该不法行为而获利，</w:t>
      </w:r>
      <w:r>
        <w:rPr>
          <w:rFonts w:hint="eastAsia"/>
          <w:sz w:val="24"/>
        </w:rPr>
        <w:t>即</w:t>
      </w:r>
      <w:r>
        <w:rPr>
          <w:sz w:val="24"/>
        </w:rPr>
        <w:t>该获利具有规范性质，</w:t>
      </w:r>
      <w:r>
        <w:rPr>
          <w:rFonts w:hint="eastAsia"/>
          <w:sz w:val="24"/>
        </w:rPr>
        <w:t>并</w:t>
      </w:r>
      <w:r>
        <w:rPr>
          <w:sz w:val="24"/>
        </w:rPr>
        <w:t>存在受害人的规范损失，具有尚需矫正的私法关系。</w:t>
      </w:r>
      <w:r>
        <w:rPr>
          <w:rFonts w:hint="eastAsia"/>
          <w:sz w:val="24"/>
        </w:rPr>
        <w:t>同时，侵权法追求双方的正义，</w:t>
      </w:r>
      <w:r>
        <w:rPr>
          <w:sz w:val="24"/>
        </w:rPr>
        <w:t>侵权人在实施不法行为</w:t>
      </w:r>
      <w:r>
        <w:rPr>
          <w:rFonts w:hint="eastAsia"/>
          <w:sz w:val="24"/>
        </w:rPr>
        <w:t>侵害他人人身权益</w:t>
      </w:r>
      <w:r>
        <w:rPr>
          <w:sz w:val="24"/>
        </w:rPr>
        <w:t>之时就应当意识到其行为带来的收益可能会返还给受害人</w:t>
      </w:r>
      <w:r>
        <w:rPr>
          <w:rFonts w:hint="eastAsia"/>
          <w:sz w:val="24"/>
        </w:rPr>
        <w:t>，当要求侵权人返还其获利并未违反其自由意志，并未对其造成不公；反而会使双方的权益分配恢复至最初状态。因此，</w:t>
      </w:r>
      <w:r>
        <w:rPr>
          <w:rFonts w:hint="eastAsia" w:ascii="宋体" w:hAnsi="宋体"/>
          <w:sz w:val="24"/>
        </w:rPr>
        <w:t>“侵权人获利”</w:t>
      </w:r>
      <w:r>
        <w:rPr>
          <w:rFonts w:hint="eastAsia"/>
          <w:sz w:val="24"/>
        </w:rPr>
        <w:t>返还将矫正正义下的民事责任承担解释为</w:t>
      </w:r>
      <w:r>
        <w:rPr>
          <w:sz w:val="24"/>
        </w:rPr>
        <w:t>矫正违反当事人自由意志所导致的不正义，民事责任的承担不取决于原、被告是否存在对等的物质性损失与收益，而取决于原、被告是否存在对等的规范性损失与收益。</w:t>
      </w:r>
      <w:r>
        <w:rPr>
          <w:rStyle w:val="20"/>
          <w:sz w:val="24"/>
        </w:rPr>
        <w:footnoteReference w:id="9"/>
      </w:r>
      <w:r>
        <w:rPr>
          <w:sz w:val="24"/>
        </w:rPr>
        <w:t xml:space="preserve"> </w:t>
      </w:r>
    </w:p>
    <w:p w14:paraId="353CB33A">
      <w:pPr>
        <w:spacing w:line="360" w:lineRule="auto"/>
        <w:ind w:firstLine="480" w:firstLineChars="200"/>
        <w:rPr>
          <w:sz w:val="24"/>
        </w:rPr>
      </w:pPr>
      <w:r>
        <w:rPr>
          <w:rFonts w:ascii="宋体" w:hAnsi="宋体"/>
          <w:sz w:val="24"/>
        </w:rPr>
        <w:t>从法经济学视角审视，实施侵害行为的内在动因在于攫取本属于权利人的人格权中所蕴含的财产价值，以谋求市场中的超额利润。根据“权属清晰化”理论，对于这种因</w:t>
      </w:r>
      <w:r>
        <w:rPr>
          <w:rFonts w:hint="eastAsia" w:ascii="宋体" w:hAnsi="宋体"/>
          <w:sz w:val="24"/>
        </w:rPr>
        <w:t>标的物小概率</w:t>
      </w:r>
      <w:r>
        <w:rPr>
          <w:rFonts w:ascii="宋体" w:hAnsi="宋体"/>
          <w:sz w:val="24"/>
        </w:rPr>
        <w:t>获利增加机会，其权益应明确归属于权利人。</w:t>
      </w:r>
      <w:r>
        <w:rPr>
          <w:rStyle w:val="20"/>
          <w:rFonts w:ascii="宋体" w:hAnsi="宋体"/>
          <w:sz w:val="24"/>
        </w:rPr>
        <w:footnoteReference w:id="10"/>
      </w:r>
      <w:r>
        <w:rPr>
          <w:rFonts w:ascii="宋体" w:hAnsi="宋体"/>
          <w:sz w:val="24"/>
        </w:rPr>
        <w:t>获利返还要求侵权人将不当获取的利益交还权利人是对权利归属的再确认，其惩戒意义在于剥夺不法行为的经济动因，避免产生“劣币驱逐良币”的不良社会激励。另一方面，依据“最小成本避免者”理论，法律责任应配置给能够以最低成本避免损害发生的一方。</w:t>
      </w:r>
      <w:r>
        <w:rPr>
          <w:rStyle w:val="20"/>
          <w:rFonts w:ascii="宋体" w:hAnsi="宋体"/>
          <w:sz w:val="24"/>
        </w:rPr>
        <w:footnoteReference w:id="11"/>
      </w:r>
      <w:r>
        <w:rPr>
          <w:rFonts w:ascii="宋体" w:hAnsi="宋体"/>
          <w:sz w:val="24"/>
        </w:rPr>
        <w:t>在侵害人身权益的场景中，潜在的侵权人通常处于更有利的位置，能够通过建立内容审核机制、主动寻求授权等成本较低的方式避免侵权。而权利人</w:t>
      </w:r>
      <w:r>
        <w:rPr>
          <w:rFonts w:hint="eastAsia" w:ascii="宋体" w:hAnsi="宋体"/>
          <w:sz w:val="24"/>
        </w:rPr>
        <w:t>，</w:t>
      </w:r>
      <w:r>
        <w:rPr>
          <w:rFonts w:ascii="宋体" w:hAnsi="宋体"/>
          <w:sz w:val="24"/>
        </w:rPr>
        <w:t>尤其是普通个人</w:t>
      </w:r>
      <w:r>
        <w:rPr>
          <w:rFonts w:hint="eastAsia" w:ascii="宋体" w:hAnsi="宋体"/>
          <w:sz w:val="24"/>
        </w:rPr>
        <w:t>，</w:t>
      </w:r>
      <w:r>
        <w:rPr>
          <w:rFonts w:ascii="宋体" w:hAnsi="宋体"/>
          <w:sz w:val="24"/>
        </w:rPr>
        <w:t>往往无力监控并阻止所有潜在侵权行为，</w:t>
      </w:r>
      <w:r>
        <w:rPr>
          <w:rFonts w:hint="eastAsia" w:ascii="宋体" w:hAnsi="宋体"/>
          <w:sz w:val="24"/>
        </w:rPr>
        <w:t>其</w:t>
      </w:r>
      <w:r>
        <w:rPr>
          <w:rFonts w:ascii="宋体" w:hAnsi="宋体"/>
          <w:sz w:val="24"/>
        </w:rPr>
        <w:t>维权成本极高。因此，将承担返还获利的责任赋予侵权人，符合</w:t>
      </w:r>
      <w:r>
        <w:rPr>
          <w:rFonts w:hint="eastAsia" w:ascii="宋体" w:hAnsi="宋体"/>
          <w:sz w:val="24"/>
        </w:rPr>
        <w:t>公平和</w:t>
      </w:r>
      <w:r>
        <w:rPr>
          <w:rFonts w:ascii="宋体" w:hAnsi="宋体"/>
          <w:sz w:val="24"/>
        </w:rPr>
        <w:t>效率原则，</w:t>
      </w:r>
      <w:r>
        <w:rPr>
          <w:rFonts w:hint="eastAsia" w:ascii="宋体" w:hAnsi="宋体"/>
          <w:sz w:val="24"/>
        </w:rPr>
        <w:t>可</w:t>
      </w:r>
      <w:r>
        <w:rPr>
          <w:rFonts w:ascii="宋体" w:hAnsi="宋体"/>
          <w:sz w:val="24"/>
        </w:rPr>
        <w:t>激励最有能力避免侵权的一方采取预防措施，从而实现社会总成本的最小化。</w:t>
      </w:r>
    </w:p>
    <w:p w14:paraId="7E16BC82">
      <w:pPr>
        <w:pStyle w:val="3"/>
        <w:spacing w:before="0" w:after="0" w:line="360" w:lineRule="auto"/>
        <w:rPr>
          <w:rFonts w:ascii="宋体" w:hAnsi="宋体" w:eastAsia="宋体"/>
          <w:sz w:val="24"/>
          <w:szCs w:val="24"/>
        </w:rPr>
      </w:pPr>
      <w:r>
        <w:rPr>
          <w:rFonts w:hint="eastAsia" w:ascii="宋体" w:hAnsi="宋体" w:eastAsia="宋体"/>
          <w:sz w:val="24"/>
          <w:szCs w:val="24"/>
        </w:rPr>
        <w:t>（二）对惩戒及</w:t>
      </w:r>
      <w:r>
        <w:rPr>
          <w:rFonts w:ascii="宋体" w:hAnsi="宋体" w:eastAsia="宋体"/>
          <w:sz w:val="24"/>
          <w:szCs w:val="24"/>
        </w:rPr>
        <w:t>预防</w:t>
      </w:r>
      <w:r>
        <w:rPr>
          <w:rFonts w:ascii="Times New Roman" w:hAnsi="Times New Roman" w:eastAsia="宋体" w:cs="Times New Roman"/>
          <w:sz w:val="24"/>
          <w:szCs w:val="24"/>
        </w:rPr>
        <w:t>​​</w:t>
      </w:r>
      <w:r>
        <w:rPr>
          <w:rFonts w:ascii="宋体" w:hAnsi="宋体" w:eastAsia="宋体"/>
          <w:sz w:val="24"/>
          <w:szCs w:val="24"/>
        </w:rPr>
        <w:t>功能</w:t>
      </w:r>
      <w:r>
        <w:rPr>
          <w:rFonts w:hint="eastAsia" w:ascii="宋体" w:hAnsi="宋体" w:eastAsia="宋体"/>
          <w:sz w:val="24"/>
          <w:szCs w:val="24"/>
        </w:rPr>
        <w:t>的拓展</w:t>
      </w:r>
    </w:p>
    <w:p w14:paraId="739B5AF3">
      <w:pPr>
        <w:spacing w:line="360" w:lineRule="auto"/>
        <w:ind w:firstLine="480" w:firstLineChars="200"/>
        <w:rPr>
          <w:rFonts w:ascii="宋体" w:hAnsi="宋体"/>
          <w:sz w:val="24"/>
        </w:rPr>
      </w:pPr>
      <w:r>
        <w:rPr>
          <w:rFonts w:hint="eastAsia" w:ascii="宋体" w:hAnsi="宋体"/>
          <w:sz w:val="24"/>
        </w:rPr>
        <w:t>“侵权人获利”</w:t>
      </w:r>
      <w:r>
        <w:rPr>
          <w:rFonts w:ascii="宋体" w:hAnsi="宋体"/>
          <w:sz w:val="24"/>
        </w:rPr>
        <w:t>返还的兴起，深植于现代社会人格权商品化的现实背景，其核心特征在于将责任计算的基准从受害人的“损失”转向侵权人的“获利”。</w:t>
      </w:r>
      <w:r>
        <w:rPr>
          <w:rFonts w:hint="eastAsia" w:ascii="宋体" w:hAnsi="宋体"/>
          <w:sz w:val="24"/>
        </w:rPr>
        <w:t>该</w:t>
      </w:r>
      <w:r>
        <w:rPr>
          <w:rFonts w:ascii="宋体" w:hAnsi="宋体"/>
          <w:sz w:val="24"/>
        </w:rPr>
        <w:t>转变标志着侵害人身权益获利返还的功能实现了</w:t>
      </w:r>
      <w:r>
        <w:rPr>
          <w:rFonts w:hint="eastAsia" w:ascii="宋体" w:hAnsi="宋体"/>
          <w:sz w:val="24"/>
        </w:rPr>
        <w:t>从</w:t>
      </w:r>
      <w:r>
        <w:rPr>
          <w:rFonts w:ascii="宋体" w:hAnsi="宋体"/>
          <w:sz w:val="24"/>
        </w:rPr>
        <w:t>“填补损害”向“惩戒与预防”的重要拓展，</w:t>
      </w:r>
      <w:r>
        <w:rPr>
          <w:rFonts w:hint="eastAsia" w:ascii="宋体" w:hAnsi="宋体"/>
          <w:sz w:val="24"/>
        </w:rPr>
        <w:t>成为</w:t>
      </w:r>
      <w:r>
        <w:rPr>
          <w:rFonts w:ascii="宋体" w:hAnsi="宋体"/>
          <w:sz w:val="24"/>
        </w:rPr>
        <w:t>社会经济行为</w:t>
      </w:r>
      <w:r>
        <w:rPr>
          <w:rFonts w:hint="eastAsia" w:ascii="宋体" w:hAnsi="宋体"/>
          <w:sz w:val="24"/>
        </w:rPr>
        <w:t>的有效</w:t>
      </w:r>
      <w:r>
        <w:rPr>
          <w:rFonts w:ascii="宋体" w:hAnsi="宋体"/>
          <w:sz w:val="24"/>
        </w:rPr>
        <w:t>调控工具。</w:t>
      </w:r>
    </w:p>
    <w:p w14:paraId="4E06B53E">
      <w:pPr>
        <w:spacing w:line="360" w:lineRule="auto"/>
        <w:ind w:firstLine="480" w:firstLineChars="200"/>
        <w:rPr>
          <w:rFonts w:ascii="宋体" w:hAnsi="宋体"/>
          <w:sz w:val="24"/>
        </w:rPr>
      </w:pPr>
      <w:r>
        <w:rPr>
          <w:rFonts w:ascii="宋体" w:hAnsi="宋体"/>
          <w:sz w:val="24"/>
        </w:rPr>
        <w:t>传统侵权法的经济逻辑在于通过</w:t>
      </w:r>
      <w:r>
        <w:rPr>
          <w:rFonts w:hint="eastAsia" w:ascii="宋体" w:hAnsi="宋体"/>
          <w:sz w:val="24"/>
        </w:rPr>
        <w:t>侵权</w:t>
      </w:r>
      <w:r>
        <w:rPr>
          <w:rFonts w:ascii="宋体" w:hAnsi="宋体"/>
          <w:sz w:val="24"/>
        </w:rPr>
        <w:t>损害赔偿将行为的外部成本内部化，</w:t>
      </w:r>
      <w:r>
        <w:rPr>
          <w:rStyle w:val="20"/>
          <w:rFonts w:ascii="宋体" w:hAnsi="宋体"/>
          <w:sz w:val="24"/>
        </w:rPr>
        <w:footnoteReference w:id="12"/>
      </w:r>
      <w:r>
        <w:rPr>
          <w:rFonts w:hint="eastAsia" w:ascii="宋体" w:hAnsi="宋体"/>
          <w:sz w:val="24"/>
        </w:rPr>
        <w:t>即</w:t>
      </w:r>
      <w:r>
        <w:rPr>
          <w:rFonts w:ascii="宋体" w:hAnsi="宋体"/>
          <w:sz w:val="24"/>
        </w:rPr>
        <w:t>让加害人承担其行为造成的损失，使其在决策前将可能产生的赔偿计算为成本</w:t>
      </w:r>
      <w:r>
        <w:rPr>
          <w:rFonts w:hint="eastAsia" w:ascii="宋体" w:hAnsi="宋体"/>
          <w:sz w:val="24"/>
        </w:rPr>
        <w:t>，</w:t>
      </w:r>
      <w:r>
        <w:rPr>
          <w:rFonts w:ascii="宋体" w:hAnsi="宋体"/>
          <w:sz w:val="24"/>
        </w:rPr>
        <w:t>引导其审慎决策。</w:t>
      </w:r>
      <w:r>
        <w:rPr>
          <w:rFonts w:hint="eastAsia" w:ascii="宋体" w:hAnsi="宋体"/>
          <w:sz w:val="24"/>
        </w:rPr>
        <w:t>然而，在面对人身权益时该逻辑会产生失灵现象。第一</w:t>
      </w:r>
      <w:r>
        <w:rPr>
          <w:rFonts w:ascii="宋体" w:hAnsi="宋体"/>
          <w:sz w:val="24"/>
        </w:rPr>
        <w:t>，侵权行为的被发现与成功追责的概率普遍偏低。并非每一次侵权都能被权利人察觉，即便察觉，由于</w:t>
      </w:r>
      <w:r>
        <w:rPr>
          <w:rFonts w:hint="eastAsia" w:ascii="宋体" w:hAnsi="宋体"/>
          <w:sz w:val="24"/>
        </w:rPr>
        <w:t>名誉、肖像、隐私等</w:t>
      </w:r>
      <w:r>
        <w:rPr>
          <w:rFonts w:ascii="宋体" w:hAnsi="宋体"/>
          <w:sz w:val="24"/>
        </w:rPr>
        <w:t>权益损害的抽象性与难以量化，权利人在诉讼中</w:t>
      </w:r>
      <w:r>
        <w:rPr>
          <w:rFonts w:hint="eastAsia" w:ascii="宋体" w:hAnsi="宋体"/>
          <w:sz w:val="24"/>
        </w:rPr>
        <w:t>举证证明难度较高</w:t>
      </w:r>
      <w:r>
        <w:rPr>
          <w:rFonts w:ascii="宋体" w:hAnsi="宋体"/>
          <w:sz w:val="24"/>
        </w:rPr>
        <w:t>，导致侵权行为</w:t>
      </w:r>
      <w:r>
        <w:rPr>
          <w:rFonts w:hint="eastAsia" w:ascii="宋体" w:hAnsi="宋体"/>
          <w:sz w:val="24"/>
        </w:rPr>
        <w:t>不能被完全追责</w:t>
      </w:r>
      <w:r>
        <w:rPr>
          <w:rFonts w:ascii="宋体" w:hAnsi="宋体"/>
          <w:sz w:val="24"/>
        </w:rPr>
        <w:t>。</w:t>
      </w:r>
      <w:r>
        <w:rPr>
          <w:rFonts w:hint="eastAsia" w:ascii="宋体" w:hAnsi="宋体"/>
          <w:sz w:val="24"/>
        </w:rPr>
        <w:t>因此，潜在侵权者会对侵权成本进行预算，其中追责概率与侵权成本成正相关，</w:t>
      </w:r>
      <w:r>
        <w:rPr>
          <w:rFonts w:ascii="宋体" w:hAnsi="宋体"/>
          <w:sz w:val="24"/>
        </w:rPr>
        <w:t>当追责概率很低时预期的侵权成本将被显著拉低。</w:t>
      </w:r>
      <w:r>
        <w:rPr>
          <w:rFonts w:hint="eastAsia" w:ascii="宋体" w:hAnsi="宋体"/>
          <w:sz w:val="24"/>
        </w:rPr>
        <w:t>第二</w:t>
      </w:r>
      <w:r>
        <w:rPr>
          <w:rFonts w:ascii="宋体" w:hAnsi="宋体"/>
          <w:sz w:val="24"/>
        </w:rPr>
        <w:t>，在有限的成功追责案例中，法院基于“填补损失”原则判定的赔偿金额往往远低于侵权人的实际获利，甚至受限于司法实践中可能存在的赔偿上限。</w:t>
      </w:r>
      <w:r>
        <w:rPr>
          <w:rStyle w:val="20"/>
          <w:rFonts w:ascii="宋体" w:hAnsi="宋体"/>
          <w:sz w:val="24"/>
        </w:rPr>
        <w:footnoteReference w:id="13"/>
      </w:r>
      <w:r>
        <w:rPr>
          <w:rFonts w:hint="eastAsia" w:ascii="宋体" w:hAnsi="宋体"/>
          <w:sz w:val="24"/>
        </w:rPr>
        <w:t>这将导致</w:t>
      </w:r>
      <w:r>
        <w:rPr>
          <w:rFonts w:ascii="宋体" w:hAnsi="宋体"/>
          <w:sz w:val="24"/>
        </w:rPr>
        <w:t>理性侵权的</w:t>
      </w:r>
      <w:r>
        <w:rPr>
          <w:rFonts w:hint="eastAsia" w:ascii="宋体" w:hAnsi="宋体"/>
          <w:sz w:val="24"/>
        </w:rPr>
        <w:t>现象，即</w:t>
      </w:r>
      <w:r>
        <w:rPr>
          <w:rFonts w:ascii="宋体" w:hAnsi="宋体"/>
          <w:sz w:val="24"/>
        </w:rPr>
        <w:t>当一个利益驱动的市场主体发现，侵权所能带来的巨大收益远高于其经过概率折扣后的低廉预期成本时，便可能主动选择侵权，因为即便败诉，</w:t>
      </w:r>
      <w:r>
        <w:rPr>
          <w:rFonts w:hint="eastAsia" w:ascii="宋体" w:hAnsi="宋体"/>
          <w:sz w:val="24"/>
        </w:rPr>
        <w:t>根据</w:t>
      </w:r>
      <w:r>
        <w:rPr>
          <w:rFonts w:ascii="宋体" w:hAnsi="宋体"/>
          <w:sz w:val="24"/>
        </w:rPr>
        <w:t>填平原则支付赔偿后，仍能保有可观的净利润。</w:t>
      </w:r>
      <w:r>
        <w:rPr>
          <w:rStyle w:val="20"/>
          <w:rFonts w:ascii="宋体" w:hAnsi="宋体"/>
          <w:sz w:val="24"/>
        </w:rPr>
        <w:footnoteReference w:id="14"/>
      </w:r>
      <w:r>
        <w:rPr>
          <w:rFonts w:ascii="宋体" w:hAnsi="宋体"/>
          <w:sz w:val="24"/>
        </w:rPr>
        <w:t>这种“侵权比授权更划算”的</w:t>
      </w:r>
      <w:r>
        <w:rPr>
          <w:rFonts w:hint="eastAsia" w:ascii="宋体" w:hAnsi="宋体"/>
          <w:sz w:val="24"/>
        </w:rPr>
        <w:t>错误</w:t>
      </w:r>
      <w:r>
        <w:rPr>
          <w:rFonts w:ascii="宋体" w:hAnsi="宋体"/>
          <w:sz w:val="24"/>
        </w:rPr>
        <w:t>激励，使得传统侵权法在规制以营利为目的的恶意侵权行为时，不仅未能有效预防，反而在某种程度上纵容了侵权行为的发生。</w:t>
      </w:r>
    </w:p>
    <w:p w14:paraId="170ABEFF">
      <w:pPr>
        <w:spacing w:line="360" w:lineRule="auto"/>
        <w:ind w:firstLine="480" w:firstLineChars="200"/>
        <w:rPr>
          <w:rFonts w:ascii="宋体" w:hAnsi="宋体"/>
          <w:sz w:val="24"/>
        </w:rPr>
      </w:pPr>
      <w:r>
        <w:rPr>
          <w:rFonts w:hint="eastAsia" w:ascii="宋体" w:hAnsi="宋体"/>
          <w:sz w:val="24"/>
        </w:rPr>
        <w:t>因此，</w:t>
      </w:r>
      <w:r>
        <w:rPr>
          <w:rFonts w:ascii="宋体" w:hAnsi="宋体"/>
          <w:sz w:val="24"/>
        </w:rPr>
        <w:t>侵害人身权益获利返还</w:t>
      </w:r>
      <w:r>
        <w:rPr>
          <w:rFonts w:hint="eastAsia" w:ascii="宋体" w:hAnsi="宋体"/>
          <w:sz w:val="24"/>
        </w:rPr>
        <w:t>规则</w:t>
      </w:r>
      <w:r>
        <w:rPr>
          <w:rFonts w:ascii="宋体" w:hAnsi="宋体"/>
          <w:sz w:val="24"/>
        </w:rPr>
        <w:t>应运而生，其威慑与预防的经济功能</w:t>
      </w:r>
      <w:r>
        <w:rPr>
          <w:rFonts w:hint="eastAsia" w:ascii="宋体" w:hAnsi="宋体"/>
          <w:sz w:val="24"/>
        </w:rPr>
        <w:t>弥补了上述缺憾，</w:t>
      </w:r>
      <w:r>
        <w:rPr>
          <w:rFonts w:ascii="宋体" w:hAnsi="宋体"/>
          <w:sz w:val="24"/>
        </w:rPr>
        <w:t>该制度通过强制侵权人返还侵权获利，重构了侵权行为的</w:t>
      </w:r>
      <w:r>
        <w:rPr>
          <w:rFonts w:hint="eastAsia" w:ascii="宋体" w:hAnsi="宋体"/>
          <w:sz w:val="24"/>
        </w:rPr>
        <w:t>预期</w:t>
      </w:r>
      <w:r>
        <w:rPr>
          <w:rFonts w:ascii="宋体" w:hAnsi="宋体"/>
          <w:sz w:val="24"/>
        </w:rPr>
        <w:t>成本。</w:t>
      </w:r>
      <w:r>
        <w:rPr>
          <w:rFonts w:hint="eastAsia" w:ascii="宋体" w:hAnsi="宋体"/>
          <w:sz w:val="24"/>
        </w:rPr>
        <w:t>侵权人的侵权成本将以其全部获利为基数，</w:t>
      </w:r>
      <w:r>
        <w:rPr>
          <w:rFonts w:ascii="宋体" w:hAnsi="宋体"/>
          <w:sz w:val="24"/>
        </w:rPr>
        <w:t>其预期成本便会急剧攀升，</w:t>
      </w:r>
      <w:r>
        <w:rPr>
          <w:rFonts w:hint="eastAsia" w:ascii="宋体" w:hAnsi="宋体"/>
          <w:sz w:val="24"/>
        </w:rPr>
        <w:t>有利于改变以侵权牟利的现象。</w:t>
      </w:r>
      <w:r>
        <w:rPr>
          <w:rFonts w:ascii="宋体" w:hAnsi="宋体"/>
          <w:sz w:val="24"/>
        </w:rPr>
        <w:t>这迫使意图利用他人人身权益的市场主体，必须将事前寻求授权并支付公平对价作为唯一合法且经济的路径</w:t>
      </w:r>
      <w:r>
        <w:rPr>
          <w:rFonts w:hint="eastAsia" w:ascii="宋体" w:hAnsi="宋体"/>
          <w:sz w:val="24"/>
        </w:rPr>
        <w:t>，</w:t>
      </w:r>
      <w:r>
        <w:rPr>
          <w:rFonts w:ascii="宋体" w:hAnsi="宋体"/>
          <w:sz w:val="24"/>
        </w:rPr>
        <w:t>引导社会资源流向合规、高效的使用方式。综上所述，侵害人身权益获利返还通过利润剥夺这一核心机制，实现了对具体侵权行为的特殊惩戒，实现了</w:t>
      </w:r>
      <w:r>
        <w:rPr>
          <w:rFonts w:hint="eastAsia" w:ascii="宋体" w:hAnsi="宋体"/>
          <w:sz w:val="24"/>
        </w:rPr>
        <w:t>侵权法从</w:t>
      </w:r>
      <w:r>
        <w:rPr>
          <w:rFonts w:ascii="宋体" w:hAnsi="宋体"/>
          <w:sz w:val="24"/>
        </w:rPr>
        <w:t>填补损害向惩戒预防的重要拓展。</w:t>
      </w:r>
    </w:p>
    <w:p w14:paraId="28465A88">
      <w:pPr>
        <w:pStyle w:val="3"/>
        <w:spacing w:before="0" w:after="0" w:line="360" w:lineRule="auto"/>
        <w:rPr>
          <w:rFonts w:ascii="宋体" w:hAnsi="宋体" w:eastAsia="宋体"/>
          <w:sz w:val="24"/>
          <w:szCs w:val="24"/>
        </w:rPr>
      </w:pPr>
      <w:bookmarkStart w:id="4" w:name="_Toc164120520"/>
      <w:r>
        <w:rPr>
          <w:rFonts w:ascii="宋体" w:hAnsi="宋体" w:eastAsia="宋体"/>
          <w:sz w:val="24"/>
          <w:szCs w:val="24"/>
        </w:rPr>
        <w:t>（</w:t>
      </w:r>
      <w:r>
        <w:rPr>
          <w:rFonts w:hint="eastAsia" w:ascii="宋体" w:hAnsi="宋体" w:eastAsia="宋体"/>
          <w:sz w:val="24"/>
          <w:szCs w:val="24"/>
        </w:rPr>
        <w:t>三</w:t>
      </w:r>
      <w:r>
        <w:rPr>
          <w:rFonts w:ascii="宋体" w:hAnsi="宋体" w:eastAsia="宋体"/>
          <w:sz w:val="24"/>
          <w:szCs w:val="24"/>
        </w:rPr>
        <w:t>）</w:t>
      </w:r>
      <w:bookmarkEnd w:id="4"/>
      <w:r>
        <w:rPr>
          <w:rFonts w:hint="eastAsia" w:ascii="宋体" w:hAnsi="宋体" w:eastAsia="宋体"/>
          <w:sz w:val="24"/>
          <w:szCs w:val="24"/>
        </w:rPr>
        <w:t>对传统侵权法理论的超越</w:t>
      </w:r>
    </w:p>
    <w:p w14:paraId="0AC16F44">
      <w:pPr>
        <w:spacing w:line="360" w:lineRule="auto"/>
        <w:ind w:firstLine="480" w:firstLineChars="200"/>
        <w:rPr>
          <w:sz w:val="24"/>
        </w:rPr>
      </w:pPr>
      <w:r>
        <w:rPr>
          <w:rFonts w:hint="eastAsia"/>
          <w:sz w:val="24"/>
        </w:rPr>
        <w:t>“侵权人获利”返还标志着侵权法理论的演进，其核心标志在于将规制焦点从“受害人损失”向“侵权人获利”的根本性转变。此种转变并非对传统侵权法的简单修补，而是对其理论边界与功能范畴的实质性超越，是法律应对现代侵权行为多样化救济结果的体现。</w:t>
      </w:r>
    </w:p>
    <w:p w14:paraId="0ABA7C16">
      <w:pPr>
        <w:spacing w:line="360" w:lineRule="auto"/>
        <w:ind w:firstLine="480" w:firstLineChars="200"/>
        <w:rPr>
          <w:sz w:val="24"/>
        </w:rPr>
      </w:pPr>
      <w:r>
        <w:rPr>
          <w:sz w:val="24"/>
        </w:rPr>
        <w:t>一方面</w:t>
      </w:r>
      <w:r>
        <w:rPr>
          <w:rFonts w:hint="eastAsia"/>
          <w:sz w:val="24"/>
        </w:rPr>
        <w:t>，“侵权人获利”</w:t>
      </w:r>
      <w:r>
        <w:rPr>
          <w:sz w:val="24"/>
        </w:rPr>
        <w:t>返还实现了责任基础的二元分立</w:t>
      </w:r>
      <w:r>
        <w:rPr>
          <w:rFonts w:hint="eastAsia"/>
          <w:sz w:val="24"/>
        </w:rPr>
        <w:t>，承认“损害”与“获利”的分离性，突破了传统责任理论的局限</w:t>
      </w:r>
      <w:r>
        <w:rPr>
          <w:sz w:val="24"/>
        </w:rPr>
        <w:t>。获利返还与损害赔偿</w:t>
      </w:r>
      <w:r>
        <w:rPr>
          <w:rFonts w:hint="eastAsia"/>
          <w:sz w:val="24"/>
        </w:rPr>
        <w:t>属于</w:t>
      </w:r>
      <w:r>
        <w:rPr>
          <w:sz w:val="24"/>
        </w:rPr>
        <w:t>分别针对同一侵权行为所引发的两种不同法律后果，二者在逻辑上相互独立</w:t>
      </w:r>
      <w:r>
        <w:rPr>
          <w:rFonts w:hint="eastAsia"/>
          <w:sz w:val="24"/>
        </w:rPr>
        <w:t>；</w:t>
      </w:r>
      <w:r>
        <w:rPr>
          <w:sz w:val="24"/>
        </w:rPr>
        <w:t>前者的规制对象是侵权人获利，后者的规制对象是受害人损失</w:t>
      </w:r>
      <w:r>
        <w:rPr>
          <w:rFonts w:hint="eastAsia"/>
          <w:sz w:val="24"/>
        </w:rPr>
        <w:t>，</w:t>
      </w:r>
      <w:r>
        <w:rPr>
          <w:sz w:val="24"/>
        </w:rPr>
        <w:t>两者对于侵权行为的关注点迥异。</w:t>
      </w:r>
      <w:r>
        <w:rPr>
          <w:rStyle w:val="20"/>
          <w:sz w:val="24"/>
        </w:rPr>
        <w:footnoteReference w:id="15"/>
      </w:r>
      <w:r>
        <w:rPr>
          <w:sz w:val="24"/>
        </w:rPr>
        <w:t>传统因果关系理论难以将</w:t>
      </w:r>
      <w:r>
        <w:rPr>
          <w:rFonts w:hint="eastAsia"/>
          <w:sz w:val="24"/>
        </w:rPr>
        <w:t>“</w:t>
      </w:r>
      <w:r>
        <w:rPr>
          <w:sz w:val="24"/>
        </w:rPr>
        <w:t>获利</w:t>
      </w:r>
      <w:r>
        <w:rPr>
          <w:rFonts w:hint="eastAsia"/>
          <w:sz w:val="24"/>
        </w:rPr>
        <w:t>”</w:t>
      </w:r>
      <w:r>
        <w:rPr>
          <w:sz w:val="24"/>
        </w:rPr>
        <w:t>完全归因于</w:t>
      </w:r>
      <w:r>
        <w:rPr>
          <w:rFonts w:hint="eastAsia"/>
          <w:sz w:val="24"/>
        </w:rPr>
        <w:t>“</w:t>
      </w:r>
      <w:r>
        <w:rPr>
          <w:sz w:val="24"/>
        </w:rPr>
        <w:t>损害</w:t>
      </w:r>
      <w:r>
        <w:rPr>
          <w:rFonts w:hint="eastAsia"/>
          <w:sz w:val="24"/>
        </w:rPr>
        <w:t>”</w:t>
      </w:r>
      <w:r>
        <w:rPr>
          <w:sz w:val="24"/>
        </w:rPr>
        <w:t>，</w:t>
      </w:r>
      <w:r>
        <w:rPr>
          <w:rFonts w:hint="eastAsia"/>
          <w:sz w:val="24"/>
        </w:rPr>
        <w:t>忽视了“损害”与“获利”间</w:t>
      </w:r>
      <w:r>
        <w:rPr>
          <w:sz w:val="24"/>
        </w:rPr>
        <w:t>不存在相当因果关系</w:t>
      </w:r>
      <w:r>
        <w:rPr>
          <w:rFonts w:hint="eastAsia"/>
          <w:sz w:val="24"/>
        </w:rPr>
        <w:t>的问题。</w:t>
      </w:r>
      <w:r>
        <w:rPr>
          <w:sz w:val="24"/>
        </w:rPr>
        <w:t>侵权人获利是在实施侵害他人人身权益的行为后，以其所侵害的人身权益为基础进行其他行为所获得的利益；受害人损害是在侵权人实施侵害其人身权益的行为后，而遭受的财产损失</w:t>
      </w:r>
      <w:r>
        <w:rPr>
          <w:rFonts w:hint="eastAsia"/>
          <w:sz w:val="24"/>
        </w:rPr>
        <w:t>。侵权人的获利可能主要来源于其自身的商业运作，而受害人的损失则表现为人格权价值的减损，两者并没有相当因果关系。同时，在数额上两者并不呈现等额性，</w:t>
      </w:r>
      <w:r>
        <w:rPr>
          <w:sz w:val="24"/>
        </w:rPr>
        <w:t>如甲侵犯乙的肖像权，通过产品包装等方式将乙的肖像放在其售卖的商品上售卖该商品的行为。该过程甲获得的利益不仅包括乙的肖像权中的财产价值，因产品包装、经营售卖等因素所获得的利益会占据更多的比重。</w:t>
      </w:r>
    </w:p>
    <w:p w14:paraId="79288923">
      <w:pPr>
        <w:spacing w:line="360" w:lineRule="auto"/>
        <w:ind w:firstLine="480" w:firstLineChars="200"/>
        <w:rPr>
          <w:rFonts w:ascii="宋体" w:hAnsi="宋体"/>
          <w:sz w:val="24"/>
        </w:rPr>
      </w:pPr>
      <w:r>
        <w:rPr>
          <w:rFonts w:hint="eastAsia"/>
          <w:sz w:val="24"/>
        </w:rPr>
        <w:t>另一方面，“侵权人获利”返还利用传统侵权法理论实现不当得利返还的效果，形塑出一种独立的救济形式。获利返还虽在效果上呈现“剥夺利益”的特征，但其法理根基仍深植于侵权法的“行为不法性”理论。虽然德国存在以“侵害型不当得利”以试图解决侵权获利返还问题，</w:t>
      </w:r>
      <w:r>
        <w:rPr>
          <w:rStyle w:val="20"/>
          <w:rFonts w:ascii="宋体" w:hAnsi="宋体"/>
          <w:sz w:val="24"/>
        </w:rPr>
        <w:footnoteReference w:id="16"/>
      </w:r>
      <w:r>
        <w:rPr>
          <w:rFonts w:hint="eastAsia"/>
          <w:sz w:val="24"/>
        </w:rPr>
        <w:t>但必须明确侵害人身权益获利返还并非不当得利。</w:t>
      </w:r>
      <w:r>
        <w:rPr>
          <w:sz w:val="24"/>
        </w:rPr>
        <w:t>不当得利的本质是</w:t>
      </w:r>
      <w:r>
        <w:rPr>
          <w:rFonts w:hint="eastAsia"/>
          <w:sz w:val="24"/>
        </w:rPr>
        <w:t>“</w:t>
      </w:r>
      <w:r>
        <w:rPr>
          <w:sz w:val="24"/>
        </w:rPr>
        <w:t>权利归属理论</w:t>
      </w:r>
      <w:r>
        <w:rPr>
          <w:rFonts w:hint="eastAsia"/>
          <w:sz w:val="24"/>
        </w:rPr>
        <w:t>”</w:t>
      </w:r>
      <w:r>
        <w:rPr>
          <w:sz w:val="24"/>
        </w:rPr>
        <w:t>的体现，</w:t>
      </w:r>
      <w:r>
        <w:rPr>
          <w:rFonts w:hint="eastAsia" w:ascii="宋体" w:hAnsi="宋体"/>
          <w:sz w:val="24"/>
        </w:rPr>
        <w:t>认为权利人相关权益中的利益内容应由本人享有，</w:t>
      </w:r>
      <w:r>
        <w:rPr>
          <w:rFonts w:ascii="宋体" w:hAnsi="宋体"/>
          <w:sz w:val="24"/>
        </w:rPr>
        <w:t>违反</w:t>
      </w:r>
      <w:r>
        <w:rPr>
          <w:rFonts w:hint="eastAsia" w:ascii="宋体" w:hAnsi="宋体"/>
          <w:sz w:val="24"/>
        </w:rPr>
        <w:t>该种</w:t>
      </w:r>
      <w:r>
        <w:rPr>
          <w:rFonts w:ascii="宋体" w:hAnsi="宋体"/>
          <w:sz w:val="24"/>
        </w:rPr>
        <w:t>权益归属而取得利益者</w:t>
      </w:r>
      <w:r>
        <w:rPr>
          <w:rFonts w:hint="eastAsia" w:ascii="宋体" w:hAnsi="宋体"/>
          <w:sz w:val="24"/>
        </w:rPr>
        <w:t>应返还利益；</w:t>
      </w:r>
      <w:r>
        <w:rPr>
          <w:rStyle w:val="20"/>
          <w:rFonts w:ascii="宋体" w:hAnsi="宋体"/>
          <w:sz w:val="24"/>
        </w:rPr>
        <w:footnoteReference w:id="17"/>
      </w:r>
      <w:r>
        <w:rPr>
          <w:sz w:val="24"/>
        </w:rPr>
        <w:t>其关注的</w:t>
      </w:r>
      <w:r>
        <w:rPr>
          <w:rFonts w:hint="eastAsia"/>
          <w:sz w:val="24"/>
        </w:rPr>
        <w:t>始终</w:t>
      </w:r>
      <w:r>
        <w:rPr>
          <w:sz w:val="24"/>
        </w:rPr>
        <w:t>是侵权人是否可以保有该种获利，而对于其行为的过程不做过多关注。</w:t>
      </w:r>
      <w:r>
        <w:rPr>
          <w:rFonts w:hint="eastAsia"/>
          <w:sz w:val="24"/>
        </w:rPr>
        <w:t>“侵权人获利”</w:t>
      </w:r>
      <w:r>
        <w:rPr>
          <w:sz w:val="24"/>
        </w:rPr>
        <w:t>返还虽然在效果也表现为侵权人将侵犯权利人人身权益所获得的本应属于权利人的利益返还至被侵害人，但</w:t>
      </w:r>
      <w:r>
        <w:rPr>
          <w:rFonts w:hint="eastAsia"/>
          <w:sz w:val="24"/>
        </w:rPr>
        <w:t>其</w:t>
      </w:r>
      <w:r>
        <w:rPr>
          <w:sz w:val="24"/>
        </w:rPr>
        <w:t>所关注的重点在于行为的违法性，而非利益保有的正当性，其本质是</w:t>
      </w:r>
      <w:r>
        <w:rPr>
          <w:rFonts w:hint="eastAsia"/>
          <w:sz w:val="24"/>
        </w:rPr>
        <w:t>“</w:t>
      </w:r>
      <w:r>
        <w:rPr>
          <w:sz w:val="24"/>
        </w:rPr>
        <w:t>违法性理论</w:t>
      </w:r>
      <w:r>
        <w:rPr>
          <w:rFonts w:hint="eastAsia"/>
          <w:sz w:val="24"/>
        </w:rPr>
        <w:t>”</w:t>
      </w:r>
      <w:r>
        <w:rPr>
          <w:sz w:val="24"/>
        </w:rPr>
        <w:t>的体现</w:t>
      </w:r>
      <w:r>
        <w:rPr>
          <w:rFonts w:hint="eastAsia"/>
          <w:sz w:val="24"/>
        </w:rPr>
        <w:t>。因此，“侵权人获利”</w:t>
      </w:r>
      <w:r>
        <w:rPr>
          <w:rFonts w:hint="eastAsia" w:ascii="宋体" w:hAnsi="宋体"/>
          <w:sz w:val="24"/>
        </w:rPr>
        <w:t>返还本质上涉及到侵权行为内容和不当得利内容的交叉和融合，是对传统侵权法理论的超越。</w:t>
      </w:r>
    </w:p>
    <w:p w14:paraId="0278BBAB">
      <w:pPr>
        <w:pStyle w:val="2"/>
        <w:spacing w:before="0" w:after="0" w:line="360" w:lineRule="auto"/>
        <w:jc w:val="left"/>
        <w:rPr>
          <w:rFonts w:ascii="宋体" w:hAnsi="宋体"/>
          <w:sz w:val="28"/>
          <w:szCs w:val="28"/>
        </w:rPr>
      </w:pPr>
      <w:r>
        <w:rPr>
          <w:rFonts w:hint="eastAsia" w:ascii="宋体" w:hAnsi="宋体"/>
          <w:sz w:val="28"/>
          <w:szCs w:val="28"/>
        </w:rPr>
        <w:t>四</w:t>
      </w:r>
      <w:r>
        <w:rPr>
          <w:rFonts w:ascii="宋体" w:hAnsi="宋体"/>
          <w:sz w:val="28"/>
          <w:szCs w:val="28"/>
        </w:rPr>
        <w:t>、</w:t>
      </w:r>
      <w:r>
        <w:rPr>
          <w:rFonts w:hint="eastAsia" w:ascii="宋体" w:hAnsi="宋体"/>
          <w:sz w:val="28"/>
          <w:szCs w:val="28"/>
        </w:rPr>
        <w:t>“侵权人</w:t>
      </w:r>
      <w:r>
        <w:rPr>
          <w:rFonts w:ascii="宋体" w:hAnsi="宋体"/>
          <w:sz w:val="28"/>
          <w:szCs w:val="28"/>
        </w:rPr>
        <w:t>获利”</w:t>
      </w:r>
      <w:r>
        <w:rPr>
          <w:rFonts w:hint="eastAsia" w:ascii="宋体" w:hAnsi="宋体"/>
          <w:sz w:val="28"/>
          <w:szCs w:val="28"/>
        </w:rPr>
        <w:t>的内涵界定与计算模型构建</w:t>
      </w:r>
    </w:p>
    <w:p w14:paraId="7FA21250">
      <w:pPr>
        <w:spacing w:line="360" w:lineRule="auto"/>
        <w:ind w:firstLine="480" w:firstLineChars="200"/>
        <w:rPr>
          <w:sz w:val="24"/>
        </w:rPr>
      </w:pPr>
      <w:r>
        <w:rPr>
          <w:sz w:val="24"/>
        </w:rPr>
        <w:t>在我国，《民法典》第1182条规定受害人可请求侵权人返还因此获得的利益，但是</w:t>
      </w:r>
      <w:r>
        <w:rPr>
          <w:rFonts w:hint="eastAsia"/>
          <w:sz w:val="24"/>
        </w:rPr>
        <w:t>“</w:t>
      </w:r>
      <w:r>
        <w:rPr>
          <w:sz w:val="24"/>
        </w:rPr>
        <w:t>因此获得的利益</w:t>
      </w:r>
      <w:r>
        <w:rPr>
          <w:rFonts w:hint="eastAsia"/>
          <w:sz w:val="24"/>
        </w:rPr>
        <w:t>”</w:t>
      </w:r>
      <w:r>
        <w:rPr>
          <w:sz w:val="24"/>
        </w:rPr>
        <w:t>更偏向于模糊性表达，未回答应当如何计算</w:t>
      </w:r>
      <w:r>
        <w:rPr>
          <w:rFonts w:hint="eastAsia"/>
          <w:sz w:val="24"/>
        </w:rPr>
        <w:t>“</w:t>
      </w:r>
      <w:r>
        <w:rPr>
          <w:sz w:val="24"/>
        </w:rPr>
        <w:t>因此获得的利益</w:t>
      </w:r>
      <w:r>
        <w:rPr>
          <w:rFonts w:hint="eastAsia"/>
          <w:sz w:val="24"/>
        </w:rPr>
        <w:t>”</w:t>
      </w:r>
      <w:r>
        <w:rPr>
          <w:sz w:val="24"/>
        </w:rPr>
        <w:t>。</w:t>
      </w:r>
      <w:r>
        <w:rPr>
          <w:rFonts w:hint="eastAsia"/>
          <w:sz w:val="24"/>
        </w:rPr>
        <w:t>对于该问题有必要针对侵害人身权益“获利”的特殊性，合理界定“获利”的内涵与外延，并</w:t>
      </w:r>
      <w:r>
        <w:rPr>
          <w:rFonts w:hint="eastAsia" w:ascii="宋体" w:hAnsi="宋体" w:cs="宋体"/>
          <w:sz w:val="24"/>
        </w:rPr>
        <w:t>在此基础上从原则层、规则层和技术层构建计算模型。</w:t>
      </w:r>
    </w:p>
    <w:p w14:paraId="4ADC3A2D">
      <w:pPr>
        <w:pStyle w:val="3"/>
        <w:spacing w:before="0" w:after="0" w:line="360" w:lineRule="auto"/>
        <w:rPr>
          <w:rFonts w:ascii="宋体" w:hAnsi="宋体" w:eastAsia="宋体"/>
          <w:sz w:val="24"/>
          <w:szCs w:val="24"/>
        </w:rPr>
      </w:pPr>
      <w:r>
        <w:rPr>
          <w:rFonts w:ascii="宋体" w:hAnsi="宋体" w:eastAsia="宋体"/>
          <w:sz w:val="24"/>
          <w:szCs w:val="24"/>
        </w:rPr>
        <w:t>（</w:t>
      </w:r>
      <w:r>
        <w:rPr>
          <w:rFonts w:hint="eastAsia" w:ascii="宋体" w:hAnsi="宋体" w:eastAsia="宋体"/>
          <w:sz w:val="24"/>
          <w:szCs w:val="24"/>
        </w:rPr>
        <w:t>一</w:t>
      </w:r>
      <w:r>
        <w:rPr>
          <w:rFonts w:ascii="宋体" w:hAnsi="宋体" w:eastAsia="宋体"/>
          <w:sz w:val="24"/>
          <w:szCs w:val="24"/>
        </w:rPr>
        <w:t>）</w:t>
      </w:r>
      <w:r>
        <w:rPr>
          <w:rFonts w:hint="eastAsia" w:ascii="宋体" w:hAnsi="宋体" w:eastAsia="宋体"/>
          <w:sz w:val="24"/>
          <w:szCs w:val="24"/>
        </w:rPr>
        <w:t>“侵权人获利”</w:t>
      </w:r>
      <w:r>
        <w:rPr>
          <w:rFonts w:hint="eastAsia" w:ascii="Times New Roman" w:hAnsi="Times New Roman" w:eastAsia="宋体" w:cs="Times New Roman"/>
          <w:sz w:val="24"/>
          <w:szCs w:val="24"/>
        </w:rPr>
        <w:t>的内涵与外延</w:t>
      </w:r>
    </w:p>
    <w:p w14:paraId="4FC84F5D">
      <w:pPr>
        <w:spacing w:line="360" w:lineRule="auto"/>
        <w:ind w:firstLine="480" w:firstLineChars="200"/>
        <w:rPr>
          <w:sz w:val="24"/>
        </w:rPr>
      </w:pPr>
      <w:r>
        <w:rPr>
          <w:sz w:val="24"/>
        </w:rPr>
        <w:t>厘清侵权人</w:t>
      </w:r>
      <w:r>
        <w:rPr>
          <w:rFonts w:hint="eastAsia"/>
          <w:sz w:val="24"/>
        </w:rPr>
        <w:t>“</w:t>
      </w:r>
      <w:r>
        <w:rPr>
          <w:sz w:val="24"/>
        </w:rPr>
        <w:t>获利</w:t>
      </w:r>
      <w:r>
        <w:rPr>
          <w:rFonts w:hint="eastAsia"/>
          <w:sz w:val="24"/>
        </w:rPr>
        <w:t>”</w:t>
      </w:r>
      <w:r>
        <w:rPr>
          <w:sz w:val="24"/>
        </w:rPr>
        <w:t>的内涵与外延是构建侵害人身权益获利返还计算规则的逻辑起点与理论基础。所谓</w:t>
      </w:r>
      <w:r>
        <w:rPr>
          <w:rFonts w:hint="eastAsia"/>
          <w:sz w:val="24"/>
        </w:rPr>
        <w:t>“</w:t>
      </w:r>
      <w:r>
        <w:rPr>
          <w:sz w:val="24"/>
        </w:rPr>
        <w:t>内涵</w:t>
      </w:r>
      <w:r>
        <w:rPr>
          <w:rFonts w:hint="eastAsia"/>
          <w:sz w:val="24"/>
        </w:rPr>
        <w:t>”</w:t>
      </w:r>
      <w:r>
        <w:rPr>
          <w:sz w:val="24"/>
        </w:rPr>
        <w:t>，旨在界定</w:t>
      </w:r>
      <w:r>
        <w:rPr>
          <w:rFonts w:hint="eastAsia"/>
          <w:sz w:val="24"/>
        </w:rPr>
        <w:t>“</w:t>
      </w:r>
      <w:r>
        <w:rPr>
          <w:sz w:val="24"/>
        </w:rPr>
        <w:t>获利的性质</w:t>
      </w:r>
      <w:r>
        <w:rPr>
          <w:rFonts w:hint="eastAsia"/>
          <w:sz w:val="24"/>
        </w:rPr>
        <w:t>”</w:t>
      </w:r>
      <w:r>
        <w:rPr>
          <w:sz w:val="24"/>
        </w:rPr>
        <w:t>，即探究法律意欲剥夺的</w:t>
      </w:r>
      <w:r>
        <w:rPr>
          <w:rFonts w:hint="eastAsia"/>
          <w:sz w:val="24"/>
        </w:rPr>
        <w:t>“</w:t>
      </w:r>
      <w:r>
        <w:rPr>
          <w:sz w:val="24"/>
        </w:rPr>
        <w:t>获利</w:t>
      </w:r>
      <w:r>
        <w:rPr>
          <w:rFonts w:hint="eastAsia"/>
          <w:sz w:val="24"/>
        </w:rPr>
        <w:t>”</w:t>
      </w:r>
      <w:r>
        <w:rPr>
          <w:sz w:val="24"/>
        </w:rPr>
        <w:t>之本质</w:t>
      </w:r>
      <w:r>
        <w:rPr>
          <w:rFonts w:hint="eastAsia"/>
          <w:sz w:val="24"/>
        </w:rPr>
        <w:t>；</w:t>
      </w:r>
      <w:r>
        <w:rPr>
          <w:sz w:val="24"/>
        </w:rPr>
        <w:t>而</w:t>
      </w:r>
      <w:r>
        <w:rPr>
          <w:rFonts w:hint="eastAsia"/>
          <w:sz w:val="24"/>
        </w:rPr>
        <w:t>“</w:t>
      </w:r>
      <w:r>
        <w:rPr>
          <w:sz w:val="24"/>
        </w:rPr>
        <w:t>外延</w:t>
      </w:r>
      <w:r>
        <w:rPr>
          <w:rFonts w:hint="eastAsia"/>
          <w:sz w:val="24"/>
        </w:rPr>
        <w:t>”</w:t>
      </w:r>
      <w:r>
        <w:rPr>
          <w:sz w:val="24"/>
        </w:rPr>
        <w:t>则关乎</w:t>
      </w:r>
      <w:r>
        <w:rPr>
          <w:rFonts w:hint="eastAsia"/>
          <w:sz w:val="24"/>
        </w:rPr>
        <w:t>“</w:t>
      </w:r>
      <w:r>
        <w:rPr>
          <w:sz w:val="24"/>
        </w:rPr>
        <w:t>获利包括什么</w:t>
      </w:r>
      <w:r>
        <w:rPr>
          <w:rFonts w:hint="eastAsia"/>
          <w:sz w:val="24"/>
        </w:rPr>
        <w:t>”</w:t>
      </w:r>
      <w:r>
        <w:rPr>
          <w:sz w:val="24"/>
        </w:rPr>
        <w:t>，即需在操作层面具体廓清应予返还的利益形态。</w:t>
      </w:r>
    </w:p>
    <w:p w14:paraId="023AD2E2">
      <w:pPr>
        <w:spacing w:line="360" w:lineRule="auto"/>
        <w:ind w:firstLine="480" w:firstLineChars="200"/>
        <w:rPr>
          <w:sz w:val="24"/>
        </w:rPr>
      </w:pPr>
      <w:r>
        <w:rPr>
          <w:rFonts w:hint="eastAsia"/>
          <w:sz w:val="24"/>
        </w:rPr>
        <w:t>对于</w:t>
      </w:r>
      <w:r>
        <w:rPr>
          <w:sz w:val="24"/>
        </w:rPr>
        <w:t>侵权人</w:t>
      </w:r>
      <w:r>
        <w:rPr>
          <w:rFonts w:hint="eastAsia"/>
          <w:sz w:val="24"/>
        </w:rPr>
        <w:t>获利</w:t>
      </w:r>
      <w:r>
        <w:rPr>
          <w:sz w:val="24"/>
        </w:rPr>
        <w:t>性质</w:t>
      </w:r>
      <w:r>
        <w:rPr>
          <w:rFonts w:hint="eastAsia"/>
          <w:sz w:val="24"/>
        </w:rPr>
        <w:t>的判断，第一，</w:t>
      </w:r>
      <w:r>
        <w:rPr>
          <w:sz w:val="24"/>
        </w:rPr>
        <w:t>侵权人获利不等于受害人损害，侵权人获利是在实施侵害他人人身权益的行为后，以其所侵害的人身权益为基础进行一系列的其他行为，进而所获得的利益；受害人损害是在侵权人实施侵害其人身权益的行为后，而遭受的财产损失。受害人损害与侵权人获利是实施侵权行为后两个横向上相独立的结果，受害人请求获利返还，并不需要证明损害结果。</w:t>
      </w:r>
      <w:r>
        <w:rPr>
          <w:rFonts w:hint="eastAsia"/>
          <w:sz w:val="24"/>
        </w:rPr>
        <w:t>第二，</w:t>
      </w:r>
      <w:r>
        <w:rPr>
          <w:sz w:val="24"/>
        </w:rPr>
        <w:t>何为</w:t>
      </w:r>
      <w:r>
        <w:rPr>
          <w:rFonts w:hint="eastAsia"/>
          <w:sz w:val="24"/>
        </w:rPr>
        <w:t>“</w:t>
      </w:r>
      <w:r>
        <w:rPr>
          <w:sz w:val="24"/>
        </w:rPr>
        <w:t>获利</w:t>
      </w:r>
      <w:r>
        <w:rPr>
          <w:rFonts w:hint="eastAsia"/>
          <w:sz w:val="24"/>
        </w:rPr>
        <w:t>”？</w:t>
      </w:r>
      <w:r>
        <w:rPr>
          <w:sz w:val="24"/>
        </w:rPr>
        <w:t>侵权人在行为过程中的获利主要包括积极获利和消极获利，</w:t>
      </w:r>
      <w:r>
        <w:rPr>
          <w:rStyle w:val="20"/>
          <w:sz w:val="24"/>
        </w:rPr>
        <w:footnoteReference w:id="18"/>
      </w:r>
      <w:r>
        <w:rPr>
          <w:sz w:val="24"/>
        </w:rPr>
        <w:t>前者指侵权人侵害他人人身权益后对该权益进行积极利用所获得的收益，后者指侵权人因侵害他人人身权益而节省的费用，例如许可使用费的节省或者用工成本的节省。从侵害人身权益获利返还责任的构成上来看</w:t>
      </w:r>
      <w:r>
        <w:rPr>
          <w:rFonts w:hint="eastAsia"/>
          <w:sz w:val="24"/>
        </w:rPr>
        <w:t>“</w:t>
      </w:r>
      <w:r>
        <w:rPr>
          <w:sz w:val="24"/>
        </w:rPr>
        <w:t>侵权人获利</w:t>
      </w:r>
      <w:r>
        <w:rPr>
          <w:rFonts w:hint="eastAsia"/>
          <w:sz w:val="24"/>
        </w:rPr>
        <w:t>”</w:t>
      </w:r>
      <w:r>
        <w:rPr>
          <w:sz w:val="24"/>
        </w:rPr>
        <w:t>既</w:t>
      </w:r>
      <w:bookmarkStart w:id="5" w:name="_Hlk144374144"/>
      <w:r>
        <w:rPr>
          <w:sz w:val="24"/>
        </w:rPr>
        <w:t>可指积极获利，又可指消极获利</w:t>
      </w:r>
      <w:bookmarkEnd w:id="5"/>
      <w:r>
        <w:rPr>
          <w:sz w:val="24"/>
        </w:rPr>
        <w:t>，被侵权人</w:t>
      </w:r>
      <w:bookmarkStart w:id="6" w:name="_Hlk145689113"/>
      <w:r>
        <w:rPr>
          <w:sz w:val="24"/>
        </w:rPr>
        <w:t>可以同时主张上述两种获利</w:t>
      </w:r>
      <w:bookmarkEnd w:id="6"/>
      <w:r>
        <w:rPr>
          <w:sz w:val="24"/>
        </w:rPr>
        <w:t>。理由在于</w:t>
      </w:r>
      <w:r>
        <w:rPr>
          <w:rFonts w:hint="eastAsia"/>
          <w:sz w:val="24"/>
        </w:rPr>
        <w:t>：</w:t>
      </w:r>
      <w:r>
        <w:rPr>
          <w:sz w:val="24"/>
        </w:rPr>
        <w:t>若侵权人获利仅包含积极获利时，那么在侵权人利用他人肖像权等权益进行宣传经营却未获利时，受害人便不可依据获利返还请求权进行起诉，</w:t>
      </w:r>
      <w:r>
        <w:rPr>
          <w:rFonts w:hint="eastAsia"/>
          <w:sz w:val="24"/>
        </w:rPr>
        <w:t>从</w:t>
      </w:r>
      <w:r>
        <w:rPr>
          <w:sz w:val="24"/>
        </w:rPr>
        <w:t>而增加受害人的举证难度，其需要对侵权人实际获利的有无进行举证，而这对于受害人而言是难以证明的。</w:t>
      </w:r>
    </w:p>
    <w:p w14:paraId="25B8CDF1">
      <w:pPr>
        <w:spacing w:line="360" w:lineRule="auto"/>
        <w:ind w:firstLine="480" w:firstLineChars="200"/>
        <w:rPr>
          <w:sz w:val="24"/>
        </w:rPr>
      </w:pPr>
      <w:r>
        <w:rPr>
          <w:rFonts w:hint="eastAsia"/>
          <w:sz w:val="24"/>
        </w:rPr>
        <w:t>对于</w:t>
      </w:r>
      <w:r>
        <w:rPr>
          <w:sz w:val="24"/>
        </w:rPr>
        <w:t>侵权人获利范围</w:t>
      </w:r>
      <w:r>
        <w:rPr>
          <w:rFonts w:hint="eastAsia"/>
          <w:sz w:val="24"/>
        </w:rPr>
        <w:t>的判断，</w:t>
      </w:r>
      <w:r>
        <w:rPr>
          <w:sz w:val="24"/>
        </w:rPr>
        <w:t>侵权人获利的范围与获利返还数额的关系密切</w:t>
      </w:r>
      <w:r>
        <w:rPr>
          <w:rFonts w:hint="eastAsia"/>
          <w:sz w:val="24"/>
        </w:rPr>
        <w:t>。</w:t>
      </w:r>
      <w:r>
        <w:rPr>
          <w:sz w:val="24"/>
        </w:rPr>
        <w:t>侵权人获利的范围是指侵权人所获的全部利益还是指侵权人除去成本后的利润，在学界中的观点偏向于后者</w:t>
      </w:r>
      <w:r>
        <w:rPr>
          <w:rFonts w:hint="eastAsia"/>
          <w:sz w:val="24"/>
        </w:rPr>
        <w:t>，即</w:t>
      </w:r>
      <w:r>
        <w:rPr>
          <w:sz w:val="24"/>
        </w:rPr>
        <w:t>除去成本后的利润。成本包括固有成本和非固有成本，前者主要是指侵权人在进行此类获利行为时本就会产生的成本，如设备仪器的购置等。后者是指只有在进行当下这种侵权获利行为时，才会产生的成本，如非法使用某明星的肖像，并以此制作海报宣传，制作海报的成本即为非固有成本。对待成本的扣除也应当采取更为细致的态度，即不扣除固有成本，而扣除非固有成本。此外侵权人获利往往是多重因素叠加的结果，其中不仅有受害人人身权益所发挥的作用，还包括侵权人本身劳动等其他获利因素的付出。在考虑侵权人获利范围时，应当将侵害人身权益获利因素与侵权人的其他获利因素进行区分，正如经济学家舒尔茨所言，利润的分配应当参照不同要素所占的比重进行划分。</w:t>
      </w:r>
    </w:p>
    <w:p w14:paraId="1F40AF9E">
      <w:pPr>
        <w:pStyle w:val="3"/>
        <w:spacing w:before="0" w:after="0" w:line="360" w:lineRule="auto"/>
        <w:rPr>
          <w:rFonts w:ascii="宋体" w:hAnsi="宋体" w:eastAsia="宋体"/>
          <w:sz w:val="24"/>
          <w:szCs w:val="24"/>
        </w:rPr>
      </w:pPr>
      <w:bookmarkStart w:id="7" w:name="_Toc164120522"/>
      <w:bookmarkStart w:id="8" w:name="_Hlk144371549"/>
      <w:r>
        <w:rPr>
          <w:rFonts w:ascii="宋体" w:hAnsi="宋体" w:eastAsia="宋体"/>
          <w:sz w:val="24"/>
          <w:szCs w:val="24"/>
        </w:rPr>
        <w:t>（</w:t>
      </w:r>
      <w:r>
        <w:rPr>
          <w:rFonts w:hint="eastAsia" w:ascii="宋体" w:hAnsi="宋体" w:eastAsia="宋体"/>
          <w:sz w:val="24"/>
          <w:szCs w:val="24"/>
        </w:rPr>
        <w:t>二</w:t>
      </w:r>
      <w:r>
        <w:rPr>
          <w:rFonts w:ascii="宋体" w:hAnsi="宋体" w:eastAsia="宋体"/>
          <w:sz w:val="24"/>
          <w:szCs w:val="24"/>
        </w:rPr>
        <w:t>）</w:t>
      </w:r>
      <w:bookmarkEnd w:id="7"/>
      <w:bookmarkEnd w:id="8"/>
      <w:r>
        <w:rPr>
          <w:rFonts w:ascii="Times New Roman" w:hAnsi="Times New Roman" w:eastAsia="宋体" w:cs="Times New Roman"/>
          <w:sz w:val="24"/>
          <w:szCs w:val="24"/>
        </w:rPr>
        <w:t>​​</w:t>
      </w:r>
      <w:r>
        <w:rPr>
          <w:rFonts w:ascii="宋体" w:hAnsi="宋体" w:eastAsia="宋体"/>
          <w:sz w:val="24"/>
          <w:szCs w:val="24"/>
        </w:rPr>
        <w:t>分层构建获利</w:t>
      </w:r>
      <w:r>
        <w:rPr>
          <w:rFonts w:hint="eastAsia" w:ascii="宋体" w:hAnsi="宋体" w:eastAsia="宋体"/>
          <w:sz w:val="24"/>
          <w:szCs w:val="24"/>
        </w:rPr>
        <w:t>返还</w:t>
      </w:r>
      <w:r>
        <w:rPr>
          <w:rFonts w:ascii="宋体" w:hAnsi="宋体" w:eastAsia="宋体"/>
          <w:sz w:val="24"/>
          <w:szCs w:val="24"/>
        </w:rPr>
        <w:t>的计算模型</w:t>
      </w:r>
    </w:p>
    <w:p w14:paraId="0F9E106D">
      <w:pPr>
        <w:spacing w:line="360" w:lineRule="auto"/>
        <w:ind w:firstLine="480" w:firstLineChars="200"/>
        <w:rPr>
          <w:sz w:val="24"/>
        </w:rPr>
      </w:pPr>
      <w:r>
        <w:rPr>
          <w:rFonts w:hint="eastAsia"/>
          <w:sz w:val="24"/>
        </w:rPr>
        <w:t>“侵权人获利”</w:t>
      </w:r>
      <w:r>
        <w:rPr>
          <w:sz w:val="24"/>
        </w:rPr>
        <w:t>返还的数额是综合考量各种因素的结果，其计算模型应当以侵权人的获利为主，同时兼顾受害人过错以及客观情况的影响</w:t>
      </w:r>
      <w:r>
        <w:rPr>
          <w:rFonts w:hint="eastAsia"/>
          <w:sz w:val="24"/>
        </w:rPr>
        <w:t>，</w:t>
      </w:r>
      <w:r>
        <w:rPr>
          <w:sz w:val="24"/>
        </w:rPr>
        <w:t>主要包括</w:t>
      </w:r>
      <w:r>
        <w:rPr>
          <w:rFonts w:hint="eastAsia"/>
          <w:sz w:val="24"/>
        </w:rPr>
        <w:t>理论</w:t>
      </w:r>
      <w:r>
        <w:rPr>
          <w:sz w:val="24"/>
        </w:rPr>
        <w:t>层面</w:t>
      </w:r>
      <w:r>
        <w:rPr>
          <w:rFonts w:hint="eastAsia"/>
          <w:sz w:val="24"/>
        </w:rPr>
        <w:t>、</w:t>
      </w:r>
      <w:r>
        <w:rPr>
          <w:sz w:val="24"/>
        </w:rPr>
        <w:t>规则层面以及技术层面</w:t>
      </w:r>
      <w:r>
        <w:rPr>
          <w:rFonts w:hint="eastAsia"/>
          <w:sz w:val="24"/>
        </w:rPr>
        <w:t>的构建</w:t>
      </w:r>
      <w:r>
        <w:rPr>
          <w:sz w:val="24"/>
        </w:rPr>
        <w:t>。</w:t>
      </w:r>
    </w:p>
    <w:p w14:paraId="39A2E79A">
      <w:pPr>
        <w:pStyle w:val="4"/>
        <w:spacing w:before="0" w:after="0" w:line="360" w:lineRule="auto"/>
        <w:rPr>
          <w:rFonts w:ascii="宋体" w:hAnsi="宋体"/>
          <w:sz w:val="24"/>
          <w:szCs w:val="24"/>
        </w:rPr>
      </w:pPr>
      <w:r>
        <w:rPr>
          <w:rFonts w:hint="eastAsia" w:ascii="宋体" w:hAnsi="宋体"/>
          <w:sz w:val="24"/>
          <w:szCs w:val="24"/>
        </w:rPr>
        <w:t>1.理论层面：因果关系原则的判断与运用</w:t>
      </w:r>
    </w:p>
    <w:p w14:paraId="4939844E">
      <w:pPr>
        <w:spacing w:line="360" w:lineRule="auto"/>
        <w:ind w:firstLine="480" w:firstLineChars="200"/>
        <w:rPr>
          <w:rFonts w:ascii="宋体" w:hAnsi="宋体"/>
          <w:sz w:val="24"/>
        </w:rPr>
      </w:pPr>
      <w:bookmarkStart w:id="9" w:name="_Hlk145689977"/>
      <w:r>
        <w:rPr>
          <w:rFonts w:hint="eastAsia" w:ascii="宋体" w:hAnsi="宋体"/>
          <w:sz w:val="24"/>
        </w:rPr>
        <w:t>因果关系的定性判断，决定侵害人身权益获利返还责任能否成立。</w:t>
      </w:r>
      <w:bookmarkEnd w:id="9"/>
      <w:r>
        <w:rPr>
          <w:rFonts w:hint="eastAsia" w:ascii="宋体" w:hAnsi="宋体"/>
          <w:sz w:val="24"/>
        </w:rPr>
        <w:t>首先是因果关系对象的判断，</w:t>
      </w:r>
      <w:bookmarkStart w:id="10" w:name="_Hlk145690021"/>
      <w:r>
        <w:rPr>
          <w:rFonts w:hint="eastAsia" w:ascii="宋体" w:hAnsi="宋体"/>
          <w:sz w:val="24"/>
        </w:rPr>
        <w:t>即其需要判断的是哪两者的因果关系</w:t>
      </w:r>
      <w:bookmarkEnd w:id="10"/>
      <w:r>
        <w:rPr>
          <w:rFonts w:hint="eastAsia" w:ascii="宋体" w:hAnsi="宋体"/>
          <w:sz w:val="24"/>
        </w:rPr>
        <w:t>。根据第1</w:t>
      </w:r>
      <w:r>
        <w:rPr>
          <w:rFonts w:ascii="宋体" w:hAnsi="宋体"/>
          <w:sz w:val="24"/>
        </w:rPr>
        <w:t>182</w:t>
      </w:r>
      <w:r>
        <w:rPr>
          <w:rFonts w:hint="eastAsia" w:ascii="宋体" w:hAnsi="宋体"/>
          <w:sz w:val="24"/>
        </w:rPr>
        <w:t>条的表述“权利人因此获得的利益”表明了因果关系的存在，但是其因果关系在文义上存在不同的理解：</w:t>
      </w:r>
      <w:bookmarkStart w:id="11" w:name="_Hlk145690007"/>
      <w:r>
        <w:rPr>
          <w:rFonts w:hint="eastAsia" w:ascii="宋体" w:hAnsi="宋体"/>
          <w:sz w:val="24"/>
        </w:rPr>
        <w:t>一是侵权人是因“侵害他人人身权益”而获利，表明侵权人获利与侵害行为之间需具有因果关系；二是侵权人因“侵害他人人身权益造成财产损失”而获利，表明侵权人获利与他人财产损失之间需具有因果关系。</w:t>
      </w:r>
      <w:bookmarkEnd w:id="11"/>
      <w:bookmarkStart w:id="12" w:name="_Hlk145690080"/>
      <w:r>
        <w:rPr>
          <w:rFonts w:hint="eastAsia" w:ascii="宋体" w:hAnsi="宋体"/>
          <w:sz w:val="24"/>
        </w:rPr>
        <w:t>对此应采取第一种理解，</w:t>
      </w:r>
      <w:bookmarkEnd w:id="12"/>
      <w:r>
        <w:rPr>
          <w:rFonts w:hint="eastAsia" w:ascii="宋体" w:hAnsi="宋体"/>
          <w:sz w:val="24"/>
        </w:rPr>
        <w:t>即因果关系是指侵权人获利与侵害他人人身权益的行为之间的因果关系。因为，“侵害”不等于“损害”，侵权行为是因，财产损害是果。侵权行为会造成受害人的财产损害，也会造成侵权人的获利，“损害”与“获利”是处于同一位阶上的两个概念，前者并非后者的条件。其次是因果关系有无的判断，即应当采用何种标准对因果关系的存在进行判断。学界对于因果关系的判断常采用相当因果关系说，要求侵权行为与侵害结果之间具有条件关系和相当性。</w:t>
      </w:r>
      <w:r>
        <w:rPr>
          <w:rStyle w:val="20"/>
          <w:rFonts w:ascii="宋体" w:hAnsi="宋体"/>
          <w:sz w:val="24"/>
        </w:rPr>
        <w:footnoteReference w:id="19"/>
      </w:r>
      <w:bookmarkStart w:id="13" w:name="_Hlk145690118"/>
      <w:r>
        <w:rPr>
          <w:rFonts w:hint="eastAsia" w:ascii="宋体" w:hAnsi="宋体"/>
          <w:sz w:val="24"/>
        </w:rPr>
        <w:t>但在侵害他人人身权益责任构成的因果关系判断上应当采用相对较为宽松的标准</w:t>
      </w:r>
      <w:bookmarkEnd w:id="13"/>
      <w:r>
        <w:rPr>
          <w:rFonts w:hint="eastAsia" w:ascii="宋体" w:hAnsi="宋体"/>
          <w:sz w:val="24"/>
        </w:rPr>
        <w:t>，英国法采取</w:t>
      </w:r>
      <w:bookmarkStart w:id="14" w:name="_Hlk145690149"/>
      <w:r>
        <w:rPr>
          <w:rFonts w:hint="eastAsia" w:ascii="宋体" w:hAnsi="宋体"/>
          <w:sz w:val="24"/>
        </w:rPr>
        <w:t>“若符合没有侵害他人人身权益的行为，那么侵权人就没有获利”时，则应当认定两者之间具有因果关系；或者只要侵权行为与获利之间存在关联即可，无需过多考虑其他要素发挥的作用。</w:t>
      </w:r>
      <w:bookmarkEnd w:id="14"/>
      <w:r>
        <w:rPr>
          <w:rStyle w:val="20"/>
          <w:rFonts w:ascii="宋体" w:hAnsi="宋体"/>
          <w:sz w:val="24"/>
        </w:rPr>
        <w:footnoteReference w:id="20"/>
      </w:r>
      <w:r>
        <w:rPr>
          <w:rFonts w:hint="eastAsia" w:ascii="宋体" w:hAnsi="宋体"/>
          <w:sz w:val="24"/>
        </w:rPr>
        <w:t>此外，该处的判断标准仅判断责任的成立与否，并不意味着侵权人所有与侵权行为有关的获利都要返还，其中还涉及原因力的问题，即下文所讨论的因果关系的定量分析。</w:t>
      </w:r>
    </w:p>
    <w:p w14:paraId="3E95739C">
      <w:pPr>
        <w:spacing w:line="360" w:lineRule="auto"/>
        <w:ind w:firstLine="480" w:firstLineChars="200"/>
        <w:rPr>
          <w:rFonts w:ascii="宋体" w:hAnsi="宋体"/>
          <w:sz w:val="24"/>
        </w:rPr>
      </w:pPr>
      <w:bookmarkStart w:id="15" w:name="_Hlk145690307"/>
      <w:r>
        <w:rPr>
          <w:rFonts w:hint="eastAsia" w:ascii="宋体" w:hAnsi="宋体"/>
          <w:sz w:val="24"/>
        </w:rPr>
        <w:t>另一方面，因果关系的定量分析影响侵权获利返还数额的确定。</w:t>
      </w:r>
      <w:bookmarkEnd w:id="15"/>
      <w:r>
        <w:rPr>
          <w:rFonts w:hint="eastAsia" w:ascii="宋体" w:hAnsi="宋体"/>
          <w:sz w:val="24"/>
        </w:rPr>
        <w:t>在侵害人身权益获利返还的实践中，由于侵权人获利并非仅仅是因为对权利人人身权益的侵害，往往还会包括侵权人自身成本的投入，例如侵权人在侵害他人肖像对自家商品进行宣传的基础上，进一步对商品进行广告宣传等一系列经营活动，进而获取利益。因此，侵权人的获利并非必须全部予以返还，需要将侵权行为的获利与侵权人独立的获利区分开来。</w:t>
      </w:r>
      <w:r>
        <w:rPr>
          <w:rStyle w:val="20"/>
          <w:rFonts w:ascii="宋体" w:hAnsi="宋体"/>
          <w:sz w:val="24"/>
        </w:rPr>
        <w:footnoteReference w:id="21"/>
      </w:r>
      <w:r>
        <w:rPr>
          <w:rFonts w:hint="eastAsia" w:ascii="宋体" w:hAnsi="宋体"/>
          <w:sz w:val="24"/>
        </w:rPr>
        <w:t>此时便涉及“原因力理论”，在复合因果关系形态下，原因力对责任范围的确定具有重要作用。</w:t>
      </w:r>
      <w:r>
        <w:rPr>
          <w:rStyle w:val="20"/>
          <w:rFonts w:ascii="宋体" w:hAnsi="宋体"/>
          <w:sz w:val="24"/>
        </w:rPr>
        <w:footnoteReference w:id="22"/>
      </w:r>
      <w:r>
        <w:rPr>
          <w:rFonts w:hint="eastAsia" w:ascii="宋体" w:hAnsi="宋体"/>
          <w:sz w:val="24"/>
        </w:rPr>
        <w:t>可通过直接原因和间接原因的区分，综合衡量侵权人的侵权行为以及其他有助于侵权人获利的行为所发挥的作用。即使</w:t>
      </w:r>
      <w:bookmarkStart w:id="16" w:name="_Hlk145690399"/>
      <w:r>
        <w:rPr>
          <w:rFonts w:hint="eastAsia" w:ascii="宋体" w:hAnsi="宋体"/>
          <w:sz w:val="24"/>
        </w:rPr>
        <w:t>某一间接原因对侵权人获利只具有较弱的原因力，在确定责任数额时也应当将其排除。</w:t>
      </w:r>
    </w:p>
    <w:bookmarkEnd w:id="16"/>
    <w:p w14:paraId="36C81029">
      <w:pPr>
        <w:pStyle w:val="4"/>
        <w:spacing w:before="0" w:after="0" w:line="360" w:lineRule="auto"/>
        <w:rPr>
          <w:rFonts w:ascii="宋体" w:hAnsi="宋体"/>
          <w:sz w:val="24"/>
          <w:szCs w:val="24"/>
        </w:rPr>
      </w:pPr>
      <w:bookmarkStart w:id="17" w:name="_Toc164120527"/>
      <w:bookmarkStart w:id="18" w:name="_Hlk144375352"/>
      <w:r>
        <w:rPr>
          <w:rFonts w:hint="eastAsia" w:ascii="宋体" w:hAnsi="宋体"/>
          <w:sz w:val="24"/>
          <w:szCs w:val="24"/>
        </w:rPr>
        <w:t>2</w:t>
      </w:r>
      <w:r>
        <w:rPr>
          <w:rFonts w:ascii="宋体" w:hAnsi="宋体"/>
          <w:sz w:val="24"/>
          <w:szCs w:val="24"/>
        </w:rPr>
        <w:t>.</w:t>
      </w:r>
      <w:bookmarkEnd w:id="17"/>
      <w:bookmarkEnd w:id="18"/>
      <w:r>
        <w:rPr>
          <w:rFonts w:ascii="宋体" w:hAnsi="宋体"/>
          <w:sz w:val="24"/>
          <w:szCs w:val="24"/>
        </w:rPr>
        <w:t>规则层面：数额计算基本规则的取舍</w:t>
      </w:r>
    </w:p>
    <w:p w14:paraId="3420CEBC">
      <w:pPr>
        <w:spacing w:line="360" w:lineRule="auto"/>
        <w:ind w:firstLine="480" w:firstLineChars="200"/>
        <w:rPr>
          <w:sz w:val="24"/>
        </w:rPr>
      </w:pPr>
      <w:r>
        <w:rPr>
          <w:sz w:val="24"/>
        </w:rPr>
        <w:t>对于数额计算的基本规则主要考虑三个方面：第一</w:t>
      </w:r>
      <w:bookmarkStart w:id="19" w:name="_Hlk144375571"/>
      <w:r>
        <w:rPr>
          <w:sz w:val="24"/>
        </w:rPr>
        <w:t>，损益相抵规则</w:t>
      </w:r>
      <w:bookmarkEnd w:id="19"/>
      <w:r>
        <w:rPr>
          <w:sz w:val="24"/>
        </w:rPr>
        <w:t>的排除，损益相抵是传统损害赔偿责任中的制度，指受害人基于侵权行为获得其他利益，在确定侵权人的赔偿数额时，应该扣除权利人所获利益。</w:t>
      </w:r>
      <w:r>
        <w:rPr>
          <w:rStyle w:val="20"/>
          <w:sz w:val="24"/>
        </w:rPr>
        <w:footnoteReference w:id="23"/>
      </w:r>
      <w:r>
        <w:rPr>
          <w:sz w:val="24"/>
        </w:rPr>
        <w:t>损益相抵规则在平衡双方当事人利益方面具有重要意义，但其不应当适用于侵害人身权益获利返还数额的计算之中。</w:t>
      </w:r>
      <w:r>
        <w:rPr>
          <w:rFonts w:hint="eastAsia"/>
          <w:sz w:val="24"/>
        </w:rPr>
        <w:t>一方面，</w:t>
      </w:r>
      <w:r>
        <w:rPr>
          <w:sz w:val="24"/>
        </w:rPr>
        <w:t>侵害人身权益获利返还的情形中给受害人带来的利益往往是其知名度的提升或某些精神利益，难以客观直接地衡量，并且该种利益也并非是侵害行为直接带来的。</w:t>
      </w:r>
      <w:r>
        <w:rPr>
          <w:rFonts w:hint="eastAsia"/>
          <w:sz w:val="24"/>
        </w:rPr>
        <w:t>另一方面</w:t>
      </w:r>
      <w:r>
        <w:rPr>
          <w:sz w:val="24"/>
        </w:rPr>
        <w:t>，即使</w:t>
      </w:r>
      <w:r>
        <w:rPr>
          <w:rFonts w:hint="eastAsia"/>
          <w:sz w:val="24"/>
        </w:rPr>
        <w:t>侵害行为</w:t>
      </w:r>
      <w:r>
        <w:rPr>
          <w:sz w:val="24"/>
        </w:rPr>
        <w:t>能够给权利人带来部分利益，该利益也不一定是受害人所希望的结果。</w:t>
      </w:r>
    </w:p>
    <w:p w14:paraId="69A7D3F7">
      <w:pPr>
        <w:spacing w:line="360" w:lineRule="auto"/>
        <w:ind w:firstLine="480" w:firstLineChars="200"/>
        <w:rPr>
          <w:color w:val="FF0000"/>
          <w:sz w:val="24"/>
        </w:rPr>
      </w:pPr>
      <w:r>
        <w:rPr>
          <w:sz w:val="24"/>
        </w:rPr>
        <w:t>第二，</w:t>
      </w:r>
      <w:bookmarkStart w:id="20" w:name="_Hlk144375594"/>
      <w:r>
        <w:rPr>
          <w:sz w:val="24"/>
        </w:rPr>
        <w:t>过失相抵规则</w:t>
      </w:r>
      <w:bookmarkEnd w:id="20"/>
      <w:r>
        <w:rPr>
          <w:sz w:val="24"/>
        </w:rPr>
        <w:t>的适用，过失相抵是指受害人对损害的发生或扩大有过错时，可减轻或免除侵权人的责任，过失相抵原则是侵权损害赔偿中确定侵权人责任范围的重要原则</w:t>
      </w:r>
      <w:r>
        <w:rPr>
          <w:rFonts w:hint="eastAsia"/>
          <w:sz w:val="24"/>
        </w:rPr>
        <w:t>；</w:t>
      </w:r>
      <w:r>
        <w:rPr>
          <w:sz w:val="24"/>
        </w:rPr>
        <w:t>过失相抵规则</w:t>
      </w:r>
      <w:r>
        <w:rPr>
          <w:rFonts w:hint="eastAsia"/>
          <w:sz w:val="24"/>
        </w:rPr>
        <w:t>同样</w:t>
      </w:r>
      <w:r>
        <w:rPr>
          <w:sz w:val="24"/>
        </w:rPr>
        <w:t>也应适用于获利返还数额的计算之中。</w:t>
      </w:r>
      <w:r>
        <w:rPr>
          <w:rFonts w:hint="eastAsia"/>
          <w:sz w:val="24"/>
        </w:rPr>
        <w:t>因为</w:t>
      </w:r>
      <w:r>
        <w:rPr>
          <w:sz w:val="24"/>
        </w:rPr>
        <w:t>，相较于填补性的侵权损害赔偿责任，侵害人身权益获利返还责任侧重于侵权人的行为及获利，但不代表完全忽视受害人的主观过错。当权利人的人身权益遭受侵害时其本人也负有防止损害结果发生或扩大的义务，因此当权利人疏于该义务时也应当为此负责。并且在侵权人获利较大的情况下，在获利返还领域内适用过失相抵规则也</w:t>
      </w:r>
      <w:bookmarkStart w:id="21" w:name="_Hlk145692882"/>
      <w:r>
        <w:rPr>
          <w:sz w:val="24"/>
        </w:rPr>
        <w:t>可以防止受害人的恶意诉讼等情况</w:t>
      </w:r>
      <w:bookmarkEnd w:id="21"/>
      <w:r>
        <w:rPr>
          <w:sz w:val="24"/>
        </w:rPr>
        <w:t>。</w:t>
      </w:r>
    </w:p>
    <w:p w14:paraId="667BAA7B">
      <w:pPr>
        <w:spacing w:line="360" w:lineRule="auto"/>
        <w:ind w:firstLine="480" w:firstLineChars="200"/>
        <w:rPr>
          <w:sz w:val="24"/>
        </w:rPr>
      </w:pPr>
      <w:r>
        <w:rPr>
          <w:sz w:val="24"/>
        </w:rPr>
        <w:t>第三，</w:t>
      </w:r>
      <w:bookmarkStart w:id="22" w:name="_Hlk144375606"/>
      <w:r>
        <w:rPr>
          <w:sz w:val="24"/>
        </w:rPr>
        <w:t>扣除规则和获利分割</w:t>
      </w:r>
      <w:bookmarkEnd w:id="22"/>
      <w:r>
        <w:rPr>
          <w:sz w:val="24"/>
        </w:rPr>
        <w:t>的适用。侵权法不仅保护合法权益也要尊重行为自由，</w:t>
      </w:r>
      <w:r>
        <w:rPr>
          <w:rFonts w:hint="eastAsia"/>
          <w:sz w:val="24"/>
        </w:rPr>
        <w:t>当下</w:t>
      </w:r>
      <w:r>
        <w:rPr>
          <w:sz w:val="24"/>
        </w:rPr>
        <w:t>具有商业利用价值的人身权益为新型经济的发展注入强劲动力。在处理侵权人获利返还时，既要关注法律的预防、制裁作用，不允许侵权人因侵害行为获利;也要考虑到侵权人的成本因素，肯定其积极贡献。知识产权领域较早地考虑到了侵权获利的问题，在实践中积累了计算获利返还数额的相关经验，</w:t>
      </w:r>
      <w:r>
        <w:rPr>
          <w:rFonts w:hint="eastAsia"/>
          <w:sz w:val="24"/>
        </w:rPr>
        <w:t>对此可</w:t>
      </w:r>
      <w:r>
        <w:rPr>
          <w:sz w:val="24"/>
        </w:rPr>
        <w:t>借鉴</w:t>
      </w:r>
      <w:r>
        <w:rPr>
          <w:rFonts w:hint="eastAsia"/>
          <w:sz w:val="24"/>
        </w:rPr>
        <w:t>其</w:t>
      </w:r>
      <w:r>
        <w:rPr>
          <w:sz w:val="24"/>
        </w:rPr>
        <w:t>扣除规则和获利分割的运用：扣除规则是指侵权人获利过程中成本的扣除。为保证侵害人身权益获利返还功能的实现，对于成本扣除的范围应当做严格解释，只能扣除与侵权获利具有必须条件式因果关系的成本及必要费用。</w:t>
      </w:r>
      <w:r>
        <w:rPr>
          <w:rStyle w:val="20"/>
          <w:sz w:val="24"/>
        </w:rPr>
        <w:footnoteReference w:id="24"/>
      </w:r>
      <w:r>
        <w:rPr>
          <w:sz w:val="24"/>
        </w:rPr>
        <w:t>获利分割并非要求对获利进行绝对精准的分割，而是“合理可接受”的分割。获利分割在实质上需要考虑获利因素与获利之间的原因力大小，该过程主要是法院自由裁量的过程，法官需要</w:t>
      </w:r>
      <w:r>
        <w:rPr>
          <w:rFonts w:hint="eastAsia"/>
          <w:sz w:val="24"/>
        </w:rPr>
        <w:t>逐步</w:t>
      </w:r>
      <w:r>
        <w:rPr>
          <w:sz w:val="24"/>
        </w:rPr>
        <w:t>对获利进行剖析，充分考虑各种因素对获利的影响，</w:t>
      </w:r>
      <w:r>
        <w:rPr>
          <w:rFonts w:hint="eastAsia"/>
          <w:sz w:val="24"/>
        </w:rPr>
        <w:t>方可</w:t>
      </w:r>
      <w:r>
        <w:rPr>
          <w:sz w:val="24"/>
        </w:rPr>
        <w:t>确定返还数额。</w:t>
      </w:r>
    </w:p>
    <w:p w14:paraId="31482546">
      <w:pPr>
        <w:pStyle w:val="4"/>
        <w:spacing w:before="0" w:after="0" w:line="360" w:lineRule="auto"/>
        <w:rPr>
          <w:rFonts w:ascii="宋体" w:hAnsi="宋体"/>
          <w:sz w:val="24"/>
          <w:szCs w:val="24"/>
        </w:rPr>
      </w:pPr>
      <w:bookmarkStart w:id="23" w:name="_Hlk145693069"/>
      <w:r>
        <w:rPr>
          <w:rFonts w:hint="eastAsia" w:ascii="宋体" w:hAnsi="宋体"/>
          <w:sz w:val="24"/>
          <w:szCs w:val="24"/>
        </w:rPr>
        <w:t>3</w:t>
      </w:r>
      <w:r>
        <w:rPr>
          <w:rFonts w:ascii="宋体" w:hAnsi="宋体"/>
          <w:sz w:val="24"/>
          <w:szCs w:val="24"/>
        </w:rPr>
        <w:t>.技术层面：差额法和市场标准的借鉴</w:t>
      </w:r>
    </w:p>
    <w:bookmarkEnd w:id="23"/>
    <w:p w14:paraId="37CABA2F">
      <w:pPr>
        <w:spacing w:line="360" w:lineRule="auto"/>
        <w:ind w:firstLine="480" w:firstLineChars="200"/>
        <w:rPr>
          <w:sz w:val="24"/>
        </w:rPr>
      </w:pPr>
      <w:bookmarkStart w:id="24" w:name="_Hlk145693081"/>
      <w:r>
        <w:rPr>
          <w:sz w:val="24"/>
        </w:rPr>
        <w:t>第一，差额法的改良适用</w:t>
      </w:r>
      <w:bookmarkEnd w:id="24"/>
      <w:r>
        <w:rPr>
          <w:sz w:val="24"/>
        </w:rPr>
        <w:t>，差额法以侵权行为发生前后受害人的财产差额计算赔偿数额。鉴于</w:t>
      </w:r>
      <w:r>
        <w:rPr>
          <w:rFonts w:hint="eastAsia"/>
          <w:sz w:val="24"/>
        </w:rPr>
        <w:t>“侵害人获利”</w:t>
      </w:r>
      <w:r>
        <w:rPr>
          <w:sz w:val="24"/>
        </w:rPr>
        <w:t>返还考虑的是侵权人的获利，对差额法做进一步改良后方可适用。首先需要通过差额法计算侵权人在实施侵权行为前后的财产差额，得到</w:t>
      </w:r>
      <w:bookmarkStart w:id="25" w:name="_Hlk144375692"/>
      <w:r>
        <w:rPr>
          <w:sz w:val="24"/>
        </w:rPr>
        <w:t>侵权行为实施后的增值利润</w:t>
      </w:r>
      <w:bookmarkEnd w:id="25"/>
      <w:r>
        <w:rPr>
          <w:sz w:val="24"/>
        </w:rPr>
        <w:t>A。此时增值利润A是侵权人由于侵害他人人身权益所获得的利益，但是该利润并不能排除侵权人其他劳动因素的投入，即</w:t>
      </w:r>
      <w:r>
        <w:rPr>
          <w:rFonts w:hint="eastAsia"/>
          <w:sz w:val="24"/>
        </w:rPr>
        <w:t>“</w:t>
      </w:r>
      <w:r>
        <w:rPr>
          <w:sz w:val="24"/>
        </w:rPr>
        <w:t>增值利润A=侵权因素的获利＋其他劳动因素的获利</w:t>
      </w:r>
      <w:r>
        <w:rPr>
          <w:rFonts w:hint="eastAsia"/>
          <w:sz w:val="24"/>
        </w:rPr>
        <w:t>”</w:t>
      </w:r>
      <w:r>
        <w:rPr>
          <w:sz w:val="24"/>
        </w:rPr>
        <w:t>。其次需要通过计算侵权人不实施侵权行为，</w:t>
      </w:r>
      <w:bookmarkStart w:id="26" w:name="_Hlk144375717"/>
      <w:r>
        <w:rPr>
          <w:sz w:val="24"/>
        </w:rPr>
        <w:t>正常营业的情况下相同时间、空间内的增值利润B</w:t>
      </w:r>
      <w:bookmarkEnd w:id="26"/>
      <w:r>
        <w:rPr>
          <w:sz w:val="24"/>
        </w:rPr>
        <w:t>，即</w:t>
      </w:r>
      <w:r>
        <w:rPr>
          <w:rFonts w:hint="eastAsia"/>
          <w:sz w:val="24"/>
        </w:rPr>
        <w:t>“</w:t>
      </w:r>
      <w:r>
        <w:rPr>
          <w:sz w:val="24"/>
        </w:rPr>
        <w:t>增值利润B=其他劳动因素的获利</w:t>
      </w:r>
      <w:r>
        <w:rPr>
          <w:rFonts w:hint="eastAsia"/>
          <w:sz w:val="24"/>
        </w:rPr>
        <w:t>”</w:t>
      </w:r>
      <w:r>
        <w:rPr>
          <w:sz w:val="24"/>
        </w:rPr>
        <w:t>。此时利润B是侵权人在没有侵权行为因素下的获利数额，该数额主要是侵权人其他劳动因素的投入所得。最后计算增值利润A与增值利润B的差额C，即</w:t>
      </w:r>
      <w:r>
        <w:rPr>
          <w:rFonts w:hint="eastAsia"/>
          <w:sz w:val="24"/>
        </w:rPr>
        <w:t>“</w:t>
      </w:r>
      <w:r>
        <w:rPr>
          <w:sz w:val="24"/>
        </w:rPr>
        <w:t>差额C=侵权因素的获利＋其他劳动因素的获利-其他劳动因素的获利=侵权因素的获利</w:t>
      </w:r>
      <w:r>
        <w:rPr>
          <w:rFonts w:hint="eastAsia"/>
          <w:sz w:val="24"/>
        </w:rPr>
        <w:t>”</w:t>
      </w:r>
      <w:r>
        <w:rPr>
          <w:sz w:val="24"/>
        </w:rPr>
        <w:t>，该差额也就是侵权人应返还的获利额。</w:t>
      </w:r>
    </w:p>
    <w:p w14:paraId="7755690C">
      <w:pPr>
        <w:spacing w:line="360" w:lineRule="auto"/>
        <w:ind w:firstLine="480" w:firstLineChars="200"/>
        <w:rPr>
          <w:sz w:val="24"/>
        </w:rPr>
      </w:pPr>
      <w:bookmarkStart w:id="27" w:name="_Hlk144375778"/>
      <w:r>
        <w:rPr>
          <w:sz w:val="24"/>
        </w:rPr>
        <w:t>第二，参照市场标准计算</w:t>
      </w:r>
      <w:bookmarkEnd w:id="27"/>
      <w:bookmarkStart w:id="28" w:name="_Hlk145693444"/>
      <w:r>
        <w:rPr>
          <w:sz w:val="24"/>
        </w:rPr>
        <w:t>。参照市场标准计算常用于损害赔偿中，其实质就是运用法律拟制计算赔偿数额，受害人无法证明自身损失时可通过主张许可使用费的丧失保护其合法权益。</w:t>
      </w:r>
      <w:r>
        <w:rPr>
          <w:rFonts w:hint="eastAsia"/>
          <w:sz w:val="24"/>
        </w:rPr>
        <w:t>该情况可用于实践中侵权人仅能获得消极利益的情况，</w:t>
      </w:r>
      <w:r>
        <w:rPr>
          <w:sz w:val="24"/>
        </w:rPr>
        <w:t>对于属于</w:t>
      </w:r>
      <w:r>
        <w:rPr>
          <w:rFonts w:hint="eastAsia"/>
          <w:sz w:val="24"/>
        </w:rPr>
        <w:t>“</w:t>
      </w:r>
      <w:r>
        <w:rPr>
          <w:sz w:val="24"/>
        </w:rPr>
        <w:t>名人</w:t>
      </w:r>
      <w:r>
        <w:rPr>
          <w:rFonts w:hint="eastAsia"/>
          <w:sz w:val="24"/>
        </w:rPr>
        <w:t>”</w:t>
      </w:r>
      <w:r>
        <w:rPr>
          <w:sz w:val="24"/>
        </w:rPr>
        <w:t xml:space="preserve">且从未与侵权人签订代言或许可适用合同的情况，受害人可通过代言相同或类似产品的酬金标准计算；对 </w:t>
      </w:r>
      <w:r>
        <w:rPr>
          <w:rFonts w:hint="eastAsia"/>
          <w:sz w:val="24"/>
        </w:rPr>
        <w:t>“</w:t>
      </w:r>
      <w:r>
        <w:rPr>
          <w:sz w:val="24"/>
        </w:rPr>
        <w:t>名人</w:t>
      </w:r>
      <w:r>
        <w:rPr>
          <w:rFonts w:hint="eastAsia"/>
          <w:sz w:val="24"/>
        </w:rPr>
        <w:t>”</w:t>
      </w:r>
      <w:r>
        <w:rPr>
          <w:sz w:val="24"/>
        </w:rPr>
        <w:t>且与侵权人</w:t>
      </w:r>
      <w:r>
        <w:rPr>
          <w:rFonts w:hint="eastAsia"/>
          <w:sz w:val="24"/>
        </w:rPr>
        <w:t>曾</w:t>
      </w:r>
      <w:r>
        <w:rPr>
          <w:sz w:val="24"/>
        </w:rPr>
        <w:t>订立</w:t>
      </w:r>
      <w:r>
        <w:rPr>
          <w:rFonts w:hint="eastAsia"/>
          <w:sz w:val="24"/>
        </w:rPr>
        <w:t>相关</w:t>
      </w:r>
      <w:r>
        <w:rPr>
          <w:sz w:val="24"/>
        </w:rPr>
        <w:t>代言合同的情况，受害人可通过先前合同的酬金计算。对于普通人而言，可通过他人代言的酬金按知名度降价作为拟制授权金的标准或者同行业内的用工成本标准进行计算。</w:t>
      </w:r>
      <w:bookmarkEnd w:id="28"/>
      <w:r>
        <w:rPr>
          <w:sz w:val="24"/>
        </w:rPr>
        <w:t>上述三种情况都是假设受害人愿意与侵权人订立合同，</w:t>
      </w:r>
      <w:r>
        <w:rPr>
          <w:rFonts w:hint="eastAsia"/>
          <w:sz w:val="24"/>
        </w:rPr>
        <w:t>当</w:t>
      </w:r>
      <w:r>
        <w:rPr>
          <w:sz w:val="24"/>
        </w:rPr>
        <w:t>受害人主观不愿与侵权人订立合同的情况，通过参照市场标准计算侵权人获利的方法有强迫或违背他人意愿之疑，但就目前情况而言已无法寻找到更优的解决方法，并且获利返还数额的确定本就无法做到精准计算，只能在现有条件下寻找最合理的计算方法。</w:t>
      </w:r>
      <w:r>
        <w:rPr>
          <w:rStyle w:val="20"/>
          <w:sz w:val="24"/>
        </w:rPr>
        <w:footnoteReference w:id="25"/>
      </w:r>
      <w:r>
        <w:rPr>
          <w:sz w:val="24"/>
        </w:rPr>
        <w:t xml:space="preserve"> </w:t>
      </w:r>
    </w:p>
    <w:p w14:paraId="78D912CC">
      <w:pPr>
        <w:pStyle w:val="2"/>
        <w:spacing w:before="0" w:after="0" w:line="360" w:lineRule="auto"/>
        <w:jc w:val="left"/>
        <w:rPr>
          <w:rFonts w:ascii="宋体" w:hAnsi="宋体"/>
          <w:sz w:val="28"/>
          <w:szCs w:val="28"/>
        </w:rPr>
      </w:pPr>
      <w:bookmarkStart w:id="29" w:name="_Toc164120517"/>
      <w:r>
        <w:rPr>
          <w:rFonts w:hint="eastAsia" w:ascii="宋体" w:hAnsi="宋体"/>
          <w:sz w:val="28"/>
          <w:szCs w:val="28"/>
        </w:rPr>
        <w:t>五</w:t>
      </w:r>
      <w:r>
        <w:rPr>
          <w:rFonts w:ascii="宋体" w:hAnsi="宋体"/>
          <w:sz w:val="28"/>
          <w:szCs w:val="28"/>
        </w:rPr>
        <w:t>、</w:t>
      </w:r>
      <w:bookmarkEnd w:id="29"/>
      <w:bookmarkStart w:id="30" w:name="_Toc164120529"/>
      <w:r>
        <w:rPr>
          <w:rFonts w:hint="eastAsia" w:ascii="宋体" w:hAnsi="宋体"/>
          <w:sz w:val="28"/>
          <w:szCs w:val="28"/>
        </w:rPr>
        <w:t>结语</w:t>
      </w:r>
      <w:bookmarkEnd w:id="30"/>
    </w:p>
    <w:p w14:paraId="318ED841">
      <w:pPr>
        <w:spacing w:line="360" w:lineRule="auto"/>
        <w:ind w:firstLine="480" w:firstLineChars="200"/>
        <w:rPr>
          <w:sz w:val="24"/>
        </w:rPr>
      </w:pPr>
      <w:r>
        <w:rPr>
          <w:rFonts w:hint="eastAsia"/>
          <w:sz w:val="24"/>
        </w:rPr>
        <w:t>“侵害人获利”</w:t>
      </w:r>
      <w:r>
        <w:rPr>
          <w:sz w:val="24"/>
        </w:rPr>
        <w:t>规则的适用至今仍然具有丰厚的研究意义，该规则打破了传统侵权损害赔偿中以受害人损失为中心赔偿方式，</w:t>
      </w:r>
      <w:r>
        <w:rPr>
          <w:rFonts w:hint="eastAsia"/>
          <w:sz w:val="24"/>
        </w:rPr>
        <w:t>通过对矫正正义的补充和修正、对传统侵权法填平功能的扩展，</w:t>
      </w:r>
      <w:r>
        <w:rPr>
          <w:sz w:val="24"/>
        </w:rPr>
        <w:t>推动侵权法向综合性风险</w:t>
      </w:r>
      <w:r>
        <w:rPr>
          <w:rFonts w:hint="eastAsia"/>
          <w:sz w:val="24"/>
        </w:rPr>
        <w:t>防</w:t>
      </w:r>
      <w:r>
        <w:rPr>
          <w:sz w:val="24"/>
        </w:rPr>
        <w:t>控转型。</w:t>
      </w:r>
      <w:r>
        <w:rPr>
          <w:rFonts w:hint="eastAsia"/>
          <w:sz w:val="24"/>
        </w:rPr>
        <w:t>但</w:t>
      </w:r>
      <w:r>
        <w:rPr>
          <w:rFonts w:hint="eastAsia" w:ascii="宋体" w:hAnsi="宋体"/>
          <w:sz w:val="24"/>
        </w:rPr>
        <w:t>“侵害人获利”返还的</w:t>
      </w:r>
      <w:r>
        <w:rPr>
          <w:rFonts w:ascii="宋体" w:hAnsi="宋体"/>
          <w:sz w:val="24"/>
        </w:rPr>
        <w:t>出现更多的是司法实践经验提炼的结果</w:t>
      </w:r>
      <w:r>
        <w:rPr>
          <w:rFonts w:hint="eastAsia" w:ascii="宋体" w:hAnsi="宋体"/>
          <w:sz w:val="24"/>
        </w:rPr>
        <w:t>，而非学术理论讨论的结果，对于损害赔偿和获利返还的区分并不清晰，因此有必要在理论层面通过对因果关系原则的运用，在规则层面通过对损益相抵、过失相抵以及扣除规则和获利分割的规则构建，在技术层面通过对差额法和市场标准的标准设计，构建侵权人获利返还的计算模型，以实现该规则的有效适用。</w:t>
      </w:r>
    </w:p>
    <w:p w14:paraId="1A5752B7">
      <w:pPr>
        <w:widowControl/>
        <w:spacing w:line="360" w:lineRule="auto"/>
        <w:rPr>
          <w:rFonts w:eastAsia="黑体"/>
          <w:sz w:val="24"/>
        </w:rPr>
      </w:pPr>
    </w:p>
    <w:sectPr>
      <w:footnotePr>
        <w:numFmt w:val="decimalEnclosedCircleChinese"/>
        <w:numRestart w:val="eachPage"/>
      </w:footnotePr>
      <w:pgSz w:w="11906" w:h="16838"/>
      <w:pgMar w:top="1985" w:right="1474" w:bottom="1474" w:left="1474" w:header="1417" w:footer="1134" w:gutter="284"/>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黑体">
    <w:altName w:val="汉仪中黑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52">
    <w:p>
      <w:r>
        <w:separator/>
      </w:r>
    </w:p>
  </w:footnote>
  <w:footnote w:type="continuationSeparator" w:id="53">
    <w:p>
      <w:r>
        <w:continuationSeparator/>
      </w:r>
    </w:p>
  </w:footnote>
  <w:footnote w:id="0">
    <w:p w14:paraId="4FC3978A">
      <w:pPr>
        <w:pStyle w:val="11"/>
      </w:pPr>
    </w:p>
  </w:footnote>
  <w:footnote w:id="1">
    <w:p w14:paraId="6B6F0D66">
      <w:pPr>
        <w:pStyle w:val="11"/>
      </w:pPr>
      <w:r>
        <w:rPr>
          <w:rStyle w:val="20"/>
          <w:vertAlign w:val="baseline"/>
        </w:rPr>
        <w:footnoteRef/>
      </w:r>
      <w:r>
        <w:t xml:space="preserve"> 全国人大常委会法制工作委员会民法室编：《侵权责任法:立法背景与观点全集》，法律出版社2010年版，第14页。</w:t>
      </w:r>
    </w:p>
  </w:footnote>
  <w:footnote w:id="2">
    <w:p w14:paraId="023F81EE">
      <w:pPr>
        <w:pStyle w:val="11"/>
      </w:pPr>
      <w:r>
        <w:rPr>
          <w:rStyle w:val="20"/>
          <w:vertAlign w:val="baseline"/>
        </w:rPr>
        <w:footnoteRef/>
      </w:r>
      <w:r>
        <w:rPr>
          <w:rStyle w:val="20"/>
          <w:vertAlign w:val="baseline"/>
        </w:rPr>
        <w:t xml:space="preserve"> </w:t>
      </w:r>
      <w:r>
        <w:t>全国人大常委会法制工作委员会民法室编：《侵权责任法:立法背景与观点全集》，法律出版社2010年版，第17-18页。</w:t>
      </w:r>
    </w:p>
  </w:footnote>
  <w:footnote w:id="3">
    <w:p w14:paraId="372A0D7F">
      <w:pPr>
        <w:pStyle w:val="11"/>
      </w:pPr>
      <w:r>
        <w:rPr>
          <w:rStyle w:val="20"/>
          <w:vertAlign w:val="baseline"/>
        </w:rPr>
        <w:footnoteRef/>
      </w:r>
      <w:r>
        <w:t xml:space="preserve"> </w:t>
      </w:r>
      <w:r>
        <w:rPr>
          <w:rFonts w:hint="eastAsia"/>
        </w:rPr>
        <w:t>参见王利明：《侵权获利返还若干问题探讨——兼评民法典分编草案二审稿第959条》，载《广东社会科学》2019年第4期。</w:t>
      </w:r>
    </w:p>
  </w:footnote>
  <w:footnote w:id="4">
    <w:p w14:paraId="04BD3C58">
      <w:pPr>
        <w:pStyle w:val="11"/>
      </w:pPr>
      <w:r>
        <w:rPr>
          <w:rStyle w:val="20"/>
          <w:vertAlign w:val="baseline"/>
        </w:rPr>
        <w:footnoteRef/>
      </w:r>
      <w:r>
        <w:t xml:space="preserve"> </w:t>
      </w:r>
      <w:r>
        <w:rPr>
          <w:rFonts w:hint="eastAsia"/>
        </w:rPr>
        <w:t>参见石佳友、郑衍基：《侵权法上的获利返还制度——以〈民法典〉第1182条为中心》，《甘肃政法大学学报》2020年第6期。</w:t>
      </w:r>
    </w:p>
  </w:footnote>
  <w:footnote w:id="5">
    <w:p w14:paraId="1D26273C">
      <w:pPr>
        <w:pStyle w:val="11"/>
      </w:pPr>
      <w:r>
        <w:rPr>
          <w:rStyle w:val="20"/>
          <w:vertAlign w:val="baseline"/>
        </w:rPr>
        <w:footnoteRef/>
      </w:r>
      <w:r>
        <w:t xml:space="preserve"> </w:t>
      </w:r>
      <w:r>
        <w:rPr>
          <w:rFonts w:hint="eastAsia"/>
        </w:rPr>
        <w:t>以“《中华人民共和国民法典》第1182条或《中华人民共和国民法典》第一千一百八十二条”为关键词在北大法宝进行全文搜索，人格权纠纷案件177件，其中有效数据143条，其中适用获利返还的有2个，适用侵权损害赔偿的有46个，而采用法院酌定的有85个。</w:t>
      </w:r>
      <w:r>
        <w:t>参见北大法宝网站，https://www.pkulaw.com/advanced/case，2025年</w:t>
      </w:r>
      <w:r>
        <w:rPr>
          <w:rFonts w:hint="eastAsia"/>
        </w:rPr>
        <w:t>10</w:t>
      </w:r>
      <w:r>
        <w:t>月6日访问。</w:t>
      </w:r>
    </w:p>
  </w:footnote>
  <w:footnote w:id="6">
    <w:p w14:paraId="1069999C">
      <w:pPr>
        <w:pStyle w:val="11"/>
      </w:pPr>
      <w:r>
        <w:rPr>
          <w:rStyle w:val="20"/>
          <w:vertAlign w:val="baseline"/>
        </w:rPr>
        <w:footnoteRef/>
      </w:r>
      <w:r>
        <w:t xml:space="preserve"> 浙江中昊安防科技有限公司与被孙红雷、安丘市凌锐门业经营中心姓名权、肖像权、名誉权纠纷案，北京市第三中级人民法院（2021）京03民终12222号民事判决书。类似情况还包括杨柯与深圳市懿家家居有限公司、沈阳融荣科技有限公司侵权责任纠纷案，辽宁省沈阳市沈河区人民法院（2021）辽0103民初20306号民事判决书。</w:t>
      </w:r>
    </w:p>
  </w:footnote>
  <w:footnote w:id="7">
    <w:p w14:paraId="56CB40E1">
      <w:pPr>
        <w:pStyle w:val="11"/>
      </w:pPr>
      <w:r>
        <w:rPr>
          <w:rStyle w:val="20"/>
          <w:vertAlign w:val="baseline"/>
        </w:rPr>
        <w:footnoteRef/>
      </w:r>
      <w:r>
        <w:t xml:space="preserve"> N. McBride, Restitution for Wrongs, in Charles Mitchell &amp; William Swadling (eds), The Restatement Third: Restitution and Unjust Enrichment, Critical and Comparative Essays, Hart Publishing</w:t>
      </w:r>
      <w:r>
        <w:rPr>
          <w:rFonts w:hint="eastAsia"/>
        </w:rPr>
        <w:t>,</w:t>
      </w:r>
      <w:r>
        <w:t xml:space="preserve"> 2013, p</w:t>
      </w:r>
      <w:r>
        <w:rPr>
          <w:rFonts w:hint="eastAsia"/>
        </w:rPr>
        <w:t>.</w:t>
      </w:r>
      <w:r>
        <w:t>256.</w:t>
      </w:r>
    </w:p>
  </w:footnote>
  <w:footnote w:id="8">
    <w:p w14:paraId="7B8AB683">
      <w:pPr>
        <w:pStyle w:val="11"/>
      </w:pPr>
      <w:r>
        <w:rPr>
          <w:rStyle w:val="20"/>
          <w:vertAlign w:val="baseline"/>
        </w:rPr>
        <w:footnoteRef/>
      </w:r>
      <w:r>
        <w:rPr>
          <w:rStyle w:val="20"/>
          <w:vertAlign w:val="baseline"/>
        </w:rPr>
        <w:t xml:space="preserve"> </w:t>
      </w:r>
      <w:r>
        <w:rPr>
          <w:rFonts w:hint="eastAsia"/>
        </w:rPr>
        <w:t>参见</w:t>
      </w:r>
      <w:r>
        <w:t>［美］马丁·斯通：《侵害与受害的意义》，载［美］格瑞尔德·J. 波斯特马编：《哲学与侵权行为法》，陈敏、云建芳译，北京大学出版社2005年版，第195页。</w:t>
      </w:r>
    </w:p>
  </w:footnote>
  <w:footnote w:id="9">
    <w:p w14:paraId="735E492F">
      <w:pPr>
        <w:pStyle w:val="11"/>
      </w:pPr>
      <w:r>
        <w:rPr>
          <w:rStyle w:val="20"/>
          <w:vertAlign w:val="baseline"/>
        </w:rPr>
        <w:footnoteRef/>
      </w:r>
      <w:r>
        <w:t xml:space="preserve"> </w:t>
      </w:r>
      <w:r>
        <w:rPr>
          <w:rFonts w:hint="eastAsia"/>
        </w:rPr>
        <w:t xml:space="preserve">See </w:t>
      </w:r>
      <w:r>
        <w:t>Lionel Smith, Restitution: The Heart of Corrective Justice, 79 Tex. L. Rev. 2115(2001), p. 2120.</w:t>
      </w:r>
    </w:p>
  </w:footnote>
  <w:footnote w:id="10">
    <w:p w14:paraId="54B81025">
      <w:pPr>
        <w:pStyle w:val="11"/>
      </w:pPr>
      <w:r>
        <w:rPr>
          <w:rStyle w:val="20"/>
          <w:vertAlign w:val="baseline"/>
        </w:rPr>
        <w:footnoteRef/>
      </w:r>
      <w:r>
        <w:t xml:space="preserve"> </w:t>
      </w:r>
      <w:r>
        <w:rPr>
          <w:rFonts w:hint="eastAsia"/>
        </w:rPr>
        <w:t>参见刘凯湘、薛启明：《财产规则、责任规则与不当得利规则》，载《浙江社会科学》</w:t>
      </w:r>
      <w:r>
        <w:t>2012</w:t>
      </w:r>
      <w:r>
        <w:rPr>
          <w:rFonts w:hint="eastAsia"/>
        </w:rPr>
        <w:t>年第</w:t>
      </w:r>
      <w:r>
        <w:t>8</w:t>
      </w:r>
      <w:r>
        <w:rPr>
          <w:rFonts w:hint="eastAsia"/>
        </w:rPr>
        <w:t>期。</w:t>
      </w:r>
    </w:p>
  </w:footnote>
  <w:footnote w:id="11">
    <w:p w14:paraId="2D8476DF">
      <w:pPr>
        <w:pStyle w:val="11"/>
      </w:pPr>
      <w:r>
        <w:rPr>
          <w:rStyle w:val="20"/>
          <w:vertAlign w:val="baseline"/>
        </w:rPr>
        <w:footnoteRef/>
      </w:r>
      <w:r>
        <w:t xml:space="preserve"> </w:t>
      </w:r>
      <w:r>
        <w:rPr>
          <w:rFonts w:hint="eastAsia"/>
        </w:rPr>
        <w:t xml:space="preserve">See </w:t>
      </w:r>
      <w:r>
        <w:t>G</w:t>
      </w:r>
      <w:r>
        <w:rPr>
          <w:rFonts w:hint="eastAsia"/>
        </w:rPr>
        <w:t>uido</w:t>
      </w:r>
      <w:r>
        <w:t xml:space="preserve"> C</w:t>
      </w:r>
      <w:r>
        <w:rPr>
          <w:rFonts w:hint="eastAsia"/>
        </w:rPr>
        <w:t xml:space="preserve">albresi. </w:t>
      </w:r>
      <w:r>
        <w:t>The Cost of Accidents: A Legal and Economic Analysis</w:t>
      </w:r>
      <w:r>
        <w:rPr>
          <w:rFonts w:hint="eastAsia"/>
        </w:rPr>
        <w:t xml:space="preserve">. </w:t>
      </w:r>
      <w:r>
        <w:t>Yale University Press</w:t>
      </w:r>
      <w:r>
        <w:rPr>
          <w:rFonts w:hint="eastAsia"/>
        </w:rPr>
        <w:t>, 1970, p.120.</w:t>
      </w:r>
    </w:p>
  </w:footnote>
  <w:footnote w:id="12">
    <w:p w14:paraId="430A59DE">
      <w:pPr>
        <w:pStyle w:val="11"/>
      </w:pPr>
      <w:r>
        <w:rPr>
          <w:rStyle w:val="20"/>
          <w:vertAlign w:val="baseline"/>
        </w:rPr>
        <w:footnoteRef/>
      </w:r>
      <w:r>
        <w:t xml:space="preserve"> </w:t>
      </w:r>
      <w:r>
        <w:rPr>
          <w:rFonts w:hint="eastAsia"/>
        </w:rPr>
        <w:t>参见</w:t>
      </w:r>
      <w:r>
        <w:t>罗伯特·考特</w:t>
      </w:r>
      <w:r>
        <w:rPr>
          <w:rFonts w:hint="eastAsia"/>
        </w:rPr>
        <w:t>、</w:t>
      </w:r>
      <w:r>
        <w:t>托马斯·尤伦</w:t>
      </w:r>
      <w:r>
        <w:rPr>
          <w:rFonts w:hint="eastAsia"/>
        </w:rPr>
        <w:t>：《</w:t>
      </w:r>
      <w:r>
        <w:t>法和经济学</w:t>
      </w:r>
      <w:r>
        <w:rPr>
          <w:rFonts w:hint="eastAsia"/>
        </w:rPr>
        <w:t>》，</w:t>
      </w:r>
      <w:r>
        <w:t>史晋川</w:t>
      </w:r>
      <w:r>
        <w:rPr>
          <w:rFonts w:hint="eastAsia"/>
        </w:rPr>
        <w:t>、</w:t>
      </w:r>
      <w:r>
        <w:t>董雪兵等译</w:t>
      </w:r>
      <w:r>
        <w:rPr>
          <w:rFonts w:hint="eastAsia"/>
        </w:rPr>
        <w:t>，</w:t>
      </w:r>
      <w:r>
        <w:t>格致出版社、上海人民出版社2010</w:t>
      </w:r>
      <w:r>
        <w:rPr>
          <w:rFonts w:hint="eastAsia"/>
        </w:rPr>
        <w:t>年版，第301页。</w:t>
      </w:r>
    </w:p>
  </w:footnote>
  <w:footnote w:id="13">
    <w:p w14:paraId="28CE9B62">
      <w:pPr>
        <w:pStyle w:val="11"/>
      </w:pPr>
      <w:r>
        <w:rPr>
          <w:rStyle w:val="20"/>
          <w:vertAlign w:val="baseline"/>
        </w:rPr>
        <w:footnoteRef/>
      </w:r>
      <w:r>
        <w:rPr>
          <w:rStyle w:val="20"/>
          <w:vertAlign w:val="baseline"/>
        </w:rPr>
        <w:t xml:space="preserve"> </w:t>
      </w:r>
      <w:r>
        <w:rPr>
          <w:rFonts w:hint="eastAsia"/>
        </w:rPr>
        <w:t>《最高人民法院关于审理利用信息网络侵害人身权益民事纠纷案件适用法律若干问题的规定》第12条。</w:t>
      </w:r>
    </w:p>
  </w:footnote>
  <w:footnote w:id="14">
    <w:p w14:paraId="2FA00B8E">
      <w:pPr>
        <w:pStyle w:val="11"/>
      </w:pPr>
      <w:r>
        <w:rPr>
          <w:rStyle w:val="20"/>
          <w:vertAlign w:val="baseline"/>
        </w:rPr>
        <w:footnoteRef/>
      </w:r>
      <w:r>
        <w:t xml:space="preserve"> </w:t>
      </w:r>
      <w:r>
        <w:rPr>
          <w:rFonts w:hint="eastAsia"/>
        </w:rPr>
        <w:t>参见参见</w:t>
      </w:r>
      <w:r>
        <w:rPr>
          <w:rFonts w:hint="eastAsia" w:ascii="宋体" w:hAnsi="宋体"/>
        </w:rPr>
        <w:t>(2014)朝民初字第19599号、(2014)朝民初字第21540号、(2014)朝民初字第32343号、(2014)朝民初字第39209号判决书。案件中具有一定知名度的明星在面对名誉、肖像等人身权益侵害时所获得的赔偿金额也不高，当普通人面对侵权时其所能主张的赔偿金额更是甚微。</w:t>
      </w:r>
    </w:p>
  </w:footnote>
  <w:footnote w:id="15">
    <w:p w14:paraId="257FAA2E">
      <w:pPr>
        <w:pStyle w:val="11"/>
      </w:pPr>
      <w:r>
        <w:rPr>
          <w:rStyle w:val="20"/>
          <w:vertAlign w:val="baseline"/>
        </w:rPr>
        <w:footnoteRef/>
      </w:r>
      <w:r>
        <w:rPr>
          <w:rStyle w:val="20"/>
          <w:vertAlign w:val="baseline"/>
        </w:rPr>
        <w:t xml:space="preserve"> </w:t>
      </w:r>
      <w:r>
        <w:rPr>
          <w:rFonts w:hint="eastAsia"/>
        </w:rPr>
        <w:t>参见</w:t>
      </w:r>
      <w:r>
        <w:t>朱岩：《“利润剥夺”的请求权基础》，载《法商研究》 2011年第3期。</w:t>
      </w:r>
    </w:p>
  </w:footnote>
  <w:footnote w:id="16">
    <w:p w14:paraId="15A9AE91">
      <w:pPr>
        <w:pStyle w:val="11"/>
      </w:pPr>
      <w:r>
        <w:rPr>
          <w:rStyle w:val="20"/>
          <w:vertAlign w:val="baseline"/>
        </w:rPr>
        <w:footnoteRef/>
      </w:r>
      <w:r>
        <w:t xml:space="preserve"> </w:t>
      </w:r>
      <w:r>
        <w:rPr>
          <w:rFonts w:hint="eastAsia"/>
        </w:rPr>
        <w:t>参见[德</w:t>
      </w:r>
      <w:r>
        <w:t>]</w:t>
      </w:r>
      <w:r>
        <w:rPr>
          <w:rFonts w:hint="eastAsia"/>
        </w:rPr>
        <w:t>韦斯特曼：《德国民法基本概念》（第16版），张定军译，中国人民大学出版社2013年第1版，第145 页。</w:t>
      </w:r>
    </w:p>
  </w:footnote>
  <w:footnote w:id="17">
    <w:p w14:paraId="7025F2B7">
      <w:pPr>
        <w:pStyle w:val="11"/>
      </w:pPr>
      <w:r>
        <w:rPr>
          <w:rStyle w:val="20"/>
          <w:vertAlign w:val="baseline"/>
        </w:rPr>
        <w:footnoteRef/>
      </w:r>
      <w:r>
        <w:t xml:space="preserve"> </w:t>
      </w:r>
      <w:r>
        <w:rPr>
          <w:rFonts w:hint="eastAsia"/>
        </w:rPr>
        <w:t>参见王泽鉴：《不当得利》，北京大学出版社2015年第2版，第141页。</w:t>
      </w:r>
    </w:p>
  </w:footnote>
  <w:footnote w:id="18">
    <w:p w14:paraId="43F7107D">
      <w:pPr>
        <w:pStyle w:val="11"/>
      </w:pPr>
      <w:r>
        <w:rPr>
          <w:rStyle w:val="20"/>
          <w:vertAlign w:val="baseline"/>
        </w:rPr>
        <w:footnoteRef/>
      </w:r>
      <w:r>
        <w:t xml:space="preserve"> </w:t>
      </w:r>
      <w:r>
        <w:rPr>
          <w:rFonts w:hint="eastAsia"/>
        </w:rPr>
        <w:t>参见张玉东：《“获益剥夺”规范意义的再审视——以〈民法典〉第1182条前半段规定为分析对象》，载《现代法学》2025年第4期。</w:t>
      </w:r>
    </w:p>
  </w:footnote>
  <w:footnote w:id="19">
    <w:p w14:paraId="280224B1">
      <w:pPr>
        <w:pStyle w:val="11"/>
      </w:pPr>
      <w:r>
        <w:rPr>
          <w:rStyle w:val="20"/>
          <w:vertAlign w:val="baseline"/>
        </w:rPr>
        <w:footnoteRef/>
      </w:r>
      <w:r>
        <w:t xml:space="preserve"> </w:t>
      </w:r>
      <w:bookmarkStart w:id="31" w:name="_Hlk153522985"/>
      <w:r>
        <w:rPr>
          <w:rFonts w:hint="eastAsia"/>
        </w:rPr>
        <w:t>参见王泽鉴：《侵权行为》，北京大学出版社2009年版，第1</w:t>
      </w:r>
      <w:r>
        <w:t>97-198</w:t>
      </w:r>
      <w:r>
        <w:rPr>
          <w:rFonts w:hint="eastAsia"/>
        </w:rPr>
        <w:t>页。</w:t>
      </w:r>
      <w:bookmarkEnd w:id="31"/>
    </w:p>
  </w:footnote>
  <w:footnote w:id="20">
    <w:p w14:paraId="419F1C81">
      <w:pPr>
        <w:pStyle w:val="11"/>
      </w:pPr>
      <w:r>
        <w:rPr>
          <w:rStyle w:val="20"/>
          <w:vertAlign w:val="baseline"/>
        </w:rPr>
        <w:footnoteRef/>
      </w:r>
      <w:r>
        <w:t xml:space="preserve"> </w:t>
      </w:r>
      <w:r>
        <w:rPr>
          <w:rFonts w:hint="eastAsia"/>
        </w:rPr>
        <w:t>参见王涌、周晓冬：《民法典第1182条获利返还制度的解释与完善》，载《广西大学学报（哲学社会科学版）》2</w:t>
      </w:r>
      <w:r>
        <w:t>021</w:t>
      </w:r>
      <w:r>
        <w:rPr>
          <w:rFonts w:hint="eastAsia"/>
        </w:rPr>
        <w:t>年第2期。</w:t>
      </w:r>
    </w:p>
  </w:footnote>
  <w:footnote w:id="21">
    <w:p w14:paraId="09BA08A4">
      <w:pPr>
        <w:pStyle w:val="11"/>
      </w:pPr>
      <w:r>
        <w:rPr>
          <w:rStyle w:val="20"/>
          <w:vertAlign w:val="baseline"/>
        </w:rPr>
        <w:footnoteRef/>
      </w:r>
      <w:r>
        <w:t xml:space="preserve"> </w:t>
      </w:r>
      <w:r>
        <w:rPr>
          <w:rFonts w:hint="eastAsia"/>
        </w:rPr>
        <w:t>参见杨彪：《受益型侵权行为研究——兼论损害赔偿法的晚近发展》，载《法商研究》2009年第5期。</w:t>
      </w:r>
    </w:p>
  </w:footnote>
  <w:footnote w:id="22">
    <w:p w14:paraId="3F4695E2">
      <w:pPr>
        <w:pStyle w:val="11"/>
      </w:pPr>
      <w:r>
        <w:rPr>
          <w:rStyle w:val="20"/>
          <w:vertAlign w:val="baseline"/>
        </w:rPr>
        <w:footnoteRef/>
      </w:r>
      <w:r>
        <w:t xml:space="preserve"> </w:t>
      </w:r>
      <w:r>
        <w:rPr>
          <w:rFonts w:hint="eastAsia"/>
        </w:rPr>
        <w:t>参见杨立新、梁清：《原因力的因果关系理论基础及其具体应用》，载《法学家》2</w:t>
      </w:r>
      <w:r>
        <w:t>006</w:t>
      </w:r>
      <w:r>
        <w:rPr>
          <w:rFonts w:hint="eastAsia"/>
        </w:rPr>
        <w:t>年第6期。</w:t>
      </w:r>
    </w:p>
  </w:footnote>
  <w:footnote w:id="23">
    <w:p w14:paraId="143F5222">
      <w:pPr>
        <w:pStyle w:val="11"/>
      </w:pPr>
      <w:r>
        <w:rPr>
          <w:rStyle w:val="20"/>
          <w:vertAlign w:val="baseline"/>
        </w:rPr>
        <w:footnoteRef/>
      </w:r>
      <w:r>
        <w:t xml:space="preserve"> </w:t>
      </w:r>
      <w:bookmarkStart w:id="32" w:name="_Hlk153523260"/>
      <w:r>
        <w:rPr>
          <w:rFonts w:hint="eastAsia"/>
        </w:rPr>
        <w:t>参见</w:t>
      </w:r>
      <w:r>
        <w:t>杨立新：《论损益相抵》，载《中国法学》1994年第3期。</w:t>
      </w:r>
      <w:bookmarkEnd w:id="32"/>
    </w:p>
  </w:footnote>
  <w:footnote w:id="24">
    <w:p w14:paraId="3B59F299">
      <w:pPr>
        <w:pStyle w:val="11"/>
      </w:pPr>
      <w:r>
        <w:rPr>
          <w:rStyle w:val="20"/>
          <w:vertAlign w:val="baseline"/>
        </w:rPr>
        <w:footnoteRef/>
      </w:r>
      <w:r>
        <w:rPr>
          <w:rStyle w:val="20"/>
          <w:vertAlign w:val="baseline"/>
        </w:rPr>
        <w:t xml:space="preserve"> </w:t>
      </w:r>
      <w:bookmarkStart w:id="33" w:name="_Hlk153523317"/>
      <w:r>
        <w:rPr>
          <w:rFonts w:hint="eastAsia"/>
        </w:rPr>
        <w:t>参见</w:t>
      </w:r>
      <w:r>
        <w:t>唐雯：《知识产权侵权获利赔偿数额认定的若干问题分析》，载《电子知识产权》2020年第11期。</w:t>
      </w:r>
      <w:bookmarkEnd w:id="33"/>
    </w:p>
  </w:footnote>
  <w:footnote w:id="25">
    <w:p w14:paraId="2114E84E">
      <w:pPr>
        <w:pStyle w:val="11"/>
      </w:pPr>
      <w:r>
        <w:rPr>
          <w:rStyle w:val="20"/>
          <w:vertAlign w:val="baseline"/>
        </w:rPr>
        <w:footnoteRef/>
      </w:r>
      <w:r>
        <w:rPr>
          <w:rStyle w:val="20"/>
          <w:vertAlign w:val="baseline"/>
        </w:rPr>
        <w:t xml:space="preserve"> </w:t>
      </w:r>
      <w:bookmarkStart w:id="34" w:name="_Hlk153523355"/>
      <w:r>
        <w:rPr>
          <w:rFonts w:hint="eastAsia"/>
        </w:rPr>
        <w:t>参见</w:t>
      </w:r>
      <w:r>
        <w:t>李治安：《解构著作权法的损害赔偿方程式》，载《政大法学评论》2011年第4期。</w:t>
      </w:r>
      <w:bookmarkEnd w:id="34"/>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numFmt w:val="decimalEnclosedCircleChinese"/>
    <w:numRestart w:val="eachPage"/>
    <w:footnote w:id="52"/>
    <w:footnote w:id="5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E47"/>
    <w:rsid w:val="00000811"/>
    <w:rsid w:val="00000EDA"/>
    <w:rsid w:val="000013BF"/>
    <w:rsid w:val="000019F7"/>
    <w:rsid w:val="00003553"/>
    <w:rsid w:val="0000374F"/>
    <w:rsid w:val="0000524F"/>
    <w:rsid w:val="000066AE"/>
    <w:rsid w:val="00006F8E"/>
    <w:rsid w:val="000077E4"/>
    <w:rsid w:val="00007A95"/>
    <w:rsid w:val="00011569"/>
    <w:rsid w:val="000138F9"/>
    <w:rsid w:val="000145F6"/>
    <w:rsid w:val="00014CFE"/>
    <w:rsid w:val="00015022"/>
    <w:rsid w:val="000213A7"/>
    <w:rsid w:val="000267A2"/>
    <w:rsid w:val="0003305B"/>
    <w:rsid w:val="00036F02"/>
    <w:rsid w:val="00037262"/>
    <w:rsid w:val="0004100B"/>
    <w:rsid w:val="00043151"/>
    <w:rsid w:val="000431C9"/>
    <w:rsid w:val="00044F29"/>
    <w:rsid w:val="0004682A"/>
    <w:rsid w:val="00050DA1"/>
    <w:rsid w:val="00051E36"/>
    <w:rsid w:val="00052BE6"/>
    <w:rsid w:val="00053CA8"/>
    <w:rsid w:val="000579F4"/>
    <w:rsid w:val="00057C44"/>
    <w:rsid w:val="000604D7"/>
    <w:rsid w:val="000653C8"/>
    <w:rsid w:val="00067135"/>
    <w:rsid w:val="00071E26"/>
    <w:rsid w:val="000747AE"/>
    <w:rsid w:val="000842D4"/>
    <w:rsid w:val="0008504F"/>
    <w:rsid w:val="000857B9"/>
    <w:rsid w:val="00090818"/>
    <w:rsid w:val="0009118A"/>
    <w:rsid w:val="00091EE6"/>
    <w:rsid w:val="00093209"/>
    <w:rsid w:val="00095F0D"/>
    <w:rsid w:val="000A0DD6"/>
    <w:rsid w:val="000A2F77"/>
    <w:rsid w:val="000A31D0"/>
    <w:rsid w:val="000A51B0"/>
    <w:rsid w:val="000A5BCE"/>
    <w:rsid w:val="000A68A1"/>
    <w:rsid w:val="000B044C"/>
    <w:rsid w:val="000B0877"/>
    <w:rsid w:val="000B1958"/>
    <w:rsid w:val="000B1B69"/>
    <w:rsid w:val="000B30C1"/>
    <w:rsid w:val="000B41F8"/>
    <w:rsid w:val="000B6E1B"/>
    <w:rsid w:val="000B72F6"/>
    <w:rsid w:val="000C08D3"/>
    <w:rsid w:val="000C5518"/>
    <w:rsid w:val="000C5E75"/>
    <w:rsid w:val="000C5EAB"/>
    <w:rsid w:val="000C7275"/>
    <w:rsid w:val="000D0C1F"/>
    <w:rsid w:val="000D2492"/>
    <w:rsid w:val="000D24DB"/>
    <w:rsid w:val="000D2F48"/>
    <w:rsid w:val="000D4FB2"/>
    <w:rsid w:val="000D77A1"/>
    <w:rsid w:val="000E6000"/>
    <w:rsid w:val="000E7575"/>
    <w:rsid w:val="000E7DF1"/>
    <w:rsid w:val="000F15AF"/>
    <w:rsid w:val="000F18C5"/>
    <w:rsid w:val="000F3781"/>
    <w:rsid w:val="000F382B"/>
    <w:rsid w:val="000F508E"/>
    <w:rsid w:val="0010029E"/>
    <w:rsid w:val="00105BE7"/>
    <w:rsid w:val="00106965"/>
    <w:rsid w:val="001071A5"/>
    <w:rsid w:val="001074FC"/>
    <w:rsid w:val="00107B64"/>
    <w:rsid w:val="001114D3"/>
    <w:rsid w:val="0011260A"/>
    <w:rsid w:val="00112EEA"/>
    <w:rsid w:val="00116CEE"/>
    <w:rsid w:val="00117852"/>
    <w:rsid w:val="0012087F"/>
    <w:rsid w:val="00120E69"/>
    <w:rsid w:val="00122654"/>
    <w:rsid w:val="00122B9A"/>
    <w:rsid w:val="00124C2D"/>
    <w:rsid w:val="00124D6D"/>
    <w:rsid w:val="00124DAF"/>
    <w:rsid w:val="00127A75"/>
    <w:rsid w:val="00131588"/>
    <w:rsid w:val="00133D40"/>
    <w:rsid w:val="00134063"/>
    <w:rsid w:val="001364E5"/>
    <w:rsid w:val="00141C09"/>
    <w:rsid w:val="00143564"/>
    <w:rsid w:val="00146A18"/>
    <w:rsid w:val="00147FE2"/>
    <w:rsid w:val="00152572"/>
    <w:rsid w:val="00155BA4"/>
    <w:rsid w:val="00155C74"/>
    <w:rsid w:val="00157936"/>
    <w:rsid w:val="001605CC"/>
    <w:rsid w:val="00160843"/>
    <w:rsid w:val="00164242"/>
    <w:rsid w:val="00164605"/>
    <w:rsid w:val="00170FD1"/>
    <w:rsid w:val="001721A9"/>
    <w:rsid w:val="00173A2B"/>
    <w:rsid w:val="00175BB7"/>
    <w:rsid w:val="00176A59"/>
    <w:rsid w:val="001800F8"/>
    <w:rsid w:val="00181799"/>
    <w:rsid w:val="001828D9"/>
    <w:rsid w:val="00183495"/>
    <w:rsid w:val="00184EBB"/>
    <w:rsid w:val="00190A90"/>
    <w:rsid w:val="00191FA6"/>
    <w:rsid w:val="0019793B"/>
    <w:rsid w:val="00197B7F"/>
    <w:rsid w:val="001A0179"/>
    <w:rsid w:val="001A0B88"/>
    <w:rsid w:val="001A2710"/>
    <w:rsid w:val="001A35B6"/>
    <w:rsid w:val="001A42C2"/>
    <w:rsid w:val="001B4555"/>
    <w:rsid w:val="001B46B0"/>
    <w:rsid w:val="001B4F1F"/>
    <w:rsid w:val="001B65DB"/>
    <w:rsid w:val="001C5F59"/>
    <w:rsid w:val="001C61A9"/>
    <w:rsid w:val="001D0308"/>
    <w:rsid w:val="001D12CD"/>
    <w:rsid w:val="001D2AF3"/>
    <w:rsid w:val="001D3142"/>
    <w:rsid w:val="001D38AF"/>
    <w:rsid w:val="001D4775"/>
    <w:rsid w:val="001D56CE"/>
    <w:rsid w:val="001D638B"/>
    <w:rsid w:val="001D7E81"/>
    <w:rsid w:val="001E2FA3"/>
    <w:rsid w:val="001E4247"/>
    <w:rsid w:val="001E77F5"/>
    <w:rsid w:val="001F0254"/>
    <w:rsid w:val="001F0B1A"/>
    <w:rsid w:val="001F0D16"/>
    <w:rsid w:val="001F1564"/>
    <w:rsid w:val="001F15C0"/>
    <w:rsid w:val="001F60BF"/>
    <w:rsid w:val="001F6226"/>
    <w:rsid w:val="001F7BEA"/>
    <w:rsid w:val="0020222A"/>
    <w:rsid w:val="0020304D"/>
    <w:rsid w:val="002067E3"/>
    <w:rsid w:val="00206937"/>
    <w:rsid w:val="00207D40"/>
    <w:rsid w:val="00214212"/>
    <w:rsid w:val="00214FA9"/>
    <w:rsid w:val="00217F5C"/>
    <w:rsid w:val="00220147"/>
    <w:rsid w:val="002202FE"/>
    <w:rsid w:val="002232C2"/>
    <w:rsid w:val="00231975"/>
    <w:rsid w:val="00235682"/>
    <w:rsid w:val="00241DAD"/>
    <w:rsid w:val="002447D1"/>
    <w:rsid w:val="0024581D"/>
    <w:rsid w:val="00250FB4"/>
    <w:rsid w:val="0025272E"/>
    <w:rsid w:val="00252E0F"/>
    <w:rsid w:val="002531DF"/>
    <w:rsid w:val="00253443"/>
    <w:rsid w:val="00253BFD"/>
    <w:rsid w:val="00254175"/>
    <w:rsid w:val="00254B13"/>
    <w:rsid w:val="00257ED5"/>
    <w:rsid w:val="0026147B"/>
    <w:rsid w:val="00261E55"/>
    <w:rsid w:val="00264D9A"/>
    <w:rsid w:val="00266B29"/>
    <w:rsid w:val="002702C4"/>
    <w:rsid w:val="00273599"/>
    <w:rsid w:val="00273AB1"/>
    <w:rsid w:val="00274743"/>
    <w:rsid w:val="00275FA4"/>
    <w:rsid w:val="00282A85"/>
    <w:rsid w:val="0028460F"/>
    <w:rsid w:val="00287EF6"/>
    <w:rsid w:val="00290657"/>
    <w:rsid w:val="00290B19"/>
    <w:rsid w:val="002919A8"/>
    <w:rsid w:val="00293339"/>
    <w:rsid w:val="00294596"/>
    <w:rsid w:val="00294BB4"/>
    <w:rsid w:val="002954B6"/>
    <w:rsid w:val="002955E1"/>
    <w:rsid w:val="00297381"/>
    <w:rsid w:val="002A05CE"/>
    <w:rsid w:val="002A08F8"/>
    <w:rsid w:val="002A0FC7"/>
    <w:rsid w:val="002A360D"/>
    <w:rsid w:val="002A5393"/>
    <w:rsid w:val="002A5988"/>
    <w:rsid w:val="002A66F8"/>
    <w:rsid w:val="002A7A87"/>
    <w:rsid w:val="002B29A6"/>
    <w:rsid w:val="002B2D66"/>
    <w:rsid w:val="002B349E"/>
    <w:rsid w:val="002B6198"/>
    <w:rsid w:val="002B6236"/>
    <w:rsid w:val="002C24BE"/>
    <w:rsid w:val="002C5370"/>
    <w:rsid w:val="002D02D5"/>
    <w:rsid w:val="002D1152"/>
    <w:rsid w:val="002D1DBA"/>
    <w:rsid w:val="002D256A"/>
    <w:rsid w:val="002D4261"/>
    <w:rsid w:val="002D5D8D"/>
    <w:rsid w:val="002D6D58"/>
    <w:rsid w:val="002E38FC"/>
    <w:rsid w:val="002E3D4E"/>
    <w:rsid w:val="002E45EB"/>
    <w:rsid w:val="002E49E0"/>
    <w:rsid w:val="002E5EDB"/>
    <w:rsid w:val="002E6100"/>
    <w:rsid w:val="002F7E7A"/>
    <w:rsid w:val="003022AC"/>
    <w:rsid w:val="00304B72"/>
    <w:rsid w:val="00304DA6"/>
    <w:rsid w:val="00307051"/>
    <w:rsid w:val="00312B65"/>
    <w:rsid w:val="00313904"/>
    <w:rsid w:val="003152AD"/>
    <w:rsid w:val="00317052"/>
    <w:rsid w:val="00322EED"/>
    <w:rsid w:val="00323678"/>
    <w:rsid w:val="00323F34"/>
    <w:rsid w:val="00325547"/>
    <w:rsid w:val="00327B88"/>
    <w:rsid w:val="00330FD1"/>
    <w:rsid w:val="00332E70"/>
    <w:rsid w:val="00332EB8"/>
    <w:rsid w:val="003330AF"/>
    <w:rsid w:val="00335E1A"/>
    <w:rsid w:val="00336C76"/>
    <w:rsid w:val="003450D7"/>
    <w:rsid w:val="00347866"/>
    <w:rsid w:val="003514B6"/>
    <w:rsid w:val="003565B7"/>
    <w:rsid w:val="00361B64"/>
    <w:rsid w:val="00363DFD"/>
    <w:rsid w:val="0037005A"/>
    <w:rsid w:val="003705B4"/>
    <w:rsid w:val="003723F5"/>
    <w:rsid w:val="00372DC2"/>
    <w:rsid w:val="0037565B"/>
    <w:rsid w:val="00375DE4"/>
    <w:rsid w:val="00376E40"/>
    <w:rsid w:val="003859FF"/>
    <w:rsid w:val="00386CE5"/>
    <w:rsid w:val="00386F27"/>
    <w:rsid w:val="003909B4"/>
    <w:rsid w:val="003922D5"/>
    <w:rsid w:val="00392F7B"/>
    <w:rsid w:val="00393570"/>
    <w:rsid w:val="00395654"/>
    <w:rsid w:val="003969F2"/>
    <w:rsid w:val="00396F73"/>
    <w:rsid w:val="0039798D"/>
    <w:rsid w:val="003A35BF"/>
    <w:rsid w:val="003A4E67"/>
    <w:rsid w:val="003B2163"/>
    <w:rsid w:val="003B2391"/>
    <w:rsid w:val="003B3CA9"/>
    <w:rsid w:val="003B788D"/>
    <w:rsid w:val="003C44FF"/>
    <w:rsid w:val="003C524F"/>
    <w:rsid w:val="003C542A"/>
    <w:rsid w:val="003C6473"/>
    <w:rsid w:val="003D161E"/>
    <w:rsid w:val="003D2A53"/>
    <w:rsid w:val="003D5EED"/>
    <w:rsid w:val="003E0D0F"/>
    <w:rsid w:val="003E54D3"/>
    <w:rsid w:val="003E579A"/>
    <w:rsid w:val="003E5E84"/>
    <w:rsid w:val="003E71D3"/>
    <w:rsid w:val="003F247C"/>
    <w:rsid w:val="003F4386"/>
    <w:rsid w:val="00403908"/>
    <w:rsid w:val="00404FC8"/>
    <w:rsid w:val="00405759"/>
    <w:rsid w:val="00406915"/>
    <w:rsid w:val="004076FD"/>
    <w:rsid w:val="004077AD"/>
    <w:rsid w:val="00410591"/>
    <w:rsid w:val="00411D47"/>
    <w:rsid w:val="004121B3"/>
    <w:rsid w:val="00412BF8"/>
    <w:rsid w:val="004141A6"/>
    <w:rsid w:val="004154A2"/>
    <w:rsid w:val="004177FC"/>
    <w:rsid w:val="00420098"/>
    <w:rsid w:val="004223CF"/>
    <w:rsid w:val="004229D0"/>
    <w:rsid w:val="00424B4B"/>
    <w:rsid w:val="0043257D"/>
    <w:rsid w:val="004343B1"/>
    <w:rsid w:val="004350CE"/>
    <w:rsid w:val="004353EE"/>
    <w:rsid w:val="00437267"/>
    <w:rsid w:val="00437451"/>
    <w:rsid w:val="00437A63"/>
    <w:rsid w:val="00437A98"/>
    <w:rsid w:val="00440CFA"/>
    <w:rsid w:val="0044608A"/>
    <w:rsid w:val="00446D02"/>
    <w:rsid w:val="0045253A"/>
    <w:rsid w:val="00452684"/>
    <w:rsid w:val="0045290D"/>
    <w:rsid w:val="00453D4B"/>
    <w:rsid w:val="0045429B"/>
    <w:rsid w:val="00454C2D"/>
    <w:rsid w:val="00455FBC"/>
    <w:rsid w:val="00457BBF"/>
    <w:rsid w:val="004635EA"/>
    <w:rsid w:val="00463EB5"/>
    <w:rsid w:val="004646F8"/>
    <w:rsid w:val="0046553E"/>
    <w:rsid w:val="00465C94"/>
    <w:rsid w:val="00470EF4"/>
    <w:rsid w:val="00471FFD"/>
    <w:rsid w:val="00473863"/>
    <w:rsid w:val="004764D5"/>
    <w:rsid w:val="00481095"/>
    <w:rsid w:val="00484308"/>
    <w:rsid w:val="00484E04"/>
    <w:rsid w:val="00485305"/>
    <w:rsid w:val="00486984"/>
    <w:rsid w:val="004921F8"/>
    <w:rsid w:val="00492BD5"/>
    <w:rsid w:val="0049485B"/>
    <w:rsid w:val="004950A2"/>
    <w:rsid w:val="0049606A"/>
    <w:rsid w:val="00496827"/>
    <w:rsid w:val="00496F6C"/>
    <w:rsid w:val="004A1B4D"/>
    <w:rsid w:val="004A3C7A"/>
    <w:rsid w:val="004A3EF9"/>
    <w:rsid w:val="004A4FE6"/>
    <w:rsid w:val="004A5945"/>
    <w:rsid w:val="004A7D1D"/>
    <w:rsid w:val="004B019A"/>
    <w:rsid w:val="004B0886"/>
    <w:rsid w:val="004B1366"/>
    <w:rsid w:val="004B15A8"/>
    <w:rsid w:val="004B2EB8"/>
    <w:rsid w:val="004B3184"/>
    <w:rsid w:val="004C07EB"/>
    <w:rsid w:val="004C09E7"/>
    <w:rsid w:val="004C2306"/>
    <w:rsid w:val="004C2DE3"/>
    <w:rsid w:val="004C2DF0"/>
    <w:rsid w:val="004C567A"/>
    <w:rsid w:val="004C69B1"/>
    <w:rsid w:val="004D24BF"/>
    <w:rsid w:val="004D26F7"/>
    <w:rsid w:val="004D281D"/>
    <w:rsid w:val="004D489A"/>
    <w:rsid w:val="004D4F0D"/>
    <w:rsid w:val="004D50B2"/>
    <w:rsid w:val="004D5EC8"/>
    <w:rsid w:val="004D658F"/>
    <w:rsid w:val="004D7CCB"/>
    <w:rsid w:val="004E0371"/>
    <w:rsid w:val="004E2092"/>
    <w:rsid w:val="004E2E43"/>
    <w:rsid w:val="004E4D17"/>
    <w:rsid w:val="004E5DEB"/>
    <w:rsid w:val="004E67E4"/>
    <w:rsid w:val="004E6922"/>
    <w:rsid w:val="004F0B24"/>
    <w:rsid w:val="004F2DF3"/>
    <w:rsid w:val="004F54B7"/>
    <w:rsid w:val="004F55AE"/>
    <w:rsid w:val="00501BDD"/>
    <w:rsid w:val="005050A6"/>
    <w:rsid w:val="0051258C"/>
    <w:rsid w:val="005126DB"/>
    <w:rsid w:val="00512A36"/>
    <w:rsid w:val="00514B86"/>
    <w:rsid w:val="00515473"/>
    <w:rsid w:val="0051580A"/>
    <w:rsid w:val="00515EE9"/>
    <w:rsid w:val="005163F0"/>
    <w:rsid w:val="005173B3"/>
    <w:rsid w:val="005175C9"/>
    <w:rsid w:val="005206C5"/>
    <w:rsid w:val="00524993"/>
    <w:rsid w:val="00526F73"/>
    <w:rsid w:val="005276F2"/>
    <w:rsid w:val="005279EF"/>
    <w:rsid w:val="0053253C"/>
    <w:rsid w:val="00532BB1"/>
    <w:rsid w:val="00533D08"/>
    <w:rsid w:val="005364F2"/>
    <w:rsid w:val="00540071"/>
    <w:rsid w:val="0054007A"/>
    <w:rsid w:val="00541FEF"/>
    <w:rsid w:val="00542182"/>
    <w:rsid w:val="005434A5"/>
    <w:rsid w:val="00543964"/>
    <w:rsid w:val="00543EEF"/>
    <w:rsid w:val="00552831"/>
    <w:rsid w:val="00552AFE"/>
    <w:rsid w:val="00553076"/>
    <w:rsid w:val="00553964"/>
    <w:rsid w:val="00553ADD"/>
    <w:rsid w:val="00553F6E"/>
    <w:rsid w:val="00556711"/>
    <w:rsid w:val="00563D61"/>
    <w:rsid w:val="00565266"/>
    <w:rsid w:val="005656A5"/>
    <w:rsid w:val="0056588B"/>
    <w:rsid w:val="00570078"/>
    <w:rsid w:val="00571552"/>
    <w:rsid w:val="00573AAE"/>
    <w:rsid w:val="00574B8C"/>
    <w:rsid w:val="00576924"/>
    <w:rsid w:val="00576D13"/>
    <w:rsid w:val="0058062E"/>
    <w:rsid w:val="005806D5"/>
    <w:rsid w:val="00581363"/>
    <w:rsid w:val="0058510F"/>
    <w:rsid w:val="00585170"/>
    <w:rsid w:val="005864DB"/>
    <w:rsid w:val="005910F0"/>
    <w:rsid w:val="005917D1"/>
    <w:rsid w:val="00591A48"/>
    <w:rsid w:val="00591EED"/>
    <w:rsid w:val="005923F4"/>
    <w:rsid w:val="005931E7"/>
    <w:rsid w:val="00593F7C"/>
    <w:rsid w:val="00597890"/>
    <w:rsid w:val="005A0012"/>
    <w:rsid w:val="005A0795"/>
    <w:rsid w:val="005A0F50"/>
    <w:rsid w:val="005A215F"/>
    <w:rsid w:val="005A220B"/>
    <w:rsid w:val="005B496F"/>
    <w:rsid w:val="005B6621"/>
    <w:rsid w:val="005B6B90"/>
    <w:rsid w:val="005C380E"/>
    <w:rsid w:val="005C3FCA"/>
    <w:rsid w:val="005C5920"/>
    <w:rsid w:val="005C6912"/>
    <w:rsid w:val="005C7D34"/>
    <w:rsid w:val="005D1222"/>
    <w:rsid w:val="005D2235"/>
    <w:rsid w:val="005D511C"/>
    <w:rsid w:val="005D5186"/>
    <w:rsid w:val="005D7112"/>
    <w:rsid w:val="005D7C7B"/>
    <w:rsid w:val="005E407D"/>
    <w:rsid w:val="005E5DBD"/>
    <w:rsid w:val="005E78A2"/>
    <w:rsid w:val="005E7F56"/>
    <w:rsid w:val="005F1F51"/>
    <w:rsid w:val="005F3441"/>
    <w:rsid w:val="005F356E"/>
    <w:rsid w:val="005F3966"/>
    <w:rsid w:val="005F655A"/>
    <w:rsid w:val="005F78D5"/>
    <w:rsid w:val="00602B44"/>
    <w:rsid w:val="00603357"/>
    <w:rsid w:val="00607B37"/>
    <w:rsid w:val="00610259"/>
    <w:rsid w:val="0061377D"/>
    <w:rsid w:val="00614B8B"/>
    <w:rsid w:val="00615462"/>
    <w:rsid w:val="0061568D"/>
    <w:rsid w:val="00617469"/>
    <w:rsid w:val="00623D0A"/>
    <w:rsid w:val="006242BE"/>
    <w:rsid w:val="00627CB3"/>
    <w:rsid w:val="00630E5E"/>
    <w:rsid w:val="00631130"/>
    <w:rsid w:val="0063120D"/>
    <w:rsid w:val="00631A64"/>
    <w:rsid w:val="00634171"/>
    <w:rsid w:val="006355D7"/>
    <w:rsid w:val="0063641A"/>
    <w:rsid w:val="0063657C"/>
    <w:rsid w:val="00636DD6"/>
    <w:rsid w:val="006373B6"/>
    <w:rsid w:val="00640925"/>
    <w:rsid w:val="00640D63"/>
    <w:rsid w:val="0064155B"/>
    <w:rsid w:val="00647911"/>
    <w:rsid w:val="00651550"/>
    <w:rsid w:val="0065298D"/>
    <w:rsid w:val="00654642"/>
    <w:rsid w:val="00665120"/>
    <w:rsid w:val="0066576A"/>
    <w:rsid w:val="00665DE3"/>
    <w:rsid w:val="006674E5"/>
    <w:rsid w:val="00670145"/>
    <w:rsid w:val="00671AE4"/>
    <w:rsid w:val="00677D1F"/>
    <w:rsid w:val="00680E27"/>
    <w:rsid w:val="00685A74"/>
    <w:rsid w:val="00692446"/>
    <w:rsid w:val="00692B86"/>
    <w:rsid w:val="006A219A"/>
    <w:rsid w:val="006A2F10"/>
    <w:rsid w:val="006A5133"/>
    <w:rsid w:val="006A693F"/>
    <w:rsid w:val="006B01A7"/>
    <w:rsid w:val="006B03BC"/>
    <w:rsid w:val="006B0D75"/>
    <w:rsid w:val="006B2B31"/>
    <w:rsid w:val="006B458E"/>
    <w:rsid w:val="006B6CEE"/>
    <w:rsid w:val="006B7169"/>
    <w:rsid w:val="006C0B20"/>
    <w:rsid w:val="006C0EBB"/>
    <w:rsid w:val="006C4250"/>
    <w:rsid w:val="006C4B79"/>
    <w:rsid w:val="006C58A0"/>
    <w:rsid w:val="006C5D55"/>
    <w:rsid w:val="006C75C7"/>
    <w:rsid w:val="006D04E7"/>
    <w:rsid w:val="006D069D"/>
    <w:rsid w:val="006D14FB"/>
    <w:rsid w:val="006D1768"/>
    <w:rsid w:val="006D1A39"/>
    <w:rsid w:val="006D1C88"/>
    <w:rsid w:val="006D4DB0"/>
    <w:rsid w:val="006D4DC3"/>
    <w:rsid w:val="006E0B21"/>
    <w:rsid w:val="006E1926"/>
    <w:rsid w:val="006E2956"/>
    <w:rsid w:val="006E51AF"/>
    <w:rsid w:val="006F3491"/>
    <w:rsid w:val="006F356E"/>
    <w:rsid w:val="006F4C9C"/>
    <w:rsid w:val="006F6D38"/>
    <w:rsid w:val="006F7190"/>
    <w:rsid w:val="00700945"/>
    <w:rsid w:val="00702253"/>
    <w:rsid w:val="00705799"/>
    <w:rsid w:val="00705B94"/>
    <w:rsid w:val="007111A0"/>
    <w:rsid w:val="00711284"/>
    <w:rsid w:val="00712CD7"/>
    <w:rsid w:val="00712CE0"/>
    <w:rsid w:val="007145E8"/>
    <w:rsid w:val="00714816"/>
    <w:rsid w:val="00716C3A"/>
    <w:rsid w:val="007207D9"/>
    <w:rsid w:val="00721DA4"/>
    <w:rsid w:val="007225A9"/>
    <w:rsid w:val="007257C0"/>
    <w:rsid w:val="00726163"/>
    <w:rsid w:val="007304B6"/>
    <w:rsid w:val="00736F7E"/>
    <w:rsid w:val="007406F7"/>
    <w:rsid w:val="00743CE5"/>
    <w:rsid w:val="00743EBB"/>
    <w:rsid w:val="007448A8"/>
    <w:rsid w:val="0074603B"/>
    <w:rsid w:val="007468F9"/>
    <w:rsid w:val="00746F7D"/>
    <w:rsid w:val="00753D14"/>
    <w:rsid w:val="00757013"/>
    <w:rsid w:val="00763752"/>
    <w:rsid w:val="00763889"/>
    <w:rsid w:val="00763987"/>
    <w:rsid w:val="00764FD2"/>
    <w:rsid w:val="00766464"/>
    <w:rsid w:val="00771327"/>
    <w:rsid w:val="007716F3"/>
    <w:rsid w:val="00772D68"/>
    <w:rsid w:val="007749BE"/>
    <w:rsid w:val="00775EF8"/>
    <w:rsid w:val="00776D8F"/>
    <w:rsid w:val="007776FA"/>
    <w:rsid w:val="007809FE"/>
    <w:rsid w:val="00781FBF"/>
    <w:rsid w:val="0078446A"/>
    <w:rsid w:val="00786F67"/>
    <w:rsid w:val="0079115B"/>
    <w:rsid w:val="00794A0F"/>
    <w:rsid w:val="007953CD"/>
    <w:rsid w:val="00795467"/>
    <w:rsid w:val="00796491"/>
    <w:rsid w:val="007A0278"/>
    <w:rsid w:val="007A2770"/>
    <w:rsid w:val="007A2AD0"/>
    <w:rsid w:val="007A4128"/>
    <w:rsid w:val="007A4D32"/>
    <w:rsid w:val="007A4E6B"/>
    <w:rsid w:val="007A68D0"/>
    <w:rsid w:val="007A7BD4"/>
    <w:rsid w:val="007B0DD0"/>
    <w:rsid w:val="007B1110"/>
    <w:rsid w:val="007B15EE"/>
    <w:rsid w:val="007B1BF2"/>
    <w:rsid w:val="007B2120"/>
    <w:rsid w:val="007B47A5"/>
    <w:rsid w:val="007B4E2C"/>
    <w:rsid w:val="007B6331"/>
    <w:rsid w:val="007B6A1B"/>
    <w:rsid w:val="007B6DF4"/>
    <w:rsid w:val="007B700B"/>
    <w:rsid w:val="007C03D8"/>
    <w:rsid w:val="007C090C"/>
    <w:rsid w:val="007C2729"/>
    <w:rsid w:val="007C2BE0"/>
    <w:rsid w:val="007C39F7"/>
    <w:rsid w:val="007D1148"/>
    <w:rsid w:val="007D2049"/>
    <w:rsid w:val="007D640F"/>
    <w:rsid w:val="007E33E0"/>
    <w:rsid w:val="007F143D"/>
    <w:rsid w:val="007F4DD5"/>
    <w:rsid w:val="00801599"/>
    <w:rsid w:val="008034FF"/>
    <w:rsid w:val="008036A3"/>
    <w:rsid w:val="0080455E"/>
    <w:rsid w:val="008061E3"/>
    <w:rsid w:val="00810A88"/>
    <w:rsid w:val="00812260"/>
    <w:rsid w:val="00812EBC"/>
    <w:rsid w:val="00813C56"/>
    <w:rsid w:val="00815D98"/>
    <w:rsid w:val="00816D2E"/>
    <w:rsid w:val="00820FC7"/>
    <w:rsid w:val="0082104C"/>
    <w:rsid w:val="00822614"/>
    <w:rsid w:val="00822B23"/>
    <w:rsid w:val="0082464F"/>
    <w:rsid w:val="00827F07"/>
    <w:rsid w:val="00830CB1"/>
    <w:rsid w:val="00831C44"/>
    <w:rsid w:val="00833319"/>
    <w:rsid w:val="0083408B"/>
    <w:rsid w:val="0083613D"/>
    <w:rsid w:val="00836EE6"/>
    <w:rsid w:val="008427DE"/>
    <w:rsid w:val="008435E0"/>
    <w:rsid w:val="008454B8"/>
    <w:rsid w:val="008464C2"/>
    <w:rsid w:val="00847288"/>
    <w:rsid w:val="00847F04"/>
    <w:rsid w:val="00850259"/>
    <w:rsid w:val="00851FE1"/>
    <w:rsid w:val="00852CFD"/>
    <w:rsid w:val="00855965"/>
    <w:rsid w:val="0086199F"/>
    <w:rsid w:val="00862F96"/>
    <w:rsid w:val="00865424"/>
    <w:rsid w:val="00865DE0"/>
    <w:rsid w:val="00867AC4"/>
    <w:rsid w:val="00872992"/>
    <w:rsid w:val="00872A6C"/>
    <w:rsid w:val="00876023"/>
    <w:rsid w:val="0088000D"/>
    <w:rsid w:val="00882461"/>
    <w:rsid w:val="0088489D"/>
    <w:rsid w:val="008852DA"/>
    <w:rsid w:val="00885E39"/>
    <w:rsid w:val="008910BA"/>
    <w:rsid w:val="00893CEC"/>
    <w:rsid w:val="00893E1C"/>
    <w:rsid w:val="00896FBB"/>
    <w:rsid w:val="008A2658"/>
    <w:rsid w:val="008A6FD7"/>
    <w:rsid w:val="008A7A79"/>
    <w:rsid w:val="008B426F"/>
    <w:rsid w:val="008B53F7"/>
    <w:rsid w:val="008C451E"/>
    <w:rsid w:val="008C46B6"/>
    <w:rsid w:val="008C598F"/>
    <w:rsid w:val="008D0E23"/>
    <w:rsid w:val="008D1FDE"/>
    <w:rsid w:val="008D2372"/>
    <w:rsid w:val="008D2B03"/>
    <w:rsid w:val="008D3B83"/>
    <w:rsid w:val="008E3641"/>
    <w:rsid w:val="008E6025"/>
    <w:rsid w:val="008F0E02"/>
    <w:rsid w:val="008F11BA"/>
    <w:rsid w:val="008F250D"/>
    <w:rsid w:val="008F39A3"/>
    <w:rsid w:val="008F54B3"/>
    <w:rsid w:val="008F627D"/>
    <w:rsid w:val="008F65A9"/>
    <w:rsid w:val="009025F4"/>
    <w:rsid w:val="009028C7"/>
    <w:rsid w:val="0090401E"/>
    <w:rsid w:val="00904F1A"/>
    <w:rsid w:val="009064CD"/>
    <w:rsid w:val="00907D11"/>
    <w:rsid w:val="00910BC3"/>
    <w:rsid w:val="00914F4E"/>
    <w:rsid w:val="009154DA"/>
    <w:rsid w:val="009165AB"/>
    <w:rsid w:val="00921C2D"/>
    <w:rsid w:val="009233F2"/>
    <w:rsid w:val="00923AF6"/>
    <w:rsid w:val="0092434E"/>
    <w:rsid w:val="00924702"/>
    <w:rsid w:val="00924F6D"/>
    <w:rsid w:val="00925A0F"/>
    <w:rsid w:val="00926A9F"/>
    <w:rsid w:val="00927A43"/>
    <w:rsid w:val="00927D74"/>
    <w:rsid w:val="009316C8"/>
    <w:rsid w:val="00933CD9"/>
    <w:rsid w:val="00935B6A"/>
    <w:rsid w:val="00935FC4"/>
    <w:rsid w:val="009365F6"/>
    <w:rsid w:val="00943416"/>
    <w:rsid w:val="0094703A"/>
    <w:rsid w:val="00952ED4"/>
    <w:rsid w:val="00954CA5"/>
    <w:rsid w:val="00955D47"/>
    <w:rsid w:val="00964547"/>
    <w:rsid w:val="00964732"/>
    <w:rsid w:val="00974746"/>
    <w:rsid w:val="00976412"/>
    <w:rsid w:val="00977F6C"/>
    <w:rsid w:val="0098124E"/>
    <w:rsid w:val="0098232B"/>
    <w:rsid w:val="0098377C"/>
    <w:rsid w:val="00983AD7"/>
    <w:rsid w:val="00985DAC"/>
    <w:rsid w:val="00986A0D"/>
    <w:rsid w:val="00990C2F"/>
    <w:rsid w:val="00993D61"/>
    <w:rsid w:val="00994C41"/>
    <w:rsid w:val="00995DA5"/>
    <w:rsid w:val="0099615E"/>
    <w:rsid w:val="009A272D"/>
    <w:rsid w:val="009B0AF4"/>
    <w:rsid w:val="009B2145"/>
    <w:rsid w:val="009B3DA4"/>
    <w:rsid w:val="009B42B0"/>
    <w:rsid w:val="009B5DD8"/>
    <w:rsid w:val="009B6DA2"/>
    <w:rsid w:val="009B76AC"/>
    <w:rsid w:val="009C023D"/>
    <w:rsid w:val="009C09B5"/>
    <w:rsid w:val="009C34A2"/>
    <w:rsid w:val="009C4029"/>
    <w:rsid w:val="009C65BE"/>
    <w:rsid w:val="009C794A"/>
    <w:rsid w:val="009D2433"/>
    <w:rsid w:val="009D3A77"/>
    <w:rsid w:val="009D3ADF"/>
    <w:rsid w:val="009D51E2"/>
    <w:rsid w:val="009E0A84"/>
    <w:rsid w:val="009E27B9"/>
    <w:rsid w:val="009E3423"/>
    <w:rsid w:val="009E3AD8"/>
    <w:rsid w:val="009E44D2"/>
    <w:rsid w:val="009E5021"/>
    <w:rsid w:val="009F17D6"/>
    <w:rsid w:val="009F4D4B"/>
    <w:rsid w:val="009F65DF"/>
    <w:rsid w:val="009F7C07"/>
    <w:rsid w:val="009F7CA6"/>
    <w:rsid w:val="00A00C60"/>
    <w:rsid w:val="00A00F44"/>
    <w:rsid w:val="00A046F1"/>
    <w:rsid w:val="00A04CCF"/>
    <w:rsid w:val="00A04E24"/>
    <w:rsid w:val="00A050D1"/>
    <w:rsid w:val="00A06D1C"/>
    <w:rsid w:val="00A113FC"/>
    <w:rsid w:val="00A11ED6"/>
    <w:rsid w:val="00A13DF0"/>
    <w:rsid w:val="00A14131"/>
    <w:rsid w:val="00A15FBF"/>
    <w:rsid w:val="00A166F0"/>
    <w:rsid w:val="00A172E0"/>
    <w:rsid w:val="00A20427"/>
    <w:rsid w:val="00A2079B"/>
    <w:rsid w:val="00A215B0"/>
    <w:rsid w:val="00A2388F"/>
    <w:rsid w:val="00A3098D"/>
    <w:rsid w:val="00A30D80"/>
    <w:rsid w:val="00A338B9"/>
    <w:rsid w:val="00A36B56"/>
    <w:rsid w:val="00A40E79"/>
    <w:rsid w:val="00A42E2C"/>
    <w:rsid w:val="00A4343D"/>
    <w:rsid w:val="00A43FFF"/>
    <w:rsid w:val="00A4739B"/>
    <w:rsid w:val="00A4790F"/>
    <w:rsid w:val="00A51140"/>
    <w:rsid w:val="00A5383B"/>
    <w:rsid w:val="00A54709"/>
    <w:rsid w:val="00A54FA8"/>
    <w:rsid w:val="00A56E7C"/>
    <w:rsid w:val="00A619CE"/>
    <w:rsid w:val="00A62071"/>
    <w:rsid w:val="00A64A05"/>
    <w:rsid w:val="00A64F43"/>
    <w:rsid w:val="00A677AD"/>
    <w:rsid w:val="00A67942"/>
    <w:rsid w:val="00A72EB5"/>
    <w:rsid w:val="00A75B9D"/>
    <w:rsid w:val="00A75F2D"/>
    <w:rsid w:val="00A76B62"/>
    <w:rsid w:val="00A81740"/>
    <w:rsid w:val="00A827FD"/>
    <w:rsid w:val="00A82DFB"/>
    <w:rsid w:val="00A85205"/>
    <w:rsid w:val="00A90725"/>
    <w:rsid w:val="00A936E5"/>
    <w:rsid w:val="00A946F9"/>
    <w:rsid w:val="00A95A8A"/>
    <w:rsid w:val="00A96EF7"/>
    <w:rsid w:val="00AA14B1"/>
    <w:rsid w:val="00AA1652"/>
    <w:rsid w:val="00AA2278"/>
    <w:rsid w:val="00AA230E"/>
    <w:rsid w:val="00AA243C"/>
    <w:rsid w:val="00AA3C0E"/>
    <w:rsid w:val="00AA6E4D"/>
    <w:rsid w:val="00AB05D7"/>
    <w:rsid w:val="00AB3730"/>
    <w:rsid w:val="00AB3AC7"/>
    <w:rsid w:val="00AB4385"/>
    <w:rsid w:val="00AB5658"/>
    <w:rsid w:val="00AB5BB2"/>
    <w:rsid w:val="00AC0628"/>
    <w:rsid w:val="00AC126E"/>
    <w:rsid w:val="00AC176F"/>
    <w:rsid w:val="00AC35DD"/>
    <w:rsid w:val="00AC3616"/>
    <w:rsid w:val="00AC5995"/>
    <w:rsid w:val="00AC5E2C"/>
    <w:rsid w:val="00AC6A0C"/>
    <w:rsid w:val="00AD1DAE"/>
    <w:rsid w:val="00AD28C5"/>
    <w:rsid w:val="00AD2E11"/>
    <w:rsid w:val="00AE0A79"/>
    <w:rsid w:val="00AE1723"/>
    <w:rsid w:val="00AE1BE3"/>
    <w:rsid w:val="00AE5F6B"/>
    <w:rsid w:val="00AE6CD0"/>
    <w:rsid w:val="00AE6D4A"/>
    <w:rsid w:val="00AF08F0"/>
    <w:rsid w:val="00AF0C3F"/>
    <w:rsid w:val="00AF2588"/>
    <w:rsid w:val="00AF3907"/>
    <w:rsid w:val="00AF5391"/>
    <w:rsid w:val="00AF589E"/>
    <w:rsid w:val="00AF5C59"/>
    <w:rsid w:val="00AF6C79"/>
    <w:rsid w:val="00AF75C5"/>
    <w:rsid w:val="00B02D81"/>
    <w:rsid w:val="00B0737C"/>
    <w:rsid w:val="00B07FE0"/>
    <w:rsid w:val="00B11E19"/>
    <w:rsid w:val="00B13966"/>
    <w:rsid w:val="00B14D00"/>
    <w:rsid w:val="00B166C8"/>
    <w:rsid w:val="00B17580"/>
    <w:rsid w:val="00B17F79"/>
    <w:rsid w:val="00B2034A"/>
    <w:rsid w:val="00B20B45"/>
    <w:rsid w:val="00B219ED"/>
    <w:rsid w:val="00B23CA5"/>
    <w:rsid w:val="00B24BF1"/>
    <w:rsid w:val="00B258E5"/>
    <w:rsid w:val="00B27FC5"/>
    <w:rsid w:val="00B30FA2"/>
    <w:rsid w:val="00B31361"/>
    <w:rsid w:val="00B363DF"/>
    <w:rsid w:val="00B36EA1"/>
    <w:rsid w:val="00B375E7"/>
    <w:rsid w:val="00B4069B"/>
    <w:rsid w:val="00B42F0E"/>
    <w:rsid w:val="00B42F96"/>
    <w:rsid w:val="00B51643"/>
    <w:rsid w:val="00B51855"/>
    <w:rsid w:val="00B52D6E"/>
    <w:rsid w:val="00B55DE3"/>
    <w:rsid w:val="00B573EF"/>
    <w:rsid w:val="00B575F0"/>
    <w:rsid w:val="00B57C6B"/>
    <w:rsid w:val="00B61C4F"/>
    <w:rsid w:val="00B66665"/>
    <w:rsid w:val="00B749DB"/>
    <w:rsid w:val="00B81084"/>
    <w:rsid w:val="00B824C2"/>
    <w:rsid w:val="00B82D9A"/>
    <w:rsid w:val="00B907D8"/>
    <w:rsid w:val="00B93930"/>
    <w:rsid w:val="00B94D22"/>
    <w:rsid w:val="00BA19D1"/>
    <w:rsid w:val="00BA38E7"/>
    <w:rsid w:val="00BA4BE5"/>
    <w:rsid w:val="00BA569D"/>
    <w:rsid w:val="00BA5BEE"/>
    <w:rsid w:val="00BA5D12"/>
    <w:rsid w:val="00BA6E77"/>
    <w:rsid w:val="00BA7B7A"/>
    <w:rsid w:val="00BB09AB"/>
    <w:rsid w:val="00BB15C5"/>
    <w:rsid w:val="00BC0058"/>
    <w:rsid w:val="00BC6E87"/>
    <w:rsid w:val="00BD02BA"/>
    <w:rsid w:val="00BD0754"/>
    <w:rsid w:val="00BD400B"/>
    <w:rsid w:val="00BD7C17"/>
    <w:rsid w:val="00BE0C8B"/>
    <w:rsid w:val="00BE161D"/>
    <w:rsid w:val="00BE1C38"/>
    <w:rsid w:val="00BE2300"/>
    <w:rsid w:val="00BE6FF9"/>
    <w:rsid w:val="00BE7293"/>
    <w:rsid w:val="00BF2A1D"/>
    <w:rsid w:val="00BF3CFA"/>
    <w:rsid w:val="00BF3DCA"/>
    <w:rsid w:val="00BF50E2"/>
    <w:rsid w:val="00BF5395"/>
    <w:rsid w:val="00BF67FC"/>
    <w:rsid w:val="00C016CF"/>
    <w:rsid w:val="00C03979"/>
    <w:rsid w:val="00C07C28"/>
    <w:rsid w:val="00C14189"/>
    <w:rsid w:val="00C2246F"/>
    <w:rsid w:val="00C24F3A"/>
    <w:rsid w:val="00C25901"/>
    <w:rsid w:val="00C30ABF"/>
    <w:rsid w:val="00C31AB7"/>
    <w:rsid w:val="00C325B8"/>
    <w:rsid w:val="00C328C3"/>
    <w:rsid w:val="00C33D00"/>
    <w:rsid w:val="00C40969"/>
    <w:rsid w:val="00C40C43"/>
    <w:rsid w:val="00C41BED"/>
    <w:rsid w:val="00C420FE"/>
    <w:rsid w:val="00C42C02"/>
    <w:rsid w:val="00C44FAD"/>
    <w:rsid w:val="00C44FFA"/>
    <w:rsid w:val="00C50E50"/>
    <w:rsid w:val="00C523CE"/>
    <w:rsid w:val="00C5542E"/>
    <w:rsid w:val="00C55D45"/>
    <w:rsid w:val="00C56D26"/>
    <w:rsid w:val="00C61961"/>
    <w:rsid w:val="00C6693C"/>
    <w:rsid w:val="00C678A1"/>
    <w:rsid w:val="00C70A84"/>
    <w:rsid w:val="00C73D62"/>
    <w:rsid w:val="00C73D88"/>
    <w:rsid w:val="00C748B1"/>
    <w:rsid w:val="00C74A80"/>
    <w:rsid w:val="00C74CA3"/>
    <w:rsid w:val="00C77F0D"/>
    <w:rsid w:val="00C83B6A"/>
    <w:rsid w:val="00C83E74"/>
    <w:rsid w:val="00C842CE"/>
    <w:rsid w:val="00C85A40"/>
    <w:rsid w:val="00C91567"/>
    <w:rsid w:val="00C952DA"/>
    <w:rsid w:val="00C97D67"/>
    <w:rsid w:val="00CA232A"/>
    <w:rsid w:val="00CA4898"/>
    <w:rsid w:val="00CA5D9B"/>
    <w:rsid w:val="00CB0577"/>
    <w:rsid w:val="00CB05BA"/>
    <w:rsid w:val="00CB060F"/>
    <w:rsid w:val="00CB0DF9"/>
    <w:rsid w:val="00CB1F91"/>
    <w:rsid w:val="00CB1FFD"/>
    <w:rsid w:val="00CB46F7"/>
    <w:rsid w:val="00CB488B"/>
    <w:rsid w:val="00CB4D50"/>
    <w:rsid w:val="00CB4E59"/>
    <w:rsid w:val="00CC0014"/>
    <w:rsid w:val="00CC11FB"/>
    <w:rsid w:val="00CC2D9B"/>
    <w:rsid w:val="00CC49E8"/>
    <w:rsid w:val="00CC54DF"/>
    <w:rsid w:val="00CC6AAB"/>
    <w:rsid w:val="00CC775F"/>
    <w:rsid w:val="00CD1D55"/>
    <w:rsid w:val="00CD2121"/>
    <w:rsid w:val="00CD4B13"/>
    <w:rsid w:val="00CD534D"/>
    <w:rsid w:val="00CD7A10"/>
    <w:rsid w:val="00CE18E0"/>
    <w:rsid w:val="00CE4EE2"/>
    <w:rsid w:val="00CE58D8"/>
    <w:rsid w:val="00CE643A"/>
    <w:rsid w:val="00CE76B1"/>
    <w:rsid w:val="00CF2EE9"/>
    <w:rsid w:val="00CF434D"/>
    <w:rsid w:val="00CF7E47"/>
    <w:rsid w:val="00D0114C"/>
    <w:rsid w:val="00D02B69"/>
    <w:rsid w:val="00D03098"/>
    <w:rsid w:val="00D0383D"/>
    <w:rsid w:val="00D038B7"/>
    <w:rsid w:val="00D060F7"/>
    <w:rsid w:val="00D06541"/>
    <w:rsid w:val="00D07B84"/>
    <w:rsid w:val="00D12FA6"/>
    <w:rsid w:val="00D15E77"/>
    <w:rsid w:val="00D245ED"/>
    <w:rsid w:val="00D27261"/>
    <w:rsid w:val="00D276CB"/>
    <w:rsid w:val="00D27CBC"/>
    <w:rsid w:val="00D27E59"/>
    <w:rsid w:val="00D30C9D"/>
    <w:rsid w:val="00D372C6"/>
    <w:rsid w:val="00D422B9"/>
    <w:rsid w:val="00D44107"/>
    <w:rsid w:val="00D44726"/>
    <w:rsid w:val="00D44954"/>
    <w:rsid w:val="00D52F78"/>
    <w:rsid w:val="00D55E1B"/>
    <w:rsid w:val="00D57F24"/>
    <w:rsid w:val="00D60A0D"/>
    <w:rsid w:val="00D623E3"/>
    <w:rsid w:val="00D66F87"/>
    <w:rsid w:val="00D673EB"/>
    <w:rsid w:val="00D67444"/>
    <w:rsid w:val="00D6782C"/>
    <w:rsid w:val="00D70043"/>
    <w:rsid w:val="00D71B75"/>
    <w:rsid w:val="00D80153"/>
    <w:rsid w:val="00D82BBB"/>
    <w:rsid w:val="00D82F6A"/>
    <w:rsid w:val="00D84065"/>
    <w:rsid w:val="00D84268"/>
    <w:rsid w:val="00D93B04"/>
    <w:rsid w:val="00D96F29"/>
    <w:rsid w:val="00DA18B8"/>
    <w:rsid w:val="00DA591E"/>
    <w:rsid w:val="00DA59A7"/>
    <w:rsid w:val="00DB1788"/>
    <w:rsid w:val="00DB2220"/>
    <w:rsid w:val="00DB47E5"/>
    <w:rsid w:val="00DB5C2F"/>
    <w:rsid w:val="00DB63B9"/>
    <w:rsid w:val="00DB74ED"/>
    <w:rsid w:val="00DC2C78"/>
    <w:rsid w:val="00DC3BB8"/>
    <w:rsid w:val="00DC42C4"/>
    <w:rsid w:val="00DD0133"/>
    <w:rsid w:val="00DD1FA3"/>
    <w:rsid w:val="00DD6684"/>
    <w:rsid w:val="00DD7C37"/>
    <w:rsid w:val="00DE199E"/>
    <w:rsid w:val="00DE4B59"/>
    <w:rsid w:val="00DE4CA6"/>
    <w:rsid w:val="00DE53A3"/>
    <w:rsid w:val="00DE60F5"/>
    <w:rsid w:val="00DF20F0"/>
    <w:rsid w:val="00DF3098"/>
    <w:rsid w:val="00DF6EB0"/>
    <w:rsid w:val="00E0214A"/>
    <w:rsid w:val="00E02562"/>
    <w:rsid w:val="00E02DBC"/>
    <w:rsid w:val="00E04B76"/>
    <w:rsid w:val="00E04FF3"/>
    <w:rsid w:val="00E076DF"/>
    <w:rsid w:val="00E10ACF"/>
    <w:rsid w:val="00E10EB7"/>
    <w:rsid w:val="00E1245D"/>
    <w:rsid w:val="00E14DD4"/>
    <w:rsid w:val="00E15183"/>
    <w:rsid w:val="00E179A3"/>
    <w:rsid w:val="00E20798"/>
    <w:rsid w:val="00E20B91"/>
    <w:rsid w:val="00E217AA"/>
    <w:rsid w:val="00E22854"/>
    <w:rsid w:val="00E23642"/>
    <w:rsid w:val="00E2365F"/>
    <w:rsid w:val="00E2506B"/>
    <w:rsid w:val="00E27B18"/>
    <w:rsid w:val="00E31663"/>
    <w:rsid w:val="00E31859"/>
    <w:rsid w:val="00E334BC"/>
    <w:rsid w:val="00E342B6"/>
    <w:rsid w:val="00E342CE"/>
    <w:rsid w:val="00E374BA"/>
    <w:rsid w:val="00E37A7B"/>
    <w:rsid w:val="00E40EC2"/>
    <w:rsid w:val="00E42FB9"/>
    <w:rsid w:val="00E452D1"/>
    <w:rsid w:val="00E45BBE"/>
    <w:rsid w:val="00E57EF5"/>
    <w:rsid w:val="00E612B8"/>
    <w:rsid w:val="00E6139E"/>
    <w:rsid w:val="00E660E3"/>
    <w:rsid w:val="00E664F2"/>
    <w:rsid w:val="00E724D3"/>
    <w:rsid w:val="00E7278E"/>
    <w:rsid w:val="00E75A13"/>
    <w:rsid w:val="00E75BC4"/>
    <w:rsid w:val="00E8419C"/>
    <w:rsid w:val="00E86C7F"/>
    <w:rsid w:val="00E87B47"/>
    <w:rsid w:val="00E92E00"/>
    <w:rsid w:val="00EA024F"/>
    <w:rsid w:val="00EA08D3"/>
    <w:rsid w:val="00EA58D9"/>
    <w:rsid w:val="00EA68E7"/>
    <w:rsid w:val="00EA6C3F"/>
    <w:rsid w:val="00EA7FE7"/>
    <w:rsid w:val="00EB101B"/>
    <w:rsid w:val="00EB297C"/>
    <w:rsid w:val="00EB4724"/>
    <w:rsid w:val="00EB5BCC"/>
    <w:rsid w:val="00EB630C"/>
    <w:rsid w:val="00EC0565"/>
    <w:rsid w:val="00EC24B1"/>
    <w:rsid w:val="00EC5839"/>
    <w:rsid w:val="00EC786B"/>
    <w:rsid w:val="00ED0365"/>
    <w:rsid w:val="00ED1EAA"/>
    <w:rsid w:val="00ED52B4"/>
    <w:rsid w:val="00EE2450"/>
    <w:rsid w:val="00EE49B2"/>
    <w:rsid w:val="00EE5C11"/>
    <w:rsid w:val="00EE72B8"/>
    <w:rsid w:val="00EF07AE"/>
    <w:rsid w:val="00EF1DAF"/>
    <w:rsid w:val="00EF3D22"/>
    <w:rsid w:val="00EF51FE"/>
    <w:rsid w:val="00EF57EE"/>
    <w:rsid w:val="00EF66DD"/>
    <w:rsid w:val="00F00A3B"/>
    <w:rsid w:val="00F03F87"/>
    <w:rsid w:val="00F10D0F"/>
    <w:rsid w:val="00F13B4B"/>
    <w:rsid w:val="00F14D37"/>
    <w:rsid w:val="00F15886"/>
    <w:rsid w:val="00F1593A"/>
    <w:rsid w:val="00F178DD"/>
    <w:rsid w:val="00F21CB8"/>
    <w:rsid w:val="00F234F7"/>
    <w:rsid w:val="00F40AD8"/>
    <w:rsid w:val="00F4371F"/>
    <w:rsid w:val="00F50604"/>
    <w:rsid w:val="00F53B83"/>
    <w:rsid w:val="00F55A89"/>
    <w:rsid w:val="00F568ED"/>
    <w:rsid w:val="00F570C0"/>
    <w:rsid w:val="00F57E93"/>
    <w:rsid w:val="00F6069F"/>
    <w:rsid w:val="00F62464"/>
    <w:rsid w:val="00F626AA"/>
    <w:rsid w:val="00F6358E"/>
    <w:rsid w:val="00F647A7"/>
    <w:rsid w:val="00F662E5"/>
    <w:rsid w:val="00F6649C"/>
    <w:rsid w:val="00F66A6B"/>
    <w:rsid w:val="00F670CC"/>
    <w:rsid w:val="00F67F64"/>
    <w:rsid w:val="00F70F91"/>
    <w:rsid w:val="00F72F74"/>
    <w:rsid w:val="00F74A42"/>
    <w:rsid w:val="00F75E0B"/>
    <w:rsid w:val="00F76B76"/>
    <w:rsid w:val="00F76E97"/>
    <w:rsid w:val="00F7789B"/>
    <w:rsid w:val="00F77DC1"/>
    <w:rsid w:val="00F8040E"/>
    <w:rsid w:val="00F83674"/>
    <w:rsid w:val="00F84B7A"/>
    <w:rsid w:val="00F85F15"/>
    <w:rsid w:val="00F8683A"/>
    <w:rsid w:val="00F86B5C"/>
    <w:rsid w:val="00F87A45"/>
    <w:rsid w:val="00F9308E"/>
    <w:rsid w:val="00F94408"/>
    <w:rsid w:val="00F978CE"/>
    <w:rsid w:val="00FA3F31"/>
    <w:rsid w:val="00FA4BC1"/>
    <w:rsid w:val="00FA6483"/>
    <w:rsid w:val="00FB7074"/>
    <w:rsid w:val="00FB7635"/>
    <w:rsid w:val="00FC0842"/>
    <w:rsid w:val="00FC3D71"/>
    <w:rsid w:val="00FC6B6B"/>
    <w:rsid w:val="00FD0F50"/>
    <w:rsid w:val="00FD1142"/>
    <w:rsid w:val="00FD4BE6"/>
    <w:rsid w:val="00FD798B"/>
    <w:rsid w:val="00FD7B5D"/>
    <w:rsid w:val="00FD7C6B"/>
    <w:rsid w:val="00FD7E17"/>
    <w:rsid w:val="00FE0A3D"/>
    <w:rsid w:val="00FE4506"/>
    <w:rsid w:val="00FE4E7B"/>
    <w:rsid w:val="00FE7AC3"/>
    <w:rsid w:val="00FF010D"/>
    <w:rsid w:val="00FF3CBA"/>
    <w:rsid w:val="00FF5356"/>
    <w:rsid w:val="00FF6B11"/>
    <w:rsid w:val="9FFFF9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14:ligatures w14:val="standardContextual"/>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3"/>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6">
    <w:name w:val="annotation text"/>
    <w:basedOn w:val="1"/>
    <w:link w:val="28"/>
    <w:unhideWhenUsed/>
    <w:uiPriority w:val="99"/>
    <w:pPr>
      <w:jc w:val="left"/>
    </w:pPr>
  </w:style>
  <w:style w:type="paragraph" w:styleId="7">
    <w:name w:val="toc 3"/>
    <w:basedOn w:val="1"/>
    <w:next w:val="1"/>
    <w:autoRedefine/>
    <w:unhideWhenUsed/>
    <w:uiPriority w:val="39"/>
    <w:pPr>
      <w:ind w:left="840" w:leftChars="400"/>
    </w:pPr>
  </w:style>
  <w:style w:type="paragraph" w:styleId="8">
    <w:name w:val="footer"/>
    <w:basedOn w:val="1"/>
    <w:link w:val="26"/>
    <w:unhideWhenUsed/>
    <w:uiPriority w:val="99"/>
    <w:pPr>
      <w:tabs>
        <w:tab w:val="center" w:pos="4153"/>
        <w:tab w:val="right" w:pos="8306"/>
      </w:tabs>
      <w:snapToGrid w:val="0"/>
      <w:jc w:val="left"/>
    </w:pPr>
    <w:rPr>
      <w:sz w:val="18"/>
      <w:szCs w:val="18"/>
    </w:rPr>
  </w:style>
  <w:style w:type="paragraph" w:styleId="9">
    <w:name w:val="header"/>
    <w:basedOn w:val="1"/>
    <w:link w:val="25"/>
    <w:unhideWhenUsed/>
    <w:uiPriority w:val="99"/>
    <w:pPr>
      <w:tabs>
        <w:tab w:val="center" w:pos="4153"/>
        <w:tab w:val="right" w:pos="8306"/>
      </w:tabs>
      <w:snapToGrid w:val="0"/>
      <w:jc w:val="center"/>
    </w:pPr>
    <w:rPr>
      <w:sz w:val="18"/>
      <w:szCs w:val="18"/>
    </w:rPr>
  </w:style>
  <w:style w:type="paragraph" w:styleId="10">
    <w:name w:val="toc 1"/>
    <w:basedOn w:val="1"/>
    <w:next w:val="1"/>
    <w:autoRedefine/>
    <w:unhideWhenUsed/>
    <w:uiPriority w:val="39"/>
  </w:style>
  <w:style w:type="paragraph" w:styleId="11">
    <w:name w:val="footnote text"/>
    <w:basedOn w:val="1"/>
    <w:link w:val="27"/>
    <w:semiHidden/>
    <w:unhideWhenUsed/>
    <w:uiPriority w:val="99"/>
    <w:pPr>
      <w:snapToGrid w:val="0"/>
      <w:jc w:val="left"/>
    </w:pPr>
    <w:rPr>
      <w:sz w:val="18"/>
      <w:szCs w:val="18"/>
    </w:rPr>
  </w:style>
  <w:style w:type="paragraph" w:styleId="12">
    <w:name w:val="toc 2"/>
    <w:basedOn w:val="1"/>
    <w:next w:val="1"/>
    <w:autoRedefine/>
    <w:unhideWhenUsed/>
    <w:uiPriority w:val="39"/>
    <w:pPr>
      <w:ind w:left="420" w:leftChars="200"/>
    </w:pPr>
  </w:style>
  <w:style w:type="paragraph" w:styleId="13">
    <w:name w:val="annotation subject"/>
    <w:basedOn w:val="6"/>
    <w:next w:val="6"/>
    <w:link w:val="29"/>
    <w:semiHidden/>
    <w:unhideWhenUsed/>
    <w:uiPriority w:val="99"/>
    <w:rPr>
      <w:b/>
      <w:bCs/>
    </w:rPr>
  </w:style>
  <w:style w:type="table" w:styleId="15">
    <w:name w:val="Table Grid"/>
    <w:basedOn w:val="14"/>
    <w:uiPriority w:val="39"/>
    <w:rPr>
      <w:rFonts w:ascii="等线" w:hAnsi="等线" w:eastAsia="等线"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FollowedHyperlink"/>
    <w:semiHidden/>
    <w:unhideWhenUsed/>
    <w:uiPriority w:val="99"/>
    <w:rPr>
      <w:color w:val="954F72"/>
      <w:u w:val="single"/>
    </w:rPr>
  </w:style>
  <w:style w:type="character" w:styleId="18">
    <w:name w:val="Hyperlink"/>
    <w:unhideWhenUsed/>
    <w:uiPriority w:val="99"/>
    <w:rPr>
      <w:color w:val="0563C1"/>
      <w:u w:val="single"/>
    </w:rPr>
  </w:style>
  <w:style w:type="character" w:styleId="19">
    <w:name w:val="annotation reference"/>
    <w:semiHidden/>
    <w:unhideWhenUsed/>
    <w:uiPriority w:val="99"/>
    <w:rPr>
      <w:sz w:val="21"/>
      <w:szCs w:val="21"/>
    </w:rPr>
  </w:style>
  <w:style w:type="character" w:styleId="20">
    <w:name w:val="footnote reference"/>
    <w:semiHidden/>
    <w:unhideWhenUsed/>
    <w:uiPriority w:val="99"/>
    <w:rPr>
      <w:vertAlign w:val="superscript"/>
    </w:rPr>
  </w:style>
  <w:style w:type="character" w:customStyle="1" w:styleId="21">
    <w:name w:val="标题 1 字符"/>
    <w:basedOn w:val="16"/>
    <w:link w:val="2"/>
    <w:uiPriority w:val="9"/>
    <w:rPr>
      <w:rFonts w:ascii="Times New Roman" w:hAnsi="Times New Roman" w:eastAsia="宋体" w:cs="Times New Roman"/>
      <w:b/>
      <w:bCs/>
      <w:kern w:val="44"/>
      <w:sz w:val="44"/>
      <w:szCs w:val="44"/>
    </w:rPr>
  </w:style>
  <w:style w:type="character" w:customStyle="1" w:styleId="22">
    <w:name w:val="标题 2 字符"/>
    <w:basedOn w:val="16"/>
    <w:link w:val="3"/>
    <w:uiPriority w:val="9"/>
    <w:rPr>
      <w:rFonts w:asciiTheme="majorHAnsi" w:hAnsiTheme="majorHAnsi" w:eastAsiaTheme="majorEastAsia" w:cstheme="majorBidi"/>
      <w:b/>
      <w:bCs/>
      <w:sz w:val="32"/>
      <w:szCs w:val="32"/>
    </w:rPr>
  </w:style>
  <w:style w:type="character" w:customStyle="1" w:styleId="23">
    <w:name w:val="标题 3 字符"/>
    <w:basedOn w:val="16"/>
    <w:link w:val="4"/>
    <w:uiPriority w:val="9"/>
    <w:rPr>
      <w:rFonts w:ascii="Times New Roman" w:hAnsi="Times New Roman" w:eastAsia="宋体" w:cs="Times New Roman"/>
      <w:b/>
      <w:bCs/>
      <w:sz w:val="32"/>
      <w:szCs w:val="32"/>
    </w:rPr>
  </w:style>
  <w:style w:type="character" w:customStyle="1" w:styleId="24">
    <w:name w:val="标题 4 字符"/>
    <w:basedOn w:val="16"/>
    <w:link w:val="5"/>
    <w:uiPriority w:val="9"/>
    <w:rPr>
      <w:rFonts w:asciiTheme="majorHAnsi" w:hAnsiTheme="majorHAnsi" w:eastAsiaTheme="majorEastAsia" w:cstheme="majorBidi"/>
      <w:b/>
      <w:bCs/>
      <w:sz w:val="28"/>
      <w:szCs w:val="28"/>
    </w:rPr>
  </w:style>
  <w:style w:type="character" w:customStyle="1" w:styleId="25">
    <w:name w:val="页眉 字符"/>
    <w:basedOn w:val="16"/>
    <w:link w:val="9"/>
    <w:uiPriority w:val="99"/>
    <w:rPr>
      <w:rFonts w:ascii="Times New Roman" w:hAnsi="Times New Roman" w:eastAsia="宋体" w:cs="Times New Roman"/>
      <w:sz w:val="18"/>
      <w:szCs w:val="18"/>
    </w:rPr>
  </w:style>
  <w:style w:type="character" w:customStyle="1" w:styleId="26">
    <w:name w:val="页脚 字符"/>
    <w:basedOn w:val="16"/>
    <w:link w:val="8"/>
    <w:uiPriority w:val="99"/>
    <w:rPr>
      <w:rFonts w:ascii="Times New Roman" w:hAnsi="Times New Roman" w:eastAsia="宋体" w:cs="Times New Roman"/>
      <w:sz w:val="18"/>
      <w:szCs w:val="18"/>
    </w:rPr>
  </w:style>
  <w:style w:type="character" w:customStyle="1" w:styleId="27">
    <w:name w:val="脚注文本 字符"/>
    <w:basedOn w:val="16"/>
    <w:link w:val="11"/>
    <w:semiHidden/>
    <w:uiPriority w:val="99"/>
    <w:rPr>
      <w:rFonts w:ascii="Times New Roman" w:hAnsi="Times New Roman" w:eastAsia="宋体" w:cs="Times New Roman"/>
      <w:sz w:val="18"/>
      <w:szCs w:val="18"/>
    </w:rPr>
  </w:style>
  <w:style w:type="character" w:customStyle="1" w:styleId="28">
    <w:name w:val="批注文字 字符"/>
    <w:basedOn w:val="16"/>
    <w:link w:val="6"/>
    <w:uiPriority w:val="99"/>
    <w:rPr>
      <w:rFonts w:ascii="Times New Roman" w:hAnsi="Times New Roman" w:eastAsia="宋体" w:cs="Times New Roman"/>
      <w:szCs w:val="24"/>
    </w:rPr>
  </w:style>
  <w:style w:type="character" w:customStyle="1" w:styleId="29">
    <w:name w:val="批注主题 字符"/>
    <w:basedOn w:val="28"/>
    <w:link w:val="13"/>
    <w:semiHidden/>
    <w:uiPriority w:val="99"/>
    <w:rPr>
      <w:rFonts w:ascii="Times New Roman" w:hAnsi="Times New Roman" w:eastAsia="宋体" w:cs="Times New Roman"/>
      <w:b/>
      <w:bCs/>
      <w:szCs w:val="24"/>
    </w:rPr>
  </w:style>
  <w:style w:type="character" w:customStyle="1" w:styleId="30">
    <w:name w:val="Unresolved Mention"/>
    <w:semiHidden/>
    <w:unhideWhenUsed/>
    <w:uiPriority w:val="99"/>
    <w:rPr>
      <w:color w:val="605E5C"/>
      <w:shd w:val="clear" w:color="auto" w:fill="E1DFDD"/>
    </w:rPr>
  </w:style>
  <w:style w:type="paragraph" w:styleId="31">
    <w:name w:val="List Paragraph"/>
    <w:basedOn w:val="1"/>
    <w:qFormat/>
    <w:uiPriority w:val="34"/>
    <w:pPr>
      <w:ind w:firstLine="420" w:firstLineChars="200"/>
    </w:pPr>
  </w:style>
  <w:style w:type="paragraph" w:customStyle="1" w:styleId="3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33">
    <w:name w:val="wz14"/>
    <w:basedOn w:val="1"/>
    <w:uiPriority w:val="0"/>
    <w:pPr>
      <w:widowControl/>
      <w:spacing w:before="100" w:beforeAutospacing="1" w:after="100" w:afterAutospacing="1" w:line="300" w:lineRule="atLeast"/>
      <w:jc w:val="left"/>
    </w:pPr>
    <w:rPr>
      <w:color w:val="000000"/>
      <w:kern w:val="0"/>
      <w:szCs w:val="21"/>
    </w:rPr>
  </w:style>
  <w:style w:type="paragraph" w:customStyle="1" w:styleId="34">
    <w:name w:val="Revision"/>
    <w:hidden/>
    <w:semiHidden/>
    <w:uiPriority w:val="99"/>
    <w:rPr>
      <w:rFonts w:ascii="Times New Roman" w:hAnsi="Times New Roman" w:eastAsia="宋体" w:cs="Times New Roman"/>
      <w:kern w:val="2"/>
      <w:sz w:val="21"/>
      <w:szCs w:val="24"/>
      <w:lang w:val="en-US" w:eastAsia="zh-CN" w:bidi="ar-SA"/>
      <w14:ligatures w14:val="standardContextua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6A87A-024D-4C44-A757-677437A45D61}">
  <ds:schemaRefs/>
</ds:datastoreItem>
</file>

<file path=docProps/app.xml><?xml version="1.0" encoding="utf-8"?>
<Properties xmlns="http://schemas.openxmlformats.org/officeDocument/2006/extended-properties" xmlns:vt="http://schemas.openxmlformats.org/officeDocument/2006/docPropsVTypes">
  <Template>Normal</Template>
  <Pages>13</Pages>
  <Words>5126</Words>
  <Characters>5588</Characters>
  <Lines>164</Lines>
  <Paragraphs>53</Paragraphs>
  <TotalTime>14</TotalTime>
  <ScaleCrop>false</ScaleCrop>
  <LinksUpToDate>false</LinksUpToDate>
  <CharactersWithSpaces>10661</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2026-04-02T17:35:00Z</dcterms:created>
  <dc:creator>文慧 石</dc:creator>
  <cp:lastModifiedBy>研究生学报</cp:lastModifiedBy>
  <cp:lastPrinted>2024-06-05T13:30:00Z</cp:lastPrinted>
  <dcterms:modified xsi:type="dcterms:W3CDTF">2026-04-12T21:22:09Z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867FE265B210DFDF819CDB6973463CEB_42</vt:lpwstr>
  </property>
</Properties>
</file>