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2078D" w14:textId="77777777" w:rsidR="00D07BD4" w:rsidRDefault="00000000">
      <w:pPr>
        <w:jc w:val="center"/>
        <w:rPr>
          <w:rFonts w:ascii="黑体" w:eastAsia="黑体" w:hAnsi="黑体" w:cs="黑体"/>
          <w:b/>
          <w:bCs/>
          <w:sz w:val="36"/>
          <w:szCs w:val="36"/>
        </w:rPr>
      </w:pPr>
      <w:commentRangeStart w:id="0"/>
      <w:r>
        <w:rPr>
          <w:rFonts w:ascii="宋体" w:eastAsia="宋体" w:hAnsi="宋体" w:cs="宋体" w:hint="eastAsia"/>
          <w:b/>
          <w:bCs/>
          <w:sz w:val="36"/>
          <w:szCs w:val="36"/>
        </w:rPr>
        <w:t>交叉执行制度的困境分析与实践方案——以对法院执行权的理论、管理和监督为研究视角</w:t>
      </w:r>
      <w:commentRangeEnd w:id="0"/>
      <w:r w:rsidR="00F26C95">
        <w:rPr>
          <w:rStyle w:val="a7"/>
        </w:rPr>
        <w:commentReference w:id="0"/>
      </w:r>
    </w:p>
    <w:p w14:paraId="3D186971" w14:textId="77777777" w:rsidR="00D07BD4" w:rsidRDefault="00000000">
      <w:pPr>
        <w:pStyle w:val="a4"/>
        <w:widowControl/>
        <w:spacing w:beforeAutospacing="0" w:afterAutospacing="0" w:line="360" w:lineRule="auto"/>
        <w:rPr>
          <w:rFonts w:ascii="仿宋" w:eastAsia="仿宋" w:hAnsi="仿宋" w:cs="仿宋"/>
        </w:rPr>
      </w:pPr>
      <w:commentRangeStart w:id="1"/>
      <w:r>
        <w:rPr>
          <w:rFonts w:ascii="宋体" w:eastAsia="宋体" w:hAnsi="宋体" w:cs="宋体" w:hint="eastAsia"/>
          <w:b/>
          <w:bCs/>
          <w:spacing w:val="10"/>
        </w:rPr>
        <w:t>内容摘要</w:t>
      </w:r>
      <w:commentRangeEnd w:id="1"/>
      <w:r w:rsidR="00F26C95">
        <w:rPr>
          <w:rStyle w:val="a7"/>
          <w:rFonts w:cstheme="minorBidi"/>
          <w:kern w:val="2"/>
        </w:rPr>
        <w:commentReference w:id="1"/>
      </w:r>
      <w:r>
        <w:rPr>
          <w:rFonts w:ascii="宋体" w:eastAsia="宋体" w:hAnsi="宋体" w:cs="宋体" w:hint="eastAsia"/>
          <w:b/>
          <w:bCs/>
          <w:spacing w:val="10"/>
        </w:rPr>
        <w:t>：</w:t>
      </w:r>
      <w:r>
        <w:rPr>
          <w:rFonts w:ascii="仿宋" w:eastAsia="仿宋" w:hAnsi="仿宋" w:cs="仿宋" w:hint="eastAsia"/>
          <w:spacing w:val="10"/>
        </w:rPr>
        <w:t>执行工作作为实现公平正义的最后一公里，旨在兑现当事人的胜诉权益。然而，执行难问题一直困扰着执行部门，并引发社会各界的关注。现阶段，地方、部门保护主义，消极执行、拖延执行等造成的执行难问题仍然存在，同时交叉执行过程中又出现了上级法院为了应付考核数据而要求下级法院“不得不交叉”的情形。</w:t>
      </w:r>
    </w:p>
    <w:p w14:paraId="6C91E262" w14:textId="77777777" w:rsidR="00D07BD4" w:rsidRDefault="00000000">
      <w:pPr>
        <w:pStyle w:val="a4"/>
        <w:widowControl/>
        <w:spacing w:beforeAutospacing="0" w:afterAutospacing="0" w:line="360" w:lineRule="auto"/>
        <w:ind w:firstLineChars="200" w:firstLine="520"/>
        <w:rPr>
          <w:rFonts w:ascii="仿宋" w:eastAsia="仿宋" w:hAnsi="仿宋" w:cs="仿宋"/>
        </w:rPr>
      </w:pPr>
      <w:r>
        <w:rPr>
          <w:rFonts w:ascii="仿宋" w:eastAsia="仿宋" w:hAnsi="仿宋" w:cs="仿宋" w:hint="eastAsia"/>
          <w:spacing w:val="10"/>
        </w:rPr>
        <w:t>理论上，交叉执行的理论研究不足；实践上，执行案件尽管在立案受理、采取执行措施、采取惩戒措施、执行结案等环节强调执行效率和案件质量的双重管理，但是信息化的方式并未解决上述执行难中出现的问题，也未能对在上述流程节点产生的数据进行分析，造成交叉执行仍然出现了“一刀切”或者是经验选择的情况。</w:t>
      </w:r>
    </w:p>
    <w:p w14:paraId="33A6C263" w14:textId="77777777" w:rsidR="00D07BD4" w:rsidRDefault="00000000">
      <w:pPr>
        <w:widowControl/>
        <w:spacing w:line="360" w:lineRule="auto"/>
        <w:ind w:firstLineChars="200" w:firstLine="480"/>
        <w:jc w:val="left"/>
        <w:rPr>
          <w:rFonts w:asciiTheme="minorEastAsia" w:hAnsiTheme="minorEastAsia" w:cstheme="minorEastAsia"/>
          <w:kern w:val="0"/>
          <w:sz w:val="24"/>
          <w:lang w:bidi="ar"/>
        </w:rPr>
      </w:pPr>
      <w:r>
        <w:rPr>
          <w:rFonts w:ascii="仿宋" w:eastAsia="仿宋" w:hAnsi="仿宋" w:cs="仿宋" w:hint="eastAsia"/>
          <w:kern w:val="0"/>
          <w:sz w:val="24"/>
          <w:lang w:bidi="ar"/>
        </w:rPr>
        <w:t>自2023年10月全国法院开展交叉执行工作以来，交叉执行案件数量持续上升，提级执行、指令执行、协同执行、集中执行等执行方式均发挥了积极作用，解决了一批疑难复杂“骨头”案件以及长期未结的涉民生案件，维护了当事人合法权益。在推进交叉执行过程中，最高人民法院先后出台《最高人民法院关于全面推进交叉执行工作的通知》《最高人民法院关于交叉执行工作的指导意见》（以下简称《指导意见》）等规范性文件，指导交叉执行具体实践。</w:t>
      </w:r>
      <w:r>
        <w:rPr>
          <w:rStyle w:val="a6"/>
          <w:rFonts w:ascii="仿宋" w:eastAsia="仿宋" w:hAnsi="仿宋" w:cs="仿宋" w:hint="eastAsia"/>
          <w:kern w:val="0"/>
          <w:sz w:val="24"/>
          <w:lang w:bidi="ar"/>
        </w:rPr>
        <w:footnoteReference w:id="1"/>
      </w:r>
      <w:r>
        <w:rPr>
          <w:rFonts w:ascii="仿宋" w:eastAsia="仿宋" w:hAnsi="仿宋" w:cs="仿宋" w:hint="eastAsia"/>
          <w:kern w:val="0"/>
          <w:sz w:val="24"/>
          <w:lang w:bidi="ar"/>
        </w:rPr>
        <w:t>由于规模性地开展交叉执行是一项开创性工作，实践中如何全面准确理解文件规定以及文件未涉及的新问题如何处理，都是急需解决的问题。本文针对地方法院普遍反映的问题，从问题现状、原因分析、实践方案等多角度，尝试提出思路。</w:t>
      </w:r>
    </w:p>
    <w:p w14:paraId="1F7C2250" w14:textId="77777777" w:rsidR="00D07BD4" w:rsidRDefault="00000000">
      <w:pPr>
        <w:widowControl/>
        <w:spacing w:line="360" w:lineRule="auto"/>
        <w:rPr>
          <w:rFonts w:ascii="宋体" w:eastAsia="宋体" w:hAnsi="宋体" w:cs="宋体"/>
          <w:kern w:val="0"/>
          <w:sz w:val="24"/>
          <w:lang w:bidi="ar"/>
        </w:rPr>
      </w:pPr>
      <w:r>
        <w:rPr>
          <w:rFonts w:ascii="宋体" w:eastAsia="宋体" w:hAnsi="宋体" w:cs="宋体" w:hint="eastAsia"/>
          <w:b/>
          <w:bCs/>
          <w:kern w:val="0"/>
          <w:sz w:val="24"/>
          <w:lang w:bidi="ar"/>
        </w:rPr>
        <w:t>关键词：</w:t>
      </w:r>
      <w:r>
        <w:rPr>
          <w:rFonts w:ascii="宋体" w:eastAsia="宋体" w:hAnsi="宋体" w:cs="宋体" w:hint="eastAsia"/>
          <w:kern w:val="0"/>
          <w:sz w:val="24"/>
          <w:lang w:bidi="ar"/>
        </w:rPr>
        <w:t>交叉执行；执行权；执行难</w:t>
      </w:r>
    </w:p>
    <w:p w14:paraId="783D2270" w14:textId="77777777" w:rsidR="00D07BD4" w:rsidRDefault="00D07BD4">
      <w:pPr>
        <w:widowControl/>
        <w:spacing w:line="360" w:lineRule="auto"/>
        <w:rPr>
          <w:rFonts w:ascii="宋体" w:eastAsia="宋体" w:hAnsi="宋体" w:cs="宋体"/>
          <w:kern w:val="0"/>
          <w:sz w:val="24"/>
          <w:lang w:bidi="ar"/>
        </w:rPr>
      </w:pPr>
    </w:p>
    <w:p w14:paraId="5C5F188C" w14:textId="77777777" w:rsidR="00D07BD4" w:rsidRDefault="00000000">
      <w:pPr>
        <w:widowControl/>
        <w:jc w:val="center"/>
        <w:rPr>
          <w:rFonts w:ascii="Times New Roman Bold" w:hAnsi="Times New Roman Bold" w:cs="Times New Roman Bold"/>
          <w:b/>
          <w:bCs/>
          <w:sz w:val="36"/>
          <w:szCs w:val="36"/>
        </w:rPr>
      </w:pPr>
      <w:r>
        <w:rPr>
          <w:rFonts w:ascii="Times New Roman Bold" w:eastAsia="PingFang SC" w:hAnsi="Times New Roman Bold" w:cs="Times New Roman Bold"/>
          <w:b/>
          <w:bCs/>
          <w:color w:val="2A2F45"/>
          <w:kern w:val="0"/>
          <w:sz w:val="36"/>
          <w:szCs w:val="36"/>
          <w:shd w:val="clear" w:color="auto" w:fill="FFFFFF"/>
          <w:lang w:bidi="ar"/>
        </w:rPr>
        <w:t>Analysis of the Dilemma of Cross-Execution System and Practical Solutions: A Research Perspective on the Theory, Management and Supervision of Court Execution Power</w:t>
      </w:r>
    </w:p>
    <w:p w14:paraId="473DA86C" w14:textId="77777777" w:rsidR="00D07BD4" w:rsidRDefault="00D07BD4">
      <w:pPr>
        <w:widowControl/>
        <w:spacing w:line="360" w:lineRule="auto"/>
        <w:rPr>
          <w:rFonts w:ascii="宋体" w:eastAsia="宋体" w:hAnsi="宋体" w:cs="宋体"/>
          <w:kern w:val="0"/>
          <w:sz w:val="24"/>
          <w:lang w:bidi="ar"/>
        </w:rPr>
      </w:pPr>
    </w:p>
    <w:p w14:paraId="237310DA" w14:textId="77777777" w:rsidR="00D07BD4" w:rsidRDefault="00000000">
      <w:pPr>
        <w:widowControl/>
        <w:spacing w:line="360" w:lineRule="auto"/>
        <w:ind w:firstLineChars="200" w:firstLine="489"/>
        <w:rPr>
          <w:rFonts w:ascii="Times New Roman Regular" w:eastAsia="仿宋" w:hAnsi="Times New Roman Regular" w:cs="Times New Roman Regular"/>
          <w:kern w:val="0"/>
          <w:sz w:val="24"/>
          <w:lang w:bidi="ar"/>
        </w:rPr>
      </w:pPr>
      <w:r>
        <w:rPr>
          <w:rFonts w:ascii="Times New Roman Regular" w:eastAsia="仿宋" w:hAnsi="Times New Roman Regular" w:cs="Times New Roman Regular"/>
          <w:b/>
          <w:bCs/>
          <w:kern w:val="0"/>
          <w:sz w:val="24"/>
          <w:lang w:bidi="ar"/>
        </w:rPr>
        <w:t xml:space="preserve">Abstract: </w:t>
      </w:r>
      <w:r>
        <w:rPr>
          <w:rFonts w:ascii="Times New Roman Regular" w:eastAsia="仿宋" w:hAnsi="Times New Roman Regular" w:cs="Times New Roman Regular"/>
          <w:kern w:val="0"/>
          <w:sz w:val="24"/>
          <w:lang w:bidi="ar"/>
        </w:rPr>
        <w:t>Execution work, as the final mile to achieve fairness and justice, aims to fulfill the winning rights of the parties involved. However, the problem of difficult execution has long plagued the execution departments and drawn widespread attention from all sectors of society. At present, problems such as local and departmental protectionism, passive and delayed execution still exist, and in the process of cross-execution, there have emerged situations where higher courts require lower courts to "have to cross" in order to meet assessment data requirements.</w:t>
      </w:r>
    </w:p>
    <w:p w14:paraId="105A37F7" w14:textId="77777777" w:rsidR="00D07BD4" w:rsidRDefault="00000000">
      <w:pPr>
        <w:widowControl/>
        <w:spacing w:line="360" w:lineRule="auto"/>
        <w:ind w:firstLineChars="200" w:firstLine="480"/>
        <w:rPr>
          <w:rFonts w:ascii="Times New Roman Regular" w:eastAsia="仿宋" w:hAnsi="Times New Roman Regular" w:cs="Times New Roman Regular"/>
          <w:kern w:val="0"/>
          <w:sz w:val="24"/>
          <w:lang w:bidi="ar"/>
        </w:rPr>
      </w:pPr>
      <w:r>
        <w:rPr>
          <w:rFonts w:ascii="Times New Roman Regular" w:eastAsia="仿宋" w:hAnsi="Times New Roman Regular" w:cs="Times New Roman Regular"/>
          <w:kern w:val="0"/>
          <w:sz w:val="24"/>
          <w:lang w:bidi="ar"/>
        </w:rPr>
        <w:t>Theoretically, there is a lack of in-depth research on cross-execution. Practically, although execution cases emphasize dual management of execution efficiency and case quality in aspects such as case filing and acceptance, taking execution measures, taking disciplinary measures, and case closure, the informatization approach has not resolved the problems arising from difficult execution, nor has it analyzed the data generated at the above-mentioned process nodes, resulting in a situation where cross-execution still adopts a one-size-fits-all approach or relies on experience.</w:t>
      </w:r>
    </w:p>
    <w:p w14:paraId="7021BE1E" w14:textId="77777777" w:rsidR="00D07BD4" w:rsidRDefault="00000000">
      <w:pPr>
        <w:widowControl/>
        <w:spacing w:line="360" w:lineRule="auto"/>
        <w:ind w:firstLineChars="200" w:firstLine="480"/>
        <w:rPr>
          <w:rFonts w:ascii="Times New Roman Regular" w:eastAsia="仿宋" w:hAnsi="Times New Roman Regular" w:cs="Times New Roman Regular"/>
          <w:kern w:val="0"/>
          <w:sz w:val="24"/>
          <w:lang w:bidi="ar"/>
        </w:rPr>
      </w:pPr>
      <w:r>
        <w:rPr>
          <w:rFonts w:ascii="Times New Roman Regular" w:eastAsia="仿宋" w:hAnsi="Times New Roman Regular" w:cs="Times New Roman Regular"/>
          <w:kern w:val="0"/>
          <w:sz w:val="24"/>
          <w:lang w:bidi="ar"/>
        </w:rPr>
        <w:t xml:space="preserve">Since the national courts launched cross-execution work in October 2023, the number of cross-execution cases has continued to rise. Execution methods such as elevated execution, directed execution, collaborative execution, and concentrated execution have all played positive roles, resolving a number of difficult and complex "bone" cases and long-pending cases involving people's livelihood, and safeguarding the legitimate rights and interests of the parties. In the process of promoting cross-execution, the Supreme People's Court has successively issued normative documents such as the "Notice of the Supreme People's Court on Comprehensively Promoting Cross-Execution Work" and the "Guiding Opinions of the Supreme People's Court on Cross-Execution Work" (hereinafter referred to as the "Guiding Opinions") to guide the specific practice of cross-execution.  As the large-scale implementation of cross-execution is a pioneering task, how to fully and accurately understand the provisions of the documents and how to handle new issues not covered by the documents are urgent problems to be solved. This article, in response to the common problems reflected by local courts, attempts to propose solutions from </w:t>
      </w:r>
      <w:r>
        <w:rPr>
          <w:rFonts w:ascii="Times New Roman Regular" w:eastAsia="仿宋" w:hAnsi="Times New Roman Regular" w:cs="Times New Roman Regular"/>
          <w:kern w:val="0"/>
          <w:sz w:val="24"/>
          <w:lang w:bidi="ar"/>
        </w:rPr>
        <w:lastRenderedPageBreak/>
        <w:t>multiple perspectives such as the current situation of the problem, cause analysis, and practical solutions.</w:t>
      </w:r>
    </w:p>
    <w:p w14:paraId="5987785D" w14:textId="77777777" w:rsidR="00D07BD4" w:rsidRDefault="00D07BD4">
      <w:pPr>
        <w:widowControl/>
        <w:spacing w:line="360" w:lineRule="auto"/>
        <w:ind w:firstLineChars="200" w:firstLine="420"/>
        <w:rPr>
          <w:rFonts w:ascii="Times New Roman Regular" w:eastAsia="仿宋" w:hAnsi="Times New Roman Regular" w:cs="Times New Roman Regular"/>
          <w:kern w:val="0"/>
          <w:szCs w:val="21"/>
          <w:lang w:bidi="ar"/>
        </w:rPr>
      </w:pPr>
    </w:p>
    <w:p w14:paraId="3D215E2E" w14:textId="77777777" w:rsidR="00D07BD4" w:rsidRDefault="00000000">
      <w:pPr>
        <w:widowControl/>
        <w:spacing w:line="360" w:lineRule="auto"/>
        <w:ind w:firstLineChars="200" w:firstLine="489"/>
        <w:rPr>
          <w:rFonts w:ascii="Times New Roman Regular" w:eastAsia="仿宋" w:hAnsi="Times New Roman Regular" w:cs="Times New Roman Regular"/>
          <w:kern w:val="0"/>
          <w:sz w:val="24"/>
          <w:lang w:bidi="ar"/>
        </w:rPr>
      </w:pPr>
      <w:r>
        <w:rPr>
          <w:rFonts w:ascii="Times New Roman Regular" w:eastAsia="仿宋" w:hAnsi="Times New Roman Regular" w:cs="Times New Roman Regular"/>
          <w:b/>
          <w:bCs/>
          <w:kern w:val="0"/>
          <w:sz w:val="24"/>
          <w:lang w:bidi="ar"/>
        </w:rPr>
        <w:t xml:space="preserve">Keywords: </w:t>
      </w:r>
      <w:r>
        <w:rPr>
          <w:rFonts w:ascii="Times New Roman Regular" w:eastAsia="仿宋" w:hAnsi="Times New Roman Regular" w:cs="Times New Roman Regular"/>
          <w:kern w:val="0"/>
          <w:sz w:val="24"/>
          <w:lang w:bidi="ar"/>
        </w:rPr>
        <w:t>Cross-execution; Enforcement power; Enforcement difficulty</w:t>
      </w:r>
    </w:p>
    <w:p w14:paraId="4426CEBF" w14:textId="77777777" w:rsidR="00D07BD4" w:rsidRDefault="00D07BD4">
      <w:pPr>
        <w:pStyle w:val="1"/>
        <w:widowControl/>
        <w:spacing w:beforeAutospacing="0" w:afterAutospacing="0" w:line="360" w:lineRule="auto"/>
        <w:jc w:val="both"/>
        <w:rPr>
          <w:rFonts w:cs="宋体" w:hint="default"/>
          <w:color w:val="000000" w:themeColor="text1"/>
          <w:spacing w:val="10"/>
          <w:sz w:val="24"/>
          <w:szCs w:val="24"/>
        </w:rPr>
      </w:pPr>
    </w:p>
    <w:p w14:paraId="1FD64C88" w14:textId="77777777" w:rsidR="00D07BD4" w:rsidRDefault="00000000">
      <w:pPr>
        <w:pStyle w:val="1"/>
        <w:widowControl/>
        <w:spacing w:beforeAutospacing="0" w:afterAutospacing="0" w:line="360" w:lineRule="auto"/>
        <w:jc w:val="both"/>
        <w:rPr>
          <w:rFonts w:cs="宋体" w:hint="default"/>
          <w:color w:val="000000" w:themeColor="text1"/>
          <w:sz w:val="24"/>
          <w:szCs w:val="24"/>
        </w:rPr>
      </w:pPr>
      <w:commentRangeStart w:id="2"/>
      <w:r>
        <w:rPr>
          <w:rFonts w:cs="宋体"/>
          <w:color w:val="000000" w:themeColor="text1"/>
          <w:spacing w:val="10"/>
          <w:sz w:val="24"/>
          <w:szCs w:val="24"/>
        </w:rPr>
        <w:t>一、问题现状：交叉执行的“内外”困境</w:t>
      </w:r>
      <w:commentRangeEnd w:id="2"/>
      <w:r w:rsidR="00F26C95">
        <w:rPr>
          <w:rStyle w:val="a7"/>
          <w:rFonts w:asciiTheme="minorHAnsi" w:eastAsiaTheme="minorEastAsia" w:hAnsiTheme="minorHAnsi" w:cstheme="minorBidi" w:hint="default"/>
          <w:b w:val="0"/>
          <w:bCs w:val="0"/>
          <w:kern w:val="2"/>
        </w:rPr>
        <w:commentReference w:id="2"/>
      </w:r>
    </w:p>
    <w:p w14:paraId="7B42BA65" w14:textId="77777777" w:rsidR="00D07BD4" w:rsidRDefault="00000000">
      <w:pPr>
        <w:pStyle w:val="a4"/>
        <w:widowControl/>
        <w:spacing w:beforeAutospacing="0" w:afterAutospacing="0" w:line="360" w:lineRule="auto"/>
        <w:ind w:firstLine="437"/>
        <w:rPr>
          <w:rFonts w:ascii="宋体" w:eastAsia="宋体" w:hAnsi="宋体" w:cs="宋体"/>
          <w:spacing w:val="10"/>
        </w:rPr>
      </w:pPr>
      <w:r>
        <w:rPr>
          <w:rFonts w:ascii="宋体" w:eastAsia="宋体" w:hAnsi="宋体" w:cs="宋体" w:hint="eastAsia"/>
          <w:spacing w:val="10"/>
        </w:rPr>
        <w:t>交叉执行早在2002年即被提及，其目的为提高执结率。此后一段时间，交叉执行处于低谷阶段。直到2023年9月，最高人民法院再次部署交叉执行工作，使其重回执行视野。纵观20多年来交叉执行的工作，不难发现其仍然面临着诸多困境。</w:t>
      </w:r>
    </w:p>
    <w:p w14:paraId="49F5AF59" w14:textId="77777777" w:rsidR="00D07BD4" w:rsidRDefault="00000000">
      <w:pPr>
        <w:pStyle w:val="2"/>
        <w:widowControl/>
        <w:spacing w:beforeAutospacing="0" w:afterAutospacing="0" w:line="360" w:lineRule="auto"/>
        <w:rPr>
          <w:rFonts w:cs="宋体" w:hint="default"/>
          <w:b w:val="0"/>
          <w:bCs w:val="0"/>
          <w:color w:val="000000" w:themeColor="text1"/>
          <w:sz w:val="24"/>
          <w:szCs w:val="24"/>
        </w:rPr>
      </w:pPr>
      <w:r>
        <w:rPr>
          <w:rFonts w:cs="宋体"/>
          <w:b w:val="0"/>
          <w:bCs w:val="0"/>
          <w:color w:val="000000" w:themeColor="text1"/>
          <w:spacing w:val="10"/>
          <w:sz w:val="24"/>
          <w:szCs w:val="24"/>
        </w:rPr>
        <w:t>（一）执行面临外界和自身因素的不利干扰</w:t>
      </w:r>
    </w:p>
    <w:p w14:paraId="7154D081" w14:textId="77777777" w:rsidR="00D07BD4" w:rsidRDefault="00000000">
      <w:pPr>
        <w:pStyle w:val="a4"/>
        <w:widowControl/>
        <w:spacing w:beforeAutospacing="0" w:afterAutospacing="0" w:line="360" w:lineRule="auto"/>
        <w:ind w:firstLine="437"/>
        <w:rPr>
          <w:rFonts w:ascii="宋体" w:eastAsia="宋体" w:hAnsi="宋体" w:cs="宋体"/>
          <w:color w:val="000000" w:themeColor="text1"/>
        </w:rPr>
      </w:pPr>
      <w:r>
        <w:rPr>
          <w:rFonts w:ascii="宋体" w:eastAsia="宋体" w:hAnsi="宋体" w:cs="宋体" w:hint="eastAsia"/>
          <w:color w:val="000000" w:themeColor="text1"/>
          <w:spacing w:val="10"/>
        </w:rPr>
        <w:t>尽管我国已经从基本解决执行难朝着切实解决执行难的方向迈进，然而在全国法院每年近千万的执行案件的收案量中，相关因素仍然阻碍执行工作推进，突出表现为执行难和执行乱两大执行难题。</w:t>
      </w:r>
    </w:p>
    <w:p w14:paraId="5DCFE9A2" w14:textId="77777777" w:rsidR="00D07BD4" w:rsidRDefault="00000000">
      <w:pPr>
        <w:pStyle w:val="3"/>
        <w:widowControl/>
        <w:spacing w:beforeAutospacing="0" w:afterAutospacing="0" w:line="400" w:lineRule="exact"/>
        <w:rPr>
          <w:rFonts w:cs="宋体" w:hint="default"/>
          <w:b w:val="0"/>
          <w:bCs w:val="0"/>
          <w:color w:val="000000" w:themeColor="text1"/>
          <w:sz w:val="24"/>
          <w:szCs w:val="24"/>
        </w:rPr>
      </w:pPr>
      <w:r>
        <w:rPr>
          <w:rFonts w:cs="宋体"/>
          <w:b w:val="0"/>
          <w:bCs w:val="0"/>
          <w:color w:val="000000" w:themeColor="text1"/>
          <w:spacing w:val="10"/>
          <w:sz w:val="24"/>
          <w:szCs w:val="24"/>
        </w:rPr>
        <w:t>1.执行难：地方或部门保护主义的阻碍执行</w:t>
      </w:r>
    </w:p>
    <w:p w14:paraId="0C42E6F6" w14:textId="77777777" w:rsidR="00D07BD4" w:rsidRDefault="00000000">
      <w:pPr>
        <w:pStyle w:val="a4"/>
        <w:widowControl/>
        <w:spacing w:beforeAutospacing="0" w:afterAutospacing="0" w:line="400" w:lineRule="exact"/>
        <w:ind w:firstLine="437"/>
        <w:rPr>
          <w:rFonts w:ascii="宋体" w:eastAsia="宋体" w:hAnsi="宋体" w:cs="宋体"/>
        </w:rPr>
      </w:pPr>
      <w:commentRangeStart w:id="3"/>
      <w:r>
        <w:rPr>
          <w:rFonts w:ascii="宋体" w:eastAsia="宋体" w:hAnsi="宋体" w:cs="宋体" w:hint="eastAsia"/>
          <w:color w:val="000000" w:themeColor="text1"/>
          <w:spacing w:val="10"/>
        </w:rPr>
        <w:t>地方保护主义，是指地方政府或所属部门，为了保护地方</w:t>
      </w:r>
      <w:r>
        <w:rPr>
          <w:rFonts w:ascii="宋体" w:eastAsia="宋体" w:hAnsi="宋体" w:cs="宋体" w:hint="eastAsia"/>
          <w:spacing w:val="10"/>
        </w:rPr>
        <w:t>局部经济利益或政治利益，违背法律法规，利用行政权力干涉市场，破坏市场机制，限制非本地企业生产的商品或提供的服务参与公平竞争的行为。</w:t>
      </w:r>
      <w:commentRangeEnd w:id="3"/>
      <w:r w:rsidR="00F26C95">
        <w:rPr>
          <w:rStyle w:val="a7"/>
          <w:rFonts w:cstheme="minorBidi"/>
          <w:kern w:val="2"/>
        </w:rPr>
        <w:commentReference w:id="3"/>
      </w:r>
      <w:r>
        <w:rPr>
          <w:rFonts w:ascii="宋体" w:eastAsia="宋体" w:hAnsi="宋体" w:cs="宋体" w:hint="eastAsia"/>
          <w:spacing w:val="10"/>
        </w:rPr>
        <w:t>其在执行中通常表现为地方保护主义采取行政命令手段直接干预行政执法或者司法活动等。实践中发现，有些地方倾斜关照本地利益，利用地方保护、部门保护等形形色色的“保护伞”阻碍当地法院执行。有些执行案件因被执行主体的特殊身份而受阻，例如当地政府及相关部门，当地法院在执行这类特殊身份主体过程中，往往面临“有措施不敢用、协调沟通困难”等现实困境。</w:t>
      </w:r>
    </w:p>
    <w:p w14:paraId="7DA32F8C" w14:textId="77777777" w:rsidR="00D07BD4" w:rsidRDefault="00000000">
      <w:pPr>
        <w:pStyle w:val="3"/>
        <w:widowControl/>
        <w:spacing w:beforeAutospacing="0" w:afterAutospacing="0" w:line="400" w:lineRule="exact"/>
        <w:rPr>
          <w:rFonts w:cs="宋体" w:hint="default"/>
          <w:b w:val="0"/>
          <w:bCs w:val="0"/>
          <w:color w:val="000000" w:themeColor="text1"/>
          <w:sz w:val="24"/>
          <w:szCs w:val="24"/>
        </w:rPr>
      </w:pPr>
      <w:r>
        <w:rPr>
          <w:rFonts w:cs="宋体"/>
          <w:b w:val="0"/>
          <w:bCs w:val="0"/>
          <w:color w:val="000000" w:themeColor="text1"/>
          <w:spacing w:val="10"/>
          <w:sz w:val="24"/>
          <w:szCs w:val="24"/>
        </w:rPr>
        <w:t>2.执行乱：消极执行、拖延执行等执行不力仍然存在</w:t>
      </w:r>
    </w:p>
    <w:p w14:paraId="7864194C" w14:textId="77777777" w:rsidR="00D07BD4" w:rsidRDefault="00000000">
      <w:pPr>
        <w:pStyle w:val="a4"/>
        <w:widowControl/>
        <w:spacing w:beforeAutospacing="0" w:afterAutospacing="0" w:line="400" w:lineRule="exact"/>
        <w:ind w:firstLine="437"/>
        <w:rPr>
          <w:rFonts w:ascii="宋体" w:eastAsia="宋体" w:hAnsi="宋体" w:cs="宋体"/>
          <w:color w:val="000000" w:themeColor="text1"/>
        </w:rPr>
      </w:pPr>
      <w:r>
        <w:rPr>
          <w:rFonts w:ascii="宋体" w:eastAsia="宋体" w:hAnsi="宋体" w:cs="宋体" w:hint="eastAsia"/>
          <w:color w:val="000000" w:themeColor="text1"/>
          <w:spacing w:val="10"/>
        </w:rPr>
        <w:t>民事消极执行，既可以表现为消极、拖延的不作为方式，也可以表现为积极的作为方式，导致执行不力。例如，在涉财产案件执行中，在财产调查环节，执行部门怠于采取财产查封措施；在财产控制环节，怠于控制或者不及时控制财产；在财产处置环节，怠于采取拍卖、变卖或其他执行措施。在执行人员的工作中，部分执行人员存在推诿拖延、怠于执行的情形，无视上级法院的管理和监督，不履行职责或者不积极履行职责。在某</w:t>
      </w:r>
      <w:r>
        <w:rPr>
          <w:rFonts w:ascii="宋体" w:eastAsia="宋体" w:hAnsi="宋体" w:cs="宋体" w:hint="eastAsia"/>
          <w:color w:val="000000" w:themeColor="text1"/>
          <w:spacing w:val="10"/>
        </w:rPr>
        <w:lastRenderedPageBreak/>
        <w:t>省的统计中，当事人通过信访渠道对消极执行案件的反馈达400多件，远超对执行具体问题反映案件90余件，消极执行案件占比超过80%。</w:t>
      </w:r>
      <w:r>
        <w:rPr>
          <w:rStyle w:val="a6"/>
          <w:rFonts w:ascii="宋体" w:eastAsia="宋体" w:hAnsi="宋体" w:cs="宋体" w:hint="eastAsia"/>
          <w:color w:val="000000" w:themeColor="text1"/>
          <w:spacing w:val="10"/>
        </w:rPr>
        <w:footnoteReference w:id="2"/>
      </w:r>
    </w:p>
    <w:p w14:paraId="332B7A29" w14:textId="77777777" w:rsidR="00D07BD4" w:rsidRDefault="00000000">
      <w:pPr>
        <w:pStyle w:val="2"/>
        <w:widowControl/>
        <w:spacing w:beforeAutospacing="0" w:afterAutospacing="0" w:line="400" w:lineRule="exact"/>
        <w:rPr>
          <w:rFonts w:cs="宋体" w:hint="default"/>
          <w:b w:val="0"/>
          <w:bCs w:val="0"/>
          <w:color w:val="000000" w:themeColor="text1"/>
          <w:sz w:val="24"/>
          <w:szCs w:val="24"/>
        </w:rPr>
      </w:pPr>
      <w:r>
        <w:rPr>
          <w:rFonts w:cs="宋体"/>
          <w:b w:val="0"/>
          <w:bCs w:val="0"/>
          <w:color w:val="000000" w:themeColor="text1"/>
          <w:spacing w:val="10"/>
          <w:sz w:val="24"/>
          <w:szCs w:val="24"/>
        </w:rPr>
        <w:t>（二）交叉执行尚未形成完善的法律规定</w:t>
      </w:r>
    </w:p>
    <w:p w14:paraId="25FA52FC" w14:textId="77777777" w:rsidR="00D07BD4" w:rsidRDefault="00000000">
      <w:pPr>
        <w:pStyle w:val="a4"/>
        <w:widowControl/>
        <w:spacing w:beforeAutospacing="0" w:afterAutospacing="0" w:line="400" w:lineRule="exact"/>
        <w:ind w:firstLine="437"/>
        <w:rPr>
          <w:rFonts w:ascii="宋体" w:eastAsia="宋体" w:hAnsi="宋体" w:cs="宋体"/>
          <w:color w:val="000000" w:themeColor="text1"/>
        </w:rPr>
      </w:pPr>
      <w:r>
        <w:rPr>
          <w:rFonts w:ascii="宋体" w:eastAsia="宋体" w:hAnsi="宋体" w:cs="宋体" w:hint="eastAsia"/>
          <w:color w:val="000000" w:themeColor="text1"/>
          <w:spacing w:val="10"/>
        </w:rPr>
        <w:t>制度发挥效果需要司法实践的检验，并在这一过程中不断地进行检视和修正。以往的交叉执行中具体做法尚且较少，且缺乏交叉执行中具体的实施细则，各地法院制定的</w:t>
      </w:r>
      <w:r>
        <w:rPr>
          <w:rFonts w:ascii="宋体" w:eastAsia="宋体" w:hAnsi="宋体" w:cs="宋体" w:hint="eastAsia"/>
          <w:spacing w:val="10"/>
        </w:rPr>
        <w:t>全省或者全市的细则又在效</w:t>
      </w:r>
      <w:r>
        <w:rPr>
          <w:rFonts w:ascii="宋体" w:eastAsia="宋体" w:hAnsi="宋体" w:cs="宋体" w:hint="eastAsia"/>
          <w:color w:val="000000" w:themeColor="text1"/>
          <w:spacing w:val="10"/>
        </w:rPr>
        <w:t>力上缺乏上位法的认定，导致交叉执行在规定方面过于原则，在实务中运行程序繁琐，导致效率不高、成效不显著。</w:t>
      </w:r>
    </w:p>
    <w:p w14:paraId="0F4E4A18" w14:textId="77777777" w:rsidR="00D07BD4" w:rsidRDefault="00000000">
      <w:pPr>
        <w:pStyle w:val="a4"/>
        <w:widowControl/>
        <w:spacing w:beforeAutospacing="0" w:afterAutospacing="0" w:line="400" w:lineRule="exact"/>
        <w:ind w:firstLine="435"/>
        <w:rPr>
          <w:rFonts w:ascii="宋体" w:eastAsia="宋体" w:hAnsi="宋体" w:cs="宋体"/>
          <w:color w:val="000000" w:themeColor="text1"/>
        </w:rPr>
      </w:pPr>
      <w:r>
        <w:rPr>
          <w:rFonts w:ascii="宋体" w:eastAsia="宋体" w:hAnsi="宋体" w:cs="宋体" w:hint="eastAsia"/>
          <w:color w:val="000000" w:themeColor="text1"/>
          <w:spacing w:val="10"/>
        </w:rPr>
        <w:t>交叉执行的规定较为原则，且内容单一。《民事诉讼法》《最高人民法院关于适用〈中华人民共和国民事诉讼法〉执行程序若干问题的解释》《最高人民法院关于人民法院执行工作若干问题的规定（试行）》对提级执行、指定执行的规定较为原则，法条数量较少，且后两部司法解释亦多年未修订，这导致交叉执行未形成规则体系。首先，交叉执行的规定内涵单薄，外延上缺乏周延性，在适用程序上启动困难，且缺乏具体追责标准。其次，交叉执行适用困难。</w:t>
      </w:r>
      <w:commentRangeStart w:id="4"/>
      <w:r>
        <w:rPr>
          <w:rFonts w:ascii="宋体" w:eastAsia="宋体" w:hAnsi="宋体" w:cs="宋体" w:hint="eastAsia"/>
          <w:color w:val="000000" w:themeColor="text1"/>
          <w:spacing w:val="10"/>
        </w:rPr>
        <w:t>实践中，一方面，下级法院不愿启动交叉执行。交叉执行案件启动机制具有监督的性质。一旦案件被提级执行，意味对下级法院追责，对下级法院及原承办法官可能会产生负面评价。另一方面，法院不愿意主动打破管辖承办案件。法院长期面临“案多人少”的压力，如再主动或被动接收交叉执行案件，在考核奖励惩戒机制未能匹配的情况下，将面临一系列新的问题，法院没有动力去涉足交叉执行案件。</w:t>
      </w:r>
      <w:commentRangeEnd w:id="4"/>
      <w:r w:rsidR="00F26C95">
        <w:rPr>
          <w:rStyle w:val="a7"/>
          <w:rFonts w:cstheme="minorBidi"/>
          <w:kern w:val="2"/>
        </w:rPr>
        <w:commentReference w:id="4"/>
      </w:r>
    </w:p>
    <w:p w14:paraId="497D2534" w14:textId="77777777" w:rsidR="00D07BD4" w:rsidRDefault="00000000">
      <w:pPr>
        <w:pStyle w:val="2"/>
        <w:widowControl/>
        <w:spacing w:beforeAutospacing="0" w:afterAutospacing="0" w:line="400" w:lineRule="exact"/>
        <w:rPr>
          <w:rFonts w:cs="宋体" w:hint="default"/>
          <w:b w:val="0"/>
          <w:bCs w:val="0"/>
          <w:color w:val="000000" w:themeColor="text1"/>
          <w:sz w:val="24"/>
          <w:szCs w:val="24"/>
        </w:rPr>
      </w:pPr>
      <w:r>
        <w:rPr>
          <w:rFonts w:cs="宋体"/>
          <w:b w:val="0"/>
          <w:bCs w:val="0"/>
          <w:color w:val="000000" w:themeColor="text1"/>
          <w:spacing w:val="10"/>
          <w:sz w:val="24"/>
          <w:szCs w:val="24"/>
        </w:rPr>
        <w:t>（三）</w:t>
      </w:r>
      <w:commentRangeStart w:id="5"/>
      <w:r>
        <w:rPr>
          <w:rFonts w:cs="宋体"/>
          <w:b w:val="0"/>
          <w:bCs w:val="0"/>
          <w:color w:val="000000" w:themeColor="text1"/>
          <w:spacing w:val="10"/>
          <w:sz w:val="24"/>
          <w:szCs w:val="24"/>
        </w:rPr>
        <w:t>现行交叉执行仍然存在弊端</w:t>
      </w:r>
      <w:commentRangeEnd w:id="5"/>
      <w:r w:rsidR="00F26C95">
        <w:rPr>
          <w:rStyle w:val="a7"/>
          <w:rFonts w:asciiTheme="minorHAnsi" w:eastAsiaTheme="minorEastAsia" w:hAnsiTheme="minorHAnsi" w:cstheme="minorBidi" w:hint="default"/>
          <w:b w:val="0"/>
          <w:bCs w:val="0"/>
          <w:kern w:val="2"/>
        </w:rPr>
        <w:commentReference w:id="5"/>
      </w:r>
    </w:p>
    <w:p w14:paraId="6109155A" w14:textId="77777777" w:rsidR="00D07BD4" w:rsidRDefault="00000000">
      <w:pPr>
        <w:pStyle w:val="a4"/>
        <w:widowControl/>
        <w:spacing w:beforeAutospacing="0" w:afterAutospacing="0" w:line="400" w:lineRule="exact"/>
        <w:ind w:firstLine="435"/>
        <w:rPr>
          <w:rFonts w:ascii="宋体" w:eastAsia="宋体" w:hAnsi="宋体" w:cs="宋体"/>
          <w:color w:val="000000" w:themeColor="text1"/>
        </w:rPr>
      </w:pPr>
      <w:r>
        <w:rPr>
          <w:rFonts w:ascii="宋体" w:eastAsia="宋体" w:hAnsi="宋体" w:cs="宋体" w:hint="eastAsia"/>
          <w:color w:val="000000" w:themeColor="text1"/>
          <w:spacing w:val="10"/>
        </w:rPr>
        <w:t>尽管在《交叉执行指导意见》的第一部分总体要求中，在“方式选择”中通过列举的方式指出了五种主要的交叉执行方式，在第二至第四部分，又详细列出了每种方式具体的应用方面。然而，在具体实施过程中，仍然存在交叉执行案件识别“一刀切”，交叉案件配套机制不完善、法官压力过大等情况。</w:t>
      </w:r>
    </w:p>
    <w:p w14:paraId="34851941" w14:textId="77777777" w:rsidR="00D07BD4" w:rsidRDefault="00000000">
      <w:pPr>
        <w:pStyle w:val="3"/>
        <w:widowControl/>
        <w:spacing w:beforeAutospacing="0" w:afterAutospacing="0" w:line="400" w:lineRule="exact"/>
        <w:rPr>
          <w:rFonts w:cs="宋体" w:hint="default"/>
          <w:b w:val="0"/>
          <w:bCs w:val="0"/>
          <w:color w:val="000000" w:themeColor="text1"/>
          <w:sz w:val="24"/>
          <w:szCs w:val="24"/>
        </w:rPr>
      </w:pPr>
      <w:r>
        <w:rPr>
          <w:rFonts w:cs="宋体"/>
          <w:b w:val="0"/>
          <w:bCs w:val="0"/>
          <w:color w:val="000000" w:themeColor="text1"/>
          <w:spacing w:val="10"/>
          <w:sz w:val="24"/>
          <w:szCs w:val="24"/>
        </w:rPr>
        <w:t>1.交叉执行案件识别“一刀切”现象仍然存在</w:t>
      </w:r>
    </w:p>
    <w:p w14:paraId="71269A3E" w14:textId="77777777" w:rsidR="00D07BD4" w:rsidRDefault="00000000">
      <w:pPr>
        <w:pStyle w:val="a4"/>
        <w:widowControl/>
        <w:spacing w:beforeAutospacing="0" w:afterAutospacing="0" w:line="400" w:lineRule="exact"/>
        <w:ind w:firstLine="435"/>
        <w:rPr>
          <w:rFonts w:ascii="宋体" w:eastAsia="宋体" w:hAnsi="宋体" w:cs="宋体"/>
          <w:color w:val="000000" w:themeColor="text1"/>
        </w:rPr>
      </w:pPr>
      <w:r>
        <w:rPr>
          <w:rFonts w:ascii="宋体" w:eastAsia="宋体" w:hAnsi="宋体" w:cs="宋体" w:hint="eastAsia"/>
          <w:color w:val="000000" w:themeColor="text1"/>
          <w:spacing w:val="10"/>
        </w:rPr>
        <w:t>交叉执行在案件识别上尚未形成系统的识别机制。在识别机制的尝试上，尽管基层法院根据《交叉执行指导意见》的指导意见在内部开展了相应的交叉执行探索，但是交叉执行案件数量较少，缺乏系统性、长期性的交叉执行案件筛选、识别机制，上级法院通过行政命令“一刀切”的现象较为突出。</w:t>
      </w:r>
    </w:p>
    <w:p w14:paraId="70F82F3C" w14:textId="77777777" w:rsidR="00D07BD4" w:rsidRDefault="00000000">
      <w:pPr>
        <w:pStyle w:val="a4"/>
        <w:widowControl/>
        <w:spacing w:beforeAutospacing="0" w:afterAutospacing="0" w:line="400" w:lineRule="exact"/>
        <w:ind w:firstLine="435"/>
        <w:rPr>
          <w:rFonts w:ascii="宋体" w:eastAsia="宋体" w:hAnsi="宋体" w:cs="宋体"/>
          <w:color w:val="000000" w:themeColor="text1"/>
        </w:rPr>
      </w:pPr>
      <w:r>
        <w:rPr>
          <w:rFonts w:ascii="宋体" w:eastAsia="宋体" w:hAnsi="宋体" w:cs="宋体" w:hint="eastAsia"/>
          <w:color w:val="000000" w:themeColor="text1"/>
          <w:spacing w:val="10"/>
        </w:rPr>
        <w:lastRenderedPageBreak/>
        <w:t>在调研过程中发现，个别法院为了完成上级法院安排的交叉执行考核指标，在交叉执行案件的识别上仍然采取“一刀切”的方式，即并未根据案件的具体特点和情况进行交叉，而是采取行政命令的方式，直接对下级法院一定期间内所立案件、标的数额对在一定范围之上的案件采取提级的方式，交叉到上级法院，由该上级法院按照新收案件进行分案办理。</w:t>
      </w:r>
      <w:r>
        <w:rPr>
          <w:rStyle w:val="a6"/>
          <w:rFonts w:ascii="宋体" w:eastAsia="宋体" w:hAnsi="宋体" w:cs="宋体" w:hint="eastAsia"/>
          <w:color w:val="000000" w:themeColor="text1"/>
          <w:spacing w:val="10"/>
        </w:rPr>
        <w:footnoteReference w:id="3"/>
      </w:r>
      <w:r>
        <w:rPr>
          <w:rFonts w:ascii="宋体" w:eastAsia="宋体" w:hAnsi="宋体" w:cs="宋体" w:hint="eastAsia"/>
          <w:color w:val="000000" w:themeColor="text1"/>
          <w:spacing w:val="10"/>
        </w:rPr>
        <w:t>同时，在法院内部交叉的案件方面，法官之间对于案件的交叉积极性不高，而是迫于案件的结案压力、内部的考核压力，按照上级法院的要求报送相关案件。上级法院在案件的筛选上标准也不透明，部分案件在选择上未能进入交叉执行的环节，影响了案件的实质交叉化解。“一刀切”之后的基层法院，尤其是部分案件受理量大的法院，在案件交叉执行方面占比更低，部分法官在办理交叉执行案件方面积极性也不高，交叉执行的效果也不明显。</w:t>
      </w:r>
    </w:p>
    <w:p w14:paraId="7C391498" w14:textId="77777777" w:rsidR="00D07BD4" w:rsidRDefault="00000000">
      <w:pPr>
        <w:pStyle w:val="3"/>
        <w:widowControl/>
        <w:spacing w:beforeAutospacing="0" w:afterAutospacing="0" w:line="400" w:lineRule="exact"/>
        <w:rPr>
          <w:rFonts w:cs="宋体" w:hint="default"/>
          <w:b w:val="0"/>
          <w:bCs w:val="0"/>
          <w:color w:val="000000" w:themeColor="text1"/>
          <w:sz w:val="24"/>
          <w:szCs w:val="24"/>
        </w:rPr>
      </w:pPr>
      <w:r>
        <w:rPr>
          <w:rFonts w:cs="宋体"/>
          <w:b w:val="0"/>
          <w:bCs w:val="0"/>
          <w:color w:val="000000" w:themeColor="text1"/>
          <w:spacing w:val="10"/>
          <w:sz w:val="24"/>
          <w:szCs w:val="24"/>
        </w:rPr>
        <w:t>2.交叉执行并未减轻法官压力</w:t>
      </w:r>
    </w:p>
    <w:p w14:paraId="34D7F88A"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spacing w:val="10"/>
        </w:rPr>
      </w:pPr>
      <w:r>
        <w:rPr>
          <w:rFonts w:ascii="宋体" w:eastAsia="宋体" w:hAnsi="宋体" w:cs="宋体" w:hint="eastAsia"/>
          <w:color w:val="000000" w:themeColor="text1"/>
          <w:spacing w:val="10"/>
        </w:rPr>
        <w:t>人案矛盾问题由来已久。在执行机构改革中，执行法官、法官助理、书记员能否足额配备，影响着案件的办理效率。</w:t>
      </w:r>
      <w:r>
        <w:rPr>
          <w:rStyle w:val="a6"/>
          <w:rFonts w:ascii="宋体" w:eastAsia="宋体" w:hAnsi="宋体" w:cs="宋体" w:hint="eastAsia"/>
          <w:color w:val="000000" w:themeColor="text1"/>
          <w:spacing w:val="10"/>
        </w:rPr>
        <w:footnoteReference w:id="4"/>
      </w:r>
      <w:r>
        <w:rPr>
          <w:rFonts w:ascii="宋体" w:eastAsia="宋体" w:hAnsi="宋体" w:cs="宋体" w:hint="eastAsia"/>
          <w:color w:val="000000" w:themeColor="text1"/>
          <w:spacing w:val="10"/>
        </w:rPr>
        <w:t>实践中，部分法院在人员配备上一直处于严重的人员不足状态，辅助人员也在相当程度上不稳定，导致团队的运转水平和运转效率受到影响。同时，在案件增加的同时，部分案件还涉及沉重的“功能负担”，例如执行法官同时负责信访、维稳等非司法功能的嵌入。既大量占用法官工作精力，也使得许多个案处理难度加大，因房屋拆迁、土地征收、社会保障等引起的纠纷和集团诉讼案件大量存在，处理中稍有不慎就可能激化矛盾。尽管已经启动交叉执行工作，但是法官仍然需要准备复杂的交叉执行手续，接收交叉执行的案件，实际上并未减轻“功能负担”以及案件压力。</w:t>
      </w:r>
      <w:r>
        <w:rPr>
          <w:rStyle w:val="a6"/>
          <w:rFonts w:ascii="宋体" w:eastAsia="宋体" w:hAnsi="宋体" w:cs="宋体" w:hint="eastAsia"/>
          <w:color w:val="000000" w:themeColor="text1"/>
          <w:spacing w:val="10"/>
        </w:rPr>
        <w:footnoteReference w:id="5"/>
      </w:r>
    </w:p>
    <w:p w14:paraId="5C66A092" w14:textId="77777777" w:rsidR="00D07BD4" w:rsidRDefault="00D07BD4">
      <w:pPr>
        <w:pStyle w:val="a4"/>
        <w:widowControl/>
        <w:spacing w:beforeAutospacing="0" w:afterAutospacing="0" w:line="400" w:lineRule="exact"/>
        <w:ind w:firstLine="435"/>
        <w:jc w:val="both"/>
        <w:rPr>
          <w:rFonts w:ascii="宋体" w:eastAsia="宋体" w:hAnsi="宋体" w:cs="宋体"/>
          <w:color w:val="000000" w:themeColor="text1"/>
          <w:spacing w:val="10"/>
        </w:rPr>
      </w:pPr>
    </w:p>
    <w:p w14:paraId="682AE418" w14:textId="77777777" w:rsidR="00D07BD4" w:rsidRDefault="00000000">
      <w:pPr>
        <w:pStyle w:val="1"/>
        <w:widowControl/>
        <w:spacing w:beforeAutospacing="0" w:afterAutospacing="0" w:line="400" w:lineRule="exact"/>
        <w:jc w:val="both"/>
        <w:rPr>
          <w:rFonts w:cs="宋体" w:hint="default"/>
          <w:color w:val="000000" w:themeColor="text1"/>
          <w:sz w:val="24"/>
          <w:szCs w:val="24"/>
        </w:rPr>
      </w:pPr>
      <w:r>
        <w:rPr>
          <w:rFonts w:cs="宋体"/>
          <w:color w:val="000000" w:themeColor="text1"/>
          <w:spacing w:val="10"/>
          <w:sz w:val="24"/>
          <w:szCs w:val="24"/>
        </w:rPr>
        <w:t>二、原因分析：基于理论、管理、监督机制方面</w:t>
      </w:r>
    </w:p>
    <w:p w14:paraId="507D4B81"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t>上述问题的出现，既有理论方面的不足，又有现象规范上的不足。同时，新施行的文件在一定程度上也未能有效运行。交叉执行遭遇的执行困境，不仅需要在交叉执行理论、管理和监管机制方面予以反思，而且需要探究交叉执行的本质、内涵，分析其原因。</w:t>
      </w:r>
    </w:p>
    <w:p w14:paraId="71C66515" w14:textId="77777777" w:rsidR="00D07BD4" w:rsidRDefault="00000000">
      <w:pPr>
        <w:pStyle w:val="2"/>
        <w:widowControl/>
        <w:spacing w:beforeAutospacing="0" w:afterAutospacing="0" w:line="400" w:lineRule="exact"/>
        <w:jc w:val="both"/>
        <w:rPr>
          <w:rFonts w:cs="宋体" w:hint="default"/>
          <w:color w:val="000000" w:themeColor="text1"/>
          <w:sz w:val="24"/>
          <w:szCs w:val="24"/>
        </w:rPr>
      </w:pPr>
      <w:r>
        <w:rPr>
          <w:rFonts w:cs="宋体"/>
          <w:b w:val="0"/>
          <w:bCs w:val="0"/>
          <w:color w:val="000000" w:themeColor="text1"/>
          <w:spacing w:val="10"/>
          <w:sz w:val="24"/>
          <w:szCs w:val="24"/>
        </w:rPr>
        <w:t>（一）理论方面：执行权能的理论研究不足</w:t>
      </w:r>
    </w:p>
    <w:p w14:paraId="6320D2EF" w14:textId="77777777" w:rsidR="00D07BD4" w:rsidRDefault="00000000">
      <w:pPr>
        <w:pStyle w:val="3"/>
        <w:widowControl/>
        <w:spacing w:beforeAutospacing="0" w:afterAutospacing="0" w:line="400" w:lineRule="exact"/>
        <w:jc w:val="both"/>
        <w:rPr>
          <w:rFonts w:cs="宋体" w:hint="default"/>
          <w:b w:val="0"/>
          <w:bCs w:val="0"/>
          <w:color w:val="000000" w:themeColor="text1"/>
          <w:sz w:val="24"/>
          <w:szCs w:val="24"/>
        </w:rPr>
      </w:pPr>
      <w:r>
        <w:rPr>
          <w:rFonts w:cs="宋体"/>
          <w:b w:val="0"/>
          <w:bCs w:val="0"/>
          <w:color w:val="000000" w:themeColor="text1"/>
          <w:spacing w:val="10"/>
          <w:sz w:val="24"/>
          <w:szCs w:val="24"/>
        </w:rPr>
        <w:t>1.“审执分离”中对执行权能探讨不足</w:t>
      </w:r>
    </w:p>
    <w:p w14:paraId="7D4901D9"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lastRenderedPageBreak/>
        <w:t>“审执分离”的改革基础必然涉及审判权与执行权的性质问题。执行权的属性问题，更多是将执行权探讨确定为司法权属性的，但缺乏对行政权属性的深入探讨。司法权属性所依据的理由主要是我国现行的执行制度设计，即人民法院是我国目前唯一的执行机关，执行机关的设置决定执行权的性质。</w:t>
      </w:r>
      <w:r>
        <w:rPr>
          <w:rStyle w:val="a6"/>
          <w:rFonts w:ascii="宋体" w:eastAsia="宋体" w:hAnsi="宋体" w:cs="宋体" w:hint="eastAsia"/>
          <w:color w:val="000000" w:themeColor="text1"/>
          <w:spacing w:val="10"/>
        </w:rPr>
        <w:footnoteReference w:id="6"/>
      </w:r>
      <w:r>
        <w:rPr>
          <w:rFonts w:ascii="宋体" w:eastAsia="宋体" w:hAnsi="宋体" w:cs="宋体" w:hint="eastAsia"/>
          <w:color w:val="000000" w:themeColor="text1"/>
          <w:spacing w:val="10"/>
        </w:rPr>
        <w:t>然而，理论上而言，某种权力的类别取决于该权力本身的属性和内容，而不取决于该权力的行使机构或规范该权力的法律。</w:t>
      </w:r>
    </w:p>
    <w:p w14:paraId="74D8D8AA"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t>如果仅从现行“审执分离”所呈现的“审判权与执行权在组织意义上完成分离、执行权范畴之下的各执行权能的分离、与此相对应的机构设置、职责分离、人员分离、制度分离、监管分离”的角度审视执行权，则司法权说似乎并不足以覆盖执行权的全部属性。更何况《关于执行权合理配置和科学运行的若干意见》已经再次将执行权进行了权力划分，强调了执行实施权的主动性和执行审查权的中立性、监督性等特点。</w:t>
      </w:r>
    </w:p>
    <w:p w14:paraId="3DFCF51C"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t>即使正视执行权的司法权属性，也应当将其限定在执行审查权的审查活动，而不应当强行将其归入执行实施权。从权利属性上分析，尽管执行机构与当事人之间的纷争不存在任何直接利害关系，但是执行程序的特点决定了执行机构在客观上与债权人形成了利益共同体—债权人的利益是实现债权，而执行机构则需要借助实现债权来证明自身存在的价值，债权人通过强制执行获得清偿是对执行机构工作的最大肯定，这决定了执行机构实际上承担着债权人的委托人、代理人的角色。执行实施权作为一种实现权，具有确定性、强制性和主动性，而这些特点与行政权的属性不谋而合，也完全不同于具有中立性、被动性、终局性的司法权。因此，缺乏对于具有司法权和行政权双重复合权属的执行权的认真研究，必然导致执行权能的探讨上的不完善。</w:t>
      </w:r>
    </w:p>
    <w:p w14:paraId="2C53F6AF" w14:textId="77777777" w:rsidR="00D07BD4" w:rsidRDefault="00000000">
      <w:pPr>
        <w:pStyle w:val="3"/>
        <w:widowControl/>
        <w:spacing w:beforeAutospacing="0" w:afterAutospacing="0" w:line="400" w:lineRule="exact"/>
        <w:jc w:val="both"/>
        <w:rPr>
          <w:rFonts w:cs="宋体" w:hint="default"/>
          <w:b w:val="0"/>
          <w:bCs w:val="0"/>
          <w:color w:val="000000" w:themeColor="text1"/>
          <w:sz w:val="24"/>
          <w:szCs w:val="24"/>
        </w:rPr>
      </w:pPr>
      <w:r>
        <w:rPr>
          <w:rFonts w:cs="宋体"/>
          <w:b w:val="0"/>
          <w:bCs w:val="0"/>
          <w:color w:val="000000" w:themeColor="text1"/>
          <w:spacing w:val="10"/>
          <w:sz w:val="24"/>
          <w:szCs w:val="24"/>
        </w:rPr>
        <w:t>2.交叉执行的复合权属定位仍不明确</w:t>
      </w:r>
    </w:p>
    <w:p w14:paraId="2C2B644D"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t>近年来，无论倡导的是执行部门内部主动与行政部门开展的“绿色通道”等机制，抑或是依靠司法政策，开展的一系列司法活动，都需要发挥相关部门的力量，与执行形成合力，共同解决司法矛盾。然而，学界对于分权理论的实质和内容的理解过于严格，以至于影响执行实践。从目前的执行实践看，传统的司法权的属性划分和认定，已经不能解决复杂社会生活中面临的问题，单纯依靠司法机关执行也并不能解决需要行政机关、党委政府等协调配合的事项。交叉执行的复合权属定位不明导致其并未发挥应有的效率。</w:t>
      </w:r>
    </w:p>
    <w:p w14:paraId="17B3B7D1"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lastRenderedPageBreak/>
        <w:t>首先，“必要性原则”对合理原则不够深化，以至于执行实施过程中执行机关难以把握裁量标准。必要性原则作为一个主观原则，缺乏具体的量化因素，当事人和法院对于必要性的界定标准不同，往往造成区分是否应当启动交叉执行或者交叉执行是否被滥用的不同后果。尤其对于已经立案的案件，具体达到什么程度，什么因素到达什么比例，才应当依职权或者依申请启动交叉执行，让交叉执行制度符合合理运行的情况，尚不明确。</w:t>
      </w:r>
    </w:p>
    <w:p w14:paraId="649F783C"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t>其次，“便利性原则”未能与高效便民原则应当相协调。由于司法资源的有限性，“便民”本来并非一个重要的司法价值。民事执行的基本价值目标是效益优先—以最少的执行成本取得最大的执行收益。为了实现这一目标，就要尽量缩短执行时间、提高执行效率，降低因人力、物力、财力支出而产生的直接成本，还要防止因错误执行而形成的错误成本。交叉执行的效果与执行结果之间并不具有一一对应关系，在贯彻便利性原则的同时，更应强调效率价值，否则是对效率价值的另一种形式的违背。</w:t>
      </w:r>
    </w:p>
    <w:p w14:paraId="54D46F2F"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t>最后，“规范性原则”更多应作为管理性规范而非交叉执行的原则。执行应当符合法律规范，对于具体案件的交叉应当符合具体的规定。不仅在执行程序中，任何程序均存在这样的情形，以此实现程序上的正义。涵摄于程序正义之下的裁量规则上升为原则，折射出理念准备不足。</w:t>
      </w:r>
    </w:p>
    <w:p w14:paraId="74BA52A9" w14:textId="77777777" w:rsidR="00D07BD4" w:rsidRDefault="00000000">
      <w:pPr>
        <w:pStyle w:val="2"/>
        <w:widowControl/>
        <w:spacing w:beforeAutospacing="0" w:afterAutospacing="0" w:line="400" w:lineRule="exact"/>
        <w:jc w:val="both"/>
        <w:rPr>
          <w:rFonts w:cs="宋体" w:hint="default"/>
          <w:b w:val="0"/>
          <w:bCs w:val="0"/>
          <w:color w:val="000000" w:themeColor="text1"/>
          <w:sz w:val="24"/>
          <w:szCs w:val="24"/>
        </w:rPr>
      </w:pPr>
      <w:r>
        <w:rPr>
          <w:rFonts w:cs="宋体"/>
          <w:b w:val="0"/>
          <w:bCs w:val="0"/>
          <w:color w:val="000000" w:themeColor="text1"/>
          <w:spacing w:val="10"/>
          <w:sz w:val="24"/>
          <w:szCs w:val="24"/>
        </w:rPr>
        <w:t>（二）管理方面：法院条状执行管理虚置</w:t>
      </w:r>
    </w:p>
    <w:p w14:paraId="2B020F83"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t>执行权具有行政权属性，法院执行部门除了在管理上隶属于本院之外，还受到上级法院的管理，具有条块管理的特点。上下级法院执行部门之间纵向的管理关系，源自于司法解释，经历了从“两统一”到“三统一”的管理模式。尽管如此，上下级法院之间的管理模式运行仍存问题。</w:t>
      </w:r>
    </w:p>
    <w:p w14:paraId="0919E0A5" w14:textId="77777777" w:rsidR="00D07BD4" w:rsidRDefault="00000000">
      <w:pPr>
        <w:pStyle w:val="3"/>
        <w:widowControl/>
        <w:spacing w:beforeAutospacing="0" w:afterAutospacing="0" w:line="400" w:lineRule="exact"/>
        <w:jc w:val="both"/>
        <w:rPr>
          <w:rFonts w:cs="宋体" w:hint="default"/>
          <w:b w:val="0"/>
          <w:bCs w:val="0"/>
          <w:color w:val="000000" w:themeColor="text1"/>
          <w:sz w:val="24"/>
          <w:szCs w:val="24"/>
        </w:rPr>
      </w:pPr>
      <w:r>
        <w:rPr>
          <w:rFonts w:cs="宋体"/>
          <w:b w:val="0"/>
          <w:bCs w:val="0"/>
          <w:color w:val="000000" w:themeColor="text1"/>
          <w:spacing w:val="10"/>
          <w:sz w:val="24"/>
          <w:szCs w:val="24"/>
        </w:rPr>
        <w:t>1.上级法院交叉执行管理规范缺失</w:t>
      </w:r>
    </w:p>
    <w:p w14:paraId="40CBDB6E"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t>上级法院在交叉执行管理规范缺失，突出表现在两个方面：一方面，上下级法院执行案件流程管理系统以及执行指挥中心数据管理平台仍为“信息孤岛”，未充分利用信息数据进行筛选识别，未能进行有效数据分析和利用。</w:t>
      </w:r>
      <w:r>
        <w:rPr>
          <w:rStyle w:val="a6"/>
          <w:rFonts w:ascii="宋体" w:eastAsia="宋体" w:hAnsi="宋体" w:cs="宋体" w:hint="eastAsia"/>
          <w:color w:val="000000" w:themeColor="text1"/>
          <w:spacing w:val="10"/>
        </w:rPr>
        <w:footnoteReference w:id="7"/>
      </w:r>
      <w:r>
        <w:rPr>
          <w:rFonts w:ascii="宋体" w:eastAsia="宋体" w:hAnsi="宋体" w:cs="宋体" w:hint="eastAsia"/>
          <w:color w:val="000000" w:themeColor="text1"/>
          <w:spacing w:val="10"/>
        </w:rPr>
        <w:t>信息化建设成果未能对交叉执行特征进行分析，上级法院并不能及时获取下级法院案件情况的数据，管理成效并不明显；另一方面，上级法院管理反馈机制不足，尚未形成系统化可推广的经验。例如，对于提级执行案件，上级法院几乎不再与被提级基层法院进行协同，深入研究问题和矛盾的关键点，无法在共同化解执行难题中完善工作机制；上级法院缺乏对提级执行、指定执行在审查标准、卷宗流转、台账管理等工作程序方面的管理规范，导致案件启动、案件交接、执行措施衔接、执行案件</w:t>
      </w:r>
      <w:r>
        <w:rPr>
          <w:rFonts w:ascii="宋体" w:eastAsia="宋体" w:hAnsi="宋体" w:cs="宋体" w:hint="eastAsia"/>
          <w:color w:val="000000" w:themeColor="text1"/>
          <w:spacing w:val="10"/>
        </w:rPr>
        <w:lastRenderedPageBreak/>
        <w:t>退出等环节衔接不畅。根据防止干预司法“三个规定”的要求，管理案件的具体方式和过问案件存在一定的重合之处，导致上级法院不敢主动管。</w:t>
      </w:r>
    </w:p>
    <w:p w14:paraId="67ADDB5B" w14:textId="77777777" w:rsidR="00D07BD4" w:rsidRDefault="00000000">
      <w:pPr>
        <w:pStyle w:val="3"/>
        <w:widowControl/>
        <w:spacing w:beforeAutospacing="0" w:afterAutospacing="0" w:line="400" w:lineRule="exact"/>
        <w:jc w:val="both"/>
        <w:rPr>
          <w:rFonts w:cs="宋体" w:hint="default"/>
          <w:b w:val="0"/>
          <w:bCs w:val="0"/>
          <w:color w:val="000000" w:themeColor="text1"/>
          <w:sz w:val="24"/>
          <w:szCs w:val="24"/>
        </w:rPr>
      </w:pPr>
      <w:r>
        <w:rPr>
          <w:rFonts w:cs="宋体"/>
          <w:b w:val="0"/>
          <w:bCs w:val="0"/>
          <w:color w:val="000000" w:themeColor="text1"/>
          <w:spacing w:val="10"/>
          <w:sz w:val="24"/>
          <w:szCs w:val="24"/>
        </w:rPr>
        <w:t>2.交叉执行协调机制不完善</w:t>
      </w:r>
    </w:p>
    <w:p w14:paraId="13C52E71"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t>交叉执行既需要内部机制的协调，又需要外部机制的配合。内部协调机制不仅包括交叉案件在法院内部交流，更需要关注案件本身从立案到执行结束乃至退出执行的一系列情况；外部协调机制则是指法院之间的协调。司法系统以及司法机关内部结构的设置及其功能设定, 直接关系到司法能力的发挥。首先，法院内部个案程序之间衔接不畅。典型情形为终本案件大量积压后，应当如何有效衔接交叉执行机制，以往的经验能否继续运用，现行条件是否过高，现行运行情况的弊端能否及时发现，法官之间能否及时反馈，未置可否。其次，上下级法院协调不畅。交叉执行案件需要协调的部分，涉及信息的沟通，当事人意见的反馈，法官办案思路的梳理等内容，即上下级法院执行部门之间，应当改变指令和接收模式，以案件为核心进行实质性改进，避免各自设立“信息孤岛”。同时，对于一些涉及民生的案件，同级法院之间、上下级法院之间，在执行事务、执行行动、执行案件、执行尺度和执行资源方面，亦应当以上级法院整合为一体，进行资源的优化配置。然而协调沟通机制运行不畅，导致交叉执行的效率无法提升。最后，法院与其他部门协调机制层级过低。上下级法院作为整体缺乏与党委、其他行政主体、军事部门等之间交叉执行案件的协调机制，现有的协调机制效力层级较低，重复建设情况突出。</w:t>
      </w:r>
    </w:p>
    <w:p w14:paraId="0E936C9C" w14:textId="77777777" w:rsidR="00D07BD4" w:rsidRDefault="00000000">
      <w:pPr>
        <w:pStyle w:val="3"/>
        <w:widowControl/>
        <w:spacing w:beforeAutospacing="0" w:afterAutospacing="0" w:line="400" w:lineRule="exact"/>
        <w:jc w:val="both"/>
        <w:rPr>
          <w:rFonts w:cs="宋体" w:hint="default"/>
          <w:b w:val="0"/>
          <w:bCs w:val="0"/>
          <w:color w:val="000000" w:themeColor="text1"/>
          <w:sz w:val="24"/>
          <w:szCs w:val="24"/>
        </w:rPr>
      </w:pPr>
      <w:r>
        <w:rPr>
          <w:rFonts w:cs="宋体"/>
          <w:b w:val="0"/>
          <w:bCs w:val="0"/>
          <w:color w:val="000000" w:themeColor="text1"/>
          <w:spacing w:val="10"/>
          <w:sz w:val="24"/>
          <w:szCs w:val="24"/>
        </w:rPr>
        <w:t>3.执行人员管理不够健全</w:t>
      </w:r>
    </w:p>
    <w:p w14:paraId="48BA620E"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t>执行人员管理不仅包括执行部门负责人的管理和任命，而且包括执行部门其他人员的管理。一是执行部门负责人管理的法律规范不具体。根据司法解释的规定，下级法院执行部门负责人的任职需要上级法院同意，然而，下级法院执行部门负责人是通过同级的人大常委会进行任命，因此，如何处理二者关系，法律规定尚不明确。</w:t>
      </w:r>
      <w:r>
        <w:rPr>
          <w:rStyle w:val="a6"/>
          <w:rFonts w:ascii="宋体" w:eastAsia="宋体" w:hAnsi="宋体" w:cs="宋体" w:hint="eastAsia"/>
          <w:color w:val="000000" w:themeColor="text1"/>
          <w:spacing w:val="10"/>
        </w:rPr>
        <w:footnoteReference w:id="8"/>
      </w:r>
      <w:r>
        <w:rPr>
          <w:rFonts w:ascii="宋体" w:eastAsia="宋体" w:hAnsi="宋体" w:cs="宋体" w:hint="eastAsia"/>
          <w:color w:val="000000" w:themeColor="text1"/>
          <w:spacing w:val="10"/>
        </w:rPr>
        <w:t>二是执行团队化建设法律供给不足。按照各地实践情况，1个执行团队内设立1名法官已成为共识，但是对于法官助理、书记员、法警等的配备则不尽相同，在司法扁平化管理背景下，组建审判执行团队、弱化中层行政管理职能，交叉执行是否改变其职责分工、工作流程和责任管理，缺乏具体的法律规定。</w:t>
      </w:r>
    </w:p>
    <w:p w14:paraId="31509492" w14:textId="77777777" w:rsidR="00D07BD4" w:rsidRDefault="00000000">
      <w:pPr>
        <w:pStyle w:val="2"/>
        <w:widowControl/>
        <w:spacing w:beforeAutospacing="0" w:afterAutospacing="0" w:line="400" w:lineRule="exact"/>
        <w:jc w:val="both"/>
        <w:rPr>
          <w:rFonts w:cs="宋体" w:hint="default"/>
          <w:b w:val="0"/>
          <w:bCs w:val="0"/>
          <w:color w:val="000000" w:themeColor="text1"/>
          <w:sz w:val="24"/>
          <w:szCs w:val="24"/>
        </w:rPr>
      </w:pPr>
      <w:r>
        <w:rPr>
          <w:rFonts w:cs="宋体"/>
          <w:b w:val="0"/>
          <w:bCs w:val="0"/>
          <w:color w:val="000000" w:themeColor="text1"/>
          <w:spacing w:val="10"/>
          <w:sz w:val="24"/>
          <w:szCs w:val="24"/>
        </w:rPr>
        <w:t>（三）监督机制方面：法院执行监督失范</w:t>
      </w:r>
    </w:p>
    <w:p w14:paraId="7B606493"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t>根据监督主体和监督权限的不同，执行监督来自外部和内部两个方面。从外部来看，执行监督主要来自人大监督、检察监督、公众监督和舆论监</w:t>
      </w:r>
      <w:r>
        <w:rPr>
          <w:rFonts w:ascii="宋体" w:eastAsia="宋体" w:hAnsi="宋体" w:cs="宋体" w:hint="eastAsia"/>
          <w:color w:val="000000" w:themeColor="text1"/>
          <w:spacing w:val="10"/>
        </w:rPr>
        <w:lastRenderedPageBreak/>
        <w:t>督等方面；从内部来看，执行监督主要是上级法院对下级法院的监督、同级法院执行裁决部门对执行实施部门的监督。</w:t>
      </w:r>
    </w:p>
    <w:p w14:paraId="3BFF5CCE" w14:textId="77777777" w:rsidR="00D07BD4" w:rsidRDefault="00000000">
      <w:pPr>
        <w:pStyle w:val="3"/>
        <w:widowControl/>
        <w:spacing w:beforeAutospacing="0" w:afterAutospacing="0" w:line="400" w:lineRule="exact"/>
        <w:jc w:val="both"/>
        <w:rPr>
          <w:rFonts w:cs="宋体" w:hint="default"/>
          <w:b w:val="0"/>
          <w:bCs w:val="0"/>
          <w:color w:val="000000" w:themeColor="text1"/>
          <w:sz w:val="24"/>
          <w:szCs w:val="24"/>
        </w:rPr>
      </w:pPr>
      <w:r>
        <w:rPr>
          <w:rFonts w:cs="宋体"/>
          <w:b w:val="0"/>
          <w:bCs w:val="0"/>
          <w:color w:val="000000" w:themeColor="text1"/>
          <w:spacing w:val="10"/>
          <w:sz w:val="24"/>
          <w:szCs w:val="24"/>
        </w:rPr>
        <w:t>1.外部监督难以深入法院内部</w:t>
      </w:r>
    </w:p>
    <w:p w14:paraId="4E9818FC"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t>外部监督存在职权有限和获取信息壁垒，再加上对交叉执行的不了解，无法深入监督法院内部执行环节，难以启动交叉执行。</w:t>
      </w:r>
      <w:r>
        <w:rPr>
          <w:rStyle w:val="a6"/>
          <w:rFonts w:ascii="宋体" w:eastAsia="宋体" w:hAnsi="宋体" w:cs="宋体" w:hint="eastAsia"/>
          <w:color w:val="000000" w:themeColor="text1"/>
          <w:spacing w:val="10"/>
        </w:rPr>
        <w:footnoteReference w:id="9"/>
      </w:r>
      <w:r>
        <w:rPr>
          <w:rFonts w:ascii="宋体" w:eastAsia="宋体" w:hAnsi="宋体" w:cs="宋体" w:hint="eastAsia"/>
          <w:color w:val="000000" w:themeColor="text1"/>
          <w:spacing w:val="10"/>
        </w:rPr>
        <w:t>例如，人大监督主要体现在对法律整体的实施和执行工作的情况监督，人大代表可以通过提案的方式询问某项案件的执行情况，然而人大代表无法获取实时动向，亦难以准确阐述何种案件应采取交叉执行；检察监督对执行过程和结果进行监督的效果有限，实践中检察院与法院数据不共享、信息不互通的情况普遍存在，检法之间监督不畅，影响深层次监督作用的发挥。</w:t>
      </w:r>
    </w:p>
    <w:p w14:paraId="3C0366B2" w14:textId="77777777" w:rsidR="00D07BD4" w:rsidRDefault="00000000">
      <w:pPr>
        <w:pStyle w:val="3"/>
        <w:widowControl/>
        <w:spacing w:beforeAutospacing="0" w:afterAutospacing="0" w:line="400" w:lineRule="exact"/>
        <w:jc w:val="both"/>
        <w:rPr>
          <w:rFonts w:cs="宋体" w:hint="default"/>
          <w:b w:val="0"/>
          <w:bCs w:val="0"/>
          <w:color w:val="000000" w:themeColor="text1"/>
          <w:sz w:val="24"/>
          <w:szCs w:val="24"/>
        </w:rPr>
      </w:pPr>
      <w:r>
        <w:rPr>
          <w:rFonts w:cs="宋体"/>
          <w:b w:val="0"/>
          <w:bCs w:val="0"/>
          <w:color w:val="000000" w:themeColor="text1"/>
          <w:spacing w:val="10"/>
          <w:sz w:val="24"/>
          <w:szCs w:val="24"/>
        </w:rPr>
        <w:t>2.法院内部监督效力偏弱</w:t>
      </w:r>
    </w:p>
    <w:p w14:paraId="69878AC3"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t>执行内部监督有两种方式，一种是通过权力的制约机制来实现，通过执行审查权来监督执行实施权，根据执行审查权的审查结果规范执行实施权行使。另一种是通过上级法院监督下级法院机制来实现，如督促执行、提级管辖、指定管辖等法律明确规定。</w:t>
      </w:r>
      <w:r>
        <w:rPr>
          <w:rStyle w:val="a6"/>
          <w:rFonts w:ascii="宋体" w:eastAsia="宋体" w:hAnsi="宋体" w:cs="宋体" w:hint="eastAsia"/>
          <w:color w:val="000000" w:themeColor="text1"/>
          <w:spacing w:val="10"/>
        </w:rPr>
        <w:footnoteReference w:id="10"/>
      </w:r>
      <w:r>
        <w:rPr>
          <w:rFonts w:ascii="宋体" w:eastAsia="宋体" w:hAnsi="宋体" w:cs="宋体" w:hint="eastAsia"/>
          <w:color w:val="000000" w:themeColor="text1"/>
          <w:spacing w:val="10"/>
        </w:rPr>
        <w:t>然而，执行审查权来监督执行实施权与救济体系存在一定程度的重叠，削弱了实际的监督效果。当事人对案件执行案件的办理存在不满时，通常可以通过启动执行异议、复议的方式寻求救济，甚至同时启动执行监督，造成程序空转和司法资源浪费。上级法院监督下级法院，因监督界限不明，监督力量不足，监督作用有限，限制了监督职权的发挥。实际上，80%以上的执行案件集中在基层法院，仅靠个案监督，最高人民法院的各项规范要求、监管举措往往到基层就成了强弩之末，事倍功半。两种性质的监督并没有合适的落实方式。</w:t>
      </w:r>
    </w:p>
    <w:p w14:paraId="0FE33B5A" w14:textId="77777777" w:rsidR="00D07BD4" w:rsidRDefault="00000000">
      <w:pPr>
        <w:pStyle w:val="3"/>
        <w:widowControl/>
        <w:spacing w:beforeAutospacing="0" w:afterAutospacing="0" w:line="400" w:lineRule="exact"/>
        <w:jc w:val="both"/>
        <w:rPr>
          <w:rFonts w:cs="宋体" w:hint="default"/>
          <w:b w:val="0"/>
          <w:bCs w:val="0"/>
          <w:color w:val="000000" w:themeColor="text1"/>
          <w:sz w:val="24"/>
          <w:szCs w:val="24"/>
        </w:rPr>
      </w:pPr>
      <w:r>
        <w:rPr>
          <w:rFonts w:cs="宋体"/>
          <w:b w:val="0"/>
          <w:bCs w:val="0"/>
          <w:color w:val="000000" w:themeColor="text1"/>
          <w:spacing w:val="10"/>
          <w:sz w:val="24"/>
          <w:szCs w:val="24"/>
        </w:rPr>
        <w:t>3.追责机制运行不畅</w:t>
      </w:r>
    </w:p>
    <w:p w14:paraId="1B689D60"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spacing w:val="10"/>
        </w:rPr>
      </w:pPr>
      <w:r>
        <w:rPr>
          <w:rFonts w:ascii="宋体" w:eastAsia="宋体" w:hAnsi="宋体" w:cs="宋体" w:hint="eastAsia"/>
          <w:color w:val="000000" w:themeColor="text1"/>
          <w:spacing w:val="10"/>
        </w:rPr>
        <w:t>交叉执行可能意味着对原执行法院的追责。然而，既有交叉执行追责机制既缺乏组织层面的追责，亦缺乏对法官方面的追责。一是对执行阶段的责任未进行细化，执行阶段各个主体和环节均存在责任，笼统冠以“司法责任制”追责承办法官的责任并不适当。二是现有的行政审批机制与交叉执行需要的监管追责机制并不能恰当运行，仍待协调。从实践情况来看，江苏省启东市人民法院、重庆法院等均强调实际执行的情况，但是均未提到责任追究机制。</w:t>
      </w:r>
    </w:p>
    <w:p w14:paraId="176A2FC3" w14:textId="77777777" w:rsidR="00D07BD4" w:rsidRDefault="00D07BD4">
      <w:pPr>
        <w:pStyle w:val="a4"/>
        <w:widowControl/>
        <w:spacing w:beforeAutospacing="0" w:afterAutospacing="0" w:line="400" w:lineRule="exact"/>
        <w:ind w:firstLine="435"/>
        <w:jc w:val="both"/>
        <w:rPr>
          <w:rFonts w:ascii="宋体" w:eastAsia="宋体" w:hAnsi="宋体" w:cs="宋体"/>
          <w:color w:val="000000" w:themeColor="text1"/>
          <w:spacing w:val="10"/>
        </w:rPr>
      </w:pPr>
    </w:p>
    <w:p w14:paraId="5FB7150B" w14:textId="77777777" w:rsidR="00D07BD4" w:rsidRDefault="00D07BD4">
      <w:pPr>
        <w:pStyle w:val="a4"/>
        <w:widowControl/>
        <w:spacing w:beforeAutospacing="0" w:afterAutospacing="0" w:line="400" w:lineRule="exact"/>
        <w:ind w:firstLine="435"/>
        <w:jc w:val="both"/>
        <w:rPr>
          <w:rFonts w:ascii="宋体" w:eastAsia="宋体" w:hAnsi="宋体" w:cs="宋体"/>
          <w:color w:val="000000" w:themeColor="text1"/>
          <w:spacing w:val="10"/>
        </w:rPr>
      </w:pPr>
    </w:p>
    <w:p w14:paraId="0DAF3299" w14:textId="77777777" w:rsidR="00D07BD4" w:rsidRDefault="00000000">
      <w:pPr>
        <w:pStyle w:val="1"/>
        <w:widowControl/>
        <w:spacing w:beforeAutospacing="0" w:afterAutospacing="0" w:line="400" w:lineRule="exact"/>
        <w:jc w:val="both"/>
        <w:rPr>
          <w:rFonts w:cs="宋体" w:hint="default"/>
          <w:color w:val="000000" w:themeColor="text1"/>
          <w:sz w:val="24"/>
          <w:szCs w:val="24"/>
        </w:rPr>
      </w:pPr>
      <w:r>
        <w:rPr>
          <w:rFonts w:cs="宋体"/>
          <w:color w:val="000000" w:themeColor="text1"/>
          <w:spacing w:val="10"/>
          <w:sz w:val="24"/>
          <w:szCs w:val="24"/>
        </w:rPr>
        <w:t>三、研以致用：交叉执行的运行机制完善</w:t>
      </w:r>
    </w:p>
    <w:p w14:paraId="1534C4C4"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lastRenderedPageBreak/>
        <w:t>新时代交叉执行作为解决群众急难愁盼和做实“公正与效率”的重要抓手，是推动执行工作高质量发展和执行现代化的制度性革命。因此，需要实现交叉执行机制的变革，理顺交叉执行中执行管理和执行监督关系，畅通交叉执行的运行机制，努力提高执行工作效率。</w:t>
      </w:r>
    </w:p>
    <w:p w14:paraId="246D5AFD" w14:textId="77777777" w:rsidR="00D07BD4" w:rsidRDefault="00000000">
      <w:pPr>
        <w:pStyle w:val="2"/>
        <w:widowControl/>
        <w:spacing w:beforeAutospacing="0" w:afterAutospacing="0" w:line="400" w:lineRule="exact"/>
        <w:jc w:val="both"/>
        <w:rPr>
          <w:rFonts w:cs="宋体" w:hint="default"/>
          <w:b w:val="0"/>
          <w:bCs w:val="0"/>
          <w:color w:val="000000" w:themeColor="text1"/>
          <w:sz w:val="24"/>
          <w:szCs w:val="24"/>
        </w:rPr>
      </w:pPr>
      <w:r>
        <w:rPr>
          <w:rFonts w:cs="宋体"/>
          <w:b w:val="0"/>
          <w:bCs w:val="0"/>
          <w:color w:val="000000" w:themeColor="text1"/>
          <w:spacing w:val="10"/>
          <w:sz w:val="24"/>
          <w:szCs w:val="24"/>
        </w:rPr>
        <w:t>（一）宏观方面：交叉执行机制的运行架构</w:t>
      </w:r>
    </w:p>
    <w:p w14:paraId="12484FD7"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t>功能主义解释范式下的交叉执行机制运行，不仅能够使法律制度实现显功能，更能发挥法律制度的潜功能，并以此实现制度的价值。</w:t>
      </w:r>
      <w:r>
        <w:rPr>
          <w:rStyle w:val="a6"/>
          <w:rFonts w:ascii="宋体" w:eastAsia="宋体" w:hAnsi="宋体" w:cs="宋体" w:hint="eastAsia"/>
          <w:color w:val="000000" w:themeColor="text1"/>
          <w:spacing w:val="10"/>
        </w:rPr>
        <w:footnoteReference w:id="11"/>
      </w:r>
    </w:p>
    <w:p w14:paraId="7B2B99DC" w14:textId="77777777" w:rsidR="00D07BD4" w:rsidRDefault="00000000">
      <w:pPr>
        <w:pStyle w:val="3"/>
        <w:widowControl/>
        <w:spacing w:beforeAutospacing="0" w:afterAutospacing="0" w:line="400" w:lineRule="exact"/>
        <w:jc w:val="both"/>
        <w:rPr>
          <w:rFonts w:cs="宋体" w:hint="default"/>
          <w:b w:val="0"/>
          <w:bCs w:val="0"/>
          <w:color w:val="000000" w:themeColor="text1"/>
          <w:sz w:val="24"/>
          <w:szCs w:val="24"/>
        </w:rPr>
      </w:pPr>
      <w:r>
        <w:rPr>
          <w:rFonts w:cs="宋体"/>
          <w:b w:val="0"/>
          <w:bCs w:val="0"/>
          <w:color w:val="000000" w:themeColor="text1"/>
          <w:spacing w:val="10"/>
          <w:sz w:val="24"/>
          <w:szCs w:val="24"/>
        </w:rPr>
        <w:t>1.交叉执行机制的宏观运行</w:t>
      </w:r>
    </w:p>
    <w:p w14:paraId="52BA73F3"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shd w:val="clear" w:color="auto" w:fill="FFFFFF"/>
        </w:rPr>
        <w:t>交叉执行机制作为化解执行难案的长效机制，应当在执行权双重属性的基础上，进行准确定位。笔者倾向于从执行权的司法权与行政权的双重属性的角度，对交叉执行机制进行宏观定位，即交叉执行机制具有司法权与行政权的属性，既包含效率优先以及主动性、强制性和单方性等特点，又包含被动性、公开性和透明性等特点。交叉执行机制的宏观定位，需要放到整个执行运行程序中进行。</w:t>
      </w:r>
    </w:p>
    <w:p w14:paraId="55FF01D3"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t>一是在交叉执行监督本质的基础上，强化数字化监督的构建。依托最高人民法院建成的集全国法院交叉执行信息汇总、案件监督、业务指导于一体的综合信息化系统，运用大数据分析技术，发挥上级法院的监督职能。通过对交叉执行案件全周期的管理，释放数据本身的价值。打破条线分割、转为通力合作，推进交叉执行跨领域、跨部门、跨层级资源共享，叠加数据关联赋能效应，内向牵引上下级法院执行部门一体履职、综合履职，一体推进数字化监督。数字化监督的体系化建设，必须破解“如何获取数据”这一关键难题。由最高人民法院制定统一的数据运转流程，在数据采集、数据传输、数据存储、数据处理、数据交换、数据销毁等阶段，进行数据的加工处理，形成有价值的信息，最大限度地发挥数据的价值，助力交叉执行信息的解构与重组，确保交叉执行台账的底数清晰、实时统计、动态监管和一体化呈现。</w:t>
      </w:r>
    </w:p>
    <w:p w14:paraId="32F5DF9C"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t>二是将交叉执行作为一般执行的特殊方式，杜绝程序空转现象。交叉执行应当遵循执行的一般规定，在其遵循一般规定的过程中，发生与一般规定相冲突的情况时，司法政策、法律规范应当及时予以回应。例如，交叉执行不应过度突破执行管辖的法律规定，如有当事人提出质疑，应当及时作出解释。如果违法，则应当撤销交叉执行，继续回到一般执行的状态。</w:t>
      </w:r>
    </w:p>
    <w:p w14:paraId="1D9022FD"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lastRenderedPageBreak/>
        <w:t>三是交叉执行的功能主义范式解释应注重发挥该机制的实际功能，申请人需要对案件的执行情况有充分的知情权，同时也是落实司法公信，保障司法权威的重要举措。</w:t>
      </w:r>
      <w:r>
        <w:rPr>
          <w:rStyle w:val="a6"/>
          <w:rFonts w:ascii="宋体" w:eastAsia="宋体" w:hAnsi="宋体" w:cs="宋体" w:hint="eastAsia"/>
          <w:color w:val="000000" w:themeColor="text1"/>
          <w:spacing w:val="10"/>
        </w:rPr>
        <w:footnoteReference w:id="12"/>
      </w:r>
    </w:p>
    <w:p w14:paraId="3D9B0A0B" w14:textId="77777777" w:rsidR="00D07BD4" w:rsidRDefault="00000000">
      <w:pPr>
        <w:pStyle w:val="3"/>
        <w:widowControl/>
        <w:spacing w:beforeAutospacing="0" w:afterAutospacing="0" w:line="400" w:lineRule="exact"/>
        <w:jc w:val="both"/>
        <w:rPr>
          <w:rFonts w:cs="宋体" w:hint="default"/>
          <w:b w:val="0"/>
          <w:bCs w:val="0"/>
          <w:color w:val="000000" w:themeColor="text1"/>
          <w:sz w:val="24"/>
          <w:szCs w:val="24"/>
        </w:rPr>
      </w:pPr>
      <w:r>
        <w:rPr>
          <w:rFonts w:cs="宋体"/>
          <w:b w:val="0"/>
          <w:bCs w:val="0"/>
          <w:color w:val="000000" w:themeColor="text1"/>
          <w:spacing w:val="10"/>
          <w:sz w:val="24"/>
          <w:szCs w:val="24"/>
        </w:rPr>
        <w:t>2.交叉执行机制的运行原则</w:t>
      </w:r>
    </w:p>
    <w:p w14:paraId="7FDD226E"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t>法律原则是法律的基础性真理、原理，或是为其他法律要素提供基础或本源的综合性原理或出发点。交叉执行运行机制需要在符合一定原则的指导下运转。</w:t>
      </w:r>
    </w:p>
    <w:p w14:paraId="617EDF61"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t>一是以省级法院辖区内部交叉执行为原则，以跨省级法院辖区交叉执行为例外。在省级法院辖区内部的交叉执行中，以中级人民法院辖区内部交叉执行为原则，以中级人民法院外部交叉执行为例外。某一法院执行内部团队分工明确，且在某类案件执行中形成了固定的团队办案模式，或者对某类案件的执行具有典型的经验做法，可以在该法院内部开展不同执行团队之间的交叉执行。处于种种原因长期未能有效推进执行、可能存在明显地方保护主义或其他不当干预情况的类型化案件，可以采取跨域异地执行。通过这种方式，不仅可以实现法院内部，高级、中级人民法院辖区内部执行部门的垂直管理模式，借助三级法院内部的执行信息化建设成果，而且能够进行全国法院执行系统之间的力量的整合，实现办案收益的最大化。在信息化建设上，重视已有信息化成果的应用，如“智慧执行app”，在现有的资源整合、信息共享、数据开放方面下功夫，打通系统的上下协同，在全国范围内实现四级法院之间的数据共享。对于协调开放数据难度较大、传播过程中出现责任的情况，明确责任主体。在上级部门的指导支持下，对接本地社会诚信系统，上级法院及时在建设理念、硬件设施及资金、人才方面提供支持。利用大数据分析功能，勾勒人、财、物流动轨迹。利用微信、微博、短视频平台、社交媒体、登录IP、使用频率等信息进行智能分析，模拟出被执行人的行动轨迹。依托大数据创新文书送达模式，如杭州互联网法院电子送达平台，法院可通过该平台中被执行人的姓名和身份证号等信息，自动检索被执行人名下所有手机号码、绑定宽带地址、社交网络账号、电商平台账号、电子邮箱等常用电子地址，并通过大数据分析进行比对筛选，找出被执行人的实际地址或最有可能联系上的地址。系统确定有效手机号码后将自动发送无法拦截的弹屏短信进行提醒，确保当事人已阅读电子送达内容。全国“一张网”信息化架构，促进提高执行信息信息化水平和执行质效。</w:t>
      </w:r>
    </w:p>
    <w:p w14:paraId="5B4C6B05"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lastRenderedPageBreak/>
        <w:t>二是根据辖区法院的实际情况采取利益衡量措施，以案件两次交叉执行为原则，突破执行案件原有的结案归档模式。扩展交叉执行机制新运行模式。针对一般性“执行难”案件，可以建立两次及以上“推磨式”指定交叉执行。针对比较难啃的重点“执行难”积案，可以考虑上级法院指定交由辖区执行力量更强的法院来执行。改变案件一旦执行不能，就终结或者终本的情形，以最大限度地发挥交叉执行机制的价值。</w:t>
      </w:r>
    </w:p>
    <w:p w14:paraId="1DB29668"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t>三是以多样化启动交叉执行为原则，做好不同类型案件的衔接。交叉执行应当允许下级法院在办理案件的过程中，出现涉及上述影响执行因素而自身无法解决的情形时，经过下级法院的合议，提请上级法院执行部门启动交叉执行。同时，申请人作为执行权的启动主体，应当有权提起交叉执行申请。经法院采取执行措施，已经确定执行不能的案件，不应纳入交叉执行案件。符合“终本出清”“执转破”案件情形的，应当及时启动相关程序的衔接机制，实现案件实质处理。</w:t>
      </w:r>
    </w:p>
    <w:p w14:paraId="6740C35C" w14:textId="77777777" w:rsidR="00D07BD4" w:rsidRDefault="00000000">
      <w:pPr>
        <w:pStyle w:val="2"/>
        <w:widowControl/>
        <w:spacing w:beforeAutospacing="0" w:afterAutospacing="0" w:line="400" w:lineRule="exact"/>
        <w:jc w:val="both"/>
        <w:rPr>
          <w:rFonts w:cs="宋体" w:hint="default"/>
          <w:b w:val="0"/>
          <w:bCs w:val="0"/>
          <w:color w:val="000000" w:themeColor="text1"/>
          <w:sz w:val="24"/>
          <w:szCs w:val="24"/>
        </w:rPr>
      </w:pPr>
      <w:r>
        <w:rPr>
          <w:rFonts w:cs="宋体"/>
          <w:b w:val="0"/>
          <w:bCs w:val="0"/>
          <w:color w:val="000000" w:themeColor="text1"/>
          <w:spacing w:val="10"/>
          <w:sz w:val="24"/>
          <w:szCs w:val="24"/>
        </w:rPr>
        <w:t>（二）微观方面：交叉执行机制的运行流程</w:t>
      </w:r>
    </w:p>
    <w:p w14:paraId="3A938760"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shd w:val="clear" w:color="auto" w:fill="FFFFFF"/>
        </w:rPr>
        <w:t>微观方面，交叉执行机制的运行流程设置将使得各级法院分工更为明确，各司其职，对于执行权运行的监督也更为体系化，有利于执行工作的开展。</w:t>
      </w:r>
    </w:p>
    <w:p w14:paraId="48BD3761" w14:textId="77777777" w:rsidR="00D07BD4" w:rsidRDefault="00000000">
      <w:pPr>
        <w:pStyle w:val="3"/>
        <w:widowControl/>
        <w:spacing w:beforeAutospacing="0" w:afterAutospacing="0" w:line="400" w:lineRule="exact"/>
        <w:jc w:val="both"/>
        <w:rPr>
          <w:rFonts w:cs="宋体" w:hint="default"/>
          <w:color w:val="000000" w:themeColor="text1"/>
          <w:sz w:val="24"/>
          <w:szCs w:val="24"/>
        </w:rPr>
      </w:pPr>
      <w:r>
        <w:rPr>
          <w:rFonts w:cs="宋体"/>
          <w:b w:val="0"/>
          <w:bCs w:val="0"/>
          <w:color w:val="000000" w:themeColor="text1"/>
          <w:spacing w:val="10"/>
          <w:sz w:val="24"/>
          <w:szCs w:val="24"/>
        </w:rPr>
        <w:t>1.交叉执行平台的构建</w:t>
      </w:r>
    </w:p>
    <w:p w14:paraId="1E026559"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t>交叉执行平台需要依托数字化手段，需要注重平台大模型的构建和完善。平台机制的建立，在依托现有的执行机制下，需要进行不同因素的匹配，搭建案件交叉执行交流的平台。一是运用现有执行机制，匹配平台业务数据要素。鉴</w:t>
      </w:r>
      <w:r>
        <w:rPr>
          <w:rFonts w:ascii="宋体" w:eastAsia="宋体" w:hAnsi="宋体" w:cs="宋体" w:hint="eastAsia"/>
          <w:color w:val="000000" w:themeColor="text1"/>
          <w:spacing w:val="10"/>
          <w:shd w:val="clear" w:color="auto" w:fill="FFFFFF"/>
        </w:rPr>
        <w:t>于法院执行工作强制性、规范化、信息化建设取得的成果，四级法院均设置相应的执行指挥中心，依托执行指挥中心，完善执行局专业法官会，搭建由专业</w:t>
      </w:r>
      <w:r>
        <w:rPr>
          <w:rFonts w:ascii="宋体" w:eastAsia="宋体" w:hAnsi="宋体" w:cs="宋体" w:hint="eastAsia"/>
          <w:color w:val="000000" w:themeColor="text1"/>
          <w:spacing w:val="10"/>
        </w:rPr>
        <w:t>法官会决定提起交叉执行的平台，在四级法院中统一形成交叉执行平台的垂直管理和监督机制。二是围绕大模型系统化收集利用分散的数据。从交叉执行平台汇总的数据要有效应用数据，需要交叉执行大模型不断总结个案情况、推导司法规律，丰富数据库。大模型的便捷和高效，将对交叉执行的持续推进起到正向激励作用。通过对数据资源的自动解构、建构，交叉执行大模型能够掌握静态的、应然的交叉执行规律和动态的、实然的交叉执行规律，找准案件交叉执行的有效时机，通过监督方式精准推送案件交叉执行的关键因素和线索，实现由上级裁量向“数据驱动”的转变。</w:t>
      </w:r>
      <w:r>
        <w:rPr>
          <w:rStyle w:val="a6"/>
          <w:rFonts w:ascii="宋体" w:eastAsia="宋体" w:hAnsi="宋体" w:cs="宋体" w:hint="eastAsia"/>
          <w:color w:val="000000" w:themeColor="text1"/>
          <w:spacing w:val="10"/>
        </w:rPr>
        <w:footnoteReference w:id="13"/>
      </w:r>
      <w:r>
        <w:rPr>
          <w:rFonts w:ascii="宋体" w:eastAsia="宋体" w:hAnsi="宋体" w:cs="宋体" w:hint="eastAsia"/>
          <w:color w:val="000000" w:themeColor="text1"/>
          <w:spacing w:val="10"/>
        </w:rPr>
        <w:t>在这一过程中，上级法院应当注重对数据技术的</w:t>
      </w:r>
      <w:r>
        <w:rPr>
          <w:rFonts w:ascii="宋体" w:eastAsia="宋体" w:hAnsi="宋体" w:cs="宋体" w:hint="eastAsia"/>
          <w:color w:val="000000" w:themeColor="text1"/>
          <w:spacing w:val="10"/>
        </w:rPr>
        <w:lastRenderedPageBreak/>
        <w:t>投入，实现“业务+技术”“平台+专人”“大数据模型+执行指挥中心”在交叉执行领域的深度融合。</w:t>
      </w:r>
    </w:p>
    <w:p w14:paraId="5CF6CA64" w14:textId="77777777" w:rsidR="00D07BD4" w:rsidRDefault="00000000">
      <w:pPr>
        <w:pStyle w:val="3"/>
        <w:widowControl/>
        <w:spacing w:beforeAutospacing="0" w:afterAutospacing="0" w:line="400" w:lineRule="exact"/>
        <w:jc w:val="both"/>
        <w:rPr>
          <w:rFonts w:cs="宋体" w:hint="default"/>
          <w:b w:val="0"/>
          <w:bCs w:val="0"/>
          <w:color w:val="000000" w:themeColor="text1"/>
          <w:sz w:val="24"/>
          <w:szCs w:val="24"/>
        </w:rPr>
      </w:pPr>
      <w:r>
        <w:rPr>
          <w:rFonts w:cs="宋体"/>
          <w:b w:val="0"/>
          <w:bCs w:val="0"/>
          <w:color w:val="000000" w:themeColor="text1"/>
          <w:spacing w:val="10"/>
          <w:sz w:val="24"/>
          <w:szCs w:val="24"/>
        </w:rPr>
        <w:t>2.交叉执行人员的配置</w:t>
      </w:r>
    </w:p>
    <w:p w14:paraId="02BF4DFA"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t>交叉执行法院人员配置，需根据各自法院的特点，形成较为固定的人员配备的基本模式。中级人民法院要协调基层法院，深化大数据模型的共建共用，协作培养相关专业人才。整体而言，一是上级法院根据辖区法院执行部门的办案情况，采取试点方式，组建类型化案件的专业办理团队，由各院推选对类案办理具有成功经验的团队以及人员，负责交叉至下级法院的类案的执行。二是法院内部交叉执行，需要在法院执行部门研判的基础上，整合执行部门内部办理类案经验丰富的专业团队（人员），如腾房团队，在不改变原有的执行团队模式下，进行指导，完成交叉执行的案件。</w:t>
      </w:r>
    </w:p>
    <w:p w14:paraId="001F15AA"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t>具体而言，法院在现有的人员配置不变动的情况下，根据交叉执行的类案情况，提炼类案办理的较强的团队或人员名单，形成“1+N+X”的人员配置模式，</w:t>
      </w:r>
      <w:r>
        <w:rPr>
          <w:rStyle w:val="a6"/>
          <w:rFonts w:ascii="宋体" w:eastAsia="宋体" w:hAnsi="宋体" w:cs="宋体" w:hint="eastAsia"/>
          <w:color w:val="000000" w:themeColor="text1"/>
          <w:spacing w:val="10"/>
        </w:rPr>
        <w:footnoteReference w:id="14"/>
      </w:r>
      <w:r>
        <w:rPr>
          <w:rFonts w:ascii="宋体" w:eastAsia="宋体" w:hAnsi="宋体" w:cs="宋体" w:hint="eastAsia"/>
          <w:color w:val="000000" w:themeColor="text1"/>
          <w:spacing w:val="10"/>
        </w:rPr>
        <w:t>其中，“1”为办理类案能力较强的员额法官，“N”为团队的助理以及书记员，“X”为上级法院或“平台化集约收案”法院提供的交叉执行机制运行中的必备因素，以此提高交叉执行案件的办理效率。</w:t>
      </w:r>
    </w:p>
    <w:p w14:paraId="438EC3D2" w14:textId="77777777" w:rsidR="00D07BD4" w:rsidRDefault="00000000">
      <w:pPr>
        <w:pStyle w:val="3"/>
        <w:widowControl/>
        <w:spacing w:beforeAutospacing="0" w:afterAutospacing="0" w:line="400" w:lineRule="exact"/>
        <w:jc w:val="both"/>
        <w:rPr>
          <w:rFonts w:cs="宋体" w:hint="default"/>
          <w:b w:val="0"/>
          <w:bCs w:val="0"/>
          <w:color w:val="000000" w:themeColor="text1"/>
          <w:sz w:val="24"/>
          <w:szCs w:val="24"/>
        </w:rPr>
      </w:pPr>
      <w:r>
        <w:rPr>
          <w:rFonts w:cs="宋体"/>
          <w:b w:val="0"/>
          <w:bCs w:val="0"/>
          <w:color w:val="000000" w:themeColor="text1"/>
          <w:spacing w:val="10"/>
          <w:sz w:val="24"/>
          <w:szCs w:val="24"/>
        </w:rPr>
        <w:t>3.交叉执行平台的管理</w:t>
      </w:r>
    </w:p>
    <w:p w14:paraId="56FB2E71"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t>在最高人民法院顶层设计的基础上，各地高级法院统筹数字化交叉执行建设项目，完善交叉执行数据的移送衔接机制。一是主动总结经验。各地法院在交叉执行推进过程中，要及时总结交叉执行的有益经验和面对的不利情况，及时做好反馈。对交叉执行案件的挑选、识别、交叉执行方式、个案示范、个案典型类型、联动效果、数字监管等方面进行总结。各级法院交叉执行平台应当切实履行职责，主动调研交叉执行机制运行过程中的利弊，形成书面指导意见，指导辖区内交叉执行工作规范开展。二是实行目标管理、台账管理、过程管理，最大限度地实现交叉执行的制度化、程序化、规范化。各级法院要建立交叉执行案件台账，实行动态管理和监督指导，并定期组织案件质量评查。各级法院交叉执行案件研判部门要加大对指定执行案件的督办力度，重点督导一案一号、案结号销情况，严防反复指定、程序空转的发生。三是及时启动衔接机制。对于符合“执行不能”“执转破”条件的执行案件、“终本出清”案件，交叉执行平台应当及时引导支持衔接程序的启动。同时，上级法院应当着力提供支持，加大疑难重大复杂案件的分析，对于下级法院协调难度大的案件应当及时提级到本院执行，防止将矛盾下压，构建相应的程序和机制。</w:t>
      </w:r>
    </w:p>
    <w:p w14:paraId="7D3188DA" w14:textId="77777777" w:rsidR="00D07BD4" w:rsidRDefault="00000000">
      <w:pPr>
        <w:pStyle w:val="3"/>
        <w:widowControl/>
        <w:spacing w:beforeAutospacing="0" w:afterAutospacing="0" w:line="400" w:lineRule="exact"/>
        <w:jc w:val="both"/>
        <w:rPr>
          <w:rFonts w:cs="宋体" w:hint="default"/>
          <w:b w:val="0"/>
          <w:bCs w:val="0"/>
          <w:color w:val="000000" w:themeColor="text1"/>
          <w:sz w:val="24"/>
          <w:szCs w:val="24"/>
        </w:rPr>
      </w:pPr>
      <w:r>
        <w:rPr>
          <w:rFonts w:cs="宋体"/>
          <w:b w:val="0"/>
          <w:bCs w:val="0"/>
          <w:color w:val="000000" w:themeColor="text1"/>
          <w:spacing w:val="10"/>
          <w:sz w:val="24"/>
          <w:szCs w:val="24"/>
        </w:rPr>
        <w:lastRenderedPageBreak/>
        <w:t>4.交叉执行平台的监督</w:t>
      </w:r>
    </w:p>
    <w:p w14:paraId="705C114C"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t>交叉执行平台需要畅通现有的监督制度，切实行使好相应的权力和履行义务。具体而言，一是建立上级法院对下级法院的专项督导机制。高级人民法院要对本辖区内的交叉执行工作负总责，根据统一部署，组织本辖区内的交叉执行工作，通过对下日常督导，周周调度、周周总结，形成日常调度督导机制。高级人民法院、中级人民法院执行局局长、副局长要亲自办理交叉执行案件，特别是疑难复杂案件，并形成常态化机制。二是畅通“三统一”执行管理模式，打通信息化建设过程中上下级信息沟通不畅的堵点，使各级法院之间做到在信息上相互沟通，在行动上相互配合，在工作上步调一致。</w:t>
      </w:r>
      <w:r>
        <w:rPr>
          <w:rStyle w:val="a6"/>
          <w:rFonts w:ascii="宋体" w:eastAsia="宋体" w:hAnsi="宋体" w:cs="宋体" w:hint="eastAsia"/>
          <w:color w:val="000000" w:themeColor="text1"/>
          <w:spacing w:val="10"/>
        </w:rPr>
        <w:footnoteReference w:id="15"/>
      </w:r>
    </w:p>
    <w:p w14:paraId="1710856D" w14:textId="77777777" w:rsidR="00D07BD4" w:rsidRDefault="00000000">
      <w:pPr>
        <w:pStyle w:val="a4"/>
        <w:widowControl/>
        <w:spacing w:beforeAutospacing="0" w:afterAutospacing="0" w:line="400" w:lineRule="exact"/>
        <w:ind w:firstLine="435"/>
        <w:jc w:val="both"/>
        <w:rPr>
          <w:rFonts w:ascii="宋体" w:eastAsia="宋体" w:hAnsi="宋体" w:cs="宋体"/>
          <w:color w:val="000000" w:themeColor="text1"/>
        </w:rPr>
      </w:pPr>
      <w:r>
        <w:rPr>
          <w:rFonts w:ascii="宋体" w:eastAsia="宋体" w:hAnsi="宋体" w:cs="宋体" w:hint="eastAsia"/>
          <w:color w:val="000000" w:themeColor="text1"/>
          <w:spacing w:val="10"/>
        </w:rPr>
        <w:t>具体而言，根据目标责任制的考核要求，对于交叉执行案件根据案件类型、执行标的、执行地域、原案件办理期限、新案件办理期限等因素，赋予相应的分值和权重，对考核结果进行细分；根据交叉执行顺利执结或者达到当事人满意效果的程度，赋予承办交叉执行法院以相应的分值，并在辖区范围内对执行法院通报表扬、给予激励。上级法院对原执行法院存在消极执行、拖延执行等执行不力情形，发现违纪违法问题线索的，应当严肃依纪依法查处、追究责任。组织交叉执行后，加大工作力度仍然无法执行的，经充分论证，可分情况或终本或依照规定终结相关程序。有的案件还可视情况再指定其他法院交叉执行，以确保严格依法有力推进执行工作。上级法院根据辖区法院办理交叉执行案件情况，要及时总结推广交叉执行的工作经验，适时发布典型案例进行指导，研究解决好深层次问题，以更大力度、更实举措促进完善面上的执行工作制度机制，促进整体执行工作规范化常态化更富成效开展。</w:t>
      </w:r>
    </w:p>
    <w:p w14:paraId="6FDB60F7" w14:textId="77777777" w:rsidR="00D07BD4" w:rsidRDefault="00D07BD4">
      <w:pPr>
        <w:pStyle w:val="1"/>
        <w:widowControl/>
        <w:spacing w:beforeAutospacing="0" w:afterAutospacing="0" w:line="400" w:lineRule="exact"/>
        <w:jc w:val="both"/>
        <w:rPr>
          <w:rFonts w:cs="宋体" w:hint="default"/>
          <w:color w:val="000000" w:themeColor="text1"/>
          <w:spacing w:val="10"/>
          <w:sz w:val="24"/>
          <w:szCs w:val="24"/>
        </w:rPr>
      </w:pPr>
    </w:p>
    <w:p w14:paraId="4E23D0AD" w14:textId="77777777" w:rsidR="00D07BD4" w:rsidRDefault="00000000">
      <w:pPr>
        <w:pStyle w:val="1"/>
        <w:widowControl/>
        <w:spacing w:beforeAutospacing="0" w:afterAutospacing="0" w:line="400" w:lineRule="exact"/>
        <w:jc w:val="both"/>
        <w:rPr>
          <w:rFonts w:cs="宋体" w:hint="default"/>
          <w:color w:val="000000" w:themeColor="text1"/>
          <w:sz w:val="24"/>
          <w:szCs w:val="24"/>
        </w:rPr>
      </w:pPr>
      <w:r>
        <w:rPr>
          <w:rFonts w:cs="宋体"/>
          <w:color w:val="000000" w:themeColor="text1"/>
          <w:spacing w:val="10"/>
          <w:sz w:val="24"/>
          <w:szCs w:val="24"/>
        </w:rPr>
        <w:t>结  语：</w:t>
      </w:r>
      <w:r>
        <w:rPr>
          <w:rFonts w:cs="宋体"/>
          <w:b w:val="0"/>
          <w:bCs w:val="0"/>
          <w:color w:val="000000" w:themeColor="text1"/>
          <w:spacing w:val="10"/>
          <w:sz w:val="24"/>
          <w:szCs w:val="24"/>
        </w:rPr>
        <w:t>交叉执行正处在探索阶段，相关制度正在不断完善。本文通过对执行权中管理型规范、监督性规范价值的提炼，结合交叉执行的新的困境和含义，搭建交叉执行的具体机制，对切实解决执行难将起到重要的推动作用，真正解决类型化执行案件通过具体的交叉执行方式实现案件的有效解决。</w:t>
      </w:r>
    </w:p>
    <w:p w14:paraId="4F095ABB" w14:textId="77777777" w:rsidR="00D07BD4" w:rsidRDefault="00D07BD4">
      <w:pPr>
        <w:pStyle w:val="a4"/>
        <w:widowControl/>
        <w:spacing w:beforeAutospacing="0" w:afterAutospacing="0" w:line="400" w:lineRule="exact"/>
        <w:jc w:val="both"/>
        <w:rPr>
          <w:rFonts w:ascii="宋体" w:eastAsia="宋体" w:hAnsi="宋体" w:cs="宋体"/>
          <w:color w:val="000000" w:themeColor="text1"/>
        </w:rPr>
      </w:pPr>
    </w:p>
    <w:p w14:paraId="34EAA8A0" w14:textId="77777777" w:rsidR="00D07BD4" w:rsidRDefault="00D07BD4">
      <w:pPr>
        <w:spacing w:line="400" w:lineRule="exact"/>
        <w:jc w:val="center"/>
        <w:rPr>
          <w:rFonts w:ascii="宋体" w:eastAsia="宋体" w:hAnsi="宋体" w:cs="宋体"/>
          <w:sz w:val="24"/>
        </w:rPr>
      </w:pPr>
    </w:p>
    <w:sectPr w:rsidR="00D07BD4">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审稿人" w:date="2026-04-12T21:41:00Z" w:initials="MOU">
    <w:p w14:paraId="51CA5382" w14:textId="4F55590D" w:rsidR="00F26C95" w:rsidRPr="00F26C95" w:rsidRDefault="00F26C95">
      <w:pPr>
        <w:pStyle w:val="a8"/>
        <w:rPr>
          <w:rFonts w:hint="eastAsia"/>
          <w:lang w:val="de-DE"/>
        </w:rPr>
      </w:pPr>
      <w:r>
        <w:rPr>
          <w:rStyle w:val="a7"/>
        </w:rPr>
        <w:annotationRef/>
      </w:r>
      <w:r>
        <w:rPr>
          <w:rFonts w:hint="eastAsia"/>
          <w:lang w:val="de-DE"/>
        </w:rPr>
        <w:t>题目过于冗长，建议直接表述研究核心问题</w:t>
      </w:r>
    </w:p>
  </w:comment>
  <w:comment w:id="1" w:author="审稿人" w:date="2026-04-12T21:42:00Z" w:initials="MOU">
    <w:p w14:paraId="18461EB8" w14:textId="3B2E3EAD" w:rsidR="00F26C95" w:rsidRDefault="00F26C95">
      <w:pPr>
        <w:pStyle w:val="a8"/>
      </w:pPr>
      <w:r>
        <w:rPr>
          <w:rStyle w:val="a7"/>
        </w:rPr>
        <w:annotationRef/>
      </w:r>
      <w:r>
        <w:rPr>
          <w:rFonts w:hint="eastAsia"/>
        </w:rPr>
        <w:t>摘要需要重新写，直接凝练文章核心观点，而不是写成引言。更不需要加脚注、写“以下简称”等。</w:t>
      </w:r>
    </w:p>
  </w:comment>
  <w:comment w:id="2" w:author="审稿人" w:date="2026-04-12T21:43:00Z" w:initials="MOU">
    <w:p w14:paraId="4066C657" w14:textId="4729157D" w:rsidR="00F26C95" w:rsidRDefault="00F26C95">
      <w:pPr>
        <w:pStyle w:val="a8"/>
      </w:pPr>
      <w:r>
        <w:rPr>
          <w:rStyle w:val="a7"/>
        </w:rPr>
        <w:annotationRef/>
      </w:r>
      <w:r>
        <w:rPr>
          <w:rFonts w:hint="eastAsia"/>
        </w:rPr>
        <w:t>语言简洁精练，尽量避免标题中无必要地使用冒号</w:t>
      </w:r>
    </w:p>
  </w:comment>
  <w:comment w:id="3" w:author="审稿人" w:date="2026-04-12T21:44:00Z" w:initials="MOU">
    <w:p w14:paraId="0E2A241F" w14:textId="4067DED6" w:rsidR="00F26C95" w:rsidRDefault="00F26C95">
      <w:pPr>
        <w:pStyle w:val="a8"/>
      </w:pPr>
      <w:r>
        <w:rPr>
          <w:rStyle w:val="a7"/>
        </w:rPr>
        <w:annotationRef/>
      </w:r>
      <w:r>
        <w:rPr>
          <w:rFonts w:hint="eastAsia"/>
        </w:rPr>
        <w:t>论文的写作对象是同行专家，无需夹杂不必要的概念介绍。除非提出新的概念或是阐述生僻概念。</w:t>
      </w:r>
    </w:p>
  </w:comment>
  <w:comment w:id="4" w:author="审稿人" w:date="2026-04-12T21:46:00Z" w:initials="MOU">
    <w:p w14:paraId="78E909A0" w14:textId="7821ED8F" w:rsidR="00F26C95" w:rsidRDefault="00F26C95">
      <w:pPr>
        <w:pStyle w:val="a8"/>
      </w:pPr>
      <w:r>
        <w:rPr>
          <w:rStyle w:val="a7"/>
        </w:rPr>
        <w:annotationRef/>
      </w:r>
      <w:r>
        <w:rPr>
          <w:rFonts w:hint="eastAsia"/>
        </w:rPr>
        <w:t>脱离标题“</w:t>
      </w:r>
      <w:r>
        <w:rPr>
          <w:rFonts w:ascii="宋体" w:eastAsia="宋体" w:hAnsi="宋体" w:cs="宋体" w:hint="eastAsia"/>
          <w:color w:val="000000" w:themeColor="text1"/>
          <w:spacing w:val="10"/>
          <w:sz w:val="24"/>
        </w:rPr>
        <w:t>交叉执行尚未形成完善的法律规定</w:t>
      </w:r>
      <w:r>
        <w:rPr>
          <w:rFonts w:ascii="宋体" w:eastAsia="宋体" w:hAnsi="宋体" w:cs="宋体" w:hint="eastAsia"/>
          <w:color w:val="000000" w:themeColor="text1"/>
          <w:spacing w:val="10"/>
          <w:sz w:val="24"/>
        </w:rPr>
        <w:t>”</w:t>
      </w:r>
    </w:p>
  </w:comment>
  <w:comment w:id="5" w:author="审稿人" w:date="2026-04-12T21:46:00Z" w:initials="MOU">
    <w:p w14:paraId="48A38D98" w14:textId="730FBDE3" w:rsidR="00F26C95" w:rsidRDefault="00F26C95">
      <w:pPr>
        <w:pStyle w:val="a8"/>
      </w:pPr>
      <w:r>
        <w:rPr>
          <w:rStyle w:val="a7"/>
        </w:rPr>
        <w:annotationRef/>
      </w:r>
      <w:r>
        <w:rPr>
          <w:rFonts w:hint="eastAsia"/>
        </w:rPr>
        <w:t>与前两个标题不是并列关系</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CA5382" w15:done="0"/>
  <w15:commentEx w15:paraId="18461EB8" w15:done="0"/>
  <w15:commentEx w15:paraId="4066C657" w15:done="0"/>
  <w15:commentEx w15:paraId="0E2A241F" w15:done="0"/>
  <w15:commentEx w15:paraId="78E909A0" w15:done="0"/>
  <w15:commentEx w15:paraId="48A38D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C914BB" w16cex:dateUtc="2026-04-12T13:41:00Z"/>
  <w16cex:commentExtensible w16cex:durableId="7B82D746" w16cex:dateUtc="2026-04-12T13:42:00Z"/>
  <w16cex:commentExtensible w16cex:durableId="442180A6" w16cex:dateUtc="2026-04-12T13:43:00Z"/>
  <w16cex:commentExtensible w16cex:durableId="1218B368" w16cex:dateUtc="2026-04-12T13:44:00Z"/>
  <w16cex:commentExtensible w16cex:durableId="5678AA81" w16cex:dateUtc="2026-04-12T13:46:00Z"/>
  <w16cex:commentExtensible w16cex:durableId="5F6E5AA0" w16cex:dateUtc="2026-04-12T1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CA5382" w16cid:durableId="11C914BB"/>
  <w16cid:commentId w16cid:paraId="18461EB8" w16cid:durableId="7B82D746"/>
  <w16cid:commentId w16cid:paraId="4066C657" w16cid:durableId="442180A6"/>
  <w16cid:commentId w16cid:paraId="0E2A241F" w16cid:durableId="1218B368"/>
  <w16cid:commentId w16cid:paraId="78E909A0" w16cid:durableId="5678AA81"/>
  <w16cid:commentId w16cid:paraId="48A38D98" w16cid:durableId="5F6E5A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ED42E" w14:textId="77777777" w:rsidR="008F3E8E" w:rsidRDefault="008F3E8E">
      <w:r>
        <w:separator/>
      </w:r>
    </w:p>
  </w:endnote>
  <w:endnote w:type="continuationSeparator" w:id="0">
    <w:p w14:paraId="04C04358" w14:textId="77777777" w:rsidR="008F3E8E" w:rsidRDefault="008F3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altName w:val="方正仿宋_GBK"/>
    <w:panose1 w:val="02010609060101010101"/>
    <w:charset w:val="86"/>
    <w:family w:val="modern"/>
    <w:pitch w:val="fixed"/>
    <w:sig w:usb0="800002BF" w:usb1="38CF7CFA" w:usb2="00000016" w:usb3="00000000" w:csb0="00040001" w:csb1="00000000"/>
  </w:font>
  <w:font w:name="Times New Roman Bold">
    <w:altName w:val="Times New Roman"/>
    <w:panose1 w:val="020B0604020202020204"/>
    <w:charset w:val="00"/>
    <w:family w:val="auto"/>
    <w:pitch w:val="default"/>
    <w:sig w:usb0="E0002AEF" w:usb1="C0007841" w:usb2="00000009" w:usb3="00000000" w:csb0="400001FF" w:csb1="FFFF0000"/>
  </w:font>
  <w:font w:name="PingFang SC">
    <w:panose1 w:val="020B0400000000000000"/>
    <w:charset w:val="86"/>
    <w:family w:val="swiss"/>
    <w:pitch w:val="variable"/>
    <w:sig w:usb0="A00002FF" w:usb1="7ACFFDFB" w:usb2="00000017" w:usb3="00000000" w:csb0="00040001" w:csb1="00000000"/>
  </w:font>
  <w:font w:name="Times New Roman Regular">
    <w:altName w:val="Times New Roman"/>
    <w:panose1 w:val="020B0604020202020204"/>
    <w:charset w:val="00"/>
    <w:family w:val="auto"/>
    <w:pitch w:val="default"/>
    <w:sig w:usb0="E0002AEF" w:usb1="C0007841" w:usb2="00000009" w:usb3="00000000" w:csb0="400001FF" w:csb1="FFFF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8F01F" w14:textId="77777777" w:rsidR="008F3E8E" w:rsidRDefault="008F3E8E">
      <w:r>
        <w:separator/>
      </w:r>
    </w:p>
  </w:footnote>
  <w:footnote w:type="continuationSeparator" w:id="0">
    <w:p w14:paraId="7E929F02" w14:textId="77777777" w:rsidR="008F3E8E" w:rsidRDefault="008F3E8E">
      <w:r>
        <w:continuationSeparator/>
      </w:r>
    </w:p>
  </w:footnote>
  <w:footnote w:id="1">
    <w:p w14:paraId="48BD58BC" w14:textId="77777777" w:rsidR="00D07BD4" w:rsidRDefault="00000000">
      <w:pPr>
        <w:pStyle w:val="a3"/>
        <w:rPr>
          <w:rFonts w:eastAsia="宋体"/>
        </w:rPr>
      </w:pPr>
      <w:r>
        <w:rPr>
          <w:rStyle w:val="a6"/>
        </w:rPr>
        <w:footnoteRef/>
      </w:r>
      <w:r>
        <w:t xml:space="preserve"> </w:t>
      </w:r>
      <w:r>
        <w:rPr>
          <w:rFonts w:hint="eastAsia"/>
        </w:rPr>
        <w:t>刘贵祥：以深化执行体制机制改革为牵引推动执行工作现代化，载</w:t>
      </w:r>
      <w:r>
        <w:rPr>
          <w:rFonts w:ascii="宋体" w:eastAsia="宋体" w:hAnsi="宋体" w:cs="宋体" w:hint="eastAsia"/>
          <w:szCs w:val="18"/>
        </w:rPr>
        <w:t>《中国法治》2025年第10期。</w:t>
      </w:r>
    </w:p>
  </w:footnote>
  <w:footnote w:id="2">
    <w:p w14:paraId="23020182" w14:textId="77777777" w:rsidR="00D07BD4" w:rsidRDefault="00000000">
      <w:pPr>
        <w:pStyle w:val="a3"/>
        <w:rPr>
          <w:rFonts w:eastAsia="宋体"/>
        </w:rPr>
      </w:pPr>
      <w:r>
        <w:rPr>
          <w:rStyle w:val="a6"/>
        </w:rPr>
        <w:footnoteRef/>
      </w:r>
      <w:r>
        <w:t xml:space="preserve"> </w:t>
      </w:r>
      <w:r>
        <w:rPr>
          <w:rFonts w:hint="eastAsia"/>
        </w:rPr>
        <w:t>唐力：公益诉讼判决执行权配置的实践逻辑与范式重构，载</w:t>
      </w:r>
      <w:r>
        <w:rPr>
          <w:rFonts w:ascii="宋体" w:eastAsia="宋体" w:hAnsi="宋体" w:cs="宋体" w:hint="eastAsia"/>
          <w:szCs w:val="18"/>
        </w:rPr>
        <w:t>《国家检察官学院学报》2025年第4期。</w:t>
      </w:r>
    </w:p>
    <w:p w14:paraId="1F00B092" w14:textId="77777777" w:rsidR="00D07BD4" w:rsidRDefault="00D07BD4">
      <w:pPr>
        <w:pStyle w:val="a3"/>
      </w:pPr>
    </w:p>
  </w:footnote>
  <w:footnote w:id="3">
    <w:p w14:paraId="78828A6E" w14:textId="77777777" w:rsidR="00D07BD4" w:rsidRDefault="00000000">
      <w:pPr>
        <w:pStyle w:val="a3"/>
      </w:pPr>
      <w:r>
        <w:rPr>
          <w:rStyle w:val="a6"/>
        </w:rPr>
        <w:footnoteRef/>
      </w:r>
      <w:r>
        <w:t xml:space="preserve"> </w:t>
      </w:r>
      <w:r>
        <w:rPr>
          <w:rFonts w:hint="eastAsia"/>
        </w:rPr>
        <w:t>马登科、黄鑫路：深化审执分离之执行启动审查权重构论，载</w:t>
      </w:r>
      <w:r>
        <w:rPr>
          <w:rFonts w:ascii="宋体" w:eastAsia="宋体" w:hAnsi="宋体" w:cs="宋体" w:hint="eastAsia"/>
          <w:szCs w:val="18"/>
        </w:rPr>
        <w:t>《法治现代化研究》2025年第9期。</w:t>
      </w:r>
    </w:p>
  </w:footnote>
  <w:footnote w:id="4">
    <w:p w14:paraId="4305A369" w14:textId="77777777" w:rsidR="00D07BD4" w:rsidRDefault="00000000">
      <w:pPr>
        <w:pStyle w:val="a3"/>
      </w:pPr>
      <w:r>
        <w:rPr>
          <w:rStyle w:val="a6"/>
        </w:rPr>
        <w:footnoteRef/>
      </w:r>
      <w:r>
        <w:t xml:space="preserve"> </w:t>
      </w:r>
      <w:r>
        <w:rPr>
          <w:rFonts w:hint="eastAsia"/>
        </w:rPr>
        <w:t>刘贵祥：以深化执行体制机制改革为牵引推动执行工作现代化，载</w:t>
      </w:r>
      <w:r>
        <w:rPr>
          <w:rFonts w:ascii="宋体" w:eastAsia="宋体" w:hAnsi="宋体" w:cs="宋体" w:hint="eastAsia"/>
          <w:szCs w:val="18"/>
        </w:rPr>
        <w:t>《中国法治》2025年第10期。</w:t>
      </w:r>
    </w:p>
  </w:footnote>
  <w:footnote w:id="5">
    <w:p w14:paraId="4A5AB9F4" w14:textId="77777777" w:rsidR="00D07BD4" w:rsidRDefault="00000000">
      <w:pPr>
        <w:pStyle w:val="a3"/>
      </w:pPr>
      <w:r>
        <w:rPr>
          <w:rStyle w:val="a6"/>
        </w:rPr>
        <w:footnoteRef/>
      </w:r>
      <w:r>
        <w:t xml:space="preserve"> </w:t>
      </w:r>
      <w:r>
        <w:rPr>
          <w:rFonts w:hint="eastAsia"/>
        </w:rPr>
        <w:t>陈川子：论执行法院的法律地位，载</w:t>
      </w:r>
      <w:r>
        <w:rPr>
          <w:rFonts w:ascii="宋体" w:eastAsia="宋体" w:hAnsi="宋体" w:cs="宋体" w:hint="eastAsia"/>
          <w:szCs w:val="18"/>
        </w:rPr>
        <w:t>《法律科学》2025年第4期。</w:t>
      </w:r>
    </w:p>
  </w:footnote>
  <w:footnote w:id="6">
    <w:p w14:paraId="159C9212" w14:textId="77777777" w:rsidR="00D07BD4" w:rsidRDefault="00000000">
      <w:pPr>
        <w:pStyle w:val="a3"/>
      </w:pPr>
      <w:r>
        <w:rPr>
          <w:rStyle w:val="a6"/>
        </w:rPr>
        <w:footnoteRef/>
      </w:r>
      <w:r>
        <w:t xml:space="preserve">  </w:t>
      </w:r>
      <w:r>
        <w:rPr>
          <w:rFonts w:hint="eastAsia"/>
        </w:rPr>
        <w:t>唐力：公益诉讼判决执行权配置的实践逻辑与范式重构，载</w:t>
      </w:r>
      <w:r>
        <w:rPr>
          <w:rFonts w:ascii="宋体" w:eastAsia="宋体" w:hAnsi="宋体" w:cs="宋体" w:hint="eastAsia"/>
          <w:szCs w:val="18"/>
        </w:rPr>
        <w:t>《国家检察官学院学报》2025年第4期。</w:t>
      </w:r>
    </w:p>
  </w:footnote>
  <w:footnote w:id="7">
    <w:p w14:paraId="329C7A82" w14:textId="77777777" w:rsidR="00D07BD4" w:rsidRDefault="00000000">
      <w:pPr>
        <w:pStyle w:val="a3"/>
      </w:pPr>
      <w:r>
        <w:rPr>
          <w:rStyle w:val="a6"/>
        </w:rPr>
        <w:footnoteRef/>
      </w:r>
      <w:r>
        <w:t xml:space="preserve">  </w:t>
      </w:r>
      <w:r>
        <w:rPr>
          <w:rFonts w:hint="eastAsia"/>
        </w:rPr>
        <w:t>吴英姿：深化审执分离改革研究，载</w:t>
      </w:r>
      <w:r>
        <w:rPr>
          <w:rFonts w:ascii="宋体" w:eastAsia="宋体" w:hAnsi="宋体" w:cs="宋体" w:hint="eastAsia"/>
          <w:szCs w:val="18"/>
        </w:rPr>
        <w:t>《中国法律评论》2025年第3期。</w:t>
      </w:r>
    </w:p>
  </w:footnote>
  <w:footnote w:id="8">
    <w:p w14:paraId="38148905" w14:textId="77777777" w:rsidR="00D07BD4" w:rsidRDefault="00000000">
      <w:pPr>
        <w:pStyle w:val="a3"/>
      </w:pPr>
      <w:r>
        <w:rPr>
          <w:rStyle w:val="a6"/>
        </w:rPr>
        <w:footnoteRef/>
      </w:r>
      <w:r>
        <w:t xml:space="preserve">  </w:t>
      </w:r>
      <w:r>
        <w:rPr>
          <w:rFonts w:hint="eastAsia"/>
        </w:rPr>
        <w:t>黄忠顺、刘宏林：论以人民为中心的行政执行体制改革，载</w:t>
      </w:r>
      <w:r>
        <w:rPr>
          <w:rFonts w:ascii="宋体" w:eastAsia="宋体" w:hAnsi="宋体" w:cs="宋体" w:hint="eastAsia"/>
          <w:szCs w:val="18"/>
        </w:rPr>
        <w:t>《山东大学学报（哲学社会科学版）》2025年第5期。</w:t>
      </w:r>
    </w:p>
  </w:footnote>
  <w:footnote w:id="9">
    <w:p w14:paraId="06D95CB6" w14:textId="77777777" w:rsidR="00D07BD4" w:rsidRDefault="00000000">
      <w:pPr>
        <w:pStyle w:val="a3"/>
      </w:pPr>
      <w:r>
        <w:rPr>
          <w:rStyle w:val="a6"/>
        </w:rPr>
        <w:footnoteRef/>
      </w:r>
      <w:r>
        <w:t xml:space="preserve"> </w:t>
      </w:r>
      <w:r>
        <w:rPr>
          <w:rFonts w:hint="eastAsia"/>
        </w:rPr>
        <w:t>唐力：公益诉讼判决执行权配置的实践逻辑与范式重构，载</w:t>
      </w:r>
      <w:r>
        <w:rPr>
          <w:rFonts w:ascii="宋体" w:eastAsia="宋体" w:hAnsi="宋体" w:cs="宋体" w:hint="eastAsia"/>
          <w:szCs w:val="18"/>
        </w:rPr>
        <w:t>《国家检察官学院学报》2025年第4期。</w:t>
      </w:r>
    </w:p>
  </w:footnote>
  <w:footnote w:id="10">
    <w:p w14:paraId="5BC66810" w14:textId="77777777" w:rsidR="00D07BD4" w:rsidRDefault="00000000">
      <w:pPr>
        <w:pStyle w:val="a3"/>
      </w:pPr>
      <w:r>
        <w:rPr>
          <w:rStyle w:val="a6"/>
        </w:rPr>
        <w:footnoteRef/>
      </w:r>
      <w:r>
        <w:t xml:space="preserve">  </w:t>
      </w:r>
      <w:r>
        <w:rPr>
          <w:rFonts w:hint="eastAsia"/>
        </w:rPr>
        <w:t>吴英姿：深化审执分离改革研究，载</w:t>
      </w:r>
      <w:r>
        <w:rPr>
          <w:rFonts w:ascii="宋体" w:eastAsia="宋体" w:hAnsi="宋体" w:cs="宋体" w:hint="eastAsia"/>
          <w:szCs w:val="18"/>
        </w:rPr>
        <w:t>《中国法律评论》2025年第3期。</w:t>
      </w:r>
    </w:p>
  </w:footnote>
  <w:footnote w:id="11">
    <w:p w14:paraId="6593259F" w14:textId="77777777" w:rsidR="00D07BD4" w:rsidRDefault="00000000">
      <w:pPr>
        <w:pStyle w:val="a3"/>
      </w:pPr>
      <w:r>
        <w:rPr>
          <w:rStyle w:val="a6"/>
        </w:rPr>
        <w:footnoteRef/>
      </w:r>
      <w:r>
        <w:t xml:space="preserve"> </w:t>
      </w:r>
      <w:r>
        <w:rPr>
          <w:rFonts w:hint="eastAsia"/>
        </w:rPr>
        <w:t>马登科、黄鑫路：深化审执分离之执行启动审查权重构论，载</w:t>
      </w:r>
      <w:r>
        <w:rPr>
          <w:rFonts w:ascii="宋体" w:eastAsia="宋体" w:hAnsi="宋体" w:cs="宋体" w:hint="eastAsia"/>
          <w:szCs w:val="18"/>
        </w:rPr>
        <w:t>《法治现代化研究》2025年第9期。</w:t>
      </w:r>
    </w:p>
  </w:footnote>
  <w:footnote w:id="12">
    <w:p w14:paraId="59172F9C" w14:textId="77777777" w:rsidR="00D07BD4" w:rsidRDefault="00000000">
      <w:pPr>
        <w:pStyle w:val="a3"/>
      </w:pPr>
      <w:r>
        <w:rPr>
          <w:rStyle w:val="a6"/>
        </w:rPr>
        <w:footnoteRef/>
      </w:r>
      <w:r>
        <w:t xml:space="preserve"> </w:t>
      </w:r>
      <w:r>
        <w:rPr>
          <w:rFonts w:hint="eastAsia"/>
        </w:rPr>
        <w:t>黄忠顺、刘宏林：论以人民为中心的行政执行体制改革，载</w:t>
      </w:r>
      <w:r>
        <w:rPr>
          <w:rFonts w:ascii="宋体" w:eastAsia="宋体" w:hAnsi="宋体" w:cs="宋体" w:hint="eastAsia"/>
          <w:szCs w:val="18"/>
        </w:rPr>
        <w:t>《山东大学学报（哲学社会科学版）》2025年第5期。</w:t>
      </w:r>
    </w:p>
  </w:footnote>
  <w:footnote w:id="13">
    <w:p w14:paraId="698A4E42" w14:textId="77777777" w:rsidR="00D07BD4" w:rsidRDefault="00000000">
      <w:pPr>
        <w:pStyle w:val="a3"/>
      </w:pPr>
      <w:r>
        <w:rPr>
          <w:rStyle w:val="a6"/>
        </w:rPr>
        <w:footnoteRef/>
      </w:r>
      <w:r>
        <w:t xml:space="preserve"> </w:t>
      </w:r>
      <w:r>
        <w:rPr>
          <w:rFonts w:hint="eastAsia"/>
        </w:rPr>
        <w:t>陈杭平：“交叉执行”若干理论问题研究，载</w:t>
      </w:r>
      <w:r>
        <w:rPr>
          <w:rFonts w:ascii="宋体" w:eastAsia="宋体" w:hAnsi="宋体" w:cs="宋体" w:hint="eastAsia"/>
          <w:szCs w:val="18"/>
        </w:rPr>
        <w:t>《法律适用》2025年第2期。</w:t>
      </w:r>
    </w:p>
  </w:footnote>
  <w:footnote w:id="14">
    <w:p w14:paraId="79E92AF7" w14:textId="77777777" w:rsidR="00D07BD4" w:rsidRDefault="00000000">
      <w:pPr>
        <w:pStyle w:val="a3"/>
      </w:pPr>
      <w:r>
        <w:rPr>
          <w:rStyle w:val="a6"/>
        </w:rPr>
        <w:footnoteRef/>
      </w:r>
      <w:r>
        <w:t xml:space="preserve"> </w:t>
      </w:r>
      <w:r>
        <w:rPr>
          <w:rFonts w:hint="eastAsia"/>
        </w:rPr>
        <w:t>向国慧：交叉执行常见问题探析，载</w:t>
      </w:r>
      <w:r>
        <w:rPr>
          <w:rFonts w:ascii="宋体" w:eastAsia="宋体" w:hAnsi="宋体" w:cs="宋体" w:hint="eastAsia"/>
          <w:szCs w:val="18"/>
        </w:rPr>
        <w:t>《法律适用》2025年第12期。</w:t>
      </w:r>
    </w:p>
  </w:footnote>
  <w:footnote w:id="15">
    <w:p w14:paraId="012242A4" w14:textId="77777777" w:rsidR="00D07BD4" w:rsidRDefault="00000000">
      <w:pPr>
        <w:pStyle w:val="a3"/>
      </w:pPr>
      <w:r>
        <w:rPr>
          <w:rStyle w:val="a6"/>
        </w:rPr>
        <w:footnoteRef/>
      </w:r>
      <w:r>
        <w:t xml:space="preserve"> </w:t>
      </w:r>
      <w:r>
        <w:rPr>
          <w:rFonts w:hint="eastAsia"/>
        </w:rPr>
        <w:t>刘颖：交叉执行的解释论，载</w:t>
      </w:r>
      <w:r>
        <w:rPr>
          <w:rFonts w:ascii="宋体" w:eastAsia="宋体" w:hAnsi="宋体" w:cs="宋体" w:hint="eastAsia"/>
          <w:szCs w:val="18"/>
        </w:rPr>
        <w:t>《法律适用》2025年第2期。</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审稿人">
    <w15:presenceInfo w15:providerId="None" w15:userId="审稿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SystemFonts/>
  <w:proofState w:spelling="clean" w:grammar="clean"/>
  <w:defaultTabStop w:val="420"/>
  <w:drawingGridVerticalSpacing w:val="156"/>
  <w:noPunctuationKerning/>
  <w:characterSpacingControl w:val="compressPunctuation"/>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B8BBF3A4"/>
    <w:rsid w:val="B8BBF3A4"/>
    <w:rsid w:val="F1FFEE35"/>
    <w:rsid w:val="007C3E18"/>
    <w:rsid w:val="008F3E8E"/>
    <w:rsid w:val="00D07BD4"/>
    <w:rsid w:val="00F26C95"/>
    <w:rsid w:val="1CDE1C1E"/>
    <w:rsid w:val="6BBB2589"/>
    <w:rsid w:val="6BED2A6C"/>
    <w:rsid w:val="7BFA8B97"/>
    <w:rsid w:val="7DFF56D2"/>
    <w:rsid w:val="98B7EFF4"/>
    <w:rsid w:val="B8BBF3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7A0FDBD"/>
  <w15:docId w15:val="{405872A4-2DC5-7742-8D39-8BF0F9395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pPr>
      <w:snapToGrid w:val="0"/>
      <w:jc w:val="left"/>
    </w:pPr>
    <w:rPr>
      <w:sz w:val="18"/>
    </w:rPr>
  </w:style>
  <w:style w:type="paragraph" w:styleId="a4">
    <w:name w:val="Normal (Web)"/>
    <w:basedOn w:val="a"/>
    <w:pPr>
      <w:spacing w:beforeAutospacing="1" w:afterAutospacing="1"/>
      <w:jc w:val="left"/>
    </w:pPr>
    <w:rPr>
      <w:rFonts w:cs="Times New Roman"/>
      <w:kern w:val="0"/>
      <w:sz w:val="24"/>
    </w:rPr>
  </w:style>
  <w:style w:type="character" w:styleId="a5">
    <w:name w:val="Strong"/>
    <w:basedOn w:val="a0"/>
    <w:qFormat/>
    <w:rPr>
      <w:b/>
    </w:rPr>
  </w:style>
  <w:style w:type="character" w:styleId="a6">
    <w:name w:val="footnote reference"/>
    <w:basedOn w:val="a0"/>
    <w:rPr>
      <w:vertAlign w:val="superscript"/>
    </w:rPr>
  </w:style>
  <w:style w:type="character" w:styleId="a7">
    <w:name w:val="annotation reference"/>
    <w:basedOn w:val="a0"/>
    <w:rsid w:val="00F26C95"/>
    <w:rPr>
      <w:sz w:val="21"/>
      <w:szCs w:val="21"/>
    </w:rPr>
  </w:style>
  <w:style w:type="paragraph" w:styleId="a8">
    <w:name w:val="annotation text"/>
    <w:basedOn w:val="a"/>
    <w:link w:val="a9"/>
    <w:rsid w:val="00F26C95"/>
    <w:pPr>
      <w:jc w:val="left"/>
    </w:pPr>
  </w:style>
  <w:style w:type="character" w:customStyle="1" w:styleId="a9">
    <w:name w:val="批注文字 字符"/>
    <w:basedOn w:val="a0"/>
    <w:link w:val="a8"/>
    <w:rsid w:val="00F26C95"/>
    <w:rPr>
      <w:rFonts w:asciiTheme="minorHAnsi" w:hAnsiTheme="minorHAnsi" w:cstheme="minorBidi"/>
      <w:kern w:val="2"/>
      <w:sz w:val="21"/>
      <w:szCs w:val="24"/>
    </w:rPr>
  </w:style>
  <w:style w:type="paragraph" w:styleId="aa">
    <w:name w:val="annotation subject"/>
    <w:basedOn w:val="a8"/>
    <w:next w:val="a8"/>
    <w:link w:val="ab"/>
    <w:rsid w:val="00F26C95"/>
    <w:rPr>
      <w:b/>
      <w:bCs/>
    </w:rPr>
  </w:style>
  <w:style w:type="character" w:customStyle="1" w:styleId="ab">
    <w:name w:val="批注主题 字符"/>
    <w:basedOn w:val="a9"/>
    <w:link w:val="aa"/>
    <w:rsid w:val="00F26C95"/>
    <w:rPr>
      <w:rFonts w:asciiTheme="minorHAnsi" w:hAnsiTheme="minorHAnsi" w:cstheme="minorBidi"/>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14</Pages>
  <Words>2133</Words>
  <Characters>12161</Characters>
  <Application>Microsoft Office Word</Application>
  <DocSecurity>0</DocSecurity>
  <Lines>101</Lines>
  <Paragraphs>28</Paragraphs>
  <ScaleCrop>false</ScaleCrop>
  <Company/>
  <LinksUpToDate>false</LinksUpToDate>
  <CharactersWithSpaces>14266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小仲</dc:creator>
  <cp:lastModifiedBy>审稿人</cp:lastModifiedBy>
  <cp:revision>2</cp:revision>
  <dcterms:created xsi:type="dcterms:W3CDTF">2026-02-20T16:57:00Z</dcterms:created>
  <dcterms:modified xsi:type="dcterms:W3CDTF">2026-04-12T13:49:00Z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4CDE80178D472D9F25B5C86941896C1C_43</vt:lpwstr>
  </property>
</Properties>
</file>