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DB30F" w14:textId="77777777" w:rsidR="000406B1" w:rsidRDefault="000406B1" w:rsidP="000406B1">
      <w:pPr>
        <w:spacing w:line="360" w:lineRule="auto"/>
        <w:jc w:val="center"/>
        <w:rPr>
          <w:sz w:val="24"/>
          <w:szCs w:val="24"/>
        </w:rPr>
      </w:pPr>
    </w:p>
    <w:p w14:paraId="291B3E69" w14:textId="77777777" w:rsidR="000406B1" w:rsidRDefault="000406B1" w:rsidP="000406B1">
      <w:pPr>
        <w:spacing w:after="160" w:line="276" w:lineRule="auto"/>
        <w:jc w:val="center"/>
        <w:rPr>
          <w:rFonts w:ascii="黑体" w:eastAsia="黑体" w:hAnsi="黑体"/>
          <w:sz w:val="36"/>
          <w:szCs w:val="36"/>
        </w:rPr>
      </w:pPr>
      <w:r>
        <w:rPr>
          <w:rFonts w:ascii="黑体" w:eastAsia="黑体" w:hAnsi="黑体" w:hint="eastAsia"/>
          <w:sz w:val="36"/>
          <w:szCs w:val="36"/>
        </w:rPr>
        <w:t>论无效合同的效力转换</w:t>
      </w:r>
    </w:p>
    <w:p w14:paraId="153614A5" w14:textId="77777777" w:rsidR="000406B1" w:rsidRDefault="000406B1" w:rsidP="000406B1">
      <w:pPr>
        <w:spacing w:line="360" w:lineRule="auto"/>
        <w:rPr>
          <w:rFonts w:hint="eastAsia"/>
          <w:bCs/>
        </w:rPr>
      </w:pPr>
      <w:r>
        <w:rPr>
          <w:rFonts w:ascii="宋体" w:hAnsi="宋体" w:hint="eastAsia"/>
          <w:b/>
        </w:rPr>
        <w:t>摘要</w:t>
      </w:r>
      <w:r>
        <w:rPr>
          <w:rFonts w:hint="eastAsia"/>
          <w:b/>
        </w:rPr>
        <w:t>:</w:t>
      </w:r>
      <w:r>
        <w:rPr>
          <w:rFonts w:ascii="宋体" w:hAnsi="宋体" w:hint="eastAsia"/>
          <w:bCs/>
        </w:rPr>
        <w:t>合同被认定无效后，其法律效果是否只能是自始不发生效力，抑或存在向有效状态转换的可能？这一问题在中国法上长期缺乏体系化的理论回应。本文以无效合同的效力转换为研究对象，在梳理中国现行法律、司法解释及裁判实践的基础上，引入德国法上法律行为转换制度作为比较法参照，对无效合同效力转换的类型、构成要件与正当性基础进行系统分析。本文将无效合同的效力转换区分为三种基本类型：瑕疵补正型转换、法律行为性质转换与合同缩减型转换，并分别结合中德两国的典型案例加以分析。在此基础上，本文提出中国法应当在坚持合同无效制度的前提下，借鉴比较法经验，构建有限的无效合同效力转换规则体系，以平衡私法自治保护与交易安全。</w:t>
      </w:r>
    </w:p>
    <w:p w14:paraId="56C2B0E4" w14:textId="77777777" w:rsidR="000406B1" w:rsidRDefault="000406B1" w:rsidP="000406B1">
      <w:pPr>
        <w:spacing w:line="360" w:lineRule="auto"/>
        <w:rPr>
          <w:rFonts w:hint="eastAsia"/>
          <w:bCs/>
        </w:rPr>
      </w:pPr>
      <w:r>
        <w:rPr>
          <w:rFonts w:ascii="宋体" w:hAnsi="宋体" w:hint="eastAsia"/>
          <w:b/>
        </w:rPr>
        <w:t>关键词</w:t>
      </w:r>
      <w:r>
        <w:rPr>
          <w:rFonts w:ascii="宋体" w:hAnsi="宋体" w:hint="eastAsia"/>
          <w:bCs/>
        </w:rPr>
        <w:t>：无效合同；效力转换；瑕疵补正；法律行为转换；合同缩减；比较法</w:t>
      </w:r>
    </w:p>
    <w:p w14:paraId="06090874" w14:textId="77777777" w:rsidR="000406B1" w:rsidRDefault="000406B1" w:rsidP="000406B1">
      <w:pPr>
        <w:spacing w:after="160" w:line="276" w:lineRule="auto"/>
        <w:jc w:val="left"/>
        <w:rPr>
          <w:rFonts w:ascii="黑体" w:eastAsia="黑体" w:hAnsi="黑体" w:hint="eastAsia"/>
          <w:sz w:val="28"/>
          <w:szCs w:val="28"/>
        </w:rPr>
      </w:pPr>
      <w:r>
        <w:rPr>
          <w:rFonts w:ascii="黑体" w:eastAsia="黑体" w:hAnsi="黑体" w:hint="eastAsia"/>
          <w:sz w:val="28"/>
          <w:szCs w:val="28"/>
        </w:rPr>
        <w:t>一、问题的提出</w:t>
      </w:r>
    </w:p>
    <w:p w14:paraId="2395F3A7"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合同无效制度是民法控制法律行为效力的关键手段。根据《民法典》第155条、第157条，无效合同</w:t>
      </w:r>
      <w:proofErr w:type="gramStart"/>
      <w:r>
        <w:rPr>
          <w:rFonts w:ascii="宋体" w:hAnsi="宋体" w:hint="eastAsia"/>
        </w:rPr>
        <w:t>自始无约束力</w:t>
      </w:r>
      <w:proofErr w:type="gramEnd"/>
      <w:r>
        <w:rPr>
          <w:rFonts w:ascii="宋体" w:hAnsi="宋体" w:hint="eastAsia"/>
        </w:rPr>
        <w:t>，无效后应返还财产、赔偿损失。但在司法实践里，不少合同已经长期实际履行，由此形成的利益关系也和第三人利益、社会公共利益紧密相连。如果直接简单认定合同无效，不仅会造成大量交易资源浪费，还会得出明显不公平的处理结果。</w:t>
      </w:r>
    </w:p>
    <w:p w14:paraId="4AB11945"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以建设工程领域为例。实践中大量存在施工企业借用资质签订建设工程施工合同的情形。依据《建设工程司法解释（一）》（法释〔2020〕25号）第一条，此类合同应认定为无效。但同一司法解释第二十四条又规定，当建设工程经竣工验收合格时，承包人请求参照合同关于工程价款的约定折价补偿的，人民法院应</w:t>
      </w:r>
      <w:proofErr w:type="gramStart"/>
      <w:r>
        <w:rPr>
          <w:rFonts w:ascii="宋体" w:hAnsi="宋体" w:hint="eastAsia"/>
        </w:rPr>
        <w:t>予支</w:t>
      </w:r>
      <w:proofErr w:type="gramEnd"/>
      <w:r>
        <w:rPr>
          <w:rFonts w:ascii="宋体" w:hAnsi="宋体" w:hint="eastAsia"/>
        </w:rPr>
        <w:t>持。即合同虽然在法律评价上被认定为无效，但其核心条款仍然被作为确定当事人权利义务的依据。无效合同事实上发挥了有效合同的部分功能。类似的现象在商品房买卖、让与担保等领域同样存在。这些现象共同指向了一个问题：合同无效是否意味着效力评价的终点？在无效与有效之间，是否存在效力转换的途径？</w:t>
      </w:r>
    </w:p>
    <w:p w14:paraId="07235079" w14:textId="77777777" w:rsidR="000406B1" w:rsidRDefault="000406B1" w:rsidP="000406B1">
      <w:pPr>
        <w:spacing w:after="160" w:line="276" w:lineRule="auto"/>
        <w:jc w:val="left"/>
        <w:rPr>
          <w:rFonts w:ascii="黑体" w:eastAsia="黑体" w:hAnsi="黑体" w:hint="eastAsia"/>
          <w:sz w:val="24"/>
          <w:szCs w:val="24"/>
        </w:rPr>
      </w:pPr>
      <w:r>
        <w:rPr>
          <w:rFonts w:ascii="黑体" w:eastAsia="黑体" w:hAnsi="黑体" w:hint="eastAsia"/>
          <w:sz w:val="24"/>
          <w:szCs w:val="24"/>
        </w:rPr>
        <w:t>（一）概念界定</w:t>
      </w:r>
    </w:p>
    <w:p w14:paraId="70D2F4B7" w14:textId="77777777" w:rsidR="000406B1" w:rsidRDefault="000406B1" w:rsidP="000406B1">
      <w:pPr>
        <w:pStyle w:val="ae"/>
        <w:shd w:val="clear" w:color="auto" w:fill="FFFFFF"/>
        <w:autoSpaceDE w:val="0"/>
        <w:spacing w:before="0" w:beforeAutospacing="0" w:after="0" w:afterAutospacing="0" w:line="400" w:lineRule="exact"/>
        <w:ind w:firstLineChars="200" w:firstLine="420"/>
        <w:rPr>
          <w:rFonts w:hint="eastAsia"/>
          <w:kern w:val="2"/>
          <w:sz w:val="21"/>
          <w:szCs w:val="21"/>
        </w:rPr>
      </w:pPr>
      <w:r>
        <w:rPr>
          <w:rFonts w:hint="eastAsia"/>
          <w:kern w:val="2"/>
          <w:sz w:val="21"/>
          <w:szCs w:val="21"/>
        </w:rPr>
        <w:t>本文所称“无效合同的效力转换”，是指当事人的合意因欠缺法定形式要件或其他生效要件，原本不能产生合同拘束力（无论其在教义学上被定性为“未成立”还是“无效”），但依据特定的法律规则，通过事后行为或替代机制使其获得法律效力的过程</w:t>
      </w:r>
      <w:r>
        <w:rPr>
          <w:rFonts w:hint="eastAsia"/>
          <w:kern w:val="2"/>
          <w:sz w:val="21"/>
          <w:szCs w:val="21"/>
          <w:vertAlign w:val="superscript"/>
        </w:rPr>
        <w:t>[1]</w:t>
      </w:r>
      <w:r>
        <w:rPr>
          <w:rFonts w:hint="eastAsia"/>
          <w:kern w:val="2"/>
          <w:sz w:val="21"/>
          <w:szCs w:val="21"/>
        </w:rPr>
        <w:t>。这一概念包含以下要素：</w:t>
      </w:r>
    </w:p>
    <w:p w14:paraId="68030A9D" w14:textId="77777777" w:rsidR="000406B1" w:rsidRDefault="000406B1" w:rsidP="000406B1">
      <w:pPr>
        <w:pStyle w:val="ae"/>
        <w:shd w:val="clear" w:color="auto" w:fill="FFFFFF"/>
        <w:autoSpaceDE w:val="0"/>
        <w:spacing w:before="0" w:beforeAutospacing="0" w:after="0" w:afterAutospacing="0" w:line="400" w:lineRule="exact"/>
        <w:ind w:firstLineChars="200" w:firstLine="420"/>
        <w:rPr>
          <w:rFonts w:hint="eastAsia"/>
          <w:kern w:val="2"/>
          <w:sz w:val="21"/>
          <w:szCs w:val="21"/>
        </w:rPr>
      </w:pPr>
      <w:r>
        <w:rPr>
          <w:rFonts w:hint="eastAsia"/>
          <w:kern w:val="2"/>
          <w:sz w:val="21"/>
          <w:szCs w:val="21"/>
        </w:rPr>
        <w:lastRenderedPageBreak/>
        <w:t>第一，前提是合意原本不产生合同拘束力。</w:t>
      </w:r>
      <w:proofErr w:type="gramStart"/>
      <w:r>
        <w:rPr>
          <w:rFonts w:hint="eastAsia"/>
          <w:kern w:val="2"/>
          <w:sz w:val="21"/>
          <w:szCs w:val="21"/>
        </w:rPr>
        <w:t>若合同</w:t>
      </w:r>
      <w:proofErr w:type="gramEnd"/>
      <w:r>
        <w:rPr>
          <w:rFonts w:hint="eastAsia"/>
          <w:kern w:val="2"/>
          <w:sz w:val="21"/>
          <w:szCs w:val="21"/>
        </w:rPr>
        <w:t>已有效成立或已完全生效，则不存在效力转换的问题。这种拘束力的欠缺，既可以源于合同因法定无效事由被认定为无效，也可以源于因未采用法定或约定的书面形式而被评价为“未成立”——两者的共同点在于，当事人均无法以合同之诉请求对方履行。</w:t>
      </w:r>
    </w:p>
    <w:p w14:paraId="57BB05DF" w14:textId="77777777" w:rsidR="000406B1" w:rsidRDefault="000406B1" w:rsidP="000406B1">
      <w:pPr>
        <w:pStyle w:val="ae"/>
        <w:shd w:val="clear" w:color="auto" w:fill="FFFFFF"/>
        <w:autoSpaceDE w:val="0"/>
        <w:spacing w:before="0" w:beforeAutospacing="0" w:after="0" w:afterAutospacing="0" w:line="400" w:lineRule="exact"/>
        <w:ind w:firstLineChars="200" w:firstLine="420"/>
        <w:rPr>
          <w:rFonts w:hint="eastAsia"/>
          <w:kern w:val="2"/>
          <w:sz w:val="21"/>
          <w:szCs w:val="21"/>
        </w:rPr>
      </w:pPr>
      <w:r>
        <w:rPr>
          <w:rFonts w:hint="eastAsia"/>
          <w:kern w:val="2"/>
          <w:sz w:val="21"/>
          <w:szCs w:val="21"/>
        </w:rPr>
        <w:t>第二，转换的结果是使该合意或其部分内容获得法律效力。这种效力可能是使原合同整体恢复拘束力，也可能是使部分条款独立生效，还可能是将原无效行为转换为另一种有效法律行为。</w:t>
      </w:r>
    </w:p>
    <w:p w14:paraId="3CDD17E0" w14:textId="77777777" w:rsidR="000406B1" w:rsidRDefault="000406B1" w:rsidP="000406B1">
      <w:pPr>
        <w:pStyle w:val="ae"/>
        <w:shd w:val="clear" w:color="auto" w:fill="FFFFFF"/>
        <w:autoSpaceDE w:val="0"/>
        <w:spacing w:before="0" w:beforeAutospacing="0" w:after="0" w:afterAutospacing="0" w:line="400" w:lineRule="exact"/>
        <w:ind w:firstLineChars="200" w:firstLine="420"/>
        <w:rPr>
          <w:rFonts w:hint="eastAsia"/>
          <w:kern w:val="2"/>
          <w:sz w:val="21"/>
          <w:szCs w:val="21"/>
        </w:rPr>
      </w:pPr>
      <w:r>
        <w:rPr>
          <w:rFonts w:hint="eastAsia"/>
          <w:kern w:val="2"/>
          <w:sz w:val="21"/>
          <w:szCs w:val="21"/>
        </w:rPr>
        <w:t>第三，转换须以法律明文规定或法理认可的规则为依据，而非由当事人或法院任意认定。</w:t>
      </w:r>
    </w:p>
    <w:p w14:paraId="08E9BA61"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在广义效力转换的论域中，将《民法典》第四百九十条条第二款和《民法典》第五百零二条第二款纳入讨论具有充分的合理性。诚然，该款在教义学表达上处理的是合同"成立"而非"有效"问题，但广义效力转换所关注的核心并非"成立"与"有效"的概念区分，而是法律拘束力从无到有的生成机制及其功能效果。</w:t>
      </w:r>
    </w:p>
    <w:p w14:paraId="099FD217"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就规范效果而言，当法律、行政法规或当事人约定要求书面形式而未采用书面形式时，当事人之间的合意原则上不能进入可诉的合同拘束力体系，无论将其定性为"未成立"还是"未生效"，其共同点在于当事人无法以合同之诉强制对方履行；而一旦一方已履行主要义务、对方予以受领，法律即承认合同成立，当事人关系由此从不当得利返还或缔约过失等非合同救济路径，转入合同法上的履行请求权与违约责任体系，责任基础与救济强度发生质变。这种"原本不发生合同拘束力的合意，在特定条件下获得拘束力"的实质转变，与效力转换"使原本不生效的法律行为获得效力"的制度功能高度一致。</w:t>
      </w:r>
    </w:p>
    <w:p w14:paraId="534B6E55"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就规范结构而言，该款呈现出典型的"要件</w:t>
      </w:r>
      <w:proofErr w:type="gramStart"/>
      <w:r>
        <w:rPr>
          <w:rFonts w:ascii="宋体" w:hAnsi="宋体" w:hint="eastAsia"/>
        </w:rPr>
        <w:t>欠缺—</w:t>
      </w:r>
      <w:proofErr w:type="gramEnd"/>
      <w:r>
        <w:rPr>
          <w:rFonts w:ascii="宋体" w:hAnsi="宋体" w:hint="eastAsia"/>
        </w:rPr>
        <w:t>瑕疵补正—赋予效力"构造：先以形式欠缺否定合同拘束力，再以履行与受领为触发条件承认合同成立。这一结构与效力转换规则"先否定某种法律效果，再在特定条件下承认替代性效果"的规范构造一致。</w:t>
      </w:r>
    </w:p>
    <w:p w14:paraId="0FD492A4"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就制度功能而言，实际履行与受领在相当程度上替代或补足了书面形式的证据功能与维护交易安全功能：主要义务的履行本身构成交易存在与核心给付内容的强证据，而</w:t>
      </w:r>
      <w:proofErr w:type="gramStart"/>
      <w:r>
        <w:rPr>
          <w:rFonts w:ascii="宋体" w:hAnsi="宋体" w:hint="eastAsia"/>
        </w:rPr>
        <w:t>作出</w:t>
      </w:r>
      <w:proofErr w:type="gramEnd"/>
      <w:r>
        <w:rPr>
          <w:rFonts w:ascii="宋体" w:hAnsi="宋体" w:hint="eastAsia"/>
        </w:rPr>
        <w:t>主要履行通常比签署文件更能体现当事人的认真承诺。同时，该款通过防止受领方在获取给付利益后以形式瑕疵为由否认合同存在，有效抑制了机会主义行为，保护了履行方的合理信赖与既有给付秩序。这些抑制形式主义对真实交易的过度否定、保护信赖与给付秩序、防止机会主义等价值取向，与效力转换制度"在不完全牺牲强制规范目的的前提下尽量承认当事人真实交易意图"的正当性基础同源。因此，虽然他们属于"成立"问题，与"效力"问题在教义学归属上有所不同，但二者在制度功能上同样完成了对形式瑕疵交易的法律承认，在广义效力转换的功能谱系中占有位置。将其作为广义效力转换的一种类型进行分析，既不违背体系区分，亦能更准确地揭示该条背后的价值衡量与规则逻辑。</w:t>
      </w:r>
    </w:p>
    <w:p w14:paraId="690A564C" w14:textId="77777777" w:rsidR="000406B1" w:rsidRDefault="000406B1" w:rsidP="000406B1">
      <w:pPr>
        <w:spacing w:after="160" w:line="276" w:lineRule="auto"/>
        <w:jc w:val="left"/>
        <w:rPr>
          <w:rFonts w:ascii="黑体" w:eastAsia="黑体" w:hAnsi="黑体" w:hint="eastAsia"/>
          <w:sz w:val="24"/>
          <w:szCs w:val="24"/>
        </w:rPr>
      </w:pPr>
      <w:r>
        <w:rPr>
          <w:rFonts w:ascii="黑体" w:eastAsia="黑体" w:hAnsi="黑体" w:hint="eastAsia"/>
          <w:sz w:val="24"/>
          <w:szCs w:val="24"/>
        </w:rPr>
        <w:t>（二）研究方法</w:t>
      </w:r>
    </w:p>
    <w:p w14:paraId="4C9D8EB4"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lastRenderedPageBreak/>
        <w:t>本文采用类型化分析与比较法研究相结合，通过归纳中国现行法律</w:t>
      </w:r>
      <w:proofErr w:type="gramStart"/>
      <w:r>
        <w:rPr>
          <w:rFonts w:ascii="宋体" w:hAnsi="宋体" w:hint="eastAsia"/>
        </w:rPr>
        <w:t>及裁典型</w:t>
      </w:r>
      <w:proofErr w:type="gramEnd"/>
      <w:r>
        <w:rPr>
          <w:rFonts w:ascii="宋体" w:hAnsi="宋体" w:hint="eastAsia"/>
        </w:rPr>
        <w:t>案例，总结无效合同效力转换的基本类型。在比较法方面，本文以德国法为主要参照对象，重点分析《德国民法典》第一百三十九条（部分无效）、第一百四十条（法律行为转换）等制度的规范构造。</w:t>
      </w:r>
    </w:p>
    <w:p w14:paraId="53787B36"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合同无效效力转换制度，以私法自治、交易效率、诚实信用以及比例原则作为理论基础。私法自治核心是尊重当事人自愿订立合同的真实意思。实践中很多合同无效，只是因为资质、程序、形式等外在手续存在瑕疵，并非当事人订立合同的本意违法。通过效力转换，能够把合同改成合法有效的形式，实现双方原本正常的交易目的。从交易效率角度来说，直接认定合同无效，会产生缔约、履行、返还财产等一系列额外成本。对于已经实际履行完毕的合同，再要求恢复原状既不经济，现实中也很难操作。采用效力转换的方式，可以避免整个交易彻底作废，节约社会资源，同时稳定已经形成的交易秩序。根据诚实信用原则，效力转换还能防止一方当事人在合同履行完毕后，恶意反悔主张合同无效的投机行为。</w:t>
      </w:r>
      <w:proofErr w:type="gramStart"/>
      <w:r>
        <w:rPr>
          <w:rFonts w:ascii="宋体" w:hAnsi="宋体" w:hint="eastAsia"/>
        </w:rPr>
        <w:t>而比例</w:t>
      </w:r>
      <w:proofErr w:type="gramEnd"/>
      <w:r>
        <w:rPr>
          <w:rFonts w:ascii="宋体" w:hAnsi="宋体" w:hint="eastAsia"/>
        </w:rPr>
        <w:t>原则要求法律对合同效力的否定评价，应当和合同存在的违法瑕疵程度相匹配。对于严重违反法律强制性规定、违背公序良俗的合同，必须严格认定无效；但如果只是形式、程序上的技术性瑕疵，当事人意思表示真实、内容本身合法，适用效力转换就更为合理。</w:t>
      </w:r>
    </w:p>
    <w:p w14:paraId="501BAF11" w14:textId="77777777" w:rsidR="000406B1" w:rsidRDefault="000406B1" w:rsidP="000406B1">
      <w:pPr>
        <w:spacing w:after="160" w:line="276" w:lineRule="auto"/>
        <w:jc w:val="left"/>
        <w:rPr>
          <w:rFonts w:ascii="黑体" w:eastAsia="黑体" w:hAnsi="黑体" w:hint="eastAsia"/>
          <w:sz w:val="28"/>
          <w:szCs w:val="28"/>
        </w:rPr>
      </w:pPr>
      <w:r>
        <w:rPr>
          <w:rFonts w:ascii="黑体" w:eastAsia="黑体" w:hAnsi="黑体" w:hint="eastAsia"/>
          <w:sz w:val="28"/>
          <w:szCs w:val="28"/>
        </w:rPr>
        <w:t>二、瑕疵补正型转换</w:t>
      </w:r>
    </w:p>
    <w:p w14:paraId="511800F5" w14:textId="77777777" w:rsidR="000406B1" w:rsidRDefault="000406B1" w:rsidP="000406B1">
      <w:pPr>
        <w:spacing w:after="160" w:line="276" w:lineRule="auto"/>
        <w:jc w:val="left"/>
        <w:rPr>
          <w:rFonts w:ascii="黑体" w:eastAsia="黑体" w:hAnsi="黑体" w:hint="eastAsia"/>
          <w:sz w:val="24"/>
          <w:szCs w:val="24"/>
        </w:rPr>
      </w:pPr>
      <w:r>
        <w:rPr>
          <w:rFonts w:ascii="黑体" w:eastAsia="黑体" w:hAnsi="黑体" w:hint="eastAsia"/>
          <w:sz w:val="24"/>
          <w:szCs w:val="24"/>
        </w:rPr>
        <w:t>（一）概念界定</w:t>
      </w:r>
    </w:p>
    <w:p w14:paraId="20E9926B"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瑕疵补正型转换，是指合同因特定瑕疵而不能产生法律效力（包括被认定为无效、未成立或未生效等情形）后，当事人通过事后消除该瑕疵事由，使同一合同获得法律效力的转换类型。其核心特征在于：转换前后是同一个合同，合同的主体、内容、标的均未改变，改变的只是导致效力障碍的瑕疵事由被消除</w:t>
      </w:r>
      <w:r>
        <w:rPr>
          <w:rFonts w:ascii="宋体" w:hAnsi="宋体" w:hint="eastAsia"/>
          <w:vertAlign w:val="superscript"/>
        </w:rPr>
        <w:t>[2]</w:t>
      </w:r>
      <w:r>
        <w:rPr>
          <w:rFonts w:ascii="宋体" w:hAnsi="宋体" w:hint="eastAsia"/>
        </w:rPr>
        <w:t>。这是中国法上最为常见、制度依据最为充分的效力转换类型。</w:t>
      </w:r>
    </w:p>
    <w:p w14:paraId="3BA2DD6D" w14:textId="77777777" w:rsidR="000406B1" w:rsidRDefault="000406B1" w:rsidP="000406B1">
      <w:pPr>
        <w:spacing w:after="160" w:line="276" w:lineRule="auto"/>
        <w:jc w:val="left"/>
        <w:rPr>
          <w:rFonts w:ascii="黑体" w:eastAsia="黑体" w:hAnsi="黑体" w:hint="eastAsia"/>
          <w:sz w:val="24"/>
          <w:szCs w:val="24"/>
        </w:rPr>
      </w:pPr>
      <w:r>
        <w:rPr>
          <w:rFonts w:ascii="黑体" w:eastAsia="黑体" w:hAnsi="黑体" w:hint="eastAsia"/>
          <w:sz w:val="24"/>
          <w:szCs w:val="24"/>
        </w:rPr>
        <w:t>（二）形式瑕疵的补正</w:t>
      </w:r>
    </w:p>
    <w:p w14:paraId="72156E2B" w14:textId="77777777" w:rsidR="000406B1" w:rsidRDefault="000406B1" w:rsidP="000406B1">
      <w:pPr>
        <w:widowControl/>
        <w:shd w:val="clear" w:color="auto" w:fill="FFFFFF"/>
        <w:autoSpaceDE w:val="0"/>
        <w:spacing w:line="278" w:lineRule="auto"/>
        <w:ind w:firstLineChars="200" w:firstLine="420"/>
        <w:rPr>
          <w:rFonts w:ascii="宋体" w:hAnsi="宋体" w:hint="eastAsia"/>
        </w:rPr>
      </w:pPr>
      <w:r>
        <w:rPr>
          <w:rFonts w:ascii="宋体" w:hAnsi="宋体" w:hint="eastAsia"/>
        </w:rPr>
        <w:t>1.规范依据</w:t>
      </w:r>
    </w:p>
    <w:p w14:paraId="3B306414" w14:textId="77777777" w:rsidR="000406B1" w:rsidRDefault="000406B1" w:rsidP="000406B1">
      <w:pPr>
        <w:widowControl/>
        <w:shd w:val="clear" w:color="auto" w:fill="FFFFFF"/>
        <w:autoSpaceDE w:val="0"/>
        <w:spacing w:line="278" w:lineRule="auto"/>
        <w:ind w:firstLineChars="200" w:firstLine="420"/>
        <w:rPr>
          <w:rFonts w:ascii="宋体" w:hAnsi="宋体" w:hint="eastAsia"/>
        </w:rPr>
      </w:pPr>
      <w:r>
        <w:rPr>
          <w:rFonts w:ascii="宋体" w:hAnsi="宋体" w:hint="eastAsia"/>
        </w:rPr>
        <w:t>《民法典》第四百九十条第二款规定：“法律、行政法规规定或者当事人约定合同应当采用书面形式订立，当事人未采用书面形式但是一方已经履行主要义务，对方接受时，该合同成立。”严格而言，该条解决的是合同“成立”问题而非“有效”问题。</w:t>
      </w:r>
    </w:p>
    <w:p w14:paraId="4A7C21DD" w14:textId="77777777" w:rsidR="000406B1" w:rsidRDefault="000406B1" w:rsidP="000406B1">
      <w:pPr>
        <w:widowControl/>
        <w:shd w:val="clear" w:color="auto" w:fill="FFFFFF"/>
        <w:autoSpaceDE w:val="0"/>
        <w:spacing w:line="278" w:lineRule="auto"/>
        <w:ind w:firstLineChars="200" w:firstLine="420"/>
        <w:rPr>
          <w:rFonts w:ascii="宋体" w:hAnsi="宋体" w:hint="eastAsia"/>
        </w:rPr>
      </w:pPr>
      <w:r>
        <w:rPr>
          <w:rFonts w:ascii="宋体" w:hAnsi="宋体" w:hint="eastAsia"/>
        </w:rPr>
        <w:t>2.案例分析</w:t>
      </w:r>
    </w:p>
    <w:p w14:paraId="172C09E2" w14:textId="77777777" w:rsidR="000406B1" w:rsidRDefault="000406B1" w:rsidP="000406B1">
      <w:pPr>
        <w:widowControl/>
        <w:shd w:val="clear" w:color="auto" w:fill="FFFFFF"/>
        <w:autoSpaceDE w:val="0"/>
        <w:spacing w:line="278" w:lineRule="auto"/>
        <w:ind w:firstLineChars="200" w:firstLine="420"/>
        <w:rPr>
          <w:rFonts w:ascii="宋体" w:hAnsi="宋体" w:hint="eastAsia"/>
        </w:rPr>
      </w:pPr>
      <w:r>
        <w:rPr>
          <w:rFonts w:ascii="宋体" w:hAnsi="宋体" w:hint="eastAsia"/>
        </w:rPr>
        <w:t>案例</w:t>
      </w:r>
      <w:proofErr w:type="gramStart"/>
      <w:r>
        <w:rPr>
          <w:rFonts w:ascii="宋体" w:hAnsi="宋体" w:hint="eastAsia"/>
        </w:rPr>
        <w:t>一</w:t>
      </w:r>
      <w:proofErr w:type="gramEnd"/>
      <w:r>
        <w:rPr>
          <w:rFonts w:ascii="宋体" w:hAnsi="宋体" w:hint="eastAsia"/>
        </w:rPr>
        <w:t>：（2023）最高法民申2153号案——事实施工合同关系的直接认定</w:t>
      </w:r>
    </w:p>
    <w:p w14:paraId="0F83DA7A" w14:textId="77777777" w:rsidR="000406B1" w:rsidRDefault="000406B1" w:rsidP="000406B1">
      <w:pPr>
        <w:widowControl/>
        <w:shd w:val="clear" w:color="auto" w:fill="FFFFFF"/>
        <w:autoSpaceDE w:val="0"/>
        <w:spacing w:line="278" w:lineRule="auto"/>
        <w:ind w:firstLineChars="200" w:firstLine="420"/>
        <w:rPr>
          <w:rFonts w:ascii="宋体" w:hAnsi="宋体" w:hint="eastAsia"/>
        </w:rPr>
      </w:pPr>
      <w:r>
        <w:rPr>
          <w:rFonts w:ascii="宋体" w:hAnsi="宋体" w:hint="eastAsia"/>
        </w:rPr>
        <w:t>该案中，甲公司与丙公司因对施工单价未能协商一致，未能签订书面合同文本，但甲公司已组织施工并垫资，相关事实在诉讼中得到了丙公司的自认。最高人民法院在再审审查中明确指出：双方虽未签订书面施工合同，但甲公司已履行主要施工义务，丙公司予以接受，认定双方之间存在施工合同关系。丙公司申请再审主张双方不存在施工合同关系，"既违反</w:t>
      </w:r>
      <w:r>
        <w:rPr>
          <w:rFonts w:ascii="宋体" w:hAnsi="宋体" w:hint="eastAsia"/>
        </w:rPr>
        <w:lastRenderedPageBreak/>
        <w:t>了诉讼诚信原则，亦与查明的事实不符，不能成立。"该案的裁判逻辑清晰地体现了形式瑕疵补正的基本结构：法定书面形式欠缺合同不成立，但当事人实际履行主要义务且对方接受，最终的结果是合同成立生效。</w:t>
      </w:r>
    </w:p>
    <w:p w14:paraId="506136B6" w14:textId="77777777" w:rsidR="000406B1" w:rsidRDefault="000406B1" w:rsidP="000406B1">
      <w:pPr>
        <w:autoSpaceDE w:val="0"/>
        <w:spacing w:after="80" w:line="278" w:lineRule="auto"/>
        <w:jc w:val="left"/>
        <w:rPr>
          <w:rFonts w:ascii="黑体" w:eastAsia="黑体" w:hAnsi="黑体" w:hint="eastAsia"/>
          <w:sz w:val="24"/>
          <w:szCs w:val="24"/>
        </w:rPr>
      </w:pPr>
      <w:r>
        <w:rPr>
          <w:rFonts w:ascii="黑体" w:eastAsia="黑体" w:hAnsi="黑体" w:hint="eastAsia"/>
          <w:sz w:val="24"/>
          <w:szCs w:val="24"/>
        </w:rPr>
        <w:t>（三）主体资质瑕疵的补正</w:t>
      </w:r>
    </w:p>
    <w:p w14:paraId="3C7CCD64"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1.规范依据</w:t>
      </w:r>
    </w:p>
    <w:p w14:paraId="1AE0570A"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最高人民法院关于审理建设工程施工合同纠纷案件适用法律问题的解释（一）》（法释〔2020〕25号）第四条规定：“承包人超越资质等级许可的业务范围签订建设工程施工合同，在建设工程竣工前取得相应资质等级，当事人请求按照无效合同处理的，人民法院不予支持。该条确立了建设工程领域主体资质瑕疵补正的规则：合同签订时承包人不具备相应资质，合同本应无效，但如果在竣工前取得了相应资质，合同不再按无效处理。</w:t>
      </w:r>
    </w:p>
    <w:p w14:paraId="2B77C8B7"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2.案例分析</w:t>
      </w:r>
    </w:p>
    <w:p w14:paraId="2D5BE328" w14:textId="77777777" w:rsidR="000406B1" w:rsidRDefault="000406B1" w:rsidP="000406B1">
      <w:pPr>
        <w:widowControl/>
        <w:shd w:val="clear" w:color="auto" w:fill="FFFFFF"/>
        <w:autoSpaceDE w:val="0"/>
        <w:spacing w:line="278" w:lineRule="auto"/>
        <w:ind w:firstLineChars="200" w:firstLine="420"/>
        <w:rPr>
          <w:rFonts w:ascii="宋体" w:hAnsi="宋体" w:hint="eastAsia"/>
        </w:rPr>
      </w:pPr>
      <w:r>
        <w:rPr>
          <w:rFonts w:ascii="宋体" w:hAnsi="宋体" w:hint="eastAsia"/>
        </w:rPr>
        <w:t>（2019）最高法民申6789号案——德江县城市公交客运有限公司与贵州征美建设工程有限公司建设工程施工合同纠纷案即为此类裁判规则的集中体现。该案中，发包人德江公交公司与承包方征美公司签订建设工程施工合同后，发包方以承包方签约时未取得对应施工资质、案</w:t>
      </w:r>
      <w:proofErr w:type="gramStart"/>
      <w:r>
        <w:rPr>
          <w:rFonts w:ascii="宋体" w:hAnsi="宋体" w:hint="eastAsia"/>
        </w:rPr>
        <w:t>涉工程</w:t>
      </w:r>
      <w:proofErr w:type="gramEnd"/>
      <w:r>
        <w:rPr>
          <w:rFonts w:ascii="宋体" w:hAnsi="宋体" w:hint="eastAsia"/>
        </w:rPr>
        <w:t>未办理土地及规划审批手续为由，诉请人民法院</w:t>
      </w:r>
      <w:proofErr w:type="gramStart"/>
      <w:r>
        <w:rPr>
          <w:rFonts w:ascii="宋体" w:hAnsi="宋体" w:hint="eastAsia"/>
        </w:rPr>
        <w:t>确认案涉施工</w:t>
      </w:r>
      <w:proofErr w:type="gramEnd"/>
      <w:r>
        <w:rPr>
          <w:rFonts w:ascii="宋体" w:hAnsi="宋体" w:hint="eastAsia"/>
        </w:rPr>
        <w:t>合同无效。针对该项主张，最高人民法院经再审审理明确</w:t>
      </w:r>
      <w:proofErr w:type="gramStart"/>
      <w:r>
        <w:rPr>
          <w:rFonts w:ascii="宋体" w:hAnsi="宋体" w:hint="eastAsia"/>
        </w:rPr>
        <w:t>作出</w:t>
      </w:r>
      <w:proofErr w:type="gramEnd"/>
      <w:r>
        <w:rPr>
          <w:rFonts w:ascii="宋体" w:hAnsi="宋体" w:hint="eastAsia"/>
        </w:rPr>
        <w:t>裁判，核心观点为：承包方若在案</w:t>
      </w:r>
      <w:proofErr w:type="gramStart"/>
      <w:r>
        <w:rPr>
          <w:rFonts w:ascii="宋体" w:hAnsi="宋体" w:hint="eastAsia"/>
        </w:rPr>
        <w:t>涉工程</w:t>
      </w:r>
      <w:proofErr w:type="gramEnd"/>
      <w:r>
        <w:rPr>
          <w:rFonts w:ascii="宋体" w:hAnsi="宋体" w:hint="eastAsia"/>
        </w:rPr>
        <w:t>竣工验收前补正取得了相应施工资质，即意味着资质瑕疵已得到有效治愈，人民法院不应据此认定建设工程施工合同无效；同时，案</w:t>
      </w:r>
      <w:proofErr w:type="gramStart"/>
      <w:r>
        <w:rPr>
          <w:rFonts w:ascii="宋体" w:hAnsi="宋体" w:hint="eastAsia"/>
        </w:rPr>
        <w:t>涉工程</w:t>
      </w:r>
      <w:proofErr w:type="gramEnd"/>
      <w:r>
        <w:rPr>
          <w:rFonts w:ascii="宋体" w:hAnsi="宋体" w:hint="eastAsia"/>
        </w:rPr>
        <w:t>的土地、规划等审批手续的办理义务归属于发包方，其以自身未履行义务为由主张合同无效，既缺乏法律依据，亦违背诚实信用原则，故对其诉讼请求不予支持。</w:t>
      </w:r>
    </w:p>
    <w:p w14:paraId="392644BB"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3.规则分析</w:t>
      </w:r>
    </w:p>
    <w:p w14:paraId="0C27938D"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资质补正规则的正当性在于：资质要求的规范目的是确保工程质量和施工安全。当承包人在竣工前取得相应资质时，这一规范目的已经得到实现，继续以签约时的资质欠缺为由否定合同效力，既不符合规范目的，也不利于交易安全。但需要注意的是，资质补正存在时间限制——必须在竣工前取得。竣工后才取得资质的，不能补正。这一期限要求，体现了法律对建设工程施工全过程严格监管的立场。施工资质本身就是为了把控施工期间风险、保障工程质量。如果允许工程竣工之后再补办资质补正效力，实质上会架空现有的资质准入制度，让法律对施工主体的准入管理失去实际意义。这样不仅违背了事前监管、过程管控的立法本意，还会让没有实际施工能力的主体逃避监管，最终危及社会公共利益。</w:t>
      </w:r>
    </w:p>
    <w:p w14:paraId="655444FD" w14:textId="77777777" w:rsidR="000406B1" w:rsidRDefault="000406B1" w:rsidP="000406B1">
      <w:pPr>
        <w:spacing w:after="160" w:line="276" w:lineRule="auto"/>
        <w:jc w:val="left"/>
        <w:rPr>
          <w:rFonts w:ascii="黑体" w:eastAsia="黑体" w:hAnsi="黑体" w:hint="eastAsia"/>
          <w:sz w:val="24"/>
          <w:szCs w:val="24"/>
        </w:rPr>
      </w:pPr>
      <w:r>
        <w:rPr>
          <w:rFonts w:ascii="黑体" w:eastAsia="黑体" w:hAnsi="黑体" w:hint="eastAsia"/>
          <w:sz w:val="24"/>
          <w:szCs w:val="24"/>
        </w:rPr>
        <w:t>（四）审批程序瑕疵的补正</w:t>
      </w:r>
    </w:p>
    <w:p w14:paraId="6CE783A9"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1.规范依据</w:t>
      </w:r>
    </w:p>
    <w:p w14:paraId="08B2DDDD"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民法典》第五百零二条第二款规定：“依照法律、行政法规的规定，合同应当办理批准等手续的，依照其规定。未办理批准等手续，影响合同生效的，不影响合同中履行报批等义务条款以及相关条款的效力。应当办理申请批准等手续的当事人未履行义务的，对方可以请求其承担违反该义务的责任。”</w:t>
      </w:r>
    </w:p>
    <w:p w14:paraId="50F61750"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lastRenderedPageBreak/>
        <w:t>《最高人民法院关于适用〈中华人民共和国民法典〉合同编通则若干问题的解释》（法释〔2023〕13号）第十二条第二款进一步明确：依照法律、行政法规的规定，合同应当办理批准等手续，当事人未办理批准等手续的，人民法院应当认定合同未生效。但是，不影响合同中履行报批等义务条款以及相关条款的效力。应当办理申请批准等手续的当事人未履行义务的，对方可以请求其承担违反该义务的责任。一审法庭辩论终结前，当事人办理批准手续的，人民法院应当认定合同自办理批准手续之日起生效。</w:t>
      </w:r>
    </w:p>
    <w:p w14:paraId="0BE94277"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2.案例分析</w:t>
      </w:r>
    </w:p>
    <w:p w14:paraId="0EA78003"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案例三：（2010）</w:t>
      </w:r>
      <w:proofErr w:type="gramStart"/>
      <w:r>
        <w:rPr>
          <w:rFonts w:ascii="宋体" w:hAnsi="宋体" w:hint="eastAsia"/>
        </w:rPr>
        <w:t>民四终</w:t>
      </w:r>
      <w:proofErr w:type="gramEnd"/>
      <w:r>
        <w:rPr>
          <w:rFonts w:ascii="宋体" w:hAnsi="宋体" w:hint="eastAsia"/>
        </w:rPr>
        <w:t>字第3号。该案涉及一份中外合资经营企业合同，合同签订后未报审批机关批准。一方当事人主张合同未生效。在诉讼过程中，双方补办了审批手续并获得批准。最高人民法院认为，合同虽在签订时因未经批准而未生效，但在诉讼中已补办批准手续，合同自批准之日起生效。</w:t>
      </w:r>
    </w:p>
    <w:p w14:paraId="4AE6B015" w14:textId="77777777" w:rsidR="000406B1" w:rsidRDefault="000406B1" w:rsidP="000406B1">
      <w:pPr>
        <w:spacing w:after="160" w:line="276" w:lineRule="auto"/>
        <w:jc w:val="left"/>
        <w:rPr>
          <w:rFonts w:ascii="黑体" w:eastAsia="黑体" w:hAnsi="黑体" w:hint="eastAsia"/>
          <w:sz w:val="24"/>
          <w:szCs w:val="24"/>
        </w:rPr>
      </w:pPr>
      <w:r>
        <w:rPr>
          <w:rFonts w:ascii="黑体" w:eastAsia="黑体" w:hAnsi="黑体" w:hint="eastAsia"/>
          <w:sz w:val="24"/>
          <w:szCs w:val="24"/>
        </w:rPr>
        <w:t>（五）瑕疵补正型转换的共同规则</w:t>
      </w:r>
    </w:p>
    <w:p w14:paraId="0EFDE9ED"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通过对上述三种补正类型的分析，可以归纳出瑕疵补正型转换的共同构成要件</w:t>
      </w:r>
      <w:r>
        <w:rPr>
          <w:rFonts w:ascii="宋体" w:hAnsi="宋体" w:hint="eastAsia"/>
          <w:vertAlign w:val="superscript"/>
        </w:rPr>
        <w:t>[5]</w:t>
      </w:r>
      <w:r>
        <w:rPr>
          <w:rFonts w:ascii="宋体" w:hAnsi="宋体" w:hint="eastAsia"/>
        </w:rPr>
        <w:t>：</w:t>
      </w:r>
    </w:p>
    <w:p w14:paraId="3E03E9D6"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第一，合同存在特定的效力障碍，且该障碍属于可补正的类型。并非所有导致合同不能生效的事由都可以补正。因违反公序良俗、恶意串通损害他人合法权益等实质性事由而无效的合同，不存在补正的可能。可补正的瑕疵通常限于形式要件欠缺、主体资格不足、行政审批未完成等程序性、技术性瑕疵。</w:t>
      </w:r>
    </w:p>
    <w:p w14:paraId="372E8E2F"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第二，瑕疵事由在特定时间节点前被消除。不同类型的补正有不同的时间限制：形式补正以实际履行并被接受为节点；资质补正以竣工前为限；审批补正以一审法庭辩论终结前为限。时间限制的设定体现了法律在鼓励补正与维护法律秩序确定性之间的平衡。</w:t>
      </w:r>
    </w:p>
    <w:p w14:paraId="101179F1"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第三，合同的其他方面不存在导致无效或不能生效的事由。补正只能消除特定的瑕疵，如果合同同时存在其他无效事由（如内容违反强制性规定），即使形式或资质瑕疵得到补正，合同仍然无效。</w:t>
      </w:r>
    </w:p>
    <w:p w14:paraId="097FD65D" w14:textId="77777777" w:rsidR="000406B1" w:rsidRDefault="000406B1" w:rsidP="000406B1">
      <w:pPr>
        <w:spacing w:after="160" w:line="276" w:lineRule="auto"/>
        <w:jc w:val="left"/>
        <w:rPr>
          <w:rFonts w:ascii="黑体" w:eastAsia="黑体" w:hAnsi="黑体" w:hint="eastAsia"/>
          <w:sz w:val="28"/>
          <w:szCs w:val="28"/>
        </w:rPr>
      </w:pPr>
      <w:r>
        <w:rPr>
          <w:rFonts w:ascii="黑体" w:eastAsia="黑体" w:hAnsi="黑体" w:hint="eastAsia"/>
          <w:sz w:val="28"/>
          <w:szCs w:val="28"/>
        </w:rPr>
        <w:t>三、法律行为性质转换</w:t>
      </w:r>
    </w:p>
    <w:p w14:paraId="084F7007" w14:textId="77777777" w:rsidR="000406B1" w:rsidRDefault="000406B1" w:rsidP="000406B1">
      <w:pPr>
        <w:spacing w:after="160" w:line="276" w:lineRule="auto"/>
        <w:jc w:val="left"/>
        <w:rPr>
          <w:rFonts w:ascii="黑体" w:eastAsia="黑体" w:hAnsi="黑体" w:hint="eastAsia"/>
          <w:sz w:val="24"/>
          <w:szCs w:val="24"/>
        </w:rPr>
      </w:pPr>
      <w:r>
        <w:rPr>
          <w:rFonts w:ascii="黑体" w:eastAsia="黑体" w:hAnsi="黑体" w:hint="eastAsia"/>
          <w:sz w:val="24"/>
          <w:szCs w:val="24"/>
        </w:rPr>
        <w:t>（一）概念界定</w:t>
      </w:r>
    </w:p>
    <w:p w14:paraId="6A895F88"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法律行为性质转换，是指合同因不符合当事人所选择的合同类型的生效要件而被认定为无效后，法院依据当事人的真实意思和合同的实质内容，将其认定为另一种符合法律要件的有效法律行为</w:t>
      </w:r>
      <w:r>
        <w:rPr>
          <w:rFonts w:ascii="宋体" w:hAnsi="宋体" w:hint="eastAsia"/>
          <w:vertAlign w:val="superscript"/>
        </w:rPr>
        <w:t>[6]</w:t>
      </w:r>
      <w:r>
        <w:rPr>
          <w:rFonts w:ascii="宋体" w:hAnsi="宋体" w:hint="eastAsia"/>
        </w:rPr>
        <w:t>。其核心特征在于：转换前后不是同一种法律行为，合同的法律性质发生了改变。这一类型对应的是德国法上的法律行为转换，即《德国民法典》第一百四十条所规定的制度。中国法上虽无一般性规定，但司法实践中已有实质性的运用。</w:t>
      </w:r>
    </w:p>
    <w:p w14:paraId="3322DDF1" w14:textId="77777777" w:rsidR="000406B1" w:rsidRDefault="000406B1" w:rsidP="000406B1">
      <w:pPr>
        <w:spacing w:after="160" w:line="276" w:lineRule="auto"/>
        <w:jc w:val="left"/>
        <w:rPr>
          <w:rFonts w:ascii="黑体" w:eastAsia="黑体" w:hAnsi="黑体" w:hint="eastAsia"/>
          <w:sz w:val="24"/>
          <w:szCs w:val="24"/>
        </w:rPr>
      </w:pPr>
      <w:r>
        <w:rPr>
          <w:rFonts w:ascii="黑体" w:eastAsia="黑体" w:hAnsi="黑体" w:hint="eastAsia"/>
          <w:sz w:val="24"/>
          <w:szCs w:val="24"/>
        </w:rPr>
        <w:t>（二）德国法上的制度构造</w:t>
      </w:r>
    </w:p>
    <w:p w14:paraId="5BA931DA"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《德国民法典》第一百四十条规定："无效的法律行为如果具备另一法律行为的要件，且可以认定当事人在知悉该法律行为无效时将会希望另一法律行为有效的，另一法律行为</w:t>
      </w:r>
      <w:r>
        <w:rPr>
          <w:rFonts w:ascii="宋体" w:hAnsi="宋体" w:hint="eastAsia"/>
        </w:rPr>
        <w:lastRenderedPageBreak/>
        <w:t>有效。"该条确立了法律行为转换的三个构成要件：</w:t>
      </w:r>
    </w:p>
    <w:p w14:paraId="04EA6718"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其一，原法律行为无效。无效的原因不限，可以是形式瑕疵、内容违法、主体不适格等任何原因。</w:t>
      </w:r>
    </w:p>
    <w:p w14:paraId="2F81B09A"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其二，无效的法律行为具备另一法律行为的全部要件。这是客观要件，要求无效行为在客观上能够被评价为另一种有效的法律行为。</w:t>
      </w:r>
    </w:p>
    <w:p w14:paraId="1D60D638"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其三，可以推定当事人在知悉原法律行为无效时会希望替代行为有效。这是主观要件，即假定的当事人意思。法院需要进行一个假设性判断：如果当事人在缔约时知道其所选择的法律行为形式会导致无效，他们是否会选择替代的法律行为。</w:t>
      </w:r>
    </w:p>
    <w:p w14:paraId="2706E6C1"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德国司法实践中的典型适用案例包括：</w:t>
      </w:r>
    </w:p>
    <w:p w14:paraId="4ECF4DBC"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案例四：无效的遗嘱转换为有效的死因赠与。遗嘱人订立的遗嘱因不符合法定形式要件而无效，但如果该遗嘱的内容符合死因赠与的要件，且可以推定遗嘱人在知悉遗嘱无效时会希望以死因赠与的方式实现其处分目的，则该无效遗嘱可以转换为有效的死因赠与。德国联邦最高法院在多个判决中确认了这一转换的可能性。</w:t>
      </w:r>
    </w:p>
    <w:p w14:paraId="01E5F40D"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案例五：无效的商事合伙合同转换为民事合伙。当事人订立的商事合伙合同因未</w:t>
      </w:r>
      <w:proofErr w:type="gramStart"/>
      <w:r>
        <w:rPr>
          <w:rFonts w:ascii="宋体" w:hAnsi="宋体" w:hint="eastAsia"/>
        </w:rPr>
        <w:t>满足商</w:t>
      </w:r>
      <w:proofErr w:type="gramEnd"/>
      <w:r>
        <w:rPr>
          <w:rFonts w:ascii="宋体" w:hAnsi="宋体" w:hint="eastAsia"/>
        </w:rPr>
        <w:t>事合伙的特定要件（如未进行商事登记）而无效，但如果合同内容符合民事合伙的要件，可以转换为有效的民事合伙合同。</w:t>
      </w:r>
    </w:p>
    <w:p w14:paraId="6DD04686" w14:textId="77777777" w:rsidR="000406B1" w:rsidRDefault="000406B1" w:rsidP="000406B1">
      <w:pPr>
        <w:spacing w:after="160" w:line="276" w:lineRule="auto"/>
        <w:jc w:val="left"/>
        <w:rPr>
          <w:rFonts w:ascii="黑体" w:eastAsia="黑体" w:hAnsi="黑体" w:hint="eastAsia"/>
          <w:sz w:val="24"/>
          <w:szCs w:val="24"/>
        </w:rPr>
      </w:pPr>
      <w:r>
        <w:rPr>
          <w:rFonts w:ascii="黑体" w:eastAsia="黑体" w:hAnsi="黑体" w:hint="eastAsia"/>
          <w:sz w:val="24"/>
          <w:szCs w:val="24"/>
        </w:rPr>
        <w:t>（三）中国法上的实践案例</w:t>
      </w:r>
    </w:p>
    <w:p w14:paraId="6A2E7E89"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中国法虽无类似德国民法典第一百四十条的一般性转换条款，但司法实践中，法院通过"穿透式审查""法律关系重新定性"等方法，实质上实现了法律行为性质转换的功能。</w:t>
      </w:r>
    </w:p>
    <w:p w14:paraId="14B94848"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1.名实不符合同的性质重新认定</w:t>
      </w:r>
    </w:p>
    <w:p w14:paraId="2316A4F6"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案例六：（2016）最高法</w:t>
      </w:r>
      <w:proofErr w:type="gramStart"/>
      <w:r>
        <w:rPr>
          <w:rFonts w:ascii="宋体" w:hAnsi="宋体" w:hint="eastAsia"/>
        </w:rPr>
        <w:t>民终286号</w:t>
      </w:r>
      <w:proofErr w:type="gramEnd"/>
      <w:r>
        <w:rPr>
          <w:rFonts w:ascii="宋体" w:hAnsi="宋体" w:hint="eastAsia"/>
        </w:rPr>
        <w:t>。该案中，当事人签订了名为"融资租赁"的合同，但合同中不存在真实的租赁物，出租人仅提供资金，承租人按期支付"租金"。法院审查后认为，该合同不具备融资租赁合同的基本要素——缺乏真实的租赁物，名为融资租赁实为借贷。法院将该合同的法律性质重新认定为借贷合同，并按照借贷合同的规则处理双方的权利义务。</w:t>
      </w:r>
    </w:p>
    <w:p w14:paraId="36C32AB0"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该案的裁判逻辑与德国法上的法律行为转换高度相似：原合同因不符合该类合同的构成要件而不能成立，但合同的实质内容符合另一类合同的要件，所以按照替代合同处理。</w:t>
      </w:r>
    </w:p>
    <w:p w14:paraId="78497A0D"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但需要指出的是，中国法院在此类案件中的说理路径与德国法存在差异。德国法的转换以"原法律行为无效"为前提，而中国法院通常采用的是"合同性质认定"的路径——法院认为当事人签订的合同"名为A实为B"，因此直接按照B合同处理。这一路径在形式上绕开了"无效→转换→有效"的逻辑结构，而是采用了"名实不符→按实质认定"的结构。</w:t>
      </w:r>
    </w:p>
    <w:p w14:paraId="35DC35F1"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2.无效担保行为的转换</w:t>
      </w:r>
    </w:p>
    <w:p w14:paraId="5C0E23B5"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案例七：最高人民法院（2016）最高法</w:t>
      </w:r>
      <w:proofErr w:type="gramStart"/>
      <w:r>
        <w:rPr>
          <w:rFonts w:ascii="宋体" w:hAnsi="宋体" w:hint="eastAsia"/>
        </w:rPr>
        <w:t>民终646号</w:t>
      </w:r>
      <w:proofErr w:type="gramEnd"/>
      <w:r>
        <w:rPr>
          <w:rFonts w:ascii="宋体" w:hAnsi="宋体" w:hint="eastAsia"/>
        </w:rPr>
        <w:t>案。该案涉及公司为股东提供担保，未经股东会决议，担保合同被认定为对公司不发生效力。但法院认为，虽然担保合同</w:t>
      </w:r>
      <w:r>
        <w:rPr>
          <w:rFonts w:ascii="宋体" w:hAnsi="宋体" w:hint="eastAsia"/>
        </w:rPr>
        <w:lastRenderedPageBreak/>
        <w:t>对公司不发生效力，但如果法定代表人在合同文本中同时</w:t>
      </w:r>
      <w:proofErr w:type="gramStart"/>
      <w:r>
        <w:rPr>
          <w:rFonts w:ascii="宋体" w:hAnsi="宋体" w:hint="eastAsia"/>
        </w:rPr>
        <w:t>作出</w:t>
      </w:r>
      <w:proofErr w:type="gramEnd"/>
      <w:r>
        <w:rPr>
          <w:rFonts w:ascii="宋体" w:hAnsi="宋体" w:hint="eastAsia"/>
        </w:rPr>
        <w:t>了由其个人承担保证责任的意思表示，则该行为可以构成债务加入或其个人的保证承诺，在符合相应要件的前提下，可以按照债务加入或个人保证处理。</w:t>
      </w:r>
    </w:p>
    <w:p w14:paraId="257CC9B2"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这一裁判思路体现了法律行为性质转换的逻辑：公司担保无效，但行为人的个人意思表示符合另一种法律行为（债务加入/个人保证）的要件，最终按替代行为处理。需要特别说明的是，此种转换并非自动发生，而是以法定代表人</w:t>
      </w:r>
      <w:proofErr w:type="gramStart"/>
      <w:r>
        <w:rPr>
          <w:rFonts w:ascii="宋体" w:hAnsi="宋体" w:hint="eastAsia"/>
        </w:rPr>
        <w:t>作出</w:t>
      </w:r>
      <w:proofErr w:type="gramEnd"/>
      <w:r>
        <w:rPr>
          <w:rFonts w:ascii="宋体" w:hAnsi="宋体" w:hint="eastAsia"/>
        </w:rPr>
        <w:t>了明确的个人意思表示为前提，不能仅因其法定代表人身份而将公司行为的无效后果直接归由个人承担。</w:t>
      </w:r>
    </w:p>
    <w:p w14:paraId="3F527D91"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3.让与担保的司法认定</w:t>
      </w:r>
    </w:p>
    <w:p w14:paraId="5AA7FD97"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案例八：《全国法院民商事审判工作会议纪要》第七十一条规定，债务人或者第三人与债权人订立合同，约定将财产形式上转让至债权人名下，债务人到期清偿债务，债权人将该财产返还给债务人或第三人，债务人到期没有清偿债务，债权人可以对财产拍卖、变卖、折价偿还债权的，人民法院应当认定合同有效。</w:t>
      </w:r>
    </w:p>
    <w:p w14:paraId="79B8627E"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让与担保的司法认定过程本身就包含了法律行为性质转换的要素：当事人签订的是买卖合同，但其真实目的是担保。法院穿透形式上的买卖关系，将其认定为担保关系，并按照担保规则处理。虽然</w:t>
      </w:r>
      <w:proofErr w:type="gramStart"/>
      <w:r>
        <w:rPr>
          <w:rFonts w:ascii="宋体" w:hAnsi="宋体" w:hint="eastAsia"/>
        </w:rPr>
        <w:t>九民纪要</w:t>
      </w:r>
      <w:proofErr w:type="gramEnd"/>
      <w:r>
        <w:rPr>
          <w:rFonts w:ascii="宋体" w:hAnsi="宋体" w:hint="eastAsia"/>
        </w:rPr>
        <w:t>最终认定合同有效而</w:t>
      </w:r>
      <w:proofErr w:type="gramStart"/>
      <w:r>
        <w:rPr>
          <w:rFonts w:ascii="宋体" w:hAnsi="宋体" w:hint="eastAsia"/>
        </w:rPr>
        <w:t>非经历</w:t>
      </w:r>
      <w:proofErr w:type="gramEnd"/>
      <w:r>
        <w:rPr>
          <w:rFonts w:ascii="宋体" w:hAnsi="宋体" w:hint="eastAsia"/>
        </w:rPr>
        <w:t>“无效→转换”的过程，但其裁判方法——穿透形式、探求真实意思、按实质法律关系处理——与法律行为转换所追求的功能目标高度一致。</w:t>
      </w:r>
    </w:p>
    <w:p w14:paraId="31A77768" w14:textId="77777777" w:rsidR="000406B1" w:rsidRDefault="000406B1" w:rsidP="000406B1">
      <w:pPr>
        <w:spacing w:after="160" w:line="276" w:lineRule="auto"/>
        <w:jc w:val="left"/>
        <w:rPr>
          <w:rFonts w:ascii="黑体" w:eastAsia="黑体" w:hAnsi="黑体" w:hint="eastAsia"/>
          <w:sz w:val="24"/>
          <w:szCs w:val="24"/>
        </w:rPr>
      </w:pPr>
      <w:r>
        <w:rPr>
          <w:rFonts w:ascii="黑体" w:eastAsia="黑体" w:hAnsi="黑体" w:hint="eastAsia"/>
          <w:sz w:val="24"/>
          <w:szCs w:val="24"/>
        </w:rPr>
        <w:t>（四）中德比较与评析</w:t>
      </w:r>
    </w:p>
    <w:p w14:paraId="009C9F89"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通过上述分析，可以发现中德两国在法律行为性质转换问题上存在以下异同：</w:t>
      </w:r>
    </w:p>
    <w:p w14:paraId="13A0FA94"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相同之处在于，两国司法实践均承认在特定情形下，可将不符合特定法律行为要件的行为认定为另一种有效的法律行为，且均以当事人的真实意思作为转换的重要</w:t>
      </w:r>
      <w:proofErr w:type="gramStart"/>
      <w:r>
        <w:rPr>
          <w:rFonts w:ascii="宋体" w:hAnsi="宋体" w:hint="eastAsia"/>
        </w:rPr>
        <w:t>考量</w:t>
      </w:r>
      <w:proofErr w:type="gramEnd"/>
      <w:r>
        <w:rPr>
          <w:rFonts w:ascii="宋体" w:hAnsi="宋体" w:hint="eastAsia"/>
        </w:rPr>
        <w:t>因素。不同之处主要体现在三个方面：</w:t>
      </w:r>
    </w:p>
    <w:p w14:paraId="21B9AEE6"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第一，制度化程度不同。德国法通过《德国民法典》第一百四十条设立了明确的一般性条款，将无效法律行为转换规则纳入总则范畴，可</w:t>
      </w:r>
      <w:proofErr w:type="gramStart"/>
      <w:r>
        <w:rPr>
          <w:rFonts w:ascii="宋体" w:hAnsi="宋体" w:hint="eastAsia"/>
        </w:rPr>
        <w:t>全领域</w:t>
      </w:r>
      <w:proofErr w:type="gramEnd"/>
      <w:r>
        <w:rPr>
          <w:rFonts w:ascii="宋体" w:hAnsi="宋体" w:hint="eastAsia"/>
        </w:rPr>
        <w:t>适用；中国法则缺乏统一的一般性规定，仅在个别领域通过司法解释、指导性案例及裁判实践，零散实现与法律行为转换类似的功能。</w:t>
      </w:r>
    </w:p>
    <w:p w14:paraId="6B777632"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第二，逻辑结构不同。德国法采用“无效→转换→有效”的三段式结构，明确以原法律行为无效作为转换的前置前提，无无效则无转换；中国司法实践通常采用“外观与真实意思不一致→直接依实质法律关系认定”的二段式结构，在形式上回避了对</w:t>
      </w:r>
      <w:proofErr w:type="gramStart"/>
      <w:r>
        <w:rPr>
          <w:rFonts w:ascii="宋体" w:hAnsi="宋体" w:hint="eastAsia"/>
        </w:rPr>
        <w:t>原行为</w:t>
      </w:r>
      <w:proofErr w:type="gramEnd"/>
      <w:r>
        <w:rPr>
          <w:rFonts w:ascii="宋体" w:hAnsi="宋体" w:hint="eastAsia"/>
        </w:rPr>
        <w:t>“无效”的明确认定，多通过意思表示解释、穿透式审判实现对实质法律关系的确认。</w:t>
      </w:r>
    </w:p>
    <w:p w14:paraId="60FE4D0B" w14:textId="77777777" w:rsidR="000406B1" w:rsidRDefault="000406B1" w:rsidP="000406B1">
      <w:pPr>
        <w:autoSpaceDE w:val="0"/>
        <w:spacing w:line="400" w:lineRule="exact"/>
        <w:ind w:firstLineChars="200" w:firstLine="420"/>
        <w:jc w:val="left"/>
        <w:rPr>
          <w:rFonts w:ascii="等线" w:eastAsia="等线" w:hAnsi="等线" w:hint="eastAsia"/>
          <w:sz w:val="22"/>
          <w:szCs w:val="22"/>
        </w:rPr>
      </w:pPr>
      <w:r>
        <w:rPr>
          <w:rFonts w:ascii="宋体" w:hAnsi="宋体" w:hint="eastAsia"/>
        </w:rPr>
        <w:t>第三，主观要件的处理不同。德国法明确要求考察“假定的当事人意思”，即若当事人知晓</w:t>
      </w:r>
      <w:proofErr w:type="gramStart"/>
      <w:r>
        <w:rPr>
          <w:rFonts w:ascii="宋体" w:hAnsi="宋体" w:hint="eastAsia"/>
        </w:rPr>
        <w:t>原行为</w:t>
      </w:r>
      <w:proofErr w:type="gramEnd"/>
      <w:r>
        <w:rPr>
          <w:rFonts w:ascii="宋体" w:hAnsi="宋体" w:hint="eastAsia"/>
        </w:rPr>
        <w:t>无效时，推定其是否愿意成立替代性行为，该主观要件的判断标准法定、说理框架固定；中国法院在实践中虽亦注重</w:t>
      </w:r>
      <w:proofErr w:type="gramStart"/>
      <w:r>
        <w:rPr>
          <w:rFonts w:ascii="宋体" w:hAnsi="宋体" w:hint="eastAsia"/>
        </w:rPr>
        <w:t>考量</w:t>
      </w:r>
      <w:proofErr w:type="gramEnd"/>
      <w:r>
        <w:rPr>
          <w:rFonts w:ascii="宋体" w:hAnsi="宋体" w:hint="eastAsia"/>
        </w:rPr>
        <w:t>当事人的真实意思，但缺乏统一的判断标准和规范的说理框架，法官自由裁量空间较大，导致司法实践中裁判尺度存在差异。</w:t>
      </w:r>
    </w:p>
    <w:p w14:paraId="16DE7E62" w14:textId="77777777" w:rsidR="000406B1" w:rsidRDefault="000406B1" w:rsidP="000406B1">
      <w:pPr>
        <w:spacing w:after="160" w:line="276" w:lineRule="auto"/>
        <w:jc w:val="left"/>
        <w:rPr>
          <w:rFonts w:ascii="黑体" w:eastAsia="黑体" w:hAnsi="黑体" w:hint="eastAsia"/>
          <w:sz w:val="28"/>
          <w:szCs w:val="28"/>
        </w:rPr>
      </w:pPr>
      <w:r>
        <w:rPr>
          <w:rFonts w:ascii="黑体" w:eastAsia="黑体" w:hAnsi="黑体" w:hint="eastAsia"/>
          <w:sz w:val="28"/>
          <w:szCs w:val="28"/>
        </w:rPr>
        <w:lastRenderedPageBreak/>
        <w:t>四、合同缩减型转换</w:t>
      </w:r>
    </w:p>
    <w:p w14:paraId="70A331D7" w14:textId="77777777" w:rsidR="000406B1" w:rsidRDefault="000406B1" w:rsidP="000406B1">
      <w:pPr>
        <w:spacing w:after="160" w:line="276" w:lineRule="auto"/>
        <w:jc w:val="left"/>
        <w:rPr>
          <w:rFonts w:ascii="黑体" w:eastAsia="黑体" w:hAnsi="黑体" w:hint="eastAsia"/>
          <w:sz w:val="24"/>
          <w:szCs w:val="24"/>
        </w:rPr>
      </w:pPr>
      <w:r>
        <w:rPr>
          <w:rFonts w:ascii="黑体" w:eastAsia="黑体" w:hAnsi="黑体" w:hint="eastAsia"/>
          <w:sz w:val="24"/>
          <w:szCs w:val="24"/>
        </w:rPr>
        <w:t>（一）概念与特征</w:t>
      </w:r>
    </w:p>
    <w:p w14:paraId="3FBC06CF"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合同缩减型转换，是指合同的部分内容因违反法律规定而无效，但该无效部分不影响其他部分效力的情形。其法律效果是：合同从整体无效转变为部分有效，有效部分继续约束当事人。</w:t>
      </w:r>
    </w:p>
    <w:p w14:paraId="2B5DF6DC"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这一类型的规范依据是《民法典》第一百五十六条："民事法律行为部分无效，不影响其他部分效力的，其他部分仍然有效。"合同缩减型转换与前两种类型的区别在于：瑕疵补正是消除瑕疵使整个合同有效；性质转换是将无效合同认定为另一种有效合同；合同缩减则是切除无效部分，保留有效部分。</w:t>
      </w:r>
    </w:p>
    <w:p w14:paraId="4ED43096" w14:textId="77777777" w:rsidR="000406B1" w:rsidRDefault="000406B1" w:rsidP="000406B1">
      <w:pPr>
        <w:autoSpaceDE w:val="0"/>
        <w:spacing w:after="80" w:line="278" w:lineRule="auto"/>
        <w:jc w:val="left"/>
        <w:rPr>
          <w:rFonts w:ascii="黑体" w:eastAsia="黑体" w:hAnsi="黑体" w:hint="eastAsia"/>
          <w:sz w:val="24"/>
          <w:szCs w:val="24"/>
        </w:rPr>
      </w:pPr>
      <w:r>
        <w:rPr>
          <w:rFonts w:ascii="黑体" w:eastAsia="黑体" w:hAnsi="黑体" w:hint="eastAsia"/>
          <w:sz w:val="24"/>
          <w:szCs w:val="24"/>
        </w:rPr>
        <w:t>（二）德国法上的部分无效规则</w:t>
      </w:r>
    </w:p>
    <w:p w14:paraId="3D58BC17"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德国民法典》第一百三十九条规定："法律行为的一部分无效的，整个法律行为无效，但如果可以认定法律行为没有无效部分也会被实施的除外。"德国法的规则设计与中国法存在显著差异。德国法以"整体无效"为原则，以"部分有效"为例外，举证责任在主张部分有效的一方。中国法以"部分有效"为原则，以"整体无效"为例外。</w:t>
      </w:r>
    </w:p>
    <w:p w14:paraId="103490C8"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这一差异反映了两种不同的价值取向：德国法更侧重于尊重当事人意思的整体性，认为当常是将合同作为一个整体来缔结的，部分无效可能破坏当事人的整体安排；中国法更侧重于维护交易安全和合同效力，倾向于在可能的范围内保留合同的有效部分。</w:t>
      </w:r>
    </w:p>
    <w:p w14:paraId="4BA2F4A4" w14:textId="77777777" w:rsidR="000406B1" w:rsidRDefault="000406B1" w:rsidP="000406B1">
      <w:pPr>
        <w:autoSpaceDE w:val="0"/>
        <w:spacing w:after="80" w:line="278" w:lineRule="auto"/>
        <w:jc w:val="left"/>
        <w:rPr>
          <w:rFonts w:ascii="黑体" w:eastAsia="黑体" w:hAnsi="黑体" w:hint="eastAsia"/>
          <w:sz w:val="24"/>
          <w:szCs w:val="24"/>
        </w:rPr>
      </w:pPr>
      <w:r>
        <w:rPr>
          <w:rFonts w:ascii="黑体" w:eastAsia="黑体" w:hAnsi="黑体" w:hint="eastAsia"/>
          <w:sz w:val="24"/>
          <w:szCs w:val="24"/>
        </w:rPr>
        <w:t>（三）中国法上的典型适用</w:t>
      </w:r>
    </w:p>
    <w:p w14:paraId="459002F5"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1.超出经营范围的部分条款无效</w:t>
      </w:r>
    </w:p>
    <w:p w14:paraId="40CE4081"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案例九：最高人民法院（2019）最高法</w:t>
      </w:r>
      <w:proofErr w:type="gramStart"/>
      <w:r>
        <w:rPr>
          <w:rFonts w:ascii="宋体" w:hAnsi="宋体" w:hint="eastAsia"/>
        </w:rPr>
        <w:t>民终1653号</w:t>
      </w:r>
      <w:proofErr w:type="gramEnd"/>
      <w:r>
        <w:rPr>
          <w:rFonts w:ascii="宋体" w:hAnsi="宋体" w:hint="eastAsia"/>
        </w:rPr>
        <w:t>案。该案涉及一份综合性的合作协议，其中部分条款涉及当事人不具备经营资质的业务领域。法院认定涉及超范围经营的条款无效，但该无效部分与合同其他条款具有可分性，其他条款的效力不受影响。</w:t>
      </w:r>
    </w:p>
    <w:p w14:paraId="438D63FD"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2.违约金条款的调整</w:t>
      </w:r>
    </w:p>
    <w:p w14:paraId="2241B38F"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违约金过高的司法调整（《民法典》第五百八十五条第二款）虽然在性质上属于合同内容的司法控制而非严格意义上的部分无效，但其功能效果与合同缩减具有相似性：合同中不合理的部分被"缩减"至合理范围，合同的其余部分继续有效。</w:t>
      </w:r>
    </w:p>
    <w:p w14:paraId="4D9235D6"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3.格式条款的部分无效</w:t>
      </w:r>
    </w:p>
    <w:p w14:paraId="7D28381E"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案例十：《民法典》第四百九十七条规定了格式条款无效的情形，包括不合理地免除或者减轻己方责任、加重对方责任、限制对方主要权利等。当格式合同中的部分条款因上述原因被认定无效时，合同的其他条款通常仍然有效。最高人民法院在多个涉及消费者权益保护的案件中确认了这一规则。例如，在网络购物合同中，经营者设定的"一经签收概不退换"等格式条款被认定无效，但买卖合同本身的效力不受影响。</w:t>
      </w:r>
    </w:p>
    <w:p w14:paraId="0AFDCDE3" w14:textId="77777777" w:rsidR="000406B1" w:rsidRDefault="000406B1" w:rsidP="000406B1">
      <w:pPr>
        <w:autoSpaceDE w:val="0"/>
        <w:spacing w:after="80" w:line="278" w:lineRule="auto"/>
        <w:jc w:val="left"/>
        <w:rPr>
          <w:rFonts w:ascii="黑体" w:eastAsia="黑体" w:hAnsi="黑体" w:hint="eastAsia"/>
          <w:sz w:val="24"/>
          <w:szCs w:val="24"/>
        </w:rPr>
      </w:pPr>
      <w:r>
        <w:rPr>
          <w:rFonts w:ascii="黑体" w:eastAsia="黑体" w:hAnsi="黑体" w:hint="eastAsia"/>
          <w:sz w:val="24"/>
          <w:szCs w:val="24"/>
        </w:rPr>
        <w:t>（四）合同缩减的限度</w:t>
      </w:r>
    </w:p>
    <w:p w14:paraId="45D04206"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lastRenderedPageBreak/>
        <w:t>合同缩减并非没有边界。《民法典》第一百五十六条的但书"不影响其他部分效力的"为合同缩减设定了限度。在以下情形中，部分无效将导致整体无效：</w:t>
      </w:r>
    </w:p>
    <w:p w14:paraId="6181C1BC"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第一，无效部分构成合同的核心内容，去除后合同目的无法实现。例如，买卖合同中关于标的物的约定</w:t>
      </w:r>
      <w:proofErr w:type="gramStart"/>
      <w:r>
        <w:rPr>
          <w:rFonts w:ascii="宋体" w:hAnsi="宋体" w:hint="eastAsia"/>
        </w:rPr>
        <w:t>无整个</w:t>
      </w:r>
      <w:proofErr w:type="gramEnd"/>
      <w:r>
        <w:rPr>
          <w:rFonts w:ascii="宋体" w:hAnsi="宋体" w:hint="eastAsia"/>
        </w:rPr>
        <w:t>买卖合同失去存在基础。</w:t>
      </w:r>
    </w:p>
    <w:p w14:paraId="49F2362B"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第二，当事人明确表示合同条款不可分割，任何部分无效将导致整体无效。这体现了对当事人意思自治的尊重。</w:t>
      </w:r>
    </w:p>
    <w:p w14:paraId="6C14E689"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第三，保留有效部分将导致合同利益严重失衡，违反公平原则。</w:t>
      </w:r>
    </w:p>
    <w:p w14:paraId="78DD0A94" w14:textId="77777777" w:rsidR="000406B1" w:rsidRDefault="000406B1" w:rsidP="000406B1">
      <w:pPr>
        <w:spacing w:after="160" w:line="276" w:lineRule="auto"/>
        <w:jc w:val="left"/>
        <w:rPr>
          <w:rFonts w:ascii="黑体" w:eastAsia="黑体" w:hAnsi="黑体" w:hint="eastAsia"/>
          <w:sz w:val="28"/>
          <w:szCs w:val="28"/>
        </w:rPr>
      </w:pPr>
      <w:r>
        <w:rPr>
          <w:rFonts w:ascii="黑体" w:eastAsia="黑体" w:hAnsi="黑体" w:hint="eastAsia"/>
          <w:sz w:val="28"/>
          <w:szCs w:val="28"/>
        </w:rPr>
        <w:t>五、三种转换类型的关系</w:t>
      </w:r>
    </w:p>
    <w:p w14:paraId="52EBD6DC" w14:textId="77777777" w:rsidR="000406B1" w:rsidRDefault="000406B1" w:rsidP="000406B1">
      <w:pPr>
        <w:spacing w:after="160" w:line="276" w:lineRule="auto"/>
        <w:jc w:val="left"/>
        <w:rPr>
          <w:rFonts w:ascii="黑体" w:eastAsia="黑体" w:hAnsi="黑体" w:hint="eastAsia"/>
          <w:sz w:val="24"/>
          <w:szCs w:val="24"/>
        </w:rPr>
      </w:pPr>
      <w:r>
        <w:rPr>
          <w:rFonts w:ascii="黑体" w:eastAsia="黑体" w:hAnsi="黑体" w:hint="eastAsia"/>
          <w:sz w:val="24"/>
          <w:szCs w:val="24"/>
        </w:rPr>
        <w:t>（一）类型比较</w:t>
      </w:r>
    </w:p>
    <w:tbl>
      <w:tblPr>
        <w:tblW w:w="89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6"/>
        <w:gridCol w:w="2094"/>
        <w:gridCol w:w="3025"/>
        <w:gridCol w:w="2120"/>
      </w:tblGrid>
      <w:tr w:rsidR="000406B1" w14:paraId="2C56805D" w14:textId="77777777">
        <w:trPr>
          <w:trHeight w:val="276"/>
          <w:jc w:val="center"/>
        </w:trPr>
        <w:tc>
          <w:tcPr>
            <w:tcW w:w="1726" w:type="dxa"/>
            <w:tcBorders>
              <w:top w:val="single" w:sz="4" w:space="0" w:color="auto"/>
              <w:left w:val="single" w:sz="4" w:space="0" w:color="auto"/>
              <w:bottom w:val="single" w:sz="4" w:space="0" w:color="auto"/>
              <w:right w:val="single" w:sz="4" w:space="0" w:color="auto"/>
            </w:tcBorders>
            <w:noWrap/>
            <w:vAlign w:val="center"/>
            <w:hideMark/>
          </w:tcPr>
          <w:p w14:paraId="3C9EA2F1" w14:textId="77777777" w:rsidR="000406B1" w:rsidRDefault="000406B1">
            <w:pPr>
              <w:autoSpaceDE w:val="0"/>
              <w:spacing w:line="400" w:lineRule="exact"/>
              <w:jc w:val="center"/>
              <w:rPr>
                <w:rFonts w:ascii="宋体" w:hAnsi="宋体" w:hint="eastAsia"/>
              </w:rPr>
            </w:pPr>
            <w:r>
              <w:rPr>
                <w:rFonts w:ascii="宋体" w:hAnsi="宋体" w:hint="eastAsia"/>
              </w:rPr>
              <w:t>类型</w:t>
            </w:r>
          </w:p>
        </w:tc>
        <w:tc>
          <w:tcPr>
            <w:tcW w:w="2094" w:type="dxa"/>
            <w:tcBorders>
              <w:top w:val="single" w:sz="4" w:space="0" w:color="auto"/>
              <w:left w:val="single" w:sz="4" w:space="0" w:color="auto"/>
              <w:bottom w:val="single" w:sz="4" w:space="0" w:color="auto"/>
              <w:right w:val="single" w:sz="4" w:space="0" w:color="auto"/>
            </w:tcBorders>
            <w:noWrap/>
            <w:vAlign w:val="center"/>
            <w:hideMark/>
          </w:tcPr>
          <w:p w14:paraId="2CDDDC68" w14:textId="77777777" w:rsidR="000406B1" w:rsidRDefault="000406B1">
            <w:pPr>
              <w:autoSpaceDE w:val="0"/>
              <w:spacing w:line="400" w:lineRule="exact"/>
              <w:jc w:val="center"/>
              <w:rPr>
                <w:rFonts w:ascii="宋体" w:hAnsi="宋体" w:hint="eastAsia"/>
              </w:rPr>
            </w:pPr>
            <w:r>
              <w:rPr>
                <w:rFonts w:ascii="宋体" w:hAnsi="宋体" w:hint="eastAsia"/>
              </w:rPr>
              <w:t>瑕疵补正型</w:t>
            </w:r>
          </w:p>
        </w:tc>
        <w:tc>
          <w:tcPr>
            <w:tcW w:w="3025" w:type="dxa"/>
            <w:tcBorders>
              <w:top w:val="single" w:sz="4" w:space="0" w:color="auto"/>
              <w:left w:val="single" w:sz="4" w:space="0" w:color="auto"/>
              <w:bottom w:val="single" w:sz="4" w:space="0" w:color="auto"/>
              <w:right w:val="single" w:sz="4" w:space="0" w:color="auto"/>
            </w:tcBorders>
            <w:noWrap/>
            <w:vAlign w:val="center"/>
            <w:hideMark/>
          </w:tcPr>
          <w:p w14:paraId="565D47FD" w14:textId="77777777" w:rsidR="000406B1" w:rsidRDefault="000406B1">
            <w:pPr>
              <w:autoSpaceDE w:val="0"/>
              <w:spacing w:line="400" w:lineRule="exact"/>
              <w:jc w:val="center"/>
              <w:rPr>
                <w:rFonts w:ascii="宋体" w:hAnsi="宋体" w:hint="eastAsia"/>
              </w:rPr>
            </w:pPr>
            <w:r>
              <w:rPr>
                <w:rFonts w:ascii="宋体" w:hAnsi="宋体" w:hint="eastAsia"/>
              </w:rPr>
              <w:t>性质转换型</w:t>
            </w:r>
          </w:p>
        </w:tc>
        <w:tc>
          <w:tcPr>
            <w:tcW w:w="2120" w:type="dxa"/>
            <w:tcBorders>
              <w:top w:val="single" w:sz="4" w:space="0" w:color="auto"/>
              <w:left w:val="single" w:sz="4" w:space="0" w:color="auto"/>
              <w:bottom w:val="single" w:sz="4" w:space="0" w:color="auto"/>
              <w:right w:val="single" w:sz="4" w:space="0" w:color="auto"/>
            </w:tcBorders>
            <w:noWrap/>
            <w:vAlign w:val="center"/>
            <w:hideMark/>
          </w:tcPr>
          <w:p w14:paraId="539F9651" w14:textId="77777777" w:rsidR="000406B1" w:rsidRDefault="000406B1">
            <w:pPr>
              <w:autoSpaceDE w:val="0"/>
              <w:spacing w:line="400" w:lineRule="exact"/>
              <w:jc w:val="center"/>
              <w:rPr>
                <w:rFonts w:ascii="宋体" w:hAnsi="宋体" w:hint="eastAsia"/>
              </w:rPr>
            </w:pPr>
            <w:r>
              <w:rPr>
                <w:rFonts w:ascii="宋体" w:hAnsi="宋体" w:hint="eastAsia"/>
              </w:rPr>
              <w:t>合同缩减型</w:t>
            </w:r>
          </w:p>
        </w:tc>
      </w:tr>
      <w:tr w:rsidR="000406B1" w14:paraId="3353C8AC" w14:textId="77777777">
        <w:trPr>
          <w:trHeight w:val="543"/>
          <w:jc w:val="center"/>
        </w:trPr>
        <w:tc>
          <w:tcPr>
            <w:tcW w:w="1726" w:type="dxa"/>
            <w:tcBorders>
              <w:top w:val="single" w:sz="4" w:space="0" w:color="auto"/>
              <w:left w:val="single" w:sz="4" w:space="0" w:color="auto"/>
              <w:bottom w:val="single" w:sz="4" w:space="0" w:color="auto"/>
              <w:right w:val="single" w:sz="4" w:space="0" w:color="auto"/>
            </w:tcBorders>
            <w:noWrap/>
            <w:vAlign w:val="center"/>
            <w:hideMark/>
          </w:tcPr>
          <w:p w14:paraId="0D872896" w14:textId="77777777" w:rsidR="000406B1" w:rsidRDefault="000406B1">
            <w:pPr>
              <w:autoSpaceDE w:val="0"/>
              <w:spacing w:line="400" w:lineRule="exact"/>
              <w:jc w:val="center"/>
              <w:rPr>
                <w:rFonts w:ascii="宋体" w:hAnsi="宋体" w:hint="eastAsia"/>
              </w:rPr>
            </w:pPr>
            <w:r>
              <w:rPr>
                <w:rFonts w:ascii="宋体" w:hAnsi="宋体" w:hint="eastAsia"/>
              </w:rPr>
              <w:t>转换对象</w:t>
            </w:r>
          </w:p>
        </w:tc>
        <w:tc>
          <w:tcPr>
            <w:tcW w:w="2094" w:type="dxa"/>
            <w:tcBorders>
              <w:top w:val="single" w:sz="4" w:space="0" w:color="auto"/>
              <w:left w:val="single" w:sz="4" w:space="0" w:color="auto"/>
              <w:bottom w:val="single" w:sz="4" w:space="0" w:color="auto"/>
              <w:right w:val="single" w:sz="4" w:space="0" w:color="auto"/>
            </w:tcBorders>
            <w:noWrap/>
            <w:vAlign w:val="center"/>
            <w:hideMark/>
          </w:tcPr>
          <w:p w14:paraId="152CA9D5" w14:textId="77777777" w:rsidR="000406B1" w:rsidRDefault="000406B1">
            <w:pPr>
              <w:autoSpaceDE w:val="0"/>
              <w:spacing w:line="400" w:lineRule="exact"/>
              <w:jc w:val="center"/>
              <w:rPr>
                <w:rFonts w:ascii="宋体" w:hAnsi="宋体" w:hint="eastAsia"/>
              </w:rPr>
            </w:pPr>
            <w:r>
              <w:rPr>
                <w:rFonts w:ascii="宋体" w:hAnsi="宋体" w:hint="eastAsia"/>
              </w:rPr>
              <w:t>同一合同</w:t>
            </w:r>
          </w:p>
        </w:tc>
        <w:tc>
          <w:tcPr>
            <w:tcW w:w="3025" w:type="dxa"/>
            <w:tcBorders>
              <w:top w:val="single" w:sz="4" w:space="0" w:color="auto"/>
              <w:left w:val="single" w:sz="4" w:space="0" w:color="auto"/>
              <w:bottom w:val="single" w:sz="4" w:space="0" w:color="auto"/>
              <w:right w:val="single" w:sz="4" w:space="0" w:color="auto"/>
            </w:tcBorders>
            <w:noWrap/>
            <w:vAlign w:val="center"/>
            <w:hideMark/>
          </w:tcPr>
          <w:p w14:paraId="6D7C11B7" w14:textId="77777777" w:rsidR="000406B1" w:rsidRDefault="000406B1">
            <w:pPr>
              <w:autoSpaceDE w:val="0"/>
              <w:spacing w:line="400" w:lineRule="exact"/>
              <w:jc w:val="center"/>
              <w:rPr>
                <w:rFonts w:ascii="宋体" w:hAnsi="宋体" w:hint="eastAsia"/>
              </w:rPr>
            </w:pPr>
            <w:r>
              <w:rPr>
                <w:rFonts w:ascii="宋体" w:hAnsi="宋体" w:hint="eastAsia"/>
              </w:rPr>
              <w:t>转为另一种合同</w:t>
            </w:r>
          </w:p>
        </w:tc>
        <w:tc>
          <w:tcPr>
            <w:tcW w:w="2120" w:type="dxa"/>
            <w:tcBorders>
              <w:top w:val="single" w:sz="4" w:space="0" w:color="auto"/>
              <w:left w:val="single" w:sz="4" w:space="0" w:color="auto"/>
              <w:bottom w:val="single" w:sz="4" w:space="0" w:color="auto"/>
              <w:right w:val="single" w:sz="4" w:space="0" w:color="auto"/>
            </w:tcBorders>
            <w:noWrap/>
            <w:vAlign w:val="center"/>
            <w:hideMark/>
          </w:tcPr>
          <w:p w14:paraId="4BC0824E" w14:textId="77777777" w:rsidR="000406B1" w:rsidRDefault="000406B1">
            <w:pPr>
              <w:autoSpaceDE w:val="0"/>
              <w:spacing w:line="400" w:lineRule="exact"/>
              <w:jc w:val="center"/>
              <w:rPr>
                <w:rFonts w:ascii="宋体" w:hAnsi="宋体" w:hint="eastAsia"/>
              </w:rPr>
            </w:pPr>
            <w:r>
              <w:rPr>
                <w:rFonts w:ascii="宋体" w:hAnsi="宋体" w:hint="eastAsia"/>
              </w:rPr>
              <w:t>同一合同的有效部分</w:t>
            </w:r>
          </w:p>
        </w:tc>
      </w:tr>
      <w:tr w:rsidR="000406B1" w14:paraId="21874D0E" w14:textId="77777777">
        <w:trPr>
          <w:trHeight w:val="276"/>
          <w:jc w:val="center"/>
        </w:trPr>
        <w:tc>
          <w:tcPr>
            <w:tcW w:w="1726" w:type="dxa"/>
            <w:tcBorders>
              <w:top w:val="single" w:sz="4" w:space="0" w:color="auto"/>
              <w:left w:val="single" w:sz="4" w:space="0" w:color="auto"/>
              <w:bottom w:val="single" w:sz="4" w:space="0" w:color="auto"/>
              <w:right w:val="single" w:sz="4" w:space="0" w:color="auto"/>
            </w:tcBorders>
            <w:noWrap/>
            <w:vAlign w:val="center"/>
            <w:hideMark/>
          </w:tcPr>
          <w:p w14:paraId="30463C43" w14:textId="77777777" w:rsidR="000406B1" w:rsidRDefault="000406B1">
            <w:pPr>
              <w:autoSpaceDE w:val="0"/>
              <w:spacing w:line="400" w:lineRule="exact"/>
              <w:jc w:val="center"/>
              <w:rPr>
                <w:rFonts w:ascii="宋体" w:hAnsi="宋体" w:hint="eastAsia"/>
              </w:rPr>
            </w:pPr>
            <w:r>
              <w:rPr>
                <w:rFonts w:ascii="宋体" w:hAnsi="宋体" w:hint="eastAsia"/>
              </w:rPr>
              <w:t>转换机制</w:t>
            </w:r>
          </w:p>
        </w:tc>
        <w:tc>
          <w:tcPr>
            <w:tcW w:w="2094" w:type="dxa"/>
            <w:tcBorders>
              <w:top w:val="single" w:sz="4" w:space="0" w:color="auto"/>
              <w:left w:val="single" w:sz="4" w:space="0" w:color="auto"/>
              <w:bottom w:val="single" w:sz="4" w:space="0" w:color="auto"/>
              <w:right w:val="single" w:sz="4" w:space="0" w:color="auto"/>
            </w:tcBorders>
            <w:noWrap/>
            <w:vAlign w:val="center"/>
            <w:hideMark/>
          </w:tcPr>
          <w:p w14:paraId="11829EA6" w14:textId="77777777" w:rsidR="000406B1" w:rsidRDefault="000406B1">
            <w:pPr>
              <w:autoSpaceDE w:val="0"/>
              <w:spacing w:line="400" w:lineRule="exact"/>
              <w:jc w:val="center"/>
              <w:rPr>
                <w:rFonts w:ascii="宋体" w:hAnsi="宋体" w:hint="eastAsia"/>
              </w:rPr>
            </w:pPr>
            <w:r>
              <w:rPr>
                <w:rFonts w:ascii="宋体" w:hAnsi="宋体" w:hint="eastAsia"/>
              </w:rPr>
              <w:t>消除瑕疵事由</w:t>
            </w:r>
          </w:p>
        </w:tc>
        <w:tc>
          <w:tcPr>
            <w:tcW w:w="3025" w:type="dxa"/>
            <w:tcBorders>
              <w:top w:val="single" w:sz="4" w:space="0" w:color="auto"/>
              <w:left w:val="single" w:sz="4" w:space="0" w:color="auto"/>
              <w:bottom w:val="single" w:sz="4" w:space="0" w:color="auto"/>
              <w:right w:val="single" w:sz="4" w:space="0" w:color="auto"/>
            </w:tcBorders>
            <w:noWrap/>
            <w:vAlign w:val="center"/>
            <w:hideMark/>
          </w:tcPr>
          <w:p w14:paraId="5B0D04A5" w14:textId="77777777" w:rsidR="000406B1" w:rsidRDefault="000406B1">
            <w:pPr>
              <w:autoSpaceDE w:val="0"/>
              <w:spacing w:line="400" w:lineRule="exact"/>
              <w:jc w:val="center"/>
              <w:rPr>
                <w:rFonts w:ascii="宋体" w:hAnsi="宋体" w:hint="eastAsia"/>
              </w:rPr>
            </w:pPr>
            <w:r>
              <w:rPr>
                <w:rFonts w:ascii="宋体" w:hAnsi="宋体" w:hint="eastAsia"/>
              </w:rPr>
              <w:t>重新定性法律关系</w:t>
            </w:r>
          </w:p>
        </w:tc>
        <w:tc>
          <w:tcPr>
            <w:tcW w:w="2120" w:type="dxa"/>
            <w:tcBorders>
              <w:top w:val="single" w:sz="4" w:space="0" w:color="auto"/>
              <w:left w:val="single" w:sz="4" w:space="0" w:color="auto"/>
              <w:bottom w:val="single" w:sz="4" w:space="0" w:color="auto"/>
              <w:right w:val="single" w:sz="4" w:space="0" w:color="auto"/>
            </w:tcBorders>
            <w:noWrap/>
            <w:vAlign w:val="center"/>
            <w:hideMark/>
          </w:tcPr>
          <w:p w14:paraId="1D780C94" w14:textId="77777777" w:rsidR="000406B1" w:rsidRDefault="000406B1">
            <w:pPr>
              <w:autoSpaceDE w:val="0"/>
              <w:spacing w:line="400" w:lineRule="exact"/>
              <w:jc w:val="center"/>
              <w:rPr>
                <w:rFonts w:ascii="宋体" w:hAnsi="宋体" w:hint="eastAsia"/>
              </w:rPr>
            </w:pPr>
            <w:r>
              <w:rPr>
                <w:rFonts w:ascii="宋体" w:hAnsi="宋体" w:hint="eastAsia"/>
              </w:rPr>
              <w:t>切除无效部分</w:t>
            </w:r>
          </w:p>
        </w:tc>
      </w:tr>
      <w:tr w:rsidR="000406B1" w14:paraId="42F654AA" w14:textId="77777777">
        <w:trPr>
          <w:trHeight w:val="276"/>
          <w:jc w:val="center"/>
        </w:trPr>
        <w:tc>
          <w:tcPr>
            <w:tcW w:w="1726" w:type="dxa"/>
            <w:tcBorders>
              <w:top w:val="single" w:sz="4" w:space="0" w:color="auto"/>
              <w:left w:val="single" w:sz="4" w:space="0" w:color="auto"/>
              <w:bottom w:val="single" w:sz="4" w:space="0" w:color="auto"/>
              <w:right w:val="single" w:sz="4" w:space="0" w:color="auto"/>
            </w:tcBorders>
            <w:noWrap/>
            <w:vAlign w:val="center"/>
            <w:hideMark/>
          </w:tcPr>
          <w:p w14:paraId="5EA3C9E8" w14:textId="77777777" w:rsidR="000406B1" w:rsidRDefault="000406B1">
            <w:pPr>
              <w:autoSpaceDE w:val="0"/>
              <w:spacing w:line="400" w:lineRule="exact"/>
              <w:jc w:val="center"/>
              <w:rPr>
                <w:rFonts w:ascii="宋体" w:hAnsi="宋体" w:hint="eastAsia"/>
              </w:rPr>
            </w:pPr>
            <w:r>
              <w:rPr>
                <w:rFonts w:ascii="宋体" w:hAnsi="宋体" w:hint="eastAsia"/>
              </w:rPr>
              <w:t>中国法依据</w:t>
            </w:r>
          </w:p>
        </w:tc>
        <w:tc>
          <w:tcPr>
            <w:tcW w:w="2094" w:type="dxa"/>
            <w:tcBorders>
              <w:top w:val="single" w:sz="4" w:space="0" w:color="auto"/>
              <w:left w:val="single" w:sz="4" w:space="0" w:color="auto"/>
              <w:bottom w:val="single" w:sz="4" w:space="0" w:color="auto"/>
              <w:right w:val="single" w:sz="4" w:space="0" w:color="auto"/>
            </w:tcBorders>
            <w:noWrap/>
            <w:vAlign w:val="center"/>
            <w:hideMark/>
          </w:tcPr>
          <w:p w14:paraId="4C85AF7C" w14:textId="77777777" w:rsidR="000406B1" w:rsidRDefault="000406B1">
            <w:pPr>
              <w:autoSpaceDE w:val="0"/>
              <w:spacing w:line="400" w:lineRule="exact"/>
              <w:jc w:val="center"/>
              <w:rPr>
                <w:rFonts w:ascii="宋体" w:hAnsi="宋体" w:hint="eastAsia"/>
              </w:rPr>
            </w:pPr>
            <w:r>
              <w:rPr>
                <w:rFonts w:ascii="宋体" w:hAnsi="宋体" w:hint="eastAsia"/>
              </w:rPr>
              <w:t>490条</w:t>
            </w:r>
          </w:p>
        </w:tc>
        <w:tc>
          <w:tcPr>
            <w:tcW w:w="3025" w:type="dxa"/>
            <w:tcBorders>
              <w:top w:val="single" w:sz="4" w:space="0" w:color="auto"/>
              <w:left w:val="single" w:sz="4" w:space="0" w:color="auto"/>
              <w:bottom w:val="single" w:sz="4" w:space="0" w:color="auto"/>
              <w:right w:val="single" w:sz="4" w:space="0" w:color="auto"/>
            </w:tcBorders>
            <w:noWrap/>
            <w:vAlign w:val="center"/>
            <w:hideMark/>
          </w:tcPr>
          <w:p w14:paraId="3FA9F898" w14:textId="77777777" w:rsidR="000406B1" w:rsidRDefault="000406B1">
            <w:pPr>
              <w:autoSpaceDE w:val="0"/>
              <w:spacing w:line="400" w:lineRule="exact"/>
              <w:jc w:val="center"/>
              <w:rPr>
                <w:rFonts w:ascii="宋体" w:hAnsi="宋体" w:hint="eastAsia"/>
              </w:rPr>
            </w:pPr>
            <w:r>
              <w:rPr>
                <w:rFonts w:ascii="宋体" w:hAnsi="宋体" w:hint="eastAsia"/>
              </w:rPr>
              <w:t>无一般条款，散见于司法实践</w:t>
            </w:r>
          </w:p>
        </w:tc>
        <w:tc>
          <w:tcPr>
            <w:tcW w:w="2120" w:type="dxa"/>
            <w:tcBorders>
              <w:top w:val="single" w:sz="4" w:space="0" w:color="auto"/>
              <w:left w:val="single" w:sz="4" w:space="0" w:color="auto"/>
              <w:bottom w:val="single" w:sz="4" w:space="0" w:color="auto"/>
              <w:right w:val="single" w:sz="4" w:space="0" w:color="auto"/>
            </w:tcBorders>
            <w:noWrap/>
            <w:vAlign w:val="center"/>
            <w:hideMark/>
          </w:tcPr>
          <w:p w14:paraId="76B2C32C" w14:textId="77777777" w:rsidR="000406B1" w:rsidRDefault="000406B1">
            <w:pPr>
              <w:autoSpaceDE w:val="0"/>
              <w:spacing w:line="400" w:lineRule="exact"/>
              <w:jc w:val="center"/>
              <w:rPr>
                <w:rFonts w:ascii="宋体" w:hAnsi="宋体" w:hint="eastAsia"/>
              </w:rPr>
            </w:pPr>
            <w:r>
              <w:rPr>
                <w:rFonts w:ascii="宋体" w:hAnsi="宋体" w:hint="eastAsia"/>
              </w:rPr>
              <w:t>156条</w:t>
            </w:r>
          </w:p>
        </w:tc>
      </w:tr>
      <w:tr w:rsidR="000406B1" w14:paraId="01007716" w14:textId="77777777">
        <w:trPr>
          <w:trHeight w:val="561"/>
          <w:jc w:val="center"/>
        </w:trPr>
        <w:tc>
          <w:tcPr>
            <w:tcW w:w="1726" w:type="dxa"/>
            <w:tcBorders>
              <w:top w:val="single" w:sz="4" w:space="0" w:color="auto"/>
              <w:left w:val="single" w:sz="4" w:space="0" w:color="auto"/>
              <w:bottom w:val="single" w:sz="4" w:space="0" w:color="auto"/>
              <w:right w:val="single" w:sz="4" w:space="0" w:color="auto"/>
            </w:tcBorders>
            <w:noWrap/>
            <w:vAlign w:val="center"/>
            <w:hideMark/>
          </w:tcPr>
          <w:p w14:paraId="7F1AC3F6" w14:textId="77777777" w:rsidR="000406B1" w:rsidRDefault="000406B1">
            <w:pPr>
              <w:autoSpaceDE w:val="0"/>
              <w:spacing w:line="400" w:lineRule="exact"/>
              <w:jc w:val="center"/>
              <w:rPr>
                <w:rFonts w:ascii="宋体" w:hAnsi="宋体" w:hint="eastAsia"/>
              </w:rPr>
            </w:pPr>
            <w:r>
              <w:rPr>
                <w:rFonts w:ascii="宋体" w:hAnsi="宋体" w:hint="eastAsia"/>
              </w:rPr>
              <w:t>德国</w:t>
            </w:r>
            <w:proofErr w:type="gramStart"/>
            <w:r>
              <w:rPr>
                <w:rFonts w:ascii="宋体" w:hAnsi="宋体" w:hint="eastAsia"/>
              </w:rPr>
              <w:t>法依据</w:t>
            </w:r>
            <w:proofErr w:type="gramEnd"/>
          </w:p>
        </w:tc>
        <w:tc>
          <w:tcPr>
            <w:tcW w:w="2094" w:type="dxa"/>
            <w:tcBorders>
              <w:top w:val="single" w:sz="4" w:space="0" w:color="auto"/>
              <w:left w:val="single" w:sz="4" w:space="0" w:color="auto"/>
              <w:bottom w:val="single" w:sz="4" w:space="0" w:color="auto"/>
              <w:right w:val="single" w:sz="4" w:space="0" w:color="auto"/>
            </w:tcBorders>
            <w:noWrap/>
            <w:vAlign w:val="center"/>
            <w:hideMark/>
          </w:tcPr>
          <w:p w14:paraId="40DCBC23" w14:textId="77777777" w:rsidR="000406B1" w:rsidRDefault="000406B1">
            <w:pPr>
              <w:autoSpaceDE w:val="0"/>
              <w:spacing w:line="400" w:lineRule="exact"/>
              <w:jc w:val="center"/>
              <w:rPr>
                <w:rFonts w:ascii="宋体" w:hAnsi="宋体" w:hint="eastAsia"/>
              </w:rPr>
            </w:pPr>
            <w:r>
              <w:rPr>
                <w:rFonts w:ascii="宋体" w:hAnsi="宋体" w:hint="eastAsia"/>
              </w:rPr>
              <w:t>散见于各具体规定</w:t>
            </w:r>
          </w:p>
        </w:tc>
        <w:tc>
          <w:tcPr>
            <w:tcW w:w="3025" w:type="dxa"/>
            <w:tcBorders>
              <w:top w:val="single" w:sz="4" w:space="0" w:color="auto"/>
              <w:left w:val="single" w:sz="4" w:space="0" w:color="auto"/>
              <w:bottom w:val="single" w:sz="4" w:space="0" w:color="auto"/>
              <w:right w:val="single" w:sz="4" w:space="0" w:color="auto"/>
            </w:tcBorders>
            <w:noWrap/>
            <w:vAlign w:val="center"/>
            <w:hideMark/>
          </w:tcPr>
          <w:p w14:paraId="6F2A69A5" w14:textId="77777777" w:rsidR="000406B1" w:rsidRDefault="000406B1">
            <w:pPr>
              <w:autoSpaceDE w:val="0"/>
              <w:spacing w:line="400" w:lineRule="exact"/>
              <w:jc w:val="center"/>
              <w:rPr>
                <w:rFonts w:ascii="宋体" w:hAnsi="宋体" w:hint="eastAsia"/>
              </w:rPr>
            </w:pPr>
            <w:r>
              <w:rPr>
                <w:rFonts w:ascii="宋体" w:hAnsi="宋体" w:hint="eastAsia"/>
              </w:rPr>
              <w:t>140条</w:t>
            </w:r>
          </w:p>
        </w:tc>
        <w:tc>
          <w:tcPr>
            <w:tcW w:w="2120" w:type="dxa"/>
            <w:tcBorders>
              <w:top w:val="single" w:sz="4" w:space="0" w:color="auto"/>
              <w:left w:val="single" w:sz="4" w:space="0" w:color="auto"/>
              <w:bottom w:val="single" w:sz="4" w:space="0" w:color="auto"/>
              <w:right w:val="single" w:sz="4" w:space="0" w:color="auto"/>
            </w:tcBorders>
            <w:noWrap/>
            <w:vAlign w:val="center"/>
            <w:hideMark/>
          </w:tcPr>
          <w:p w14:paraId="4923E477" w14:textId="77777777" w:rsidR="000406B1" w:rsidRDefault="000406B1">
            <w:pPr>
              <w:autoSpaceDE w:val="0"/>
              <w:spacing w:line="400" w:lineRule="exact"/>
              <w:jc w:val="center"/>
              <w:rPr>
                <w:rFonts w:ascii="宋体" w:hAnsi="宋体" w:hint="eastAsia"/>
              </w:rPr>
            </w:pPr>
            <w:r>
              <w:rPr>
                <w:rFonts w:ascii="宋体" w:hAnsi="宋体" w:hint="eastAsia"/>
              </w:rPr>
              <w:t>139条</w:t>
            </w:r>
          </w:p>
        </w:tc>
      </w:tr>
      <w:tr w:rsidR="000406B1" w14:paraId="329FC1EC" w14:textId="77777777">
        <w:trPr>
          <w:trHeight w:val="276"/>
          <w:jc w:val="center"/>
        </w:trPr>
        <w:tc>
          <w:tcPr>
            <w:tcW w:w="1726" w:type="dxa"/>
            <w:tcBorders>
              <w:top w:val="single" w:sz="4" w:space="0" w:color="auto"/>
              <w:left w:val="single" w:sz="4" w:space="0" w:color="auto"/>
              <w:bottom w:val="single" w:sz="4" w:space="0" w:color="auto"/>
              <w:right w:val="single" w:sz="4" w:space="0" w:color="auto"/>
            </w:tcBorders>
            <w:noWrap/>
            <w:vAlign w:val="center"/>
            <w:hideMark/>
          </w:tcPr>
          <w:p w14:paraId="09E52FE8" w14:textId="77777777" w:rsidR="000406B1" w:rsidRDefault="000406B1">
            <w:pPr>
              <w:autoSpaceDE w:val="0"/>
              <w:spacing w:line="400" w:lineRule="exact"/>
              <w:jc w:val="center"/>
              <w:rPr>
                <w:rFonts w:ascii="宋体" w:hAnsi="宋体" w:hint="eastAsia"/>
              </w:rPr>
            </w:pPr>
            <w:r>
              <w:rPr>
                <w:rFonts w:ascii="宋体" w:hAnsi="宋体" w:hint="eastAsia"/>
              </w:rPr>
              <w:t>当事人意思表示</w:t>
            </w:r>
          </w:p>
        </w:tc>
        <w:tc>
          <w:tcPr>
            <w:tcW w:w="2094" w:type="dxa"/>
            <w:tcBorders>
              <w:top w:val="single" w:sz="4" w:space="0" w:color="auto"/>
              <w:left w:val="single" w:sz="4" w:space="0" w:color="auto"/>
              <w:bottom w:val="single" w:sz="4" w:space="0" w:color="auto"/>
              <w:right w:val="single" w:sz="4" w:space="0" w:color="auto"/>
            </w:tcBorders>
            <w:noWrap/>
            <w:vAlign w:val="center"/>
            <w:hideMark/>
          </w:tcPr>
          <w:p w14:paraId="386B9181" w14:textId="77777777" w:rsidR="000406B1" w:rsidRDefault="000406B1">
            <w:pPr>
              <w:autoSpaceDE w:val="0"/>
              <w:spacing w:line="400" w:lineRule="exact"/>
              <w:jc w:val="center"/>
              <w:rPr>
                <w:rFonts w:ascii="宋体" w:hAnsi="宋体" w:hint="eastAsia"/>
              </w:rPr>
            </w:pPr>
            <w:r>
              <w:rPr>
                <w:rFonts w:ascii="宋体" w:hAnsi="宋体" w:hint="eastAsia"/>
              </w:rPr>
              <w:t>以实际履行推定意思</w:t>
            </w:r>
          </w:p>
        </w:tc>
        <w:tc>
          <w:tcPr>
            <w:tcW w:w="3025" w:type="dxa"/>
            <w:tcBorders>
              <w:top w:val="single" w:sz="4" w:space="0" w:color="auto"/>
              <w:left w:val="single" w:sz="4" w:space="0" w:color="auto"/>
              <w:bottom w:val="single" w:sz="4" w:space="0" w:color="auto"/>
              <w:right w:val="single" w:sz="4" w:space="0" w:color="auto"/>
            </w:tcBorders>
            <w:noWrap/>
            <w:vAlign w:val="center"/>
            <w:hideMark/>
          </w:tcPr>
          <w:p w14:paraId="11B9C604" w14:textId="77777777" w:rsidR="000406B1" w:rsidRDefault="000406B1">
            <w:pPr>
              <w:autoSpaceDE w:val="0"/>
              <w:spacing w:line="400" w:lineRule="exact"/>
              <w:jc w:val="center"/>
              <w:rPr>
                <w:rFonts w:ascii="宋体" w:hAnsi="宋体" w:hint="eastAsia"/>
              </w:rPr>
            </w:pPr>
            <w:r>
              <w:rPr>
                <w:rFonts w:ascii="宋体" w:hAnsi="宋体" w:hint="eastAsia"/>
              </w:rPr>
              <w:t>以假定意思为要件</w:t>
            </w:r>
          </w:p>
        </w:tc>
        <w:tc>
          <w:tcPr>
            <w:tcW w:w="2120" w:type="dxa"/>
            <w:tcBorders>
              <w:top w:val="single" w:sz="4" w:space="0" w:color="auto"/>
              <w:left w:val="single" w:sz="4" w:space="0" w:color="auto"/>
              <w:bottom w:val="single" w:sz="4" w:space="0" w:color="auto"/>
              <w:right w:val="single" w:sz="4" w:space="0" w:color="auto"/>
            </w:tcBorders>
            <w:noWrap/>
            <w:vAlign w:val="center"/>
            <w:hideMark/>
          </w:tcPr>
          <w:p w14:paraId="1EEE2F78" w14:textId="77777777" w:rsidR="000406B1" w:rsidRDefault="000406B1">
            <w:pPr>
              <w:autoSpaceDE w:val="0"/>
              <w:spacing w:line="400" w:lineRule="exact"/>
              <w:jc w:val="center"/>
              <w:rPr>
                <w:rFonts w:ascii="宋体" w:hAnsi="宋体" w:hint="eastAsia"/>
              </w:rPr>
            </w:pPr>
            <w:r>
              <w:rPr>
                <w:rFonts w:ascii="宋体" w:hAnsi="宋体" w:hint="eastAsia"/>
              </w:rPr>
              <w:t>以合同可分性为判断标准</w:t>
            </w:r>
          </w:p>
        </w:tc>
      </w:tr>
    </w:tbl>
    <w:p w14:paraId="35DF3E78" w14:textId="77777777" w:rsidR="000406B1" w:rsidRDefault="000406B1" w:rsidP="000406B1">
      <w:pPr>
        <w:autoSpaceDE w:val="0"/>
        <w:spacing w:line="400" w:lineRule="exact"/>
        <w:ind w:firstLineChars="200" w:firstLine="480"/>
        <w:jc w:val="left"/>
        <w:rPr>
          <w:rFonts w:ascii="黑体" w:eastAsia="黑体" w:hAnsi="黑体" w:hint="eastAsia"/>
          <w:sz w:val="24"/>
          <w:szCs w:val="24"/>
        </w:rPr>
      </w:pPr>
      <w:r>
        <w:rPr>
          <w:rFonts w:ascii="黑体" w:eastAsia="黑体" w:hAnsi="黑体" w:hint="eastAsia"/>
          <w:sz w:val="24"/>
          <w:szCs w:val="24"/>
        </w:rPr>
        <w:t xml:space="preserve"> </w:t>
      </w:r>
    </w:p>
    <w:p w14:paraId="506C633A" w14:textId="77777777" w:rsidR="000406B1" w:rsidRDefault="000406B1" w:rsidP="000406B1">
      <w:pPr>
        <w:spacing w:after="160" w:line="276" w:lineRule="auto"/>
        <w:jc w:val="left"/>
        <w:rPr>
          <w:rFonts w:ascii="黑体" w:eastAsia="黑体" w:hAnsi="黑体" w:hint="eastAsia"/>
          <w:sz w:val="24"/>
          <w:szCs w:val="24"/>
        </w:rPr>
      </w:pPr>
      <w:r>
        <w:rPr>
          <w:rFonts w:ascii="黑体" w:eastAsia="黑体" w:hAnsi="黑体" w:hint="eastAsia"/>
          <w:sz w:val="24"/>
          <w:szCs w:val="24"/>
        </w:rPr>
        <w:t>（二）适用顺序</w:t>
      </w:r>
    </w:p>
    <w:p w14:paraId="6927758B"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三种转换类型之间存在逻辑上的适用顺序：</w:t>
      </w:r>
    </w:p>
    <w:p w14:paraId="29D54EA8"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第一顺位是瑕疵补正。如果导致合同无效的瑕疵可以被消除，应当优先通过补正使同一合同获得效力。这是对当事人原始意思最大程度的尊重。</w:t>
      </w:r>
    </w:p>
    <w:p w14:paraId="773751DA"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第二顺位是合同缩减。如果合同的部分内容无效但其余部分可以独立存在，应当保留有效部分。这是在不能完全实现当事人意思的情况下，尽可能多地保</w:t>
      </w:r>
      <w:proofErr w:type="gramStart"/>
      <w:r>
        <w:rPr>
          <w:rFonts w:ascii="宋体" w:hAnsi="宋体" w:hint="eastAsia"/>
        </w:rPr>
        <w:t>留合同</w:t>
      </w:r>
      <w:proofErr w:type="gramEnd"/>
      <w:r>
        <w:rPr>
          <w:rFonts w:ascii="宋体" w:hAnsi="宋体" w:hint="eastAsia"/>
        </w:rPr>
        <w:t>效力。</w:t>
      </w:r>
    </w:p>
    <w:p w14:paraId="204C1BB2"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第三顺位是性质转换。只有在合同整体无效且无法通过补正或缩减获得效力时，才考虑将其转换为另一种有效的法律行为。这是对当事人意思的最大限度的替代性实现。</w:t>
      </w:r>
    </w:p>
    <w:p w14:paraId="22CF4D1D" w14:textId="77777777" w:rsidR="000406B1" w:rsidRDefault="000406B1" w:rsidP="000406B1">
      <w:pPr>
        <w:spacing w:after="160" w:line="276" w:lineRule="auto"/>
        <w:jc w:val="left"/>
        <w:rPr>
          <w:rFonts w:ascii="黑体" w:eastAsia="黑体" w:hAnsi="黑体" w:hint="eastAsia"/>
          <w:sz w:val="28"/>
          <w:szCs w:val="28"/>
        </w:rPr>
      </w:pPr>
      <w:r>
        <w:rPr>
          <w:rFonts w:ascii="黑体" w:eastAsia="黑体" w:hAnsi="黑体" w:hint="eastAsia"/>
          <w:sz w:val="28"/>
          <w:szCs w:val="28"/>
        </w:rPr>
        <w:t>六、中国法上效力转换规则的解释路径</w:t>
      </w:r>
    </w:p>
    <w:p w14:paraId="05CE1606" w14:textId="77777777" w:rsidR="000406B1" w:rsidRDefault="000406B1" w:rsidP="000406B1">
      <w:pPr>
        <w:spacing w:after="160" w:line="276" w:lineRule="auto"/>
        <w:jc w:val="left"/>
        <w:rPr>
          <w:rFonts w:ascii="黑体" w:eastAsia="黑体" w:hAnsi="黑体" w:hint="eastAsia"/>
          <w:sz w:val="24"/>
          <w:szCs w:val="24"/>
        </w:rPr>
      </w:pPr>
      <w:r>
        <w:rPr>
          <w:rFonts w:ascii="黑体" w:eastAsia="黑体" w:hAnsi="黑体" w:hint="eastAsia"/>
          <w:sz w:val="24"/>
          <w:szCs w:val="24"/>
        </w:rPr>
        <w:t>（一）现行法的不足</w:t>
      </w:r>
    </w:p>
    <w:p w14:paraId="4E2F9867"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通过上述分析，可以发现中国法在无效合同效力转换问题上存在以下不足：</w:t>
      </w:r>
    </w:p>
    <w:p w14:paraId="12F6986A"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第一，法律行为性质转换的一般性规则。司法实践中虽然已经通过穿透式审查等方法实质性地进行了法律行为转换，但缺乏统一的规范依据和构成要件，导致裁判标准不统一、说理不充分。</w:t>
      </w:r>
    </w:p>
    <w:p w14:paraId="1941CAB0"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lastRenderedPageBreak/>
        <w:t>第二，瑕疵补正规则分散于各个司法解释中，缺乏体系化整合。形式补正、资质补正、审批补正分别规定在不同的法律和司法解释中，补正的时间节点、构成要件各不相同，缺乏统一的理论框架。</w:t>
      </w:r>
    </w:p>
    <w:p w14:paraId="0C0993EA"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第三，合同缩减规则过于简略。《民法典》第一百五十六条仅提供了一个原则性规定，对于如何判断不影响其他部分效力、如何处理缩减后的合同利益平衡等问题，缺乏具体的操作指引。</w:t>
      </w:r>
    </w:p>
    <w:p w14:paraId="667C208B" w14:textId="77777777" w:rsidR="000406B1" w:rsidRDefault="000406B1" w:rsidP="000406B1">
      <w:pPr>
        <w:spacing w:after="160" w:line="276" w:lineRule="auto"/>
        <w:jc w:val="left"/>
        <w:rPr>
          <w:rFonts w:ascii="黑体" w:eastAsia="黑体" w:hAnsi="黑体" w:hint="eastAsia"/>
          <w:sz w:val="24"/>
          <w:szCs w:val="24"/>
        </w:rPr>
      </w:pPr>
      <w:r>
        <w:rPr>
          <w:rFonts w:ascii="黑体" w:eastAsia="黑体" w:hAnsi="黑体" w:hint="eastAsia"/>
          <w:sz w:val="24"/>
          <w:szCs w:val="24"/>
        </w:rPr>
        <w:t>（二）解释路径</w:t>
      </w:r>
    </w:p>
    <w:p w14:paraId="42F9589A"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在立法修订尚未启动的当下，现行法框架</w:t>
      </w:r>
      <w:proofErr w:type="gramStart"/>
      <w:r>
        <w:rPr>
          <w:rFonts w:ascii="宋体" w:hAnsi="宋体" w:hint="eastAsia"/>
        </w:rPr>
        <w:t>内并非</w:t>
      </w:r>
      <w:proofErr w:type="gramEnd"/>
      <w:r>
        <w:rPr>
          <w:rFonts w:ascii="宋体" w:hAnsi="宋体" w:hint="eastAsia"/>
        </w:rPr>
        <w:t>没有实现效力转换功能的制度空间。具体解释路径如下：</w:t>
      </w:r>
    </w:p>
    <w:p w14:paraId="72C8D932"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其一，意思表示解释规则的扩张适用。《民法典》第一百四十二条确立了意思表示解释的基本方法，包括文义解释、体系解释、目的解释等。在效力转换的语境下，法院可以通过目的解释，探求当事人缔约时所追求的经济目的和法律效果，进而在合理限度内将当事人的意思表示解释为符合另一种有效法律行为要件的内容。这一路径的优势在于，它不需要突破现行法的文义，而是在意思表示解释的既有框架内完成转换的论证。但其限度同样明显：解释不能超越当事人意思表示的可能文义范围，否则将构成对当事人意思的替代而非解释。</w:t>
      </w:r>
    </w:p>
    <w:p w14:paraId="1E41376C"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其二，诚实信用原则与禁止权利滥用的功能运用。《民法典》第七条与第一百三十二条可以作为效力转换的实质性判断依据。在司法实践中，部分当事人在合同已经实质履行后，因市场行情变化或其他利益</w:t>
      </w:r>
      <w:proofErr w:type="gramStart"/>
      <w:r>
        <w:rPr>
          <w:rFonts w:ascii="宋体" w:hAnsi="宋体" w:hint="eastAsia"/>
        </w:rPr>
        <w:t>考量</w:t>
      </w:r>
      <w:proofErr w:type="gramEnd"/>
      <w:r>
        <w:rPr>
          <w:rFonts w:ascii="宋体" w:hAnsi="宋体" w:hint="eastAsia"/>
        </w:rPr>
        <w:t>，恶意援引合同无效事由以逃避合同义务。此时，法院可以依据诚实信用原则，认定该当事人主张合同无效的行为构成权利滥用，进而通过效力转换维护对方当事人的合理信赖。这一路径为效力转换提供了价值论层面的正当性支撑，但需要警惕的是，诚实信用原则作为一般条款，其适用应当保持谦抑，不宜成为架空合同无效制度的工具。</w:t>
      </w:r>
    </w:p>
    <w:p w14:paraId="46F7DF35"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其三，指导性案例与典型案例的规则形成功能。在成文法供给不足的领域，最高人民法院通过发布指导性案例《关于案例指导工作的规定》）和典型案例，可以逐步提炼法律行为性质转换的裁判规则，统一各级法院的裁判标准和说理框架。相较于司法解释的制定程序，案例指导制度更为灵活，能够针对具体类型的转换问题提供精细化的裁判指引。</w:t>
      </w:r>
    </w:p>
    <w:p w14:paraId="2E3ADE34" w14:textId="77777777" w:rsidR="000406B1" w:rsidRDefault="000406B1" w:rsidP="000406B1">
      <w:pPr>
        <w:spacing w:after="160" w:line="276" w:lineRule="auto"/>
        <w:jc w:val="left"/>
        <w:rPr>
          <w:rFonts w:ascii="黑体" w:eastAsia="黑体" w:hAnsi="黑体" w:hint="eastAsia"/>
          <w:sz w:val="28"/>
          <w:szCs w:val="28"/>
        </w:rPr>
      </w:pPr>
      <w:r>
        <w:rPr>
          <w:rFonts w:ascii="黑体" w:eastAsia="黑体" w:hAnsi="黑体" w:hint="eastAsia"/>
          <w:sz w:val="28"/>
          <w:szCs w:val="28"/>
        </w:rPr>
        <w:t>七．结论</w:t>
      </w:r>
    </w:p>
    <w:p w14:paraId="236B4496"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无效合同的效力转换，是合同效力控制体系中一个长期被忽视但具有重大理论与实践价值的问题。它所回应的核心关切是：法律对合同效力的否定性评价，是否应当以及如何为当事人保留效力救济的可能。</w:t>
      </w:r>
    </w:p>
    <w:p w14:paraId="65330435" w14:textId="77777777" w:rsidR="000406B1" w:rsidRDefault="000406B1" w:rsidP="000406B1">
      <w:pPr>
        <w:autoSpaceDE w:val="0"/>
        <w:spacing w:line="400" w:lineRule="exact"/>
        <w:jc w:val="left"/>
        <w:rPr>
          <w:rFonts w:ascii="宋体" w:hAnsi="宋体" w:hint="eastAsia"/>
        </w:rPr>
      </w:pPr>
      <w:r>
        <w:rPr>
          <w:rFonts w:ascii="宋体" w:hAnsi="宋体" w:hint="eastAsia"/>
        </w:rPr>
        <w:t>本文通过类型化分析方法，将无效合同的效力转换区分为瑕疵补正型、法律行为性质转换型与合同缩减型三种基本类型。三种类型在转换机制、规范依据、当事人意思的角色等方</w:t>
      </w:r>
      <w:r>
        <w:rPr>
          <w:rFonts w:ascii="宋体" w:hAnsi="宋体" w:hint="eastAsia"/>
        </w:rPr>
        <w:lastRenderedPageBreak/>
        <w:t>面各有不同，但共享同一价值基础：在法律秩序允许的范围内，最大限度地实现当事人通过合同所追求的法律效果。</w:t>
      </w:r>
    </w:p>
    <w:p w14:paraId="71355DA9"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中国法的现状呈现出一种不对称的格局：瑕疵补正与合同缩减已有较为明确的规范依据和丰富的裁判实践，而法律行为性质转换则处于"实践先行、规范缺位"的状态。法院通过穿透式审查、法律关系重新定性等裁判技术，事实上行使着法律行为转换的功能，但这种功能的行使缺乏统一的教义学框架，裁判说理的规范化程度有待提升。德国民法典第一百四十条所确立的法律行为转换制度，为中国法提供了一个成熟的比较法参照。但制度借鉴不等于规则移植。德国法以"假定的当事人意思"</w:t>
      </w:r>
      <w:proofErr w:type="gramStart"/>
      <w:r>
        <w:rPr>
          <w:rFonts w:ascii="宋体" w:hAnsi="宋体" w:hint="eastAsia"/>
        </w:rPr>
        <w:t>作观要件</w:t>
      </w:r>
      <w:proofErr w:type="gramEnd"/>
      <w:r>
        <w:rPr>
          <w:rFonts w:ascii="宋体" w:hAnsi="宋体" w:hint="eastAsia"/>
        </w:rPr>
        <w:t>，这一标准在中国法的语境下需要结合本土的司法传统和制度环境加以调适。中国法更强调客观的交易安全保护和实质公平，这一价值取向应当在效力转换规则的构建中得到体现。</w:t>
      </w:r>
    </w:p>
    <w:p w14:paraId="275718A1" w14:textId="77777777" w:rsidR="000406B1" w:rsidRDefault="000406B1" w:rsidP="000406B1">
      <w:pPr>
        <w:autoSpaceDE w:val="0"/>
        <w:spacing w:line="400" w:lineRule="exact"/>
        <w:ind w:firstLineChars="200" w:firstLine="420"/>
        <w:jc w:val="left"/>
        <w:rPr>
          <w:rFonts w:ascii="宋体" w:hAnsi="宋体" w:hint="eastAsia"/>
        </w:rPr>
      </w:pPr>
      <w:r>
        <w:rPr>
          <w:rFonts w:ascii="宋体" w:hAnsi="宋体" w:hint="eastAsia"/>
        </w:rPr>
        <w:t>本文的基本立场是：中国法应当在坚持合同无效制度规范功能的前提下，承认有限度的效力转换空间。这一空间的边界由以下原则划定：违反公序良俗和损害社会公共利益的合同不得转换；转换不得损害第三人的合法权益；转换应当以当事人可推知的真实意思为基础，而</w:t>
      </w:r>
      <w:proofErr w:type="gramStart"/>
      <w:r>
        <w:rPr>
          <w:rFonts w:ascii="宋体" w:hAnsi="宋体" w:hint="eastAsia"/>
        </w:rPr>
        <w:t>非法院</w:t>
      </w:r>
      <w:proofErr w:type="gramEnd"/>
      <w:r>
        <w:rPr>
          <w:rFonts w:ascii="宋体" w:hAnsi="宋体" w:hint="eastAsia"/>
        </w:rPr>
        <w:t>的主观臆断。在这些边界之内，效力转换制度能够在私法自治的保护与交易秩序的维护之间实现更为精细的平衡，避免合同无效制度沦为全有或全无的粗糙工具。</w:t>
      </w:r>
    </w:p>
    <w:p w14:paraId="53589242" w14:textId="77777777" w:rsidR="000406B1" w:rsidRDefault="000406B1" w:rsidP="000406B1">
      <w:pPr>
        <w:spacing w:after="160" w:line="276" w:lineRule="auto"/>
        <w:jc w:val="left"/>
        <w:rPr>
          <w:rFonts w:ascii="宋体" w:hAnsi="宋体" w:hint="eastAsia"/>
        </w:rPr>
      </w:pPr>
      <w:r>
        <w:rPr>
          <w:rFonts w:ascii="宋体" w:hAnsi="宋体" w:hint="eastAsia"/>
        </w:rPr>
        <w:br w:type="page"/>
      </w:r>
    </w:p>
    <w:p w14:paraId="07EFC98B" w14:textId="77777777" w:rsidR="000406B1" w:rsidRDefault="000406B1" w:rsidP="000406B1">
      <w:pPr>
        <w:spacing w:after="160" w:line="276" w:lineRule="auto"/>
        <w:jc w:val="center"/>
        <w:rPr>
          <w:rFonts w:ascii="黑体" w:eastAsia="黑体" w:hAnsi="黑体" w:hint="eastAsia"/>
          <w:sz w:val="32"/>
          <w:szCs w:val="32"/>
        </w:rPr>
      </w:pPr>
      <w:r>
        <w:rPr>
          <w:rFonts w:ascii="黑体" w:eastAsia="黑体" w:hAnsi="黑体" w:hint="eastAsia"/>
          <w:sz w:val="32"/>
          <w:szCs w:val="32"/>
        </w:rPr>
        <w:lastRenderedPageBreak/>
        <w:t>参考文献</w:t>
      </w:r>
    </w:p>
    <w:p w14:paraId="15138BA0" w14:textId="77777777" w:rsidR="000406B1" w:rsidRDefault="000406B1" w:rsidP="000406B1">
      <w:pPr>
        <w:numPr>
          <w:ilvl w:val="0"/>
          <w:numId w:val="2"/>
        </w:numPr>
        <w:tabs>
          <w:tab w:val="left" w:pos="312"/>
        </w:tabs>
        <w:wordWrap w:val="0"/>
        <w:topLinePunct/>
        <w:autoSpaceDE w:val="0"/>
        <w:spacing w:after="160" w:line="278" w:lineRule="auto"/>
        <w:jc w:val="left"/>
        <w:rPr>
          <w:rFonts w:ascii="宋体" w:hAnsi="宋体" w:hint="eastAsia"/>
          <w:color w:val="000000"/>
          <w:shd w:val="clear" w:color="auto" w:fill="FFFFFF"/>
        </w:rPr>
      </w:pPr>
      <w:bookmarkStart w:id="0" w:name="_Ref9902"/>
      <w:bookmarkEnd w:id="0"/>
      <w:r>
        <w:rPr>
          <w:rFonts w:ascii="宋体" w:hAnsi="宋体" w:hint="eastAsia"/>
          <w:color w:val="000000"/>
          <w:shd w:val="clear" w:color="auto" w:fill="FFFFFF"/>
        </w:rPr>
        <w:t>张红霄.论无效合同的效力转换[J].学海,1997,(02):</w:t>
      </w:r>
      <w:proofErr w:type="gramStart"/>
      <w:r>
        <w:rPr>
          <w:rFonts w:ascii="宋体" w:hAnsi="宋体" w:hint="eastAsia"/>
          <w:color w:val="000000"/>
          <w:shd w:val="clear" w:color="auto" w:fill="FFFFFF"/>
        </w:rPr>
        <w:t>46-49.DOI:10.16091/j.cnki.cn</w:t>
      </w:r>
      <w:proofErr w:type="gramEnd"/>
      <w:r>
        <w:rPr>
          <w:rFonts w:ascii="宋体" w:hAnsi="宋体" w:hint="eastAsia"/>
          <w:color w:val="000000"/>
          <w:shd w:val="clear" w:color="auto" w:fill="FFFFFF"/>
        </w:rPr>
        <w:t>32-1308/c.1997.02.012</w:t>
      </w:r>
      <w:r>
        <w:rPr>
          <w:rFonts w:ascii="Tahoma" w:hAnsi="Tahoma" w:cs="Tahoma"/>
          <w:color w:val="000000"/>
          <w:shd w:val="clear" w:color="auto" w:fill="FFFFFF"/>
        </w:rPr>
        <w:t>﻿</w:t>
      </w:r>
      <w:r>
        <w:rPr>
          <w:rFonts w:ascii="宋体" w:hAnsi="宋体" w:hint="eastAsia"/>
          <w:color w:val="000000"/>
          <w:shd w:val="clear" w:color="auto" w:fill="FFFFFF"/>
        </w:rPr>
        <w:t>.</w:t>
      </w:r>
    </w:p>
    <w:p w14:paraId="29E04075" w14:textId="77777777" w:rsidR="000406B1" w:rsidRDefault="000406B1" w:rsidP="000406B1">
      <w:pPr>
        <w:numPr>
          <w:ilvl w:val="0"/>
          <w:numId w:val="2"/>
        </w:numPr>
        <w:tabs>
          <w:tab w:val="left" w:pos="312"/>
        </w:tabs>
        <w:wordWrap w:val="0"/>
        <w:topLinePunct/>
        <w:autoSpaceDE w:val="0"/>
        <w:spacing w:after="160" w:line="278" w:lineRule="auto"/>
        <w:jc w:val="left"/>
        <w:rPr>
          <w:rFonts w:ascii="宋体" w:hAnsi="宋体" w:hint="eastAsia"/>
          <w:color w:val="000000"/>
          <w:shd w:val="clear" w:color="auto" w:fill="FFFFFF"/>
        </w:rPr>
      </w:pPr>
      <w:bookmarkStart w:id="1" w:name="_Ref10372"/>
      <w:bookmarkEnd w:id="1"/>
      <w:r>
        <w:rPr>
          <w:rFonts w:ascii="宋体" w:hAnsi="宋体" w:hint="eastAsia"/>
          <w:color w:val="000000"/>
          <w:shd w:val="clear" w:color="auto" w:fill="FFFFFF"/>
        </w:rPr>
        <w:t>潘运华.无效民事法律行为转换的规范构造[J].法学杂志,2025,46(04):</w:t>
      </w:r>
      <w:proofErr w:type="gramStart"/>
      <w:r>
        <w:rPr>
          <w:rFonts w:ascii="宋体" w:hAnsi="宋体" w:hint="eastAsia"/>
          <w:color w:val="000000"/>
          <w:shd w:val="clear" w:color="auto" w:fill="FFFFFF"/>
        </w:rPr>
        <w:t>136-151.DOI:10.16092/j.cnki</w:t>
      </w:r>
      <w:proofErr w:type="gramEnd"/>
      <w:r>
        <w:rPr>
          <w:rFonts w:ascii="宋体" w:hAnsi="宋体" w:hint="eastAsia"/>
          <w:color w:val="000000"/>
          <w:shd w:val="clear" w:color="auto" w:fill="FFFFFF"/>
        </w:rPr>
        <w:t>.1001-618x.2025.04.001.</w:t>
      </w:r>
    </w:p>
    <w:p w14:paraId="1B159F59" w14:textId="77777777" w:rsidR="000406B1" w:rsidRDefault="000406B1" w:rsidP="000406B1">
      <w:pPr>
        <w:numPr>
          <w:ilvl w:val="0"/>
          <w:numId w:val="2"/>
        </w:numPr>
        <w:tabs>
          <w:tab w:val="left" w:pos="312"/>
        </w:tabs>
        <w:wordWrap w:val="0"/>
        <w:topLinePunct/>
        <w:autoSpaceDE w:val="0"/>
        <w:spacing w:after="160" w:line="278" w:lineRule="auto"/>
        <w:jc w:val="left"/>
        <w:rPr>
          <w:rFonts w:ascii="宋体" w:hAnsi="宋体" w:hint="eastAsia"/>
          <w:color w:val="000000"/>
          <w:shd w:val="clear" w:color="auto" w:fill="FFFFFF"/>
        </w:rPr>
      </w:pPr>
      <w:r>
        <w:rPr>
          <w:rFonts w:ascii="宋体" w:hAnsi="宋体" w:hint="eastAsia"/>
          <w:color w:val="000000"/>
          <w:shd w:val="clear" w:color="auto" w:fill="FFFFFF"/>
        </w:rPr>
        <w:t>顾全.民事法律行为效力评价维度——兼论及限制性规范体系的理解适用[J].东方法学,2021,(01):</w:t>
      </w:r>
      <w:proofErr w:type="gramStart"/>
      <w:r>
        <w:rPr>
          <w:rFonts w:ascii="宋体" w:hAnsi="宋体" w:hint="eastAsia"/>
          <w:color w:val="000000"/>
          <w:shd w:val="clear" w:color="auto" w:fill="FFFFFF"/>
        </w:rPr>
        <w:t>139-153.DOI:10.19404/j.cnki.dffx</w:t>
      </w:r>
      <w:proofErr w:type="gramEnd"/>
      <w:r>
        <w:rPr>
          <w:rFonts w:ascii="宋体" w:hAnsi="宋体" w:hint="eastAsia"/>
          <w:color w:val="000000"/>
          <w:shd w:val="clear" w:color="auto" w:fill="FFFFFF"/>
        </w:rPr>
        <w:t>.20210114.002.</w:t>
      </w:r>
    </w:p>
    <w:p w14:paraId="278EE0D1" w14:textId="77777777" w:rsidR="000406B1" w:rsidRDefault="000406B1" w:rsidP="000406B1">
      <w:pPr>
        <w:numPr>
          <w:ilvl w:val="0"/>
          <w:numId w:val="2"/>
        </w:numPr>
        <w:tabs>
          <w:tab w:val="left" w:pos="312"/>
        </w:tabs>
        <w:wordWrap w:val="0"/>
        <w:topLinePunct/>
        <w:autoSpaceDE w:val="0"/>
        <w:spacing w:after="160" w:line="278" w:lineRule="auto"/>
        <w:jc w:val="left"/>
        <w:rPr>
          <w:rFonts w:ascii="宋体" w:hAnsi="宋体" w:hint="eastAsia"/>
          <w:color w:val="000000"/>
          <w:shd w:val="clear" w:color="auto" w:fill="FFFFFF"/>
        </w:rPr>
      </w:pPr>
      <w:r>
        <w:rPr>
          <w:rFonts w:ascii="宋体" w:hAnsi="宋体" w:hint="eastAsia"/>
          <w:color w:val="000000"/>
          <w:shd w:val="clear" w:color="auto" w:fill="FFFFFF"/>
        </w:rPr>
        <w:t>杨立新.《民法总则》规定的虚假民事法律行为的法律适用[J].法律科学(西北政法大学学报),2018,36(01):</w:t>
      </w:r>
      <w:proofErr w:type="gramStart"/>
      <w:r>
        <w:rPr>
          <w:rFonts w:ascii="宋体" w:hAnsi="宋体" w:hint="eastAsia"/>
          <w:color w:val="000000"/>
          <w:shd w:val="clear" w:color="auto" w:fill="FFFFFF"/>
        </w:rPr>
        <w:t>111-119.DOI:10.16290/j.cnki</w:t>
      </w:r>
      <w:proofErr w:type="gramEnd"/>
      <w:r>
        <w:rPr>
          <w:rFonts w:ascii="宋体" w:hAnsi="宋体" w:hint="eastAsia"/>
          <w:color w:val="000000"/>
          <w:shd w:val="clear" w:color="auto" w:fill="FFFFFF"/>
        </w:rPr>
        <w:t>.1674-5205.2018.</w:t>
      </w:r>
      <w:proofErr w:type="gramStart"/>
      <w:r>
        <w:rPr>
          <w:rFonts w:ascii="宋体" w:hAnsi="宋体" w:hint="eastAsia"/>
          <w:color w:val="000000"/>
          <w:shd w:val="clear" w:color="auto" w:fill="FFFFFF"/>
        </w:rPr>
        <w:t>01.011</w:t>
      </w:r>
      <w:proofErr w:type="gramEnd"/>
      <w:r>
        <w:rPr>
          <w:rFonts w:ascii="宋体" w:hAnsi="宋体" w:hint="eastAsia"/>
          <w:color w:val="000000"/>
          <w:shd w:val="clear" w:color="auto" w:fill="FFFFFF"/>
        </w:rPr>
        <w:t>.</w:t>
      </w:r>
    </w:p>
    <w:p w14:paraId="2F537058" w14:textId="77777777" w:rsidR="000406B1" w:rsidRDefault="000406B1" w:rsidP="000406B1">
      <w:pPr>
        <w:numPr>
          <w:ilvl w:val="0"/>
          <w:numId w:val="2"/>
        </w:numPr>
        <w:tabs>
          <w:tab w:val="left" w:pos="312"/>
        </w:tabs>
        <w:wordWrap w:val="0"/>
        <w:topLinePunct/>
        <w:autoSpaceDE w:val="0"/>
        <w:spacing w:after="160" w:line="278" w:lineRule="auto"/>
        <w:jc w:val="left"/>
        <w:rPr>
          <w:rFonts w:ascii="宋体" w:hAnsi="宋体" w:hint="eastAsia"/>
          <w:color w:val="000000"/>
          <w:shd w:val="clear" w:color="auto" w:fill="FFFFFF"/>
        </w:rPr>
      </w:pPr>
      <w:bookmarkStart w:id="2" w:name="_Ref13484"/>
      <w:bookmarkEnd w:id="2"/>
      <w:proofErr w:type="gramStart"/>
      <w:r>
        <w:rPr>
          <w:rFonts w:ascii="宋体" w:hAnsi="宋体" w:hint="eastAsia"/>
          <w:color w:val="000000"/>
          <w:shd w:val="clear" w:color="auto" w:fill="FFFFFF"/>
        </w:rPr>
        <w:t>鲁春雅</w:t>
      </w:r>
      <w:proofErr w:type="gramEnd"/>
      <w:r>
        <w:rPr>
          <w:rFonts w:ascii="宋体" w:hAnsi="宋体" w:hint="eastAsia"/>
          <w:color w:val="000000"/>
          <w:shd w:val="clear" w:color="auto" w:fill="FFFFFF"/>
        </w:rPr>
        <w:t>.论法律行为补正制度的建构[J].清华法学,2011,5(04):106-118.</w:t>
      </w:r>
    </w:p>
    <w:p w14:paraId="2F099F36" w14:textId="77777777" w:rsidR="000406B1" w:rsidRDefault="000406B1" w:rsidP="000406B1">
      <w:pPr>
        <w:numPr>
          <w:ilvl w:val="0"/>
          <w:numId w:val="2"/>
        </w:numPr>
        <w:tabs>
          <w:tab w:val="left" w:pos="312"/>
        </w:tabs>
        <w:wordWrap w:val="0"/>
        <w:topLinePunct/>
        <w:autoSpaceDE w:val="0"/>
        <w:spacing w:after="160" w:line="278" w:lineRule="auto"/>
        <w:jc w:val="left"/>
        <w:rPr>
          <w:rFonts w:ascii="宋体" w:hAnsi="宋体" w:hint="eastAsia"/>
          <w:color w:val="000000"/>
          <w:shd w:val="clear" w:color="auto" w:fill="FFFFFF"/>
        </w:rPr>
      </w:pPr>
      <w:bookmarkStart w:id="3" w:name="_Ref13981"/>
      <w:bookmarkEnd w:id="3"/>
      <w:proofErr w:type="gramStart"/>
      <w:r>
        <w:rPr>
          <w:rFonts w:ascii="宋体" w:hAnsi="宋体" w:hint="eastAsia"/>
          <w:color w:val="000000"/>
          <w:shd w:val="clear" w:color="auto" w:fill="FFFFFF"/>
        </w:rPr>
        <w:t>殷</w:t>
      </w:r>
      <w:proofErr w:type="gramEnd"/>
      <w:r>
        <w:rPr>
          <w:rFonts w:ascii="宋体" w:hAnsi="宋体" w:hint="eastAsia"/>
          <w:color w:val="000000"/>
          <w:shd w:val="clear" w:color="auto" w:fill="FFFFFF"/>
        </w:rPr>
        <w:t>秋实.无效行为转换与法律行为解释——兼论转换制度的必要性与正当性[J].法学,2018,(02):106-118.</w:t>
      </w:r>
    </w:p>
    <w:p w14:paraId="1F2D99C9" w14:textId="77777777" w:rsidR="000406B1" w:rsidRDefault="000406B1" w:rsidP="000406B1">
      <w:pPr>
        <w:numPr>
          <w:ilvl w:val="0"/>
          <w:numId w:val="2"/>
        </w:numPr>
        <w:tabs>
          <w:tab w:val="left" w:pos="312"/>
        </w:tabs>
        <w:wordWrap w:val="0"/>
        <w:topLinePunct/>
        <w:autoSpaceDE w:val="0"/>
        <w:spacing w:after="160" w:line="278" w:lineRule="auto"/>
        <w:jc w:val="left"/>
        <w:rPr>
          <w:rFonts w:ascii="宋体" w:hAnsi="宋体" w:hint="eastAsia"/>
          <w:color w:val="000000"/>
          <w:shd w:val="clear" w:color="auto" w:fill="FFFFFF"/>
        </w:rPr>
      </w:pPr>
      <w:r>
        <w:rPr>
          <w:rFonts w:ascii="宋体" w:hAnsi="宋体" w:hint="eastAsia"/>
          <w:color w:val="000000"/>
          <w:shd w:val="clear" w:color="auto" w:fill="FFFFFF"/>
        </w:rPr>
        <w:t>潘运华.论无效民事法律行为转换与解释、补正、确认和部分无效的关系[J].南大法学,2021,(06):</w:t>
      </w:r>
      <w:proofErr w:type="gramStart"/>
      <w:r>
        <w:rPr>
          <w:rFonts w:ascii="宋体" w:hAnsi="宋体" w:hint="eastAsia"/>
          <w:color w:val="000000"/>
          <w:shd w:val="clear" w:color="auto" w:fill="FFFFFF"/>
        </w:rPr>
        <w:t>117-135.DOI:10.13519/b.cnki.nulr</w:t>
      </w:r>
      <w:proofErr w:type="gramEnd"/>
      <w:r>
        <w:rPr>
          <w:rFonts w:ascii="宋体" w:hAnsi="宋体" w:hint="eastAsia"/>
          <w:color w:val="000000"/>
          <w:shd w:val="clear" w:color="auto" w:fill="FFFFFF"/>
        </w:rPr>
        <w:t>.2021.06.007.</w:t>
      </w:r>
    </w:p>
    <w:p w14:paraId="33716C38" w14:textId="77777777" w:rsidR="000406B1" w:rsidRDefault="000406B1" w:rsidP="000406B1">
      <w:pPr>
        <w:numPr>
          <w:ilvl w:val="0"/>
          <w:numId w:val="2"/>
        </w:numPr>
        <w:tabs>
          <w:tab w:val="left" w:pos="312"/>
        </w:tabs>
        <w:wordWrap w:val="0"/>
        <w:topLinePunct/>
        <w:autoSpaceDE w:val="0"/>
        <w:spacing w:after="160" w:line="278" w:lineRule="auto"/>
        <w:jc w:val="left"/>
        <w:rPr>
          <w:rFonts w:ascii="宋体" w:hAnsi="宋体" w:hint="eastAsia"/>
          <w:color w:val="000000"/>
          <w:shd w:val="clear" w:color="auto" w:fill="FFFFFF"/>
        </w:rPr>
      </w:pPr>
      <w:r>
        <w:rPr>
          <w:rFonts w:ascii="宋体" w:hAnsi="宋体" w:hint="eastAsia"/>
          <w:color w:val="000000"/>
          <w:shd w:val="clear" w:color="auto" w:fill="FFFFFF"/>
        </w:rPr>
        <w:t>房绍坤,张泽嵩.比例原则视域下无效法律行为转换司法适用之判断[J].社会科学战线,2020,(12):229-241.</w:t>
      </w:r>
    </w:p>
    <w:p w14:paraId="21515CAA" w14:textId="77777777" w:rsidR="000406B1" w:rsidRDefault="000406B1" w:rsidP="000406B1">
      <w:pPr>
        <w:numPr>
          <w:ilvl w:val="0"/>
          <w:numId w:val="2"/>
        </w:numPr>
        <w:tabs>
          <w:tab w:val="left" w:pos="312"/>
        </w:tabs>
        <w:wordWrap w:val="0"/>
        <w:topLinePunct/>
        <w:autoSpaceDE w:val="0"/>
        <w:spacing w:after="160" w:line="278" w:lineRule="auto"/>
        <w:jc w:val="left"/>
        <w:rPr>
          <w:rFonts w:ascii="宋体" w:hAnsi="宋体" w:hint="eastAsia"/>
          <w:color w:val="000000"/>
          <w:shd w:val="clear" w:color="auto" w:fill="FFFFFF"/>
        </w:rPr>
      </w:pPr>
      <w:r>
        <w:rPr>
          <w:rFonts w:ascii="宋体" w:hAnsi="宋体" w:hint="eastAsia"/>
          <w:color w:val="000000"/>
          <w:shd w:val="clear" w:color="auto" w:fill="FFFFFF"/>
        </w:rPr>
        <w:t>常鹏翱.无效行为转换的法官裁量标准[J].法学,2016,(02):42-51.</w:t>
      </w:r>
    </w:p>
    <w:p w14:paraId="495CA1B3" w14:textId="77777777" w:rsidR="000406B1" w:rsidRDefault="000406B1" w:rsidP="000406B1">
      <w:pPr>
        <w:numPr>
          <w:ilvl w:val="0"/>
          <w:numId w:val="2"/>
        </w:numPr>
        <w:tabs>
          <w:tab w:val="left" w:pos="312"/>
        </w:tabs>
        <w:wordWrap w:val="0"/>
        <w:topLinePunct/>
        <w:autoSpaceDE w:val="0"/>
        <w:spacing w:after="160" w:line="278" w:lineRule="auto"/>
        <w:jc w:val="left"/>
        <w:rPr>
          <w:rFonts w:ascii="宋体" w:hAnsi="宋体" w:hint="eastAsia"/>
          <w:color w:val="000000"/>
          <w:shd w:val="clear" w:color="auto" w:fill="FFFFFF"/>
        </w:rPr>
      </w:pPr>
      <w:r>
        <w:rPr>
          <w:rFonts w:ascii="宋体" w:hAnsi="宋体" w:hint="eastAsia"/>
          <w:color w:val="000000"/>
          <w:shd w:val="clear" w:color="auto" w:fill="FFFFFF"/>
        </w:rPr>
        <w:t>姚明斌.违法合同无效规范实务疑点之新展开——以2021年以来“效力性强制性规定”的裁判实践为中心[J].中国法律评论,2025,(03):110-126.</w:t>
      </w:r>
    </w:p>
    <w:p w14:paraId="01B435DC" w14:textId="77777777" w:rsidR="000406B1" w:rsidRDefault="000406B1" w:rsidP="000406B1">
      <w:pPr>
        <w:numPr>
          <w:ilvl w:val="0"/>
          <w:numId w:val="2"/>
        </w:numPr>
        <w:tabs>
          <w:tab w:val="left" w:pos="312"/>
        </w:tabs>
        <w:wordWrap w:val="0"/>
        <w:topLinePunct/>
        <w:autoSpaceDE w:val="0"/>
        <w:spacing w:after="160" w:line="278" w:lineRule="auto"/>
        <w:jc w:val="left"/>
        <w:rPr>
          <w:rFonts w:ascii="宋体" w:hAnsi="宋体" w:hint="eastAsia"/>
          <w:color w:val="000000"/>
          <w:shd w:val="clear" w:color="auto" w:fill="FFFFFF"/>
        </w:rPr>
      </w:pPr>
      <w:r>
        <w:rPr>
          <w:rFonts w:ascii="宋体" w:hAnsi="宋体" w:hint="eastAsia"/>
          <w:color w:val="000000"/>
          <w:shd w:val="clear" w:color="auto" w:fill="FFFFFF"/>
        </w:rPr>
        <w:t>蔡睿.违法合同的效力评价与无效类型——《民法总则》第153条第1款释论[J].苏州大学学报(法学版),2019,6(01):</w:t>
      </w:r>
      <w:proofErr w:type="gramStart"/>
      <w:r>
        <w:rPr>
          <w:rFonts w:ascii="宋体" w:hAnsi="宋体" w:hint="eastAsia"/>
          <w:color w:val="000000"/>
          <w:shd w:val="clear" w:color="auto" w:fill="FFFFFF"/>
        </w:rPr>
        <w:t>45-60.DOI:10.19563/j.cnki.sdfx</w:t>
      </w:r>
      <w:proofErr w:type="gramEnd"/>
      <w:r>
        <w:rPr>
          <w:rFonts w:ascii="宋体" w:hAnsi="宋体" w:hint="eastAsia"/>
          <w:color w:val="000000"/>
          <w:shd w:val="clear" w:color="auto" w:fill="FFFFFF"/>
        </w:rPr>
        <w:t>.2019.01.006.</w:t>
      </w:r>
    </w:p>
    <w:p w14:paraId="7982E6A0" w14:textId="77777777" w:rsidR="000406B1" w:rsidRDefault="000406B1" w:rsidP="000406B1">
      <w:pPr>
        <w:jc w:val="center"/>
        <w:rPr>
          <w:rFonts w:ascii="黑体" w:eastAsia="黑体" w:hAnsi="黑体" w:hint="eastAsia"/>
          <w:b/>
          <w:bCs/>
          <w:sz w:val="36"/>
          <w:szCs w:val="36"/>
        </w:rPr>
      </w:pPr>
      <w:r>
        <w:rPr>
          <w:rFonts w:ascii="黑体" w:eastAsia="黑体" w:hAnsi="黑体" w:hint="eastAsia"/>
          <w:b/>
          <w:bCs/>
          <w:sz w:val="36"/>
          <w:szCs w:val="36"/>
        </w:rPr>
        <w:t xml:space="preserve"> </w:t>
      </w:r>
    </w:p>
    <w:p w14:paraId="2DD680B0" w14:textId="77777777" w:rsidR="000406B1" w:rsidRDefault="000406B1" w:rsidP="000406B1">
      <w:pPr>
        <w:rPr>
          <w:rFonts w:hint="eastAsia"/>
          <w:sz w:val="24"/>
          <w:szCs w:val="24"/>
        </w:rPr>
      </w:pPr>
      <w:r>
        <w:rPr>
          <w:sz w:val="24"/>
          <w:szCs w:val="24"/>
        </w:rPr>
        <w:t xml:space="preserve"> </w:t>
      </w:r>
    </w:p>
    <w:p w14:paraId="5812E079" w14:textId="77777777" w:rsidR="009828DC" w:rsidRPr="000406B1" w:rsidRDefault="009828DC">
      <w:pPr>
        <w:rPr>
          <w:rFonts w:hint="eastAsia"/>
        </w:rPr>
      </w:pPr>
    </w:p>
    <w:sectPr w:rsidR="009828DC" w:rsidRPr="000406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A5BEC"/>
    <w:multiLevelType w:val="multilevel"/>
    <w:tmpl w:val="6E10F280"/>
    <w:lvl w:ilvl="0">
      <w:start w:val="1"/>
      <w:numFmt w:val="decimal"/>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08A515E"/>
    <w:multiLevelType w:val="multilevel"/>
    <w:tmpl w:val="8F42380A"/>
    <w:lvl w:ilvl="0">
      <w:start w:val="1"/>
      <w:numFmt w:val="decimal"/>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531183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819254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6B1"/>
    <w:rsid w:val="000406B1"/>
    <w:rsid w:val="0021313C"/>
    <w:rsid w:val="007A441E"/>
    <w:rsid w:val="009828DC"/>
    <w:rsid w:val="00D056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5FD43"/>
  <w15:chartTrackingRefBased/>
  <w15:docId w15:val="{67F29B98-AF84-4C5E-BBB8-7EBFD4C0E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06B1"/>
    <w:pPr>
      <w:widowControl w:val="0"/>
      <w:spacing w:after="0" w:line="240" w:lineRule="auto"/>
      <w:jc w:val="both"/>
    </w:pPr>
    <w:rPr>
      <w:rFonts w:ascii="Times New Roman" w:eastAsia="宋体" w:hAnsi="Times New Roman" w:cs="Times New Roman"/>
      <w:sz w:val="21"/>
      <w:szCs w:val="21"/>
      <w14:ligatures w14:val="none"/>
    </w:rPr>
  </w:style>
  <w:style w:type="paragraph" w:styleId="1">
    <w:name w:val="heading 1"/>
    <w:basedOn w:val="a"/>
    <w:next w:val="a"/>
    <w:link w:val="10"/>
    <w:uiPriority w:val="9"/>
    <w:qFormat/>
    <w:rsid w:val="000406B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406B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406B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406B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406B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406B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406B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06B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406B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06B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406B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406B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406B1"/>
    <w:rPr>
      <w:rFonts w:cstheme="majorBidi"/>
      <w:color w:val="2F5496" w:themeColor="accent1" w:themeShade="BF"/>
      <w:sz w:val="28"/>
      <w:szCs w:val="28"/>
    </w:rPr>
  </w:style>
  <w:style w:type="character" w:customStyle="1" w:styleId="50">
    <w:name w:val="标题 5 字符"/>
    <w:basedOn w:val="a0"/>
    <w:link w:val="5"/>
    <w:uiPriority w:val="9"/>
    <w:semiHidden/>
    <w:rsid w:val="000406B1"/>
    <w:rPr>
      <w:rFonts w:cstheme="majorBidi"/>
      <w:color w:val="2F5496" w:themeColor="accent1" w:themeShade="BF"/>
      <w:sz w:val="24"/>
    </w:rPr>
  </w:style>
  <w:style w:type="character" w:customStyle="1" w:styleId="60">
    <w:name w:val="标题 6 字符"/>
    <w:basedOn w:val="a0"/>
    <w:link w:val="6"/>
    <w:uiPriority w:val="9"/>
    <w:semiHidden/>
    <w:rsid w:val="000406B1"/>
    <w:rPr>
      <w:rFonts w:cstheme="majorBidi"/>
      <w:b/>
      <w:bCs/>
      <w:color w:val="2F5496" w:themeColor="accent1" w:themeShade="BF"/>
    </w:rPr>
  </w:style>
  <w:style w:type="character" w:customStyle="1" w:styleId="70">
    <w:name w:val="标题 7 字符"/>
    <w:basedOn w:val="a0"/>
    <w:link w:val="7"/>
    <w:uiPriority w:val="9"/>
    <w:semiHidden/>
    <w:rsid w:val="000406B1"/>
    <w:rPr>
      <w:rFonts w:cstheme="majorBidi"/>
      <w:b/>
      <w:bCs/>
      <w:color w:val="595959" w:themeColor="text1" w:themeTint="A6"/>
    </w:rPr>
  </w:style>
  <w:style w:type="character" w:customStyle="1" w:styleId="80">
    <w:name w:val="标题 8 字符"/>
    <w:basedOn w:val="a0"/>
    <w:link w:val="8"/>
    <w:uiPriority w:val="9"/>
    <w:semiHidden/>
    <w:rsid w:val="000406B1"/>
    <w:rPr>
      <w:rFonts w:cstheme="majorBidi"/>
      <w:color w:val="595959" w:themeColor="text1" w:themeTint="A6"/>
    </w:rPr>
  </w:style>
  <w:style w:type="character" w:customStyle="1" w:styleId="90">
    <w:name w:val="标题 9 字符"/>
    <w:basedOn w:val="a0"/>
    <w:link w:val="9"/>
    <w:uiPriority w:val="9"/>
    <w:semiHidden/>
    <w:rsid w:val="000406B1"/>
    <w:rPr>
      <w:rFonts w:eastAsiaTheme="majorEastAsia" w:cstheme="majorBidi"/>
      <w:color w:val="595959" w:themeColor="text1" w:themeTint="A6"/>
    </w:rPr>
  </w:style>
  <w:style w:type="paragraph" w:styleId="a3">
    <w:name w:val="Title"/>
    <w:basedOn w:val="a"/>
    <w:next w:val="a"/>
    <w:link w:val="a4"/>
    <w:uiPriority w:val="10"/>
    <w:qFormat/>
    <w:rsid w:val="000406B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06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06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06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06B1"/>
    <w:pPr>
      <w:spacing w:before="160"/>
      <w:jc w:val="center"/>
    </w:pPr>
    <w:rPr>
      <w:i/>
      <w:iCs/>
      <w:color w:val="404040" w:themeColor="text1" w:themeTint="BF"/>
    </w:rPr>
  </w:style>
  <w:style w:type="character" w:customStyle="1" w:styleId="a8">
    <w:name w:val="引用 字符"/>
    <w:basedOn w:val="a0"/>
    <w:link w:val="a7"/>
    <w:uiPriority w:val="29"/>
    <w:rsid w:val="000406B1"/>
    <w:rPr>
      <w:i/>
      <w:iCs/>
      <w:color w:val="404040" w:themeColor="text1" w:themeTint="BF"/>
    </w:rPr>
  </w:style>
  <w:style w:type="paragraph" w:styleId="a9">
    <w:name w:val="List Paragraph"/>
    <w:basedOn w:val="a"/>
    <w:uiPriority w:val="34"/>
    <w:qFormat/>
    <w:rsid w:val="000406B1"/>
    <w:pPr>
      <w:ind w:left="720"/>
      <w:contextualSpacing/>
    </w:pPr>
  </w:style>
  <w:style w:type="character" w:styleId="aa">
    <w:name w:val="Intense Emphasis"/>
    <w:basedOn w:val="a0"/>
    <w:uiPriority w:val="21"/>
    <w:qFormat/>
    <w:rsid w:val="000406B1"/>
    <w:rPr>
      <w:i/>
      <w:iCs/>
      <w:color w:val="2F5496" w:themeColor="accent1" w:themeShade="BF"/>
    </w:rPr>
  </w:style>
  <w:style w:type="paragraph" w:styleId="ab">
    <w:name w:val="Intense Quote"/>
    <w:basedOn w:val="a"/>
    <w:next w:val="a"/>
    <w:link w:val="ac"/>
    <w:uiPriority w:val="30"/>
    <w:qFormat/>
    <w:rsid w:val="000406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406B1"/>
    <w:rPr>
      <w:i/>
      <w:iCs/>
      <w:color w:val="2F5496" w:themeColor="accent1" w:themeShade="BF"/>
    </w:rPr>
  </w:style>
  <w:style w:type="character" w:styleId="ad">
    <w:name w:val="Intense Reference"/>
    <w:basedOn w:val="a0"/>
    <w:uiPriority w:val="32"/>
    <w:qFormat/>
    <w:rsid w:val="000406B1"/>
    <w:rPr>
      <w:b/>
      <w:bCs/>
      <w:smallCaps/>
      <w:color w:val="2F5496" w:themeColor="accent1" w:themeShade="BF"/>
      <w:spacing w:val="5"/>
    </w:rPr>
  </w:style>
  <w:style w:type="paragraph" w:styleId="ae">
    <w:name w:val="Normal (Web)"/>
    <w:basedOn w:val="a"/>
    <w:uiPriority w:val="99"/>
    <w:semiHidden/>
    <w:unhideWhenUsed/>
    <w:rsid w:val="000406B1"/>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1761</Words>
  <Characters>10041</Characters>
  <Application>Microsoft Office Word</Application>
  <DocSecurity>0</DocSecurity>
  <Lines>83</Lines>
  <Paragraphs>23</Paragraphs>
  <ScaleCrop>false</ScaleCrop>
  <Company/>
  <LinksUpToDate>false</LinksUpToDate>
  <CharactersWithSpaces>11779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渠 苏</dc:creator>
  <cp:keywords/>
  <dc:description/>
  <cp:lastModifiedBy>渠 苏</cp:lastModifiedBy>
  <cp:revision>1</cp:revision>
  <dcterms:created xsi:type="dcterms:W3CDTF">2026-04-29T09:39:00Z</dcterms:created>
  <dcterms:modified xsi:type="dcterms:W3CDTF">2026-04-29T09:41:00Z</dcterms:modified>
</cp:coreProperties>
</file>