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76D93">
      <w:pPr>
        <w:jc w:val="center"/>
        <w:rPr>
          <w:rFonts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中国政法大学研究生学报审稿评分表</w:t>
      </w:r>
    </w:p>
    <w:p w14:paraId="140363C4">
      <w:pPr>
        <w:rPr>
          <w:rFonts w:hint="eastAsia" w:eastAsia="宋体"/>
          <w:sz w:val="24"/>
          <w:lang w:eastAsia="zh-CN"/>
        </w:rPr>
      </w:pPr>
      <w:r>
        <w:rPr>
          <w:rFonts w:hint="eastAsia"/>
          <w:sz w:val="24"/>
        </w:rPr>
        <w:t>论文题目：</w:t>
      </w:r>
      <w:bookmarkStart w:id="0" w:name="_GoBack"/>
      <w:r>
        <w:rPr>
          <w:rFonts w:hint="eastAsia"/>
          <w:sz w:val="24"/>
          <w:lang w:eastAsia="zh-CN"/>
        </w:rPr>
        <w:t>《证明妨碍制度在知识产权损害赔偿诉讼中的适用研究》</w:t>
      </w:r>
      <w:bookmarkEnd w:id="0"/>
    </w:p>
    <w:p w14:paraId="6117207E">
      <w:pPr>
        <w:rPr>
          <w:sz w:val="24"/>
        </w:rPr>
      </w:pPr>
      <w:r>
        <w:rPr>
          <w:rFonts w:hint="eastAsia"/>
          <w:sz w:val="24"/>
        </w:rPr>
        <w:t>论文作者：                                  学生编辑：</w:t>
      </w:r>
      <w:r>
        <w:rPr>
          <w:rFonts w:hint="eastAsia"/>
          <w:sz w:val="24"/>
          <w:lang w:val="en-US" w:eastAsia="zh-CN"/>
        </w:rPr>
        <w:t>李研</w:t>
      </w:r>
      <w:r>
        <w:rPr>
          <w:rFonts w:hint="eastAsia"/>
          <w:sz w:val="24"/>
        </w:rPr>
        <w:t xml:space="preserve"> </w:t>
      </w:r>
    </w:p>
    <w:tbl>
      <w:tblPr>
        <w:tblStyle w:val="4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901"/>
        <w:gridCol w:w="5767"/>
        <w:gridCol w:w="1442"/>
      </w:tblGrid>
      <w:tr w14:paraId="4E28F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649" w:type="dxa"/>
          </w:tcPr>
          <w:p w14:paraId="4F467281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901" w:type="dxa"/>
          </w:tcPr>
          <w:p w14:paraId="5CA3903C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</w:t>
            </w:r>
          </w:p>
          <w:p w14:paraId="09E131AE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指标</w:t>
            </w:r>
          </w:p>
        </w:tc>
        <w:tc>
          <w:tcPr>
            <w:tcW w:w="5767" w:type="dxa"/>
          </w:tcPr>
          <w:p w14:paraId="1F3B988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评价标准</w:t>
            </w:r>
          </w:p>
        </w:tc>
        <w:tc>
          <w:tcPr>
            <w:tcW w:w="1442" w:type="dxa"/>
          </w:tcPr>
          <w:p w14:paraId="4C58703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分值</w:t>
            </w:r>
          </w:p>
          <w:p w14:paraId="77D554F4">
            <w:pPr>
              <w:rPr>
                <w:b/>
                <w:sz w:val="18"/>
                <w:szCs w:val="18"/>
              </w:rPr>
            </w:pPr>
          </w:p>
        </w:tc>
      </w:tr>
      <w:tr w14:paraId="6C24A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649" w:type="dxa"/>
            <w:vMerge w:val="restart"/>
          </w:tcPr>
          <w:p w14:paraId="153A6073">
            <w:pPr>
              <w:jc w:val="center"/>
              <w:rPr>
                <w:sz w:val="18"/>
                <w:szCs w:val="18"/>
              </w:rPr>
            </w:pPr>
          </w:p>
          <w:p w14:paraId="7B92CBB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901" w:type="dxa"/>
            <w:vMerge w:val="restart"/>
          </w:tcPr>
          <w:p w14:paraId="499EA85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66ADD3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选题</w:t>
            </w:r>
          </w:p>
          <w:p w14:paraId="3589363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  <w:p w14:paraId="18E23AA4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8分</w:t>
            </w:r>
          </w:p>
        </w:tc>
        <w:tc>
          <w:tcPr>
            <w:tcW w:w="5767" w:type="dxa"/>
          </w:tcPr>
          <w:p w14:paraId="6BF1894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具有较高学术性、创新性、实践性和可行性</w:t>
            </w:r>
          </w:p>
        </w:tc>
        <w:tc>
          <w:tcPr>
            <w:tcW w:w="1442" w:type="dxa"/>
          </w:tcPr>
          <w:p w14:paraId="2C2D97C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8-10</w:t>
            </w:r>
          </w:p>
        </w:tc>
      </w:tr>
      <w:tr w14:paraId="331F0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49" w:type="dxa"/>
            <w:vMerge w:val="continue"/>
          </w:tcPr>
          <w:p w14:paraId="54F5C04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2DD841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72201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有一定的学术性、实践性和可行性</w:t>
            </w:r>
          </w:p>
        </w:tc>
        <w:tc>
          <w:tcPr>
            <w:tcW w:w="1442" w:type="dxa"/>
          </w:tcPr>
          <w:p w14:paraId="2EA961F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4-7</w:t>
            </w:r>
          </w:p>
        </w:tc>
      </w:tr>
      <w:tr w14:paraId="6EF24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48BA9C1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A0380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353DD5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学术性、实践性、可行性较差</w:t>
            </w:r>
          </w:p>
        </w:tc>
        <w:tc>
          <w:tcPr>
            <w:tcW w:w="1442" w:type="dxa"/>
          </w:tcPr>
          <w:p w14:paraId="336041E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0-3</w:t>
            </w:r>
          </w:p>
          <w:p w14:paraId="0ECD243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17E8E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649" w:type="dxa"/>
            <w:vMerge w:val="restart"/>
          </w:tcPr>
          <w:p w14:paraId="609448AB">
            <w:pPr>
              <w:rPr>
                <w:b/>
                <w:sz w:val="18"/>
                <w:szCs w:val="18"/>
              </w:rPr>
            </w:pPr>
          </w:p>
          <w:p w14:paraId="33B4BD3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  <w:p w14:paraId="37CC7CF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restart"/>
          </w:tcPr>
          <w:p w14:paraId="3AE2E5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2D809F3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观点</w:t>
            </w:r>
          </w:p>
          <w:p w14:paraId="3A68BCD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  <w:p w14:paraId="488B2DE3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10分</w:t>
            </w:r>
          </w:p>
        </w:tc>
        <w:tc>
          <w:tcPr>
            <w:tcW w:w="5767" w:type="dxa"/>
          </w:tcPr>
          <w:p w14:paraId="5F21AFB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论点鲜明，见解独到、有创新性</w:t>
            </w:r>
          </w:p>
        </w:tc>
        <w:tc>
          <w:tcPr>
            <w:tcW w:w="1442" w:type="dxa"/>
          </w:tcPr>
          <w:p w14:paraId="2A5DF17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13-15</w:t>
            </w:r>
          </w:p>
          <w:p w14:paraId="71064098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6C359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5E1436E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488BA8D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0D9274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论点明确，有一定新意对既有观点有较深的阐释</w:t>
            </w:r>
          </w:p>
        </w:tc>
        <w:tc>
          <w:tcPr>
            <w:tcW w:w="1442" w:type="dxa"/>
          </w:tcPr>
          <w:p w14:paraId="15C4D39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5-12</w:t>
            </w:r>
          </w:p>
          <w:p w14:paraId="3AF5366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59E2B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49" w:type="dxa"/>
            <w:vMerge w:val="continue"/>
          </w:tcPr>
          <w:p w14:paraId="5E189AF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0FD377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45AC3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论点不够明确</w:t>
            </w:r>
          </w:p>
        </w:tc>
        <w:tc>
          <w:tcPr>
            <w:tcW w:w="1442" w:type="dxa"/>
          </w:tcPr>
          <w:p w14:paraId="34EDA27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0-4</w:t>
            </w:r>
          </w:p>
          <w:p w14:paraId="1B7E5DD7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1F7F5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restart"/>
          </w:tcPr>
          <w:p w14:paraId="6919CB18">
            <w:pPr>
              <w:rPr>
                <w:b/>
                <w:sz w:val="18"/>
                <w:szCs w:val="18"/>
              </w:rPr>
            </w:pPr>
          </w:p>
          <w:p w14:paraId="1D9133F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</w:tc>
        <w:tc>
          <w:tcPr>
            <w:tcW w:w="901" w:type="dxa"/>
            <w:vMerge w:val="restart"/>
          </w:tcPr>
          <w:p w14:paraId="6683087B">
            <w:pPr>
              <w:jc w:val="center"/>
              <w:rPr>
                <w:sz w:val="18"/>
                <w:szCs w:val="18"/>
              </w:rPr>
            </w:pPr>
          </w:p>
          <w:p w14:paraId="4BE945A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F21F1E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</w:t>
            </w:r>
          </w:p>
          <w:p w14:paraId="6449394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40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  <w:p w14:paraId="5D580674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03EB8A99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32分</w:t>
            </w:r>
          </w:p>
        </w:tc>
        <w:tc>
          <w:tcPr>
            <w:tcW w:w="5767" w:type="dxa"/>
          </w:tcPr>
          <w:p w14:paraId="6826376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方法新颖，论证充分，论据确凿，逻辑性强，对问题有较深入的分析</w:t>
            </w:r>
          </w:p>
        </w:tc>
        <w:tc>
          <w:tcPr>
            <w:tcW w:w="1442" w:type="dxa"/>
          </w:tcPr>
          <w:p w14:paraId="1D28142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35-40</w:t>
            </w:r>
          </w:p>
          <w:p w14:paraId="2599FCAD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613B6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724EFEB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B8E7B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42BD44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方法得当，论证比较充分，论据可靠，逻辑性比较强，分析比较深入</w:t>
            </w:r>
          </w:p>
        </w:tc>
        <w:tc>
          <w:tcPr>
            <w:tcW w:w="1442" w:type="dxa"/>
          </w:tcPr>
          <w:p w14:paraId="207A4F6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25-34</w:t>
            </w:r>
          </w:p>
          <w:p w14:paraId="0F44E615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4D514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3F0EE70F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9C2FCD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86BC95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对事物有一定的分析能力和概括能力，能运用所学理论和知识阐述问题</w:t>
            </w:r>
          </w:p>
        </w:tc>
        <w:tc>
          <w:tcPr>
            <w:tcW w:w="1442" w:type="dxa"/>
          </w:tcPr>
          <w:p w14:paraId="2A1899C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13-24</w:t>
            </w:r>
          </w:p>
          <w:p w14:paraId="0CD11C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3C6D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42CD65C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CC6442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327E1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论证未充分说明论点</w:t>
            </w:r>
          </w:p>
        </w:tc>
        <w:tc>
          <w:tcPr>
            <w:tcW w:w="1442" w:type="dxa"/>
          </w:tcPr>
          <w:p w14:paraId="551C08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1-12</w:t>
            </w:r>
          </w:p>
          <w:p w14:paraId="2F9149BF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601EE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649" w:type="dxa"/>
            <w:vMerge w:val="restart"/>
          </w:tcPr>
          <w:p w14:paraId="2F7C1DA3">
            <w:pPr>
              <w:jc w:val="center"/>
              <w:rPr>
                <w:b/>
                <w:sz w:val="18"/>
                <w:szCs w:val="18"/>
              </w:rPr>
            </w:pPr>
          </w:p>
          <w:p w14:paraId="4789CD3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</w:tc>
        <w:tc>
          <w:tcPr>
            <w:tcW w:w="901" w:type="dxa"/>
            <w:vMerge w:val="restart"/>
          </w:tcPr>
          <w:p w14:paraId="0C923FA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61A1860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规范性</w:t>
            </w:r>
          </w:p>
          <w:p w14:paraId="0C9F542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  <w:p w14:paraId="599D461C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5分</w:t>
            </w:r>
          </w:p>
        </w:tc>
        <w:tc>
          <w:tcPr>
            <w:tcW w:w="5767" w:type="dxa"/>
          </w:tcPr>
          <w:p w14:paraId="576CD41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论文的注释体例和参考文献规范、内容摘要和关键词，符合规范性</w:t>
            </w:r>
          </w:p>
        </w:tc>
        <w:tc>
          <w:tcPr>
            <w:tcW w:w="1442" w:type="dxa"/>
          </w:tcPr>
          <w:p w14:paraId="0511EB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6-10</w:t>
            </w:r>
          </w:p>
          <w:p w14:paraId="1B8533BF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13B3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649" w:type="dxa"/>
            <w:vMerge w:val="continue"/>
          </w:tcPr>
          <w:p w14:paraId="1C5650E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66AE17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57B45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论文的注释体例和参考文献基本符合规范、内容摘要和关键词，基本符合规范性</w:t>
            </w:r>
          </w:p>
        </w:tc>
        <w:tc>
          <w:tcPr>
            <w:tcW w:w="1442" w:type="dxa"/>
          </w:tcPr>
          <w:p w14:paraId="68AE7D51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  <w:p w14:paraId="090A751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4DC27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649" w:type="dxa"/>
            <w:vMerge w:val="restart"/>
          </w:tcPr>
          <w:p w14:paraId="07B0F29F">
            <w:pPr>
              <w:jc w:val="center"/>
              <w:rPr>
                <w:b/>
                <w:sz w:val="18"/>
                <w:szCs w:val="18"/>
              </w:rPr>
            </w:pPr>
          </w:p>
          <w:p w14:paraId="2A58632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</w:tc>
        <w:tc>
          <w:tcPr>
            <w:tcW w:w="901" w:type="dxa"/>
            <w:vMerge w:val="restart"/>
          </w:tcPr>
          <w:p w14:paraId="1BE09B2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资料引用与调查实证（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  <w:p w14:paraId="2BAED6A9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5分</w:t>
            </w:r>
          </w:p>
        </w:tc>
        <w:tc>
          <w:tcPr>
            <w:tcW w:w="5767" w:type="dxa"/>
          </w:tcPr>
          <w:p w14:paraId="12ACBB5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参考文献具有相关性、准确性和一定的专业性、权威性，或有较充分的实证调查研究</w:t>
            </w:r>
          </w:p>
        </w:tc>
        <w:tc>
          <w:tcPr>
            <w:tcW w:w="1442" w:type="dxa"/>
          </w:tcPr>
          <w:p w14:paraId="079B33A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7-10</w:t>
            </w:r>
          </w:p>
          <w:p w14:paraId="681A2320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F4A3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649" w:type="dxa"/>
            <w:vMerge w:val="continue"/>
          </w:tcPr>
          <w:p w14:paraId="37EB8A2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62204CD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C31B1C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参考文献相关性、准确性、专业性较不足</w:t>
            </w:r>
          </w:p>
        </w:tc>
        <w:tc>
          <w:tcPr>
            <w:tcW w:w="1442" w:type="dxa"/>
          </w:tcPr>
          <w:p w14:paraId="697EAE1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1-6</w:t>
            </w:r>
          </w:p>
          <w:p w14:paraId="3BE946B4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3ABF8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649" w:type="dxa"/>
            <w:vMerge w:val="restart"/>
          </w:tcPr>
          <w:p w14:paraId="5C3442F2">
            <w:pPr>
              <w:jc w:val="center"/>
              <w:rPr>
                <w:b/>
                <w:sz w:val="18"/>
                <w:szCs w:val="18"/>
              </w:rPr>
            </w:pPr>
          </w:p>
          <w:p w14:paraId="5BF915A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</w:tc>
        <w:tc>
          <w:tcPr>
            <w:tcW w:w="901" w:type="dxa"/>
            <w:vMerge w:val="restart"/>
          </w:tcPr>
          <w:p w14:paraId="7DC09C6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布局结构与文字表达</w:t>
            </w:r>
          </w:p>
          <w:p w14:paraId="613D1B7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  <w:p w14:paraId="4863C903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10分</w:t>
            </w:r>
          </w:p>
        </w:tc>
        <w:tc>
          <w:tcPr>
            <w:tcW w:w="5767" w:type="dxa"/>
          </w:tcPr>
          <w:p w14:paraId="0053B4C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结构严谨，层次分明，论述清晰，语言流畅，表达准确</w:t>
            </w:r>
          </w:p>
        </w:tc>
        <w:tc>
          <w:tcPr>
            <w:tcW w:w="1442" w:type="dxa"/>
          </w:tcPr>
          <w:p w14:paraId="264AABC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12-15</w:t>
            </w:r>
          </w:p>
          <w:p w14:paraId="19ADC73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458C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604583E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65E318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542B0FB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结构合理，符合逻辑，语言通顺，语言表达符合基本文法</w:t>
            </w:r>
          </w:p>
        </w:tc>
        <w:tc>
          <w:tcPr>
            <w:tcW w:w="1442" w:type="dxa"/>
          </w:tcPr>
          <w:p w14:paraId="1305B39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6-11</w:t>
            </w:r>
          </w:p>
          <w:p w14:paraId="5CC7B43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1E1D4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649" w:type="dxa"/>
            <w:vMerge w:val="continue"/>
          </w:tcPr>
          <w:p w14:paraId="0C6A95F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006FC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571DB5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结构不甚合理，文字语言表达较不清</w:t>
            </w:r>
          </w:p>
        </w:tc>
        <w:tc>
          <w:tcPr>
            <w:tcW w:w="1442" w:type="dxa"/>
          </w:tcPr>
          <w:p w14:paraId="29CC4FC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</w:tc>
      </w:tr>
      <w:tr w14:paraId="5BB71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64C6B05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总分</w:t>
            </w:r>
          </w:p>
        </w:tc>
        <w:tc>
          <w:tcPr>
            <w:tcW w:w="7209" w:type="dxa"/>
            <w:gridSpan w:val="2"/>
            <w:vAlign w:val="center"/>
          </w:tcPr>
          <w:p w14:paraId="35676C6B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70</w:t>
            </w:r>
          </w:p>
        </w:tc>
      </w:tr>
      <w:tr w14:paraId="3D860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1B4FFBB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审定意见</w:t>
            </w:r>
          </w:p>
        </w:tc>
        <w:tc>
          <w:tcPr>
            <w:tcW w:w="7209" w:type="dxa"/>
            <w:gridSpan w:val="2"/>
            <w:vAlign w:val="center"/>
          </w:tcPr>
          <w:p w14:paraId="6678A60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返修</w:t>
            </w:r>
          </w:p>
        </w:tc>
      </w:tr>
      <w:tr w14:paraId="021FE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5B5181E4">
            <w:pPr>
              <w:jc w:val="center"/>
              <w:rPr>
                <w:sz w:val="18"/>
                <w:szCs w:val="18"/>
              </w:rPr>
            </w:pPr>
          </w:p>
          <w:p w14:paraId="13507755">
            <w:pPr>
              <w:jc w:val="center"/>
              <w:rPr>
                <w:sz w:val="18"/>
                <w:szCs w:val="18"/>
              </w:rPr>
            </w:pPr>
          </w:p>
          <w:p w14:paraId="15738E8F">
            <w:pPr>
              <w:jc w:val="center"/>
              <w:rPr>
                <w:sz w:val="18"/>
                <w:szCs w:val="18"/>
              </w:rPr>
            </w:pPr>
          </w:p>
          <w:p w14:paraId="24F3347D">
            <w:pPr>
              <w:jc w:val="center"/>
              <w:rPr>
                <w:sz w:val="18"/>
                <w:szCs w:val="18"/>
              </w:rPr>
            </w:pPr>
          </w:p>
          <w:p w14:paraId="01CBE083">
            <w:pPr>
              <w:jc w:val="center"/>
              <w:rPr>
                <w:sz w:val="18"/>
                <w:szCs w:val="18"/>
              </w:rPr>
            </w:pPr>
          </w:p>
          <w:p w14:paraId="50A855CC">
            <w:pPr>
              <w:jc w:val="center"/>
              <w:rPr>
                <w:sz w:val="18"/>
                <w:szCs w:val="18"/>
              </w:rPr>
            </w:pPr>
          </w:p>
          <w:p w14:paraId="72291768">
            <w:pPr>
              <w:jc w:val="center"/>
              <w:rPr>
                <w:sz w:val="18"/>
                <w:szCs w:val="18"/>
              </w:rPr>
            </w:pPr>
          </w:p>
          <w:p w14:paraId="54F099B5">
            <w:pPr>
              <w:jc w:val="center"/>
              <w:rPr>
                <w:sz w:val="18"/>
                <w:szCs w:val="18"/>
              </w:rPr>
            </w:pPr>
          </w:p>
          <w:p w14:paraId="59FD113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论文评价（优点、存在问题、修改建议等）</w:t>
            </w:r>
          </w:p>
        </w:tc>
        <w:tc>
          <w:tcPr>
            <w:tcW w:w="7209" w:type="dxa"/>
            <w:gridSpan w:val="2"/>
            <w:vAlign w:val="center"/>
          </w:tcPr>
          <w:p w14:paraId="3CD146EB">
            <w:pPr>
              <w:ind w:firstLine="360" w:firstLineChars="200"/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5E7C5D44">
            <w:pPr>
              <w:ind w:firstLine="360" w:firstLineChars="200"/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6EE3B464">
            <w:pPr>
              <w:ind w:firstLine="360" w:firstLineChars="200"/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本文的选题聚焦于知识产权侵权诉讼司法实务中“举证难、赔偿低、法定赔偿泛化”的痛点，观点明确，逻辑清晰，结构完整，具有一定的实践价值，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并在合理性证成与制度完善方面提出具有一定新意的观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>点。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然而，本文在论证深度、文献引用的规范性与权威性等方面仍存在明显不足，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总体水平尚未达到刊用要求，详情如下：</w:t>
            </w:r>
          </w:p>
          <w:p w14:paraId="1EE0701F">
            <w:pPr>
              <w:numPr>
                <w:ilvl w:val="0"/>
                <w:numId w:val="0"/>
              </w:numPr>
              <w:ind w:firstLine="361" w:firstLineChars="200"/>
              <w:jc w:val="both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  <w:t>第一，</w:t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全文多处重点论述内容缺乏引用，存在“自说自话”的现象。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文中多处核心论断，如“证明妨碍制度与现有证明责任体系的兼容性”“过失妨碍具有可归责性”等等缺乏对应引注，或仅引用单一文献支撑，削弱了论证的学术可信度，详情已在文中进行批注。此外，文中缺少对国内从事该领域研究代表性学者相关观点的回应与对话。建议全面补充权威引证，规范学术写作体例。</w:t>
            </w:r>
          </w:p>
          <w:p w14:paraId="440EB3B4">
            <w:pPr>
              <w:numPr>
                <w:ilvl w:val="0"/>
                <w:numId w:val="0"/>
              </w:numPr>
              <w:ind w:firstLine="361" w:firstLineChars="200"/>
              <w:jc w:val="both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  <w:t>第二，部分论证内容缺乏理论深度，尤其是</w:t>
            </w:r>
            <w:r>
              <w:rPr>
                <w:rFonts w:hint="eastAsia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  <w:t>完善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  <w:t>建议部分。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论文第三部分“完善路径”提出的“四要件说”“阶梯式法律后果”“程序保障机制”等建议，虽框架完整，但内容多停留在对既有观点的复述与简单整合，缺乏独立的理论建构或精细化的制度设计。例如，“初步证据类型化清单”的构建仅列举了第三方平台数据、行业分析报告、侵权人自述材料三类，但未讨论各类证据的真实性审查标准、举证责任转移的具体条件，以及与现行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>法律和司法解释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的衔接问题。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>建议深化证明妨碍制度的法理基础，明确各建议的适用标准与操作流程，提升落地的可行性。</w:t>
            </w:r>
          </w:p>
          <w:p w14:paraId="673C5DFE">
            <w:pPr>
              <w:numPr>
                <w:ilvl w:val="0"/>
                <w:numId w:val="0"/>
              </w:numPr>
              <w:ind w:firstLine="361" w:firstLineChars="200"/>
              <w:jc w:val="both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  <w:t>第三，对司法案例的引用详略失当。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全文对司法案例的罗列较多，但对案件事实、裁判说理的深入评析和横向对比不够充分，部分案例仅简单提及而未结合核心论点展开说理；部分关键案例论证不足，存在“孤证不立”的现象，未能有效证成核心命题。建议精选部分关键案例进行深度解剖，并搜集充足的类案证立需要重点论证的核心观点。</w:t>
            </w:r>
          </w:p>
          <w:p w14:paraId="25C99FBD">
            <w:pPr>
              <w:numPr>
                <w:ilvl w:val="0"/>
                <w:numId w:val="0"/>
              </w:numPr>
              <w:ind w:firstLine="361" w:firstLineChars="200"/>
              <w:jc w:val="both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  <w:t>第四，部分印证文献来源缺乏权威性</w:t>
            </w:r>
            <w:r>
              <w:rPr>
                <w:rFonts w:hint="eastAsia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  <w:t>。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建议替换和补充更丰富的权威性引用文献。</w:t>
            </w:r>
          </w:p>
          <w:p w14:paraId="5D21CB7E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</w:p>
          <w:p w14:paraId="1782EA7E">
            <w:pPr>
              <w:jc w:val="center"/>
              <w:rPr>
                <w:sz w:val="18"/>
                <w:szCs w:val="18"/>
              </w:rPr>
            </w:pPr>
          </w:p>
          <w:p w14:paraId="146AAB1C">
            <w:pPr>
              <w:jc w:val="center"/>
              <w:rPr>
                <w:sz w:val="18"/>
                <w:szCs w:val="18"/>
              </w:rPr>
            </w:pPr>
          </w:p>
          <w:p w14:paraId="5B3301A6">
            <w:pPr>
              <w:jc w:val="center"/>
              <w:rPr>
                <w:sz w:val="18"/>
                <w:szCs w:val="18"/>
              </w:rPr>
            </w:pPr>
          </w:p>
          <w:p w14:paraId="4ED32B26">
            <w:pPr>
              <w:jc w:val="center"/>
              <w:rPr>
                <w:sz w:val="18"/>
                <w:szCs w:val="18"/>
              </w:rPr>
            </w:pPr>
          </w:p>
          <w:p w14:paraId="162B3596">
            <w:pPr>
              <w:jc w:val="center"/>
              <w:rPr>
                <w:sz w:val="18"/>
                <w:szCs w:val="18"/>
              </w:rPr>
            </w:pPr>
          </w:p>
          <w:p w14:paraId="12B37ABC">
            <w:pPr>
              <w:jc w:val="center"/>
              <w:rPr>
                <w:sz w:val="18"/>
                <w:szCs w:val="18"/>
              </w:rPr>
            </w:pPr>
          </w:p>
          <w:p w14:paraId="0A783D77">
            <w:pPr>
              <w:jc w:val="center"/>
              <w:rPr>
                <w:sz w:val="18"/>
                <w:szCs w:val="18"/>
              </w:rPr>
            </w:pPr>
          </w:p>
          <w:p w14:paraId="41DAB66D">
            <w:pPr>
              <w:jc w:val="center"/>
              <w:rPr>
                <w:sz w:val="18"/>
                <w:szCs w:val="18"/>
              </w:rPr>
            </w:pPr>
          </w:p>
          <w:p w14:paraId="7E955646">
            <w:pPr>
              <w:jc w:val="center"/>
              <w:rPr>
                <w:sz w:val="18"/>
                <w:szCs w:val="18"/>
              </w:rPr>
            </w:pPr>
          </w:p>
          <w:p w14:paraId="421BC419">
            <w:pPr>
              <w:jc w:val="center"/>
              <w:rPr>
                <w:sz w:val="18"/>
                <w:szCs w:val="18"/>
              </w:rPr>
            </w:pPr>
          </w:p>
          <w:p w14:paraId="3E3ED8E9">
            <w:pPr>
              <w:jc w:val="center"/>
              <w:rPr>
                <w:sz w:val="18"/>
                <w:szCs w:val="18"/>
              </w:rPr>
            </w:pPr>
          </w:p>
          <w:p w14:paraId="0C1436B8">
            <w:pPr>
              <w:jc w:val="center"/>
              <w:rPr>
                <w:sz w:val="18"/>
                <w:szCs w:val="18"/>
              </w:rPr>
            </w:pPr>
          </w:p>
          <w:p w14:paraId="7E83DCAC">
            <w:pPr>
              <w:jc w:val="center"/>
              <w:rPr>
                <w:sz w:val="18"/>
                <w:szCs w:val="18"/>
              </w:rPr>
            </w:pPr>
          </w:p>
          <w:p w14:paraId="23B5BCA7">
            <w:pPr>
              <w:jc w:val="center"/>
              <w:rPr>
                <w:sz w:val="18"/>
                <w:szCs w:val="18"/>
              </w:rPr>
            </w:pPr>
          </w:p>
          <w:p w14:paraId="0E132A6A">
            <w:pPr>
              <w:jc w:val="center"/>
              <w:rPr>
                <w:sz w:val="18"/>
                <w:szCs w:val="18"/>
              </w:rPr>
            </w:pPr>
          </w:p>
          <w:p w14:paraId="104ECC86">
            <w:pPr>
              <w:jc w:val="center"/>
              <w:rPr>
                <w:sz w:val="18"/>
                <w:szCs w:val="18"/>
              </w:rPr>
            </w:pPr>
          </w:p>
          <w:p w14:paraId="3A08E402">
            <w:pPr>
              <w:jc w:val="center"/>
              <w:rPr>
                <w:sz w:val="18"/>
                <w:szCs w:val="18"/>
              </w:rPr>
            </w:pPr>
          </w:p>
        </w:tc>
      </w:tr>
    </w:tbl>
    <w:p w14:paraId="7624B1E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9F8"/>
    <w:rsid w:val="00BB4F5D"/>
    <w:rsid w:val="00C17DEA"/>
    <w:rsid w:val="00C2247E"/>
    <w:rsid w:val="00C749F8"/>
    <w:rsid w:val="00CF60D9"/>
    <w:rsid w:val="00DD4CD6"/>
    <w:rsid w:val="455F39A5"/>
    <w:rsid w:val="6B8C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styleId="6">
    <w:name w:val="Strong"/>
    <w:basedOn w:val="5"/>
    <w:qFormat/>
    <w:uiPriority w:val="22"/>
    <w:rPr>
      <w:b/>
    </w:r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530</Words>
  <Characters>586</Characters>
  <Lines>5</Lines>
  <Paragraphs>1</Paragraphs>
  <TotalTime>7</TotalTime>
  <ScaleCrop>false</ScaleCrop>
  <LinksUpToDate>false</LinksUpToDate>
  <CharactersWithSpaces>621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2024-01-10T00:17:00Z</dcterms:created>
  <dc:creator>admin</dc:creator>
  <cp:lastModifiedBy>Administrator
</cp:lastModifiedBy>
  <dcterms:modified xsi:type="dcterms:W3CDTF">2026-04-12T07:59:56Z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eyJoZGlkIjoiMzJkMWM4NTMwNWNhYzQzZGQ5MDVhM2FiMTQ3Y2RiNDMiLCJ1c2VySWQiOiIyNjIyNTA3ODMifQ==</vt:lpwstr>
  </property>
  <property fmtid="{D5CDD505-2E9C-101B-9397-08002B2CF9AE}" pid="3" name="KSOProductBuildVer">
    <vt:lpwstr>2052-12.1.0.19770</vt:lpwstr>
  </property>
  <property fmtid="{D5CDD505-2E9C-101B-9397-08002B2CF9AE}" pid="4" name="ICV">
    <vt:lpwstr>15C5F8AC4D8B4D8D95F21414FAF233BE_13</vt:lpwstr>
  </property>
</Properties>
</file>