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5DD934">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Times New Roman"/>
          <w:bCs/>
          <w:spacing w:val="0"/>
          <w:sz w:val="32"/>
          <w:szCs w:val="32"/>
          <w:lang w:val="en-US" w:eastAsia="zh-CN"/>
          <w14:ligatures w14:val="none"/>
        </w:rPr>
      </w:pPr>
      <w:bookmarkStart w:id="0" w:name="_Toc14189"/>
      <w:r>
        <w:rPr>
          <w:rFonts w:hint="eastAsia" w:ascii="黑体" w:hAnsi="黑体" w:eastAsia="黑体" w:cs="Times New Roman"/>
          <w:bCs/>
          <w:spacing w:val="0"/>
          <w:sz w:val="32"/>
          <w:szCs w:val="32"/>
          <w:lang w:val="en-US" w:eastAsia="zh-CN"/>
          <w14:ligatures w14:val="none"/>
        </w:rPr>
        <w:t>数字时代法定公开信息处理规则研究</w:t>
      </w:r>
    </w:p>
    <w:p w14:paraId="146F9826">
      <w:pPr>
        <w:pageBreakBefore w:val="0"/>
        <w:widowControl w:val="0"/>
        <w:kinsoku/>
        <w:wordWrap/>
        <w:overflowPunct/>
        <w:topLinePunct w:val="0"/>
        <w:autoSpaceDE/>
        <w:autoSpaceDN/>
        <w:bidi w:val="0"/>
        <w:adjustRightInd/>
        <w:snapToGrid/>
        <w:spacing w:line="300" w:lineRule="auto"/>
        <w:jc w:val="right"/>
        <w:textAlignment w:val="auto"/>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——以“卡-梅框架”为分析工具</w:t>
      </w:r>
    </w:p>
    <w:p w14:paraId="7B2096D3">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苏绅宇</w:t>
      </w:r>
    </w:p>
    <w:bookmarkEnd w:id="0"/>
    <w:p w14:paraId="14936EC3">
      <w:pPr>
        <w:keepNext w:val="0"/>
        <w:keepLines w:val="0"/>
        <w:pageBreakBefore w:val="0"/>
        <w:kinsoku/>
        <w:wordWrap/>
        <w:overflowPunct/>
        <w:topLinePunct w:val="0"/>
        <w:autoSpaceDE/>
        <w:autoSpaceDN/>
        <w:bidi w:val="0"/>
        <w:adjustRightInd/>
        <w:snapToGrid/>
        <w:spacing w:line="240" w:lineRule="auto"/>
        <w:ind w:firstLine="420" w:firstLineChars="200"/>
        <w:jc w:val="both"/>
        <w:textAlignment w:val="auto"/>
        <w:rPr>
          <w:rFonts w:hint="eastAsia" w:ascii="华文仿宋" w:hAnsi="华文仿宋" w:eastAsia="华文仿宋" w:cs="Times New Roman"/>
          <w:bCs/>
          <w:spacing w:val="0"/>
          <w:lang w:val="en-US" w:eastAsia="zh-CN"/>
          <w14:ligatures w14:val="none"/>
        </w:rPr>
      </w:pPr>
      <w:r>
        <w:rPr>
          <w:rFonts w:hint="eastAsia" w:ascii="华文仿宋" w:hAnsi="华文仿宋" w:eastAsia="华文仿宋" w:cs="Times New Roman"/>
          <w:bCs/>
          <w:spacing w:val="0"/>
          <w:lang w:val="en-US" w:eastAsia="zh-CN"/>
          <w14:ligatures w14:val="none"/>
        </w:rPr>
        <w:t>【摘  要】《个人信息保护法》</w:t>
      </w:r>
      <w:r>
        <w:rPr>
          <w:rFonts w:hint="eastAsia" w:ascii="华文仿宋" w:hAnsi="华文仿宋" w:eastAsia="华文仿宋" w:cs="Times New Roman"/>
          <w:bCs/>
          <w:spacing w:val="0"/>
          <w14:ligatures w14:val="none"/>
        </w:rPr>
        <w:t>中关于</w:t>
      </w:r>
      <w:r>
        <w:rPr>
          <w:rFonts w:hint="eastAsia" w:ascii="华文仿宋" w:hAnsi="华文仿宋" w:eastAsia="华文仿宋" w:cs="Times New Roman"/>
          <w:bCs/>
          <w:spacing w:val="0"/>
          <w:lang w:val="en-US" w:eastAsia="zh-CN"/>
          <w14:ligatures w14:val="none"/>
        </w:rPr>
        <w:t>法定</w:t>
      </w:r>
      <w:r>
        <w:rPr>
          <w:rFonts w:hint="eastAsia" w:ascii="华文仿宋" w:hAnsi="华文仿宋" w:eastAsia="华文仿宋" w:cs="Times New Roman"/>
          <w:bCs/>
          <w:spacing w:val="0"/>
          <w14:ligatures w14:val="none"/>
        </w:rPr>
        <w:t>信息处理的规则主要由第13条第6项和第27条组成，二者分别属于</w:t>
      </w:r>
      <w:r>
        <w:rPr>
          <w:rFonts w:hint="eastAsia" w:ascii="华文仿宋" w:hAnsi="华文仿宋" w:eastAsia="华文仿宋" w:cs="Times New Roman"/>
          <w:bCs/>
          <w:spacing w:val="0"/>
          <w:lang w:eastAsia="zh-CN"/>
          <w14:ligatures w14:val="none"/>
        </w:rPr>
        <w:t>“卡-梅框架”</w:t>
      </w:r>
      <w:r>
        <w:rPr>
          <w:rFonts w:hint="eastAsia" w:ascii="华文仿宋" w:hAnsi="华文仿宋" w:eastAsia="华文仿宋" w:cs="Times New Roman"/>
          <w:bCs/>
          <w:spacing w:val="0"/>
          <w14:ligatures w14:val="none"/>
        </w:rPr>
        <w:t>中的</w:t>
      </w:r>
      <w:r>
        <w:rPr>
          <w:rFonts w:hint="eastAsia" w:ascii="华文仿宋" w:hAnsi="华文仿宋" w:eastAsia="华文仿宋" w:cs="Times New Roman"/>
          <w:bCs/>
          <w:spacing w:val="0"/>
          <w:lang w:eastAsia="zh-CN"/>
          <w14:ligatures w14:val="none"/>
        </w:rPr>
        <w:t>“</w:t>
      </w:r>
      <w:r>
        <w:rPr>
          <w:rFonts w:hint="eastAsia" w:ascii="华文仿宋" w:hAnsi="华文仿宋" w:eastAsia="华文仿宋" w:cs="Times New Roman"/>
          <w:bCs/>
          <w:spacing w:val="0"/>
          <w14:ligatures w14:val="none"/>
        </w:rPr>
        <w:t>责任规则</w:t>
      </w:r>
      <w:r>
        <w:rPr>
          <w:rFonts w:hint="eastAsia" w:ascii="华文仿宋" w:hAnsi="华文仿宋" w:eastAsia="华文仿宋" w:cs="Times New Roman"/>
          <w:bCs/>
          <w:spacing w:val="0"/>
          <w:lang w:eastAsia="zh-CN"/>
          <w14:ligatures w14:val="none"/>
        </w:rPr>
        <w:t>”</w:t>
      </w:r>
      <w:r>
        <w:rPr>
          <w:rFonts w:hint="eastAsia" w:ascii="华文仿宋" w:hAnsi="华文仿宋" w:eastAsia="华文仿宋" w:cs="Times New Roman"/>
          <w:bCs/>
          <w:spacing w:val="0"/>
          <w14:ligatures w14:val="none"/>
        </w:rPr>
        <w:t>与</w:t>
      </w:r>
      <w:r>
        <w:rPr>
          <w:rFonts w:hint="eastAsia" w:ascii="华文仿宋" w:hAnsi="华文仿宋" w:eastAsia="华文仿宋" w:cs="Times New Roman"/>
          <w:bCs/>
          <w:spacing w:val="0"/>
          <w:lang w:eastAsia="zh-CN"/>
          <w14:ligatures w14:val="none"/>
        </w:rPr>
        <w:t>“</w:t>
      </w:r>
      <w:r>
        <w:rPr>
          <w:rFonts w:hint="eastAsia" w:ascii="华文仿宋" w:hAnsi="华文仿宋" w:eastAsia="华文仿宋" w:cs="Times New Roman"/>
          <w:bCs/>
          <w:spacing w:val="0"/>
          <w14:ligatures w14:val="none"/>
        </w:rPr>
        <w:t>财产规则</w:t>
      </w:r>
      <w:r>
        <w:rPr>
          <w:rFonts w:hint="eastAsia" w:ascii="华文仿宋" w:hAnsi="华文仿宋" w:eastAsia="华文仿宋" w:cs="Times New Roman"/>
          <w:bCs/>
          <w:spacing w:val="0"/>
          <w:lang w:eastAsia="zh-CN"/>
          <w14:ligatures w14:val="none"/>
        </w:rPr>
        <w:t>”，</w:t>
      </w:r>
      <w:r>
        <w:rPr>
          <w:rFonts w:hint="eastAsia" w:ascii="华文仿宋" w:hAnsi="华文仿宋" w:eastAsia="华文仿宋" w:cs="Times New Roman"/>
          <w:bCs/>
          <w:spacing w:val="0"/>
          <w:lang w:val="en-US" w:eastAsia="zh-CN"/>
          <w14:ligatures w14:val="none"/>
        </w:rPr>
        <w:t>构成的规则冲突导致法定公开信息处理陷入合法性困境。法定公开信息更侧重于公共利益的保护，注重效率而非公平，因此需要相应强制性规则进行规制，应强化责任规则并弱化财产规则。强化责任规则，应对扩张处理信息的“合理范围”，同时限缩“对个人权益有重大影响”的认定标准。在弱化财产规则时，需对告知同意规则进行限缩于仅</w:t>
      </w:r>
      <w:r>
        <w:rPr>
          <w:rFonts w:hint="eastAsia" w:ascii="华文仿宋" w:hAnsi="华文仿宋" w:eastAsia="华文仿宋" w:cs="Times New Roman"/>
          <w:bCs/>
          <w:spacing w:val="0"/>
          <w:lang w:eastAsia="zh-CN"/>
          <w14:ligatures w14:val="none"/>
        </w:rPr>
        <w:t>“</w:t>
      </w:r>
      <w:r>
        <w:rPr>
          <w:rFonts w:hint="eastAsia" w:ascii="华文仿宋" w:hAnsi="华文仿宋" w:eastAsia="华文仿宋" w:cs="Times New Roman"/>
          <w:bCs/>
          <w:spacing w:val="0"/>
          <w14:ligatures w14:val="none"/>
        </w:rPr>
        <w:t>对个人权益有重大影响</w:t>
      </w:r>
      <w:r>
        <w:rPr>
          <w:rFonts w:hint="eastAsia" w:ascii="华文仿宋" w:hAnsi="华文仿宋" w:eastAsia="华文仿宋" w:cs="Times New Roman"/>
          <w:bCs/>
          <w:spacing w:val="0"/>
          <w:lang w:val="en-US" w:eastAsia="zh-CN"/>
          <w14:ligatures w14:val="none"/>
        </w:rPr>
        <w:t>”</w:t>
      </w:r>
      <w:r>
        <w:rPr>
          <w:rFonts w:hint="eastAsia" w:ascii="华文仿宋" w:hAnsi="华文仿宋" w:eastAsia="华文仿宋" w:cs="Times New Roman"/>
          <w:bCs/>
          <w:spacing w:val="0"/>
          <w14:ligatures w14:val="none"/>
        </w:rPr>
        <w:t>的情形</w:t>
      </w:r>
      <w:r>
        <w:rPr>
          <w:rFonts w:hint="eastAsia" w:ascii="华文仿宋" w:hAnsi="华文仿宋" w:eastAsia="华文仿宋" w:cs="Times New Roman"/>
          <w:bCs/>
          <w:spacing w:val="0"/>
          <w:lang w:val="en-US" w:eastAsia="zh-CN"/>
          <w14:ligatures w14:val="none"/>
        </w:rPr>
        <w:t>，同时应将个人拒绝权限制在“超出合理范围”的信息处理行为上。在法定公开场景下，法定公开信息处理机关所掌握的权力过大，行政主体可以通过保障删除权、督促信息处理者履行法定义务、强化对信息处理者的监管等方式来保障信息主体的权利。</w:t>
      </w:r>
    </w:p>
    <w:p w14:paraId="737D4C05">
      <w:pPr>
        <w:keepNext w:val="0"/>
        <w:keepLines w:val="0"/>
        <w:pageBreakBefore w:val="0"/>
        <w:kinsoku/>
        <w:wordWrap/>
        <w:overflowPunct/>
        <w:topLinePunct w:val="0"/>
        <w:autoSpaceDE/>
        <w:autoSpaceDN/>
        <w:bidi w:val="0"/>
        <w:adjustRightInd/>
        <w:snapToGrid/>
        <w:spacing w:line="240" w:lineRule="auto"/>
        <w:ind w:firstLine="420" w:firstLineChars="200"/>
        <w:jc w:val="both"/>
        <w:textAlignment w:val="auto"/>
        <w:rPr>
          <w:rFonts w:hint="eastAsia" w:ascii="华文仿宋" w:hAnsi="华文仿宋" w:eastAsia="华文仿宋" w:cs="Times New Roman"/>
          <w:bCs/>
          <w:spacing w:val="0"/>
          <w:lang w:val="en-US" w:eastAsia="zh-CN"/>
          <w14:ligatures w14:val="none"/>
        </w:rPr>
      </w:pPr>
      <w:r>
        <w:rPr>
          <w:rFonts w:hint="eastAsia" w:ascii="华文仿宋" w:hAnsi="华文仿宋" w:eastAsia="华文仿宋" w:cs="Times New Roman"/>
          <w:bCs/>
          <w:spacing w:val="0"/>
          <w:lang w:val="en-US" w:eastAsia="zh-CN"/>
          <w14:ligatures w14:val="none"/>
        </w:rPr>
        <w:t>【关键词】法定公开信息；卡-梅框架；责任规则；财产规则</w:t>
      </w:r>
    </w:p>
    <w:p w14:paraId="065003E2">
      <w:pPr>
        <w:keepNext w:val="0"/>
        <w:keepLines w:val="0"/>
        <w:pageBreakBefore w:val="0"/>
        <w:kinsoku/>
        <w:wordWrap/>
        <w:overflowPunct/>
        <w:topLinePunct w:val="0"/>
        <w:autoSpaceDE/>
        <w:autoSpaceDN/>
        <w:bidi w:val="0"/>
        <w:adjustRightInd/>
        <w:snapToGrid/>
        <w:spacing w:line="240" w:lineRule="auto"/>
        <w:ind w:firstLine="420" w:firstLineChars="200"/>
        <w:jc w:val="both"/>
        <w:textAlignment w:val="auto"/>
        <w:rPr>
          <w:rFonts w:hint="eastAsia" w:ascii="华文仿宋" w:hAnsi="华文仿宋" w:eastAsia="华文仿宋" w:cs="Times New Roman"/>
          <w:bCs/>
          <w:spacing w:val="0"/>
          <w:lang w:val="en-US" w:eastAsia="zh-CN"/>
          <w14:ligatures w14:val="none"/>
        </w:rPr>
      </w:pPr>
      <w:r>
        <w:rPr>
          <w:rFonts w:hint="eastAsia" w:ascii="华文仿宋" w:hAnsi="华文仿宋" w:eastAsia="华文仿宋" w:cs="Times New Roman"/>
          <w:bCs/>
          <w:spacing w:val="0"/>
          <w:lang w:val="en-US" w:eastAsia="zh-CN"/>
          <w14:ligatures w14:val="none"/>
        </w:rPr>
        <w:t>【作者信息】苏绅宇，吉林大学法学院2025级硕士研究生。</w:t>
      </w:r>
    </w:p>
    <w:p w14:paraId="3B60CE2A">
      <w:pPr>
        <w:pStyle w:val="2"/>
        <w:bidi w:val="0"/>
        <w:rPr>
          <w:rFonts w:hint="default"/>
          <w:lang w:val="en-US" w:eastAsia="zh-CN"/>
        </w:rPr>
      </w:pPr>
      <w:bookmarkStart w:id="1" w:name="_Toc18595"/>
      <w:r>
        <w:rPr>
          <w:rFonts w:hint="default"/>
          <w:lang w:val="en-US" w:eastAsia="zh-CN"/>
        </w:rPr>
        <w:t>引言</w:t>
      </w:r>
    </w:p>
    <w:bookmarkEnd w:id="1"/>
    <w:p w14:paraId="5AA9F3A3">
      <w:pPr>
        <w:bidi w:val="0"/>
        <w:rPr>
          <w:rFonts w:ascii="MS Gothic" w:hAnsi="MS Gothic" w:eastAsia="MS Gothic" w:cs="MS Gothic"/>
          <w:spacing w:val="11"/>
        </w:rPr>
      </w:pPr>
      <w:r>
        <w:rPr>
          <w:rFonts w:hint="eastAsia"/>
          <w:spacing w:val="13"/>
          <w:lang w:val="en-US" w:eastAsia="zh-CN"/>
        </w:rPr>
        <w:t>法定公开信息是指基于法律规定在合理的范围内处理的个人自行公开或者其他已经合法公开的个人信息，它是特定个人信息在特定法律程序和公共事务执行过程中进入公共领域的一种信息形态。和意定公开信息不同的是，法定公开信息在合理范围内无需征求信息主体同意，而是由立法强制性公开。在数字时代，</w:t>
      </w:r>
      <w:r>
        <w:rPr>
          <w:rFonts w:hint="default"/>
          <w:spacing w:val="13"/>
          <w:lang w:val="en-US" w:eastAsia="zh-CN"/>
        </w:rPr>
        <w:t>法定公开信息是社会交往和经济活动的重要依据</w:t>
      </w:r>
      <w:r>
        <w:rPr>
          <w:rFonts w:hint="eastAsia"/>
          <w:spacing w:val="13"/>
          <w:lang w:val="en-US" w:eastAsia="zh-CN"/>
        </w:rPr>
        <w:t>，</w:t>
      </w:r>
      <w:r>
        <w:rPr>
          <w:rFonts w:hint="default"/>
          <w:spacing w:val="13"/>
          <w:lang w:val="en-US" w:eastAsia="zh-CN"/>
        </w:rPr>
        <w:t>在商业活动</w:t>
      </w:r>
      <w:r>
        <w:rPr>
          <w:rFonts w:hint="eastAsia"/>
          <w:spacing w:val="13"/>
          <w:lang w:val="en-US" w:eastAsia="zh-CN"/>
        </w:rPr>
        <w:t>方面</w:t>
      </w:r>
      <w:r>
        <w:rPr>
          <w:rFonts w:hint="default"/>
          <w:spacing w:val="13"/>
          <w:lang w:val="en-US" w:eastAsia="zh-CN"/>
        </w:rPr>
        <w:t>，企业可以基于对法定公开信息的分析，评估合作伙伴的</w:t>
      </w:r>
      <w:r>
        <w:rPr>
          <w:rFonts w:hint="eastAsia"/>
          <w:spacing w:val="13"/>
          <w:lang w:val="en-US" w:eastAsia="zh-CN"/>
        </w:rPr>
        <w:t>财产</w:t>
      </w:r>
      <w:r>
        <w:rPr>
          <w:rFonts w:hint="default"/>
          <w:spacing w:val="13"/>
          <w:lang w:val="en-US" w:eastAsia="zh-CN"/>
        </w:rPr>
        <w:t>状况、</w:t>
      </w:r>
      <w:r>
        <w:rPr>
          <w:rFonts w:hint="eastAsia"/>
          <w:spacing w:val="13"/>
          <w:lang w:val="en-US" w:eastAsia="zh-CN"/>
        </w:rPr>
        <w:t>发展</w:t>
      </w:r>
      <w:r>
        <w:rPr>
          <w:rFonts w:hint="default"/>
          <w:spacing w:val="13"/>
          <w:lang w:val="en-US" w:eastAsia="zh-CN"/>
        </w:rPr>
        <w:t>潜力等，</w:t>
      </w:r>
      <w:r>
        <w:rPr>
          <w:rFonts w:hint="eastAsia"/>
          <w:spacing w:val="13"/>
          <w:lang w:val="en-US" w:eastAsia="zh-CN"/>
        </w:rPr>
        <w:t>决定是否开展商业合作；在数据产业方面，法定公开信息可以破除信息交流的壁垒，推进公共信息资源开放，推动数据实现自由流转与高效运用，对于大模型、数据库等产业的发展起到至关重要的作用；在</w:t>
      </w:r>
      <w:r>
        <w:rPr>
          <w:rFonts w:hint="default"/>
          <w:spacing w:val="13"/>
          <w:lang w:val="en-US" w:eastAsia="zh-CN"/>
        </w:rPr>
        <w:t>社会价值</w:t>
      </w:r>
      <w:r>
        <w:rPr>
          <w:rFonts w:hint="eastAsia"/>
          <w:spacing w:val="13"/>
          <w:lang w:val="en-US" w:eastAsia="zh-CN"/>
        </w:rPr>
        <w:t>方面</w:t>
      </w:r>
      <w:r>
        <w:rPr>
          <w:rFonts w:hint="default"/>
          <w:spacing w:val="13"/>
          <w:lang w:val="en-US" w:eastAsia="zh-CN"/>
        </w:rPr>
        <w:t>，法定公开信息是社会公众行使知情权等权利的重要载体</w:t>
      </w:r>
      <w:r>
        <w:rPr>
          <w:rFonts w:hint="eastAsia"/>
          <w:spacing w:val="13"/>
          <w:lang w:val="en-US" w:eastAsia="zh-CN"/>
        </w:rPr>
        <w:t>，有利于公众</w:t>
      </w:r>
      <w:r>
        <w:rPr>
          <w:rFonts w:hint="default"/>
          <w:spacing w:val="13"/>
          <w:lang w:val="en-US" w:eastAsia="zh-CN"/>
        </w:rPr>
        <w:t>更好地监督政府行为、参与社会事务管理</w:t>
      </w:r>
      <w:r>
        <w:rPr>
          <w:rFonts w:hint="eastAsia"/>
          <w:spacing w:val="13"/>
          <w:lang w:val="en-US" w:eastAsia="zh-CN"/>
        </w:rPr>
        <w:t>和</w:t>
      </w:r>
      <w:r>
        <w:rPr>
          <w:rFonts w:hint="default"/>
          <w:spacing w:val="13"/>
          <w:lang w:val="en-US" w:eastAsia="zh-CN"/>
        </w:rPr>
        <w:t>维护自身合法权益</w:t>
      </w:r>
      <w:r>
        <w:rPr>
          <w:rFonts w:hint="eastAsia"/>
          <w:spacing w:val="13"/>
          <w:lang w:val="en-US" w:eastAsia="zh-CN"/>
        </w:rPr>
        <w:t>。</w:t>
      </w:r>
      <w:r>
        <w:rPr>
          <w:rStyle w:val="15"/>
          <w:rFonts w:hint="default"/>
          <w:lang w:val="en-US" w:eastAsia="zh-CN"/>
        </w:rPr>
        <w:footnoteReference w:id="0"/>
      </w:r>
      <w:r>
        <w:rPr>
          <w:rFonts w:hint="eastAsia"/>
          <w:spacing w:val="13"/>
          <w:lang w:val="en-US" w:eastAsia="zh-CN"/>
        </w:rPr>
        <w:t>法定公开信息制度的建立对于社会高效运转、公众知情权保障以及数据产业发展至关重要，这一目标的落实必须借助于相应处理规则。</w:t>
      </w:r>
    </w:p>
    <w:p w14:paraId="3509971D">
      <w:pPr>
        <w:pageBreakBefore w:val="0"/>
        <w:widowControl w:val="0"/>
        <w:kinsoku/>
        <w:wordWrap/>
        <w:overflowPunct/>
        <w:topLinePunct w:val="0"/>
        <w:autoSpaceDE/>
        <w:autoSpaceDN/>
        <w:bidi w:val="0"/>
        <w:adjustRightInd/>
        <w:snapToGrid/>
        <w:spacing w:line="300" w:lineRule="auto"/>
        <w:ind w:firstLine="1152"/>
        <w:jc w:val="left"/>
        <w:textAlignment w:val="auto"/>
        <w:rPr>
          <w:rFonts w:hint="eastAsia"/>
          <w:spacing w:val="13"/>
          <w:lang w:val="en-US" w:eastAsia="zh-CN"/>
        </w:rPr>
      </w:pPr>
      <w:r>
        <w:rPr>
          <w:rFonts w:hint="default"/>
          <w:spacing w:val="13"/>
          <w:lang w:val="en-US" w:eastAsia="zh-CN"/>
        </w:rPr>
        <w:t>当前法定公开信息处理领域面临的核心困境在于合法性判断标准的结构性冲突</w:t>
      </w:r>
      <w:r>
        <w:rPr>
          <w:rFonts w:hint="eastAsia"/>
          <w:spacing w:val="13"/>
          <w:lang w:val="en-US" w:eastAsia="zh-CN"/>
        </w:rPr>
        <w:t>。</w:t>
      </w:r>
      <w:r>
        <w:rPr>
          <w:rFonts w:hint="default"/>
          <w:spacing w:val="13"/>
          <w:lang w:val="en-US" w:eastAsia="zh-CN"/>
        </w:rPr>
        <w:t>《个人信息保护法》第13条第6项</w:t>
      </w:r>
      <w:r>
        <w:rPr>
          <w:rStyle w:val="15"/>
          <w:rFonts w:hint="default"/>
          <w:spacing w:val="13"/>
          <w:lang w:val="en-US" w:eastAsia="zh-CN"/>
        </w:rPr>
        <w:footnoteReference w:id="1"/>
      </w:r>
      <w:r>
        <w:rPr>
          <w:rFonts w:hint="default"/>
          <w:spacing w:val="13"/>
          <w:lang w:val="en-US" w:eastAsia="zh-CN"/>
        </w:rPr>
        <w:t>突破传统立法中</w:t>
      </w:r>
      <w:r>
        <w:rPr>
          <w:rFonts w:hint="eastAsia"/>
          <w:spacing w:val="13"/>
          <w:lang w:val="en-US" w:eastAsia="zh-CN"/>
        </w:rPr>
        <w:t>“征得信息主体同意</w:t>
      </w:r>
      <w:r>
        <w:rPr>
          <w:rFonts w:hint="eastAsia"/>
          <w:lang w:eastAsia="zh-CN"/>
        </w:rPr>
        <w:t>”</w:t>
      </w:r>
      <w:r>
        <w:rPr>
          <w:rFonts w:hint="default"/>
          <w:spacing w:val="13"/>
          <w:lang w:val="en-US" w:eastAsia="zh-CN"/>
        </w:rPr>
        <w:t>的刚性约束，</w:t>
      </w:r>
      <w:r>
        <w:rPr>
          <w:rFonts w:hint="eastAsia"/>
          <w:spacing w:val="13"/>
          <w:lang w:val="en-US" w:eastAsia="zh-CN"/>
        </w:rPr>
        <w:t>允许信息处理者在“</w:t>
      </w:r>
      <w:r>
        <w:rPr>
          <w:rFonts w:hint="default"/>
          <w:spacing w:val="13"/>
          <w:lang w:val="en-US" w:eastAsia="zh-CN"/>
        </w:rPr>
        <w:t>合理范围</w:t>
      </w:r>
      <w:r>
        <w:rPr>
          <w:rFonts w:hint="eastAsia"/>
          <w:spacing w:val="13"/>
          <w:lang w:val="en-US" w:eastAsia="zh-CN"/>
        </w:rPr>
        <w:t>”</w:t>
      </w:r>
      <w:r>
        <w:rPr>
          <w:rFonts w:hint="default"/>
          <w:spacing w:val="13"/>
          <w:lang w:val="en-US" w:eastAsia="zh-CN"/>
        </w:rPr>
        <w:t>内</w:t>
      </w:r>
      <w:r>
        <w:rPr>
          <w:rFonts w:hint="eastAsia"/>
          <w:spacing w:val="13"/>
          <w:lang w:val="en-US" w:eastAsia="zh-CN"/>
        </w:rPr>
        <w:t>无需征得同意即可</w:t>
      </w:r>
      <w:r>
        <w:rPr>
          <w:rFonts w:hint="default"/>
          <w:spacing w:val="13"/>
          <w:lang w:val="en-US" w:eastAsia="zh-CN"/>
        </w:rPr>
        <w:t>处理已公开个人信息，构建</w:t>
      </w:r>
      <w:r>
        <w:rPr>
          <w:rFonts w:hint="eastAsia"/>
          <w:spacing w:val="13"/>
          <w:lang w:val="en-US" w:eastAsia="zh-CN"/>
        </w:rPr>
        <w:t>了</w:t>
      </w:r>
      <w:r>
        <w:rPr>
          <w:rFonts w:hint="default"/>
          <w:spacing w:val="13"/>
          <w:lang w:val="en-US" w:eastAsia="zh-CN"/>
        </w:rPr>
        <w:t>数据流通的法定渠道；但该法第27条</w:t>
      </w:r>
      <w:r>
        <w:rPr>
          <w:rStyle w:val="15"/>
          <w:rFonts w:hint="default"/>
          <w:spacing w:val="13"/>
          <w:lang w:val="en-US" w:eastAsia="zh-CN"/>
        </w:rPr>
        <w:footnoteReference w:id="2"/>
      </w:r>
      <w:r>
        <w:rPr>
          <w:rFonts w:hint="default"/>
          <w:spacing w:val="13"/>
          <w:lang w:val="en-US" w:eastAsia="zh-CN"/>
        </w:rPr>
        <w:t>设置的个人拒绝权机制，</w:t>
      </w:r>
      <w:r>
        <w:rPr>
          <w:rFonts w:hint="eastAsia"/>
          <w:spacing w:val="13"/>
          <w:lang w:val="en-US" w:eastAsia="zh-CN"/>
        </w:rPr>
        <w:t>以及要求当处理行为“对个人权益有重大影响</w:t>
      </w:r>
      <w:r>
        <w:rPr>
          <w:rFonts w:hint="eastAsia"/>
          <w:lang w:eastAsia="zh-CN"/>
        </w:rPr>
        <w:t>”</w:t>
      </w:r>
      <w:r>
        <w:rPr>
          <w:rFonts w:hint="eastAsia"/>
          <w:spacing w:val="13"/>
          <w:lang w:val="en-US" w:eastAsia="zh-CN"/>
        </w:rPr>
        <w:t>时应进行告知信息主体并征得同意的保留条款</w:t>
      </w:r>
      <w:r>
        <w:rPr>
          <w:rFonts w:hint="default"/>
          <w:spacing w:val="13"/>
          <w:lang w:val="en-US" w:eastAsia="zh-CN"/>
        </w:rPr>
        <w:t>，</w:t>
      </w:r>
      <w:r>
        <w:rPr>
          <w:rFonts w:hint="eastAsia"/>
          <w:spacing w:val="13"/>
          <w:lang w:val="en-US" w:eastAsia="zh-CN"/>
        </w:rPr>
        <w:t>赋予了信息主体过大的权力，不利于信息的流通和再利用，</w:t>
      </w:r>
      <w:r>
        <w:rPr>
          <w:rFonts w:hint="default"/>
          <w:spacing w:val="13"/>
          <w:lang w:val="en-US" w:eastAsia="zh-CN"/>
        </w:rPr>
        <w:t>在制度层面形成规则闭环的断裂</w:t>
      </w:r>
      <w:r>
        <w:rPr>
          <w:rFonts w:hint="eastAsia"/>
          <w:spacing w:val="13"/>
          <w:lang w:val="en-US" w:eastAsia="zh-CN"/>
        </w:rPr>
        <w:t>。</w:t>
      </w:r>
      <w:bookmarkStart w:id="2" w:name="_Toc24913"/>
      <w:r>
        <w:rPr>
          <w:rFonts w:hint="eastAsia"/>
          <w:spacing w:val="13"/>
          <w:lang w:val="en-US" w:eastAsia="zh-CN"/>
        </w:rPr>
        <w:t>法律规范间的冲突状态导致法定公开信息处理行为的司法审查基准呈现模糊化特征，这种规范解释的不确定性最终映射为司法裁判领域的分歧现象。</w:t>
      </w:r>
    </w:p>
    <w:p w14:paraId="33E5C3F0">
      <w:pPr>
        <w:pageBreakBefore w:val="0"/>
        <w:widowControl w:val="0"/>
        <w:kinsoku/>
        <w:wordWrap/>
        <w:overflowPunct/>
        <w:topLinePunct w:val="0"/>
        <w:autoSpaceDE/>
        <w:autoSpaceDN/>
        <w:bidi w:val="0"/>
        <w:adjustRightInd/>
        <w:snapToGrid/>
        <w:spacing w:line="300" w:lineRule="auto"/>
        <w:ind w:firstLine="1152"/>
        <w:jc w:val="left"/>
        <w:textAlignment w:val="auto"/>
        <w:rPr>
          <w:rFonts w:hint="eastAsia"/>
          <w:spacing w:val="13"/>
          <w:lang w:val="en-US" w:eastAsia="zh-CN"/>
        </w:rPr>
      </w:pPr>
      <w:r>
        <w:rPr>
          <w:rFonts w:hint="eastAsia"/>
          <w:spacing w:val="13"/>
          <w:lang w:val="en-US" w:eastAsia="zh-CN"/>
        </w:rPr>
        <w:t>当前法定公开信息保护与利用领域的纠纷呈现高发态势，这一方面源于信息二次传播行为具有更高的可观测性，其传播效应呈现指数级扩散特征，导致对个人权益的侵害程度更为突出，进而促使个体通过司法途径寻求救济的意愿显著增强；另一方面则在于典型争议场景普遍涉及多元主体间的利益博弈，而现行规范体系尚未形成具有可操作性的统一裁量基准。此类纠纷既涉及处理行为的“合理范围</w:t>
      </w:r>
      <w:r>
        <w:rPr>
          <w:rFonts w:hint="eastAsia"/>
          <w:lang w:eastAsia="zh-CN"/>
        </w:rPr>
        <w:t>”</w:t>
      </w:r>
      <w:r>
        <w:rPr>
          <w:rFonts w:hint="eastAsia"/>
          <w:spacing w:val="13"/>
          <w:lang w:val="en-US" w:eastAsia="zh-CN"/>
        </w:rPr>
        <w:t>及“对个人权益有重大影响</w:t>
      </w:r>
      <w:r>
        <w:rPr>
          <w:rFonts w:hint="eastAsia"/>
          <w:lang w:eastAsia="zh-CN"/>
        </w:rPr>
        <w:t>”</w:t>
      </w:r>
      <w:r>
        <w:rPr>
          <w:rFonts w:hint="eastAsia"/>
          <w:spacing w:val="13"/>
          <w:lang w:val="en-US" w:eastAsia="zh-CN"/>
        </w:rPr>
        <w:t>的认定标准建构，也包含个人拒绝权行使的规则设计，更延伸至具体场景中个人权益保障与公共利益实现的价值权衡方法论。这些问题亟待通过学术研究予以化解，方能构建起兼顾信息保护与利用需求的规范框架。</w:t>
      </w:r>
    </w:p>
    <w:p w14:paraId="0A8AAD3C">
      <w:pPr>
        <w:pStyle w:val="2"/>
        <w:numPr>
          <w:ilvl w:val="0"/>
          <w:numId w:val="1"/>
        </w:numPr>
        <w:bidi w:val="0"/>
        <w:rPr>
          <w:rFonts w:hint="eastAsia"/>
          <w:lang w:val="en-US" w:eastAsia="zh-CN"/>
        </w:rPr>
      </w:pPr>
      <w:r>
        <w:rPr>
          <w:rFonts w:hint="eastAsia"/>
          <w:lang w:val="en-US" w:eastAsia="zh-CN"/>
        </w:rPr>
        <w:t>法定公开信息处理规则的应然选择</w:t>
      </w:r>
      <w:bookmarkEnd w:id="2"/>
    </w:p>
    <w:p w14:paraId="323A19EA">
      <w:pPr>
        <w:pageBreakBefore w:val="0"/>
        <w:widowControl w:val="0"/>
        <w:kinsoku/>
        <w:wordWrap/>
        <w:overflowPunct/>
        <w:topLinePunct w:val="0"/>
        <w:autoSpaceDE/>
        <w:autoSpaceDN/>
        <w:bidi w:val="0"/>
        <w:adjustRightInd/>
        <w:snapToGrid/>
        <w:spacing w:line="300" w:lineRule="auto"/>
        <w:ind w:firstLine="1152"/>
        <w:jc w:val="left"/>
        <w:textAlignment w:val="auto"/>
        <w:rPr>
          <w:rFonts w:hint="eastAsia"/>
          <w:spacing w:val="13"/>
          <w:lang w:val="en-US" w:eastAsia="zh-CN"/>
        </w:rPr>
      </w:pPr>
      <w:r>
        <w:rPr>
          <w:rFonts w:hint="eastAsia"/>
          <w:spacing w:val="13"/>
          <w:lang w:val="en-US" w:eastAsia="zh-CN"/>
        </w:rPr>
        <w:t>“卡-梅框架”为法定公开信息处理规则选择提供了法经济学分析路径。从效率与分配维度看，财产规则要求逐个征得信息主体同意，在法定公开场景中面临极高交易成本困境，既不现实，又显著</w:t>
      </w:r>
      <w:r>
        <w:rPr>
          <w:rFonts w:hint="eastAsia" w:ascii="Times New Roman" w:hAnsi="Times New Roman" w:eastAsia="宋体" w:cs="Times New Roman"/>
          <w:spacing w:val="13"/>
          <w:kern w:val="2"/>
          <w:sz w:val="21"/>
          <w:szCs w:val="22"/>
          <w:lang w:val="en-US" w:eastAsia="zh-CN" w:bidi="ar-SA"/>
          <w14:ligatures w14:val="standardContextual"/>
        </w:rPr>
        <w:t>降低效率</w:t>
      </w:r>
      <w:r>
        <w:rPr>
          <w:rFonts w:hint="eastAsia"/>
          <w:spacing w:val="13"/>
          <w:lang w:val="en-US" w:eastAsia="zh-CN"/>
        </w:rPr>
        <w:t>。相比之下，责任规则通过强制性移转法益，更契合公共数据属性，既能保障公共利益实现，又可通过合理范围限定，促进信息流通与资源优化配置，更适用于法定公开信息处理。</w:t>
      </w:r>
    </w:p>
    <w:p w14:paraId="372771E6">
      <w:pPr>
        <w:pStyle w:val="3"/>
        <w:pageBreakBefore w:val="0"/>
        <w:widowControl w:val="0"/>
        <w:kinsoku/>
        <w:wordWrap/>
        <w:overflowPunct/>
        <w:topLinePunct w:val="0"/>
        <w:autoSpaceDE/>
        <w:autoSpaceDN/>
        <w:bidi w:val="0"/>
        <w:adjustRightInd/>
        <w:snapToGrid/>
        <w:spacing w:line="300" w:lineRule="auto"/>
        <w:jc w:val="left"/>
        <w:textAlignment w:val="auto"/>
        <w:rPr>
          <w:rFonts w:hint="eastAsia"/>
          <w:lang w:val="en-US" w:eastAsia="zh-CN"/>
        </w:rPr>
      </w:pPr>
      <w:bookmarkStart w:id="3" w:name="_Toc14539"/>
      <w:r>
        <w:rPr>
          <w:rFonts w:hint="eastAsia"/>
          <w:lang w:val="en-US" w:eastAsia="zh-CN"/>
        </w:rPr>
        <w:t>（一）我国法定公开信息处理规则的困境</w:t>
      </w:r>
      <w:bookmarkEnd w:id="3"/>
    </w:p>
    <w:p w14:paraId="0F28CA61">
      <w:pPr>
        <w:pageBreakBefore w:val="0"/>
        <w:widowControl w:val="0"/>
        <w:kinsoku/>
        <w:wordWrap/>
        <w:overflowPunct/>
        <w:topLinePunct w:val="0"/>
        <w:autoSpaceDE/>
        <w:autoSpaceDN/>
        <w:bidi w:val="0"/>
        <w:adjustRightInd/>
        <w:snapToGrid/>
        <w:spacing w:line="300" w:lineRule="auto"/>
        <w:jc w:val="left"/>
        <w:textAlignment w:val="auto"/>
        <w:rPr>
          <w:rStyle w:val="15"/>
          <w:rFonts w:hint="eastAsia"/>
          <w:spacing w:val="13"/>
          <w:lang w:val="en-US" w:eastAsia="zh-CN"/>
        </w:rPr>
      </w:pPr>
      <w:r>
        <w:rPr>
          <w:rFonts w:hint="eastAsia"/>
        </w:rPr>
        <w:t>卡拉布雷西和梅拉米德在1972年提出了一个关于规则选择和效率比较的研究范式，形成了著名的法经济学研究框架</w:t>
      </w:r>
      <w:r>
        <w:rPr>
          <w:rFonts w:hint="eastAsia"/>
          <w:lang w:eastAsia="zh-CN"/>
        </w:rPr>
        <w:t>——</w:t>
      </w:r>
      <w:r>
        <w:rPr>
          <w:rFonts w:hint="eastAsia"/>
        </w:rPr>
        <w:t>“卡-梅框架”。</w:t>
      </w:r>
      <w:r>
        <w:rPr>
          <w:rStyle w:val="15"/>
          <w:rFonts w:hint="eastAsia"/>
          <w:spacing w:val="13"/>
          <w:lang w:val="en-US" w:eastAsia="zh-CN"/>
        </w:rPr>
        <w:footnoteReference w:id="3"/>
      </w:r>
      <w:r>
        <w:rPr>
          <w:rFonts w:hint="eastAsia"/>
        </w:rPr>
        <w:t>需要指出</w:t>
      </w:r>
      <w:r>
        <w:rPr>
          <w:rFonts w:hint="eastAsia"/>
          <w:lang w:eastAsia="zh-CN"/>
        </w:rPr>
        <w:t>，</w:t>
      </w:r>
      <w:r>
        <w:rPr>
          <w:rFonts w:hint="eastAsia"/>
        </w:rPr>
        <w:t>本文之所以选择卡</w:t>
      </w:r>
      <w:r>
        <w:rPr>
          <w:rFonts w:hint="eastAsia"/>
          <w:lang w:val="en-US" w:eastAsia="zh-CN"/>
        </w:rPr>
        <w:t>-</w:t>
      </w:r>
      <w:r>
        <w:rPr>
          <w:rFonts w:hint="eastAsia"/>
        </w:rPr>
        <w:t>梅框架作为</w:t>
      </w:r>
      <w:r>
        <w:rPr>
          <w:rFonts w:hint="eastAsia"/>
          <w:lang w:val="en-US" w:eastAsia="zh-CN"/>
        </w:rPr>
        <w:t>法定公开信息的</w:t>
      </w:r>
      <w:r>
        <w:rPr>
          <w:rFonts w:hint="eastAsia"/>
        </w:rPr>
        <w:t>研究</w:t>
      </w:r>
      <w:r>
        <w:rPr>
          <w:rFonts w:hint="eastAsia"/>
          <w:lang w:val="en-US" w:eastAsia="zh-CN"/>
        </w:rPr>
        <w:t>路径</w:t>
      </w:r>
      <w:r>
        <w:rPr>
          <w:rFonts w:hint="eastAsia"/>
          <w:lang w:eastAsia="zh-CN"/>
        </w:rPr>
        <w:t>，</w:t>
      </w:r>
      <w:r>
        <w:rPr>
          <w:rFonts w:hint="eastAsia"/>
        </w:rPr>
        <w:t>乃是基于以下两点考量:第一</w:t>
      </w:r>
      <w:r>
        <w:rPr>
          <w:rFonts w:hint="eastAsia"/>
          <w:lang w:eastAsia="zh-CN"/>
        </w:rPr>
        <w:t>，</w:t>
      </w:r>
      <w:r>
        <w:rPr>
          <w:rFonts w:hint="eastAsia"/>
        </w:rPr>
        <w:t>卡</w:t>
      </w:r>
      <w:r>
        <w:rPr>
          <w:rFonts w:hint="eastAsia"/>
          <w:lang w:val="en-US" w:eastAsia="zh-CN"/>
        </w:rPr>
        <w:t>-</w:t>
      </w:r>
      <w:r>
        <w:rPr>
          <w:rFonts w:hint="eastAsia"/>
        </w:rPr>
        <w:t>梅框架在效率比较</w:t>
      </w:r>
      <w:r>
        <w:rPr>
          <w:rFonts w:hint="eastAsia"/>
          <w:lang w:val="en-US" w:eastAsia="zh-CN"/>
        </w:rPr>
        <w:t>上</w:t>
      </w:r>
      <w:r>
        <w:rPr>
          <w:rFonts w:hint="eastAsia"/>
        </w:rPr>
        <w:t>具有天然的优势</w:t>
      </w:r>
      <w:r>
        <w:rPr>
          <w:rFonts w:hint="eastAsia"/>
          <w:lang w:eastAsia="zh-CN"/>
        </w:rPr>
        <w:t>。</w:t>
      </w:r>
      <w:r>
        <w:t>作为法经济学的分析方法，卡-梅框架在不同规则的效率比较方面具有天然优势，能帮助我们</w:t>
      </w:r>
      <w:r>
        <w:rPr>
          <w:rFonts w:hint="eastAsia"/>
          <w:lang w:val="en-US" w:eastAsia="zh-CN"/>
        </w:rPr>
        <w:t>厘清信息</w:t>
      </w:r>
      <w:r>
        <w:t>保护</w:t>
      </w:r>
      <w:r>
        <w:rPr>
          <w:rFonts w:hint="eastAsia"/>
          <w:lang w:val="en-US" w:eastAsia="zh-CN"/>
        </w:rPr>
        <w:t>知情</w:t>
      </w:r>
      <w:r>
        <w:t>同意规则的局限，</w:t>
      </w:r>
      <w:r>
        <w:rPr>
          <w:rFonts w:hint="eastAsia"/>
          <w:lang w:val="en-US" w:eastAsia="zh-CN"/>
        </w:rPr>
        <w:t>并通过财产</w:t>
      </w:r>
      <w:r>
        <w:t>规则与责任规则等不同模式</w:t>
      </w:r>
      <w:r>
        <w:rPr>
          <w:rFonts w:hint="eastAsia"/>
          <w:lang w:val="en-US" w:eastAsia="zh-CN"/>
        </w:rPr>
        <w:t>更好地进行</w:t>
      </w:r>
      <w:r>
        <w:t>法益分配</w:t>
      </w:r>
      <w:r>
        <w:rPr>
          <w:rFonts w:hint="eastAsia"/>
          <w:lang w:eastAsia="zh-CN"/>
        </w:rPr>
        <w:t>。</w:t>
      </w:r>
      <w:r>
        <w:rPr>
          <w:rFonts w:hint="eastAsia"/>
        </w:rPr>
        <w:t>第二</w:t>
      </w:r>
      <w:r>
        <w:rPr>
          <w:rFonts w:hint="eastAsia"/>
          <w:lang w:eastAsia="zh-CN"/>
        </w:rPr>
        <w:t>，卡-梅框架</w:t>
      </w:r>
      <w:r>
        <w:rPr>
          <w:rFonts w:hint="eastAsia"/>
          <w:lang w:val="en-US" w:eastAsia="zh-CN"/>
        </w:rPr>
        <w:t>可以更好地平衡</w:t>
      </w:r>
      <w:r>
        <w:rPr>
          <w:rFonts w:hint="eastAsia"/>
          <w:lang w:eastAsia="zh-CN"/>
        </w:rPr>
        <w:t>多元利益。</w:t>
      </w:r>
      <w:r>
        <w:rPr>
          <w:rFonts w:hint="eastAsia"/>
          <w:lang w:val="en-US" w:eastAsia="zh-CN"/>
        </w:rPr>
        <w:t>在数字时代法定公开信息</w:t>
      </w:r>
      <w:r>
        <w:rPr>
          <w:rFonts w:hint="eastAsia"/>
        </w:rPr>
        <w:t>是一种重要的</w:t>
      </w:r>
      <w:r>
        <w:rPr>
          <w:rFonts w:hint="eastAsia"/>
          <w:lang w:val="en-US" w:eastAsia="zh-CN"/>
        </w:rPr>
        <w:t>公共资源</w:t>
      </w:r>
      <w:r>
        <w:rPr>
          <w:rFonts w:hint="eastAsia"/>
        </w:rPr>
        <w:t>资源</w:t>
      </w:r>
      <w:r>
        <w:rPr>
          <w:rFonts w:hint="eastAsia"/>
          <w:lang w:eastAsia="zh-CN"/>
        </w:rPr>
        <w:t>，</w:t>
      </w:r>
      <w:r>
        <w:rPr>
          <w:rFonts w:hint="eastAsia"/>
        </w:rPr>
        <w:t>需要以更加开放的态度平衡数据利用与</w:t>
      </w:r>
      <w:r>
        <w:rPr>
          <w:rFonts w:hint="eastAsia"/>
          <w:lang w:val="en-US" w:eastAsia="zh-CN"/>
        </w:rPr>
        <w:t>信息保护</w:t>
      </w:r>
      <w:r>
        <w:rPr>
          <w:rFonts w:hint="eastAsia"/>
        </w:rPr>
        <w:t>两种价值取向</w:t>
      </w:r>
      <w:r>
        <w:rPr>
          <w:rFonts w:hint="eastAsia"/>
          <w:lang w:eastAsia="zh-CN"/>
        </w:rPr>
        <w:t>，卡-梅框架亦为平衡</w:t>
      </w:r>
      <w:r>
        <w:rPr>
          <w:rFonts w:hint="eastAsia"/>
          <w:lang w:val="en-US" w:eastAsia="zh-CN"/>
        </w:rPr>
        <w:t>法定公开信息</w:t>
      </w:r>
      <w:r>
        <w:rPr>
          <w:rFonts w:hint="eastAsia"/>
          <w:lang w:eastAsia="zh-CN"/>
        </w:rPr>
        <w:t>所承载的多元利益提供了价值取舍的标尺，有助于促使不同的规则选择能够更完美地契合具体场景下的利益需求。</w:t>
      </w:r>
    </w:p>
    <w:p w14:paraId="293806AF">
      <w:pPr>
        <w:pageBreakBefore w:val="0"/>
        <w:widowControl w:val="0"/>
        <w:kinsoku/>
        <w:wordWrap/>
        <w:overflowPunct/>
        <w:topLinePunct w:val="0"/>
        <w:autoSpaceDE/>
        <w:autoSpaceDN/>
        <w:bidi w:val="0"/>
        <w:adjustRightInd/>
        <w:snapToGrid/>
        <w:spacing w:line="300" w:lineRule="auto"/>
        <w:jc w:val="left"/>
        <w:textAlignment w:val="auto"/>
        <w:rPr>
          <w:rFonts w:hint="default" w:eastAsiaTheme="minorEastAsia"/>
          <w:lang w:val="en-US" w:eastAsia="zh-CN"/>
        </w:rPr>
      </w:pPr>
      <w:r>
        <w:rPr>
          <w:rFonts w:hint="eastAsia"/>
        </w:rPr>
        <w:t>根据法律规则是否允许私人对特定法益进行非自愿</w:t>
      </w:r>
      <w:r>
        <w:rPr>
          <w:rFonts w:hint="eastAsia"/>
          <w:lang w:eastAsia="zh-CN"/>
        </w:rPr>
        <w:t>转移</w:t>
      </w:r>
      <w:r>
        <w:rPr>
          <w:rFonts w:hint="eastAsia"/>
        </w:rPr>
        <w:t>或剥夺，</w:t>
      </w:r>
      <w:r>
        <w:rPr>
          <w:rFonts w:hint="eastAsia"/>
          <w:lang w:eastAsia="zh-CN"/>
        </w:rPr>
        <w:t>卡-梅框架</w:t>
      </w:r>
      <w:r>
        <w:rPr>
          <w:rFonts w:hint="eastAsia"/>
        </w:rPr>
        <w:t>将不同规则划分为</w:t>
      </w:r>
      <w:r>
        <w:rPr>
          <w:rFonts w:hint="eastAsia"/>
          <w:lang w:eastAsia="zh-CN"/>
        </w:rPr>
        <w:t>“</w:t>
      </w:r>
      <w:r>
        <w:rPr>
          <w:rFonts w:hint="eastAsia"/>
        </w:rPr>
        <w:t>财产规则</w:t>
      </w:r>
      <w:r>
        <w:rPr>
          <w:rFonts w:hint="eastAsia"/>
          <w:spacing w:val="13"/>
          <w:lang w:val="en-US" w:eastAsia="zh-CN"/>
        </w:rPr>
        <w:t>”</w:t>
      </w:r>
      <w:r>
        <w:rPr>
          <w:rFonts w:hint="eastAsia"/>
        </w:rPr>
        <w:t>与</w:t>
      </w:r>
      <w:r>
        <w:rPr>
          <w:rFonts w:hint="eastAsia"/>
          <w:lang w:eastAsia="zh-CN"/>
        </w:rPr>
        <w:t>“</w:t>
      </w:r>
      <w:r>
        <w:rPr>
          <w:rFonts w:hint="eastAsia"/>
        </w:rPr>
        <w:t>责任规则</w:t>
      </w:r>
      <w:r>
        <w:rPr>
          <w:rFonts w:hint="eastAsia"/>
          <w:spacing w:val="13"/>
          <w:lang w:val="en-US" w:eastAsia="zh-CN"/>
        </w:rPr>
        <w:t>”</w:t>
      </w:r>
      <w:r>
        <w:rPr>
          <w:rFonts w:hint="eastAsia"/>
        </w:rPr>
        <w:t>。财产规则仅允许自愿的法益交易，他人若想获得法益，则必须以拥有者同意的价格从其手中购买</w:t>
      </w:r>
      <w:r>
        <w:rPr>
          <w:rFonts w:hint="eastAsia"/>
          <w:lang w:eastAsia="zh-CN"/>
        </w:rPr>
        <w:t>；</w:t>
      </w:r>
      <w:r>
        <w:rPr>
          <w:rFonts w:hint="eastAsia"/>
        </w:rPr>
        <w:t>反之，责任规则则允许强制性的和非自愿的法益移转，只要法益获得者愿意支付一个客观确定的补偿费用，就可以消灭初始法益。</w:t>
      </w:r>
      <w:r>
        <w:rPr>
          <w:rStyle w:val="15"/>
          <w:rFonts w:hint="eastAsia"/>
        </w:rPr>
        <w:footnoteReference w:id="4"/>
      </w:r>
      <w:r>
        <w:rPr>
          <w:rFonts w:hint="eastAsia"/>
        </w:rPr>
        <w:t>在具体适用过程中</w:t>
      </w:r>
      <w:r>
        <w:rPr>
          <w:rFonts w:hint="eastAsia"/>
          <w:lang w:eastAsia="zh-CN"/>
        </w:rPr>
        <w:t>，</w:t>
      </w:r>
      <w:r>
        <w:rPr>
          <w:rFonts w:hint="eastAsia"/>
        </w:rPr>
        <w:t>财产规则与责任规则</w:t>
      </w:r>
      <w:r>
        <w:rPr>
          <w:rFonts w:hint="eastAsia"/>
          <w:lang w:val="en-US" w:eastAsia="zh-CN"/>
        </w:rPr>
        <w:t>的冲突使得法定公开信息处理</w:t>
      </w:r>
      <w:r>
        <w:rPr>
          <w:rFonts w:hint="eastAsia"/>
        </w:rPr>
        <w:t>面临着两难境地，导致</w:t>
      </w:r>
      <w:r>
        <w:rPr>
          <w:rFonts w:hint="eastAsia"/>
          <w:lang w:val="en-US" w:eastAsia="zh-CN"/>
        </w:rPr>
        <w:t>处理规则的</w:t>
      </w:r>
      <w:r>
        <w:rPr>
          <w:rFonts w:hint="eastAsia"/>
        </w:rPr>
        <w:t>判定标准变得模糊难辨。</w:t>
      </w:r>
      <w:r>
        <w:rPr>
          <w:rFonts w:hint="default" w:eastAsiaTheme="minorEastAsia"/>
          <w:lang w:val="en-US" w:eastAsia="zh-CN"/>
        </w:rPr>
        <w:t>依据卡-梅框架的规则属性划分标准，《个人信息保护法》中已公开个人信息处理规则呈现二元结构：第13条第6项属于</w:t>
      </w:r>
      <w:r>
        <w:rPr>
          <w:rFonts w:hint="eastAsia" w:eastAsiaTheme="minorEastAsia"/>
          <w:lang w:val="en-US" w:eastAsia="zh-CN"/>
        </w:rPr>
        <w:t>“</w:t>
      </w:r>
      <w:r>
        <w:rPr>
          <w:rFonts w:hint="default" w:eastAsiaTheme="minorEastAsia"/>
          <w:lang w:val="en-US" w:eastAsia="zh-CN"/>
        </w:rPr>
        <w:t>责任规则</w:t>
      </w:r>
      <w:r>
        <w:rPr>
          <w:rFonts w:hint="eastAsia" w:eastAsiaTheme="minorEastAsia"/>
          <w:lang w:val="en-US" w:eastAsia="zh-CN"/>
        </w:rPr>
        <w:t>”</w:t>
      </w:r>
      <w:r>
        <w:rPr>
          <w:rFonts w:hint="default" w:eastAsiaTheme="minorEastAsia"/>
          <w:lang w:val="en-US" w:eastAsia="zh-CN"/>
        </w:rPr>
        <w:t>体系，其制度设计遵循强制规范逻辑，</w:t>
      </w:r>
      <w:r>
        <w:rPr>
          <w:rFonts w:hint="default"/>
          <w:lang w:val="en-US" w:eastAsia="zh-CN"/>
        </w:rPr>
        <w:t>重点在于维护公共利益，保障</w:t>
      </w:r>
      <w:r>
        <w:rPr>
          <w:rFonts w:hint="eastAsia"/>
          <w:lang w:val="en-US" w:eastAsia="zh-CN"/>
        </w:rPr>
        <w:t>公开</w:t>
      </w:r>
      <w:r>
        <w:rPr>
          <w:rFonts w:hint="default"/>
          <w:lang w:val="en-US" w:eastAsia="zh-CN"/>
        </w:rPr>
        <w:t>信息</w:t>
      </w:r>
      <w:r>
        <w:rPr>
          <w:rFonts w:hint="eastAsia"/>
          <w:lang w:val="en-US" w:eastAsia="zh-CN"/>
        </w:rPr>
        <w:t>的高效性</w:t>
      </w:r>
      <w:r>
        <w:rPr>
          <w:rFonts w:hint="default"/>
          <w:lang w:val="en-US" w:eastAsia="zh-CN"/>
        </w:rPr>
        <w:t>流通和</w:t>
      </w:r>
      <w:r>
        <w:rPr>
          <w:rFonts w:hint="eastAsia"/>
          <w:lang w:val="en-US" w:eastAsia="zh-CN"/>
        </w:rPr>
        <w:t>促进信息的</w:t>
      </w:r>
      <w:r>
        <w:rPr>
          <w:rFonts w:hint="default"/>
          <w:lang w:val="en-US" w:eastAsia="zh-CN"/>
        </w:rPr>
        <w:t>再利用</w:t>
      </w:r>
      <w:r>
        <w:rPr>
          <w:rFonts w:hint="default" w:eastAsiaTheme="minorEastAsia"/>
          <w:lang w:val="en-US" w:eastAsia="zh-CN"/>
        </w:rPr>
        <w:t>；而第27条则属于</w:t>
      </w:r>
      <w:r>
        <w:rPr>
          <w:rFonts w:hint="eastAsia" w:eastAsiaTheme="minorEastAsia"/>
          <w:lang w:val="en-US" w:eastAsia="zh-CN"/>
        </w:rPr>
        <w:t>“</w:t>
      </w:r>
      <w:r>
        <w:rPr>
          <w:rFonts w:hint="default" w:eastAsiaTheme="minorEastAsia"/>
          <w:lang w:val="en-US" w:eastAsia="zh-CN"/>
        </w:rPr>
        <w:t>财产规则</w:t>
      </w:r>
      <w:r>
        <w:rPr>
          <w:rFonts w:hint="eastAsia" w:eastAsiaTheme="minorEastAsia"/>
          <w:lang w:val="en-US" w:eastAsia="zh-CN"/>
        </w:rPr>
        <w:t>”</w:t>
      </w:r>
      <w:r>
        <w:rPr>
          <w:rFonts w:hint="default" w:eastAsiaTheme="minorEastAsia"/>
          <w:lang w:val="en-US" w:eastAsia="zh-CN"/>
        </w:rPr>
        <w:t>范畴，该条款通过赋予信息主体</w:t>
      </w:r>
      <w:r>
        <w:rPr>
          <w:rFonts w:hint="eastAsia" w:eastAsiaTheme="minorEastAsia"/>
          <w:lang w:val="en-US" w:eastAsia="zh-CN"/>
        </w:rPr>
        <w:t>拒绝权</w:t>
      </w:r>
      <w:r>
        <w:rPr>
          <w:rFonts w:hint="default" w:eastAsiaTheme="minorEastAsia"/>
          <w:lang w:val="en-US" w:eastAsia="zh-CN"/>
        </w:rPr>
        <w:t>的制度安排，彰显对人格尊严与自主决策权的优先保护。</w:t>
      </w:r>
    </w:p>
    <w:p w14:paraId="18FD1167">
      <w:pPr>
        <w:pageBreakBefore w:val="0"/>
        <w:widowControl w:val="0"/>
        <w:kinsoku/>
        <w:wordWrap/>
        <w:overflowPunct/>
        <w:topLinePunct w:val="0"/>
        <w:autoSpaceDE/>
        <w:autoSpaceDN/>
        <w:bidi w:val="0"/>
        <w:adjustRightInd/>
        <w:snapToGrid/>
        <w:spacing w:line="300" w:lineRule="auto"/>
        <w:jc w:val="left"/>
        <w:textAlignment w:val="auto"/>
        <w:rPr>
          <w:rFonts w:hint="default" w:eastAsiaTheme="minorEastAsia"/>
          <w:lang w:val="en-US" w:eastAsia="zh-CN"/>
        </w:rPr>
      </w:pPr>
      <w:r>
        <w:rPr>
          <w:rFonts w:hint="eastAsia"/>
        </w:rPr>
        <w:t>《个人信息保护法》第</w:t>
      </w:r>
      <w:r>
        <w:rPr>
          <w:rFonts w:hint="eastAsia"/>
          <w:lang w:val="en-US" w:eastAsia="zh-CN"/>
        </w:rPr>
        <w:t>13</w:t>
      </w:r>
      <w:r>
        <w:rPr>
          <w:rFonts w:hint="eastAsia"/>
        </w:rPr>
        <w:t>条第</w:t>
      </w:r>
      <w:r>
        <w:rPr>
          <w:rFonts w:hint="eastAsia"/>
          <w:lang w:val="en-US" w:eastAsia="zh-CN"/>
        </w:rPr>
        <w:t>6</w:t>
      </w:r>
      <w:r>
        <w:rPr>
          <w:rFonts w:hint="eastAsia"/>
        </w:rPr>
        <w:t>项</w:t>
      </w:r>
      <w:r>
        <w:rPr>
          <w:rFonts w:hint="default" w:eastAsiaTheme="minorEastAsia"/>
          <w:lang w:val="en-US" w:eastAsia="zh-CN"/>
        </w:rPr>
        <w:t>采纳责任规则的逻辑，创设了强制性授权</w:t>
      </w:r>
      <w:r>
        <w:rPr>
          <w:rFonts w:hint="eastAsia"/>
          <w:lang w:val="en-US" w:eastAsia="zh-CN"/>
        </w:rPr>
        <w:t>规则，授权</w:t>
      </w:r>
      <w:r>
        <w:rPr>
          <w:rFonts w:hint="default" w:eastAsiaTheme="minorEastAsia"/>
          <w:lang w:val="en-US" w:eastAsia="zh-CN"/>
        </w:rPr>
        <w:t>信息处理者</w:t>
      </w:r>
      <w:r>
        <w:rPr>
          <w:rFonts w:hint="eastAsia"/>
          <w:lang w:val="en-US" w:eastAsia="zh-CN"/>
        </w:rPr>
        <w:t>可以</w:t>
      </w:r>
      <w:r>
        <w:rPr>
          <w:rFonts w:hint="default" w:eastAsiaTheme="minorEastAsia"/>
          <w:lang w:val="en-US" w:eastAsia="zh-CN"/>
        </w:rPr>
        <w:t>依法律规定，在法定公开信息之</w:t>
      </w:r>
      <w:r>
        <w:rPr>
          <w:rFonts w:hint="eastAsia"/>
          <w:lang w:eastAsia="zh-CN"/>
        </w:rPr>
        <w:t>“</w:t>
      </w:r>
      <w:r>
        <w:rPr>
          <w:rFonts w:hint="eastAsia"/>
        </w:rPr>
        <w:t>合理范围</w:t>
      </w:r>
      <w:r>
        <w:rPr>
          <w:rFonts w:hint="eastAsia"/>
          <w:spacing w:val="13"/>
          <w:lang w:val="en-US" w:eastAsia="zh-CN"/>
        </w:rPr>
        <w:t>”</w:t>
      </w:r>
      <w:r>
        <w:rPr>
          <w:rFonts w:hint="eastAsia"/>
        </w:rPr>
        <w:t>内</w:t>
      </w:r>
      <w:r>
        <w:rPr>
          <w:rFonts w:hint="default" w:eastAsiaTheme="minorEastAsia"/>
          <w:lang w:val="en-US" w:eastAsia="zh-CN"/>
        </w:rPr>
        <w:t>，免除单独同意程序而直接处理数据</w:t>
      </w:r>
      <w:r>
        <w:rPr>
          <w:rFonts w:hint="eastAsia"/>
          <w:lang w:val="en-US" w:eastAsia="zh-CN"/>
        </w:rPr>
        <w:t>。</w:t>
      </w:r>
      <w:r>
        <w:rPr>
          <w:rFonts w:hint="default" w:eastAsiaTheme="minorEastAsia"/>
          <w:lang w:val="en-US" w:eastAsia="zh-CN"/>
        </w:rPr>
        <w:t>相较于</w:t>
      </w:r>
      <w:r>
        <w:rPr>
          <w:rFonts w:hint="eastAsia" w:eastAsiaTheme="minorEastAsia"/>
          <w:lang w:val="en-US" w:eastAsia="zh-CN"/>
        </w:rPr>
        <w:t>“</w:t>
      </w:r>
      <w:r>
        <w:rPr>
          <w:rFonts w:hint="default" w:eastAsiaTheme="minorEastAsia"/>
          <w:lang w:val="en-US" w:eastAsia="zh-CN"/>
        </w:rPr>
        <w:t>财产规则</w:t>
      </w:r>
      <w:r>
        <w:rPr>
          <w:rFonts w:hint="eastAsia" w:eastAsiaTheme="minorEastAsia"/>
          <w:lang w:val="en-US" w:eastAsia="zh-CN"/>
        </w:rPr>
        <w:t>”</w:t>
      </w:r>
      <w:r>
        <w:rPr>
          <w:rFonts w:hint="default" w:eastAsiaTheme="minorEastAsia"/>
          <w:lang w:val="en-US" w:eastAsia="zh-CN"/>
        </w:rPr>
        <w:t>框架下以</w:t>
      </w:r>
      <w:r>
        <w:rPr>
          <w:rFonts w:hint="eastAsia"/>
          <w:lang w:eastAsia="zh-CN"/>
        </w:rPr>
        <w:t>“</w:t>
      </w:r>
      <w:r>
        <w:rPr>
          <w:rFonts w:hint="eastAsia"/>
        </w:rPr>
        <w:t>知情</w:t>
      </w:r>
      <w:r>
        <w:rPr>
          <w:rFonts w:hint="eastAsia"/>
          <w:lang w:val="en-US" w:eastAsia="zh-CN"/>
        </w:rPr>
        <w:t>-</w:t>
      </w:r>
      <w:r>
        <w:rPr>
          <w:rFonts w:hint="eastAsia"/>
        </w:rPr>
        <w:t>同意</w:t>
      </w:r>
      <w:r>
        <w:rPr>
          <w:rFonts w:hint="eastAsia"/>
          <w:spacing w:val="13"/>
          <w:lang w:val="en-US" w:eastAsia="zh-CN"/>
        </w:rPr>
        <w:t>”</w:t>
      </w:r>
      <w:r>
        <w:rPr>
          <w:rFonts w:hint="default" w:eastAsiaTheme="minorEastAsia"/>
          <w:lang w:val="en-US" w:eastAsia="zh-CN"/>
        </w:rPr>
        <w:t>为核心的高成本协商模式，该条款通过免除信息处理者的事前协商义务与补偿责任，实质上构建了</w:t>
      </w:r>
      <w:r>
        <w:rPr>
          <w:rFonts w:hint="eastAsia"/>
          <w:lang w:val="en-US" w:eastAsia="zh-CN"/>
        </w:rPr>
        <w:t>几乎为</w:t>
      </w:r>
      <w:r>
        <w:rPr>
          <w:rFonts w:hint="eastAsia"/>
        </w:rPr>
        <w:t>零</w:t>
      </w:r>
      <w:r>
        <w:rPr>
          <w:rFonts w:hint="default" w:eastAsiaTheme="minorEastAsia"/>
          <w:lang w:val="en-US" w:eastAsia="zh-CN"/>
        </w:rPr>
        <w:t>成本的合规通道</w:t>
      </w:r>
      <w:r>
        <w:rPr>
          <w:rFonts w:hint="eastAsia" w:eastAsiaTheme="minorEastAsia"/>
          <w:lang w:val="en-US" w:eastAsia="zh-CN"/>
        </w:rPr>
        <w:t>，防止</w:t>
      </w:r>
      <w:r>
        <w:rPr>
          <w:rFonts w:hint="eastAsia"/>
        </w:rPr>
        <w:t>处理行为因高昂议价成本引致</w:t>
      </w:r>
      <w:r>
        <w:rPr>
          <w:rFonts w:hint="eastAsia"/>
          <w:lang w:eastAsia="zh-CN"/>
        </w:rPr>
        <w:t>“</w:t>
      </w:r>
      <w:r>
        <w:rPr>
          <w:rFonts w:hint="eastAsia"/>
        </w:rPr>
        <w:t>流产</w:t>
      </w:r>
      <w:r>
        <w:rPr>
          <w:rFonts w:hint="eastAsia"/>
          <w:lang w:eastAsia="zh-CN"/>
        </w:rPr>
        <w:t>”</w:t>
      </w:r>
      <w:r>
        <w:rPr>
          <w:rStyle w:val="15"/>
          <w:rFonts w:hint="eastAsia"/>
        </w:rPr>
        <w:footnoteReference w:id="5"/>
      </w:r>
      <w:r>
        <w:rPr>
          <w:rFonts w:hint="default" w:eastAsiaTheme="minorEastAsia"/>
          <w:lang w:val="en-US" w:eastAsia="zh-CN"/>
        </w:rPr>
        <w:t>。</w:t>
      </w:r>
      <w:r>
        <w:rPr>
          <w:rFonts w:hint="eastAsia"/>
        </w:rPr>
        <w:t>采用责任规则</w:t>
      </w:r>
      <w:r>
        <w:rPr>
          <w:rFonts w:hint="default" w:eastAsiaTheme="minorEastAsia"/>
          <w:lang w:val="en-US" w:eastAsia="zh-CN"/>
        </w:rPr>
        <w:t>的优势在于</w:t>
      </w:r>
      <w:r>
        <w:rPr>
          <w:rFonts w:hint="eastAsia" w:eastAsiaTheme="minorEastAsia"/>
          <w:lang w:val="en-US" w:eastAsia="zh-CN"/>
        </w:rPr>
        <w:t>，</w:t>
      </w:r>
      <w:r>
        <w:rPr>
          <w:rFonts w:hint="default" w:eastAsiaTheme="minorEastAsia"/>
          <w:lang w:val="en-US" w:eastAsia="zh-CN"/>
        </w:rPr>
        <w:t>当法定公开信息的处理涉及公共利益维护时，责任规则通过突破个体控制维度，既规避了财产规则可能造成的交易陷入停滞、难以推进的局面，又借助减少制度性交易成本，提高了信息资源的分配与利用效率。从规范目的解释，该条款的立法价值取向明确指向公共利益优先，其制度效能不仅契合数字时代信息高效流通的客观需求，也回应了社会</w:t>
      </w:r>
      <w:r>
        <w:rPr>
          <w:rFonts w:hint="eastAsia" w:eastAsiaTheme="minorEastAsia"/>
          <w:lang w:val="en-US" w:eastAsia="zh-CN"/>
        </w:rPr>
        <w:t>大众</w:t>
      </w:r>
      <w:r>
        <w:rPr>
          <w:rFonts w:hint="default" w:eastAsiaTheme="minorEastAsia"/>
          <w:lang w:val="en-US" w:eastAsia="zh-CN"/>
        </w:rPr>
        <w:t>对信息再利用的合理期待。</w:t>
      </w:r>
    </w:p>
    <w:p w14:paraId="0604E3CA">
      <w:pPr>
        <w:pageBreakBefore w:val="0"/>
        <w:widowControl w:val="0"/>
        <w:kinsoku/>
        <w:wordWrap/>
        <w:overflowPunct/>
        <w:topLinePunct w:val="0"/>
        <w:autoSpaceDE/>
        <w:autoSpaceDN/>
        <w:bidi w:val="0"/>
        <w:adjustRightInd/>
        <w:snapToGrid/>
        <w:spacing w:line="300" w:lineRule="auto"/>
        <w:ind w:firstLine="1152"/>
        <w:jc w:val="left"/>
        <w:textAlignment w:val="auto"/>
        <w:rPr>
          <w:rFonts w:hint="default" w:eastAsiaTheme="minorEastAsia"/>
          <w:lang w:val="en-US" w:eastAsia="zh-CN"/>
        </w:rPr>
      </w:pPr>
      <w:r>
        <w:rPr>
          <w:rFonts w:hint="default" w:eastAsiaTheme="minorEastAsia"/>
          <w:lang w:val="en-US" w:eastAsia="zh-CN"/>
        </w:rPr>
        <w:t>然而，责任规则的制度优势并未在《个人信息保护法》的规范体系中得到延续性贯彻。该法第27条</w:t>
      </w:r>
      <w:r>
        <w:rPr>
          <w:rFonts w:hint="eastAsia" w:eastAsiaTheme="minorEastAsia"/>
          <w:lang w:val="en-US" w:eastAsia="zh-CN"/>
        </w:rPr>
        <w:t>规定了</w:t>
      </w:r>
      <w:r>
        <w:rPr>
          <w:rFonts w:hint="default" w:eastAsiaTheme="minorEastAsia"/>
          <w:lang w:val="en-US" w:eastAsia="zh-CN"/>
        </w:rPr>
        <w:t>信息主体既享有对处理行为的概括拒绝权，又保留着针对</w:t>
      </w:r>
      <w:r>
        <w:rPr>
          <w:rFonts w:hint="eastAsia" w:eastAsiaTheme="minorEastAsia"/>
          <w:lang w:val="en-US" w:eastAsia="zh-CN"/>
        </w:rPr>
        <w:t>“</w:t>
      </w:r>
      <w:r>
        <w:rPr>
          <w:rFonts w:hint="eastAsia"/>
        </w:rPr>
        <w:t>对个人权益有重大影响</w:t>
      </w:r>
      <w:r>
        <w:rPr>
          <w:rFonts w:hint="eastAsia"/>
          <w:lang w:eastAsia="zh-CN"/>
        </w:rPr>
        <w:t>”</w:t>
      </w:r>
      <w:r>
        <w:rPr>
          <w:rFonts w:hint="default" w:eastAsiaTheme="minorEastAsia"/>
          <w:lang w:val="en-US" w:eastAsia="zh-CN"/>
        </w:rPr>
        <w:t>的特别同意权</w:t>
      </w:r>
      <w:r>
        <w:rPr>
          <w:rFonts w:hint="eastAsia" w:eastAsiaTheme="minorEastAsia"/>
          <w:lang w:val="en-US" w:eastAsia="zh-CN"/>
        </w:rPr>
        <w:t>，</w:t>
      </w:r>
      <w:r>
        <w:rPr>
          <w:rFonts w:hint="default" w:eastAsiaTheme="minorEastAsia"/>
          <w:highlight w:val="none"/>
          <w:lang w:val="en-US" w:eastAsia="zh-CN"/>
        </w:rPr>
        <w:t>该条款创设的</w:t>
      </w:r>
      <w:r>
        <w:rPr>
          <w:rFonts w:hint="eastAsia" w:eastAsiaTheme="minorEastAsia"/>
          <w:highlight w:val="none"/>
          <w:lang w:val="en-US" w:eastAsia="zh-CN"/>
        </w:rPr>
        <w:t>“</w:t>
      </w:r>
      <w:r>
        <w:rPr>
          <w:rFonts w:hint="default" w:eastAsiaTheme="minorEastAsia"/>
          <w:highlight w:val="none"/>
          <w:lang w:val="en-US" w:eastAsia="zh-CN"/>
        </w:rPr>
        <w:t>择入＋择出</w:t>
      </w:r>
      <w:r>
        <w:rPr>
          <w:rFonts w:hint="eastAsia" w:eastAsiaTheme="minorEastAsia"/>
          <w:highlight w:val="none"/>
          <w:lang w:val="en-US" w:eastAsia="zh-CN"/>
        </w:rPr>
        <w:t>”</w:t>
      </w:r>
      <w:r>
        <w:rPr>
          <w:rFonts w:hint="default" w:eastAsiaTheme="minorEastAsia"/>
          <w:highlight w:val="none"/>
          <w:lang w:val="en-US" w:eastAsia="zh-CN"/>
        </w:rPr>
        <w:t>二元授权体系，通过赋予信息主体双重控制权能，在制度层面重构了信息处理的授权结构</w:t>
      </w:r>
      <w:r>
        <w:rPr>
          <w:rFonts w:hint="eastAsia" w:eastAsiaTheme="minorEastAsia"/>
          <w:highlight w:val="none"/>
          <w:lang w:val="en-US" w:eastAsia="zh-CN"/>
        </w:rPr>
        <w:t>，</w:t>
      </w:r>
      <w:r>
        <w:rPr>
          <w:rFonts w:hint="default" w:eastAsiaTheme="minorEastAsia"/>
          <w:highlight w:val="none"/>
          <w:lang w:val="en-US" w:eastAsia="zh-CN"/>
        </w:rPr>
        <w:t>使法定公开信息的利用行为在效果上复归财产规则框架。</w:t>
      </w:r>
      <w:r>
        <w:rPr>
          <w:rFonts w:hint="default" w:eastAsiaTheme="minorEastAsia"/>
          <w:lang w:val="en-US" w:eastAsia="zh-CN"/>
        </w:rPr>
        <w:t>这种规则配置导致已公开个人信息处理活动始终面临双重授权约束，使得第13条第6项确立的责任规则空间被实质性压缩。实践中，信息处理者不仅需要承担处理行为随时被推翻的合规风险，更因双重授权机制的存在而显著增加了信息获取成本，这种制度设计客观上形成了对法定公开信息利用的规制过载。</w:t>
      </w:r>
    </w:p>
    <w:p w14:paraId="525629C2">
      <w:pPr>
        <w:pageBreakBefore w:val="0"/>
        <w:widowControl w:val="0"/>
        <w:kinsoku/>
        <w:wordWrap/>
        <w:overflowPunct/>
        <w:topLinePunct w:val="0"/>
        <w:autoSpaceDE/>
        <w:autoSpaceDN/>
        <w:bidi w:val="0"/>
        <w:adjustRightInd/>
        <w:snapToGrid/>
        <w:spacing w:line="300" w:lineRule="auto"/>
        <w:jc w:val="left"/>
        <w:textAlignment w:val="auto"/>
        <w:rPr>
          <w:rFonts w:hint="default" w:eastAsiaTheme="minorEastAsia"/>
          <w:lang w:val="en-US" w:eastAsia="zh-CN"/>
        </w:rPr>
      </w:pPr>
      <w:bookmarkStart w:id="4" w:name="_Toc31362"/>
      <w:r>
        <w:rPr>
          <w:rFonts w:hint="default"/>
          <w:lang w:val="en-US" w:eastAsia="zh-CN"/>
        </w:rPr>
        <w:t>法律适用不确定性直接导致法定公开信息处理活动缺乏明确规范指引，</w:t>
      </w:r>
      <w:r>
        <w:rPr>
          <w:rFonts w:hint="eastAsia"/>
          <w:lang w:val="en-US" w:eastAsia="zh-CN"/>
        </w:rPr>
        <w:t>并引发</w:t>
      </w:r>
      <w:r>
        <w:rPr>
          <w:rFonts w:hint="default"/>
          <w:lang w:val="en-US" w:eastAsia="zh-CN"/>
        </w:rPr>
        <w:t>司法</w:t>
      </w:r>
      <w:r>
        <w:rPr>
          <w:rFonts w:hint="eastAsia"/>
          <w:lang w:val="en-US" w:eastAsia="zh-CN"/>
        </w:rPr>
        <w:t>裁判的冲突</w:t>
      </w:r>
      <w:r>
        <w:rPr>
          <w:rFonts w:hint="default"/>
          <w:lang w:val="en-US" w:eastAsia="zh-CN"/>
        </w:rPr>
        <w:t>。在</w:t>
      </w:r>
      <w:r>
        <w:rPr>
          <w:rFonts w:hint="eastAsia"/>
          <w:lang w:val="en-US" w:eastAsia="zh-CN"/>
        </w:rPr>
        <w:t>“</w:t>
      </w:r>
      <w:r>
        <w:rPr>
          <w:rFonts w:hint="default"/>
          <w:lang w:val="en-US" w:eastAsia="zh-CN"/>
        </w:rPr>
        <w:t>伊日克斯庆与苏州贝尔塔数据技术有限公司一般人格权纠纷案</w:t>
      </w:r>
      <w:r>
        <w:rPr>
          <w:rFonts w:hint="eastAsia"/>
          <w:spacing w:val="13"/>
          <w:lang w:val="en-US" w:eastAsia="zh-CN"/>
        </w:rPr>
        <w:t>”</w:t>
      </w:r>
      <w:r>
        <w:rPr>
          <w:rStyle w:val="15"/>
          <w:rFonts w:hint="default"/>
          <w:lang w:val="en-US" w:eastAsia="zh-CN"/>
        </w:rPr>
        <w:footnoteReference w:id="6"/>
      </w:r>
      <w:r>
        <w:rPr>
          <w:rFonts w:hint="eastAsia"/>
          <w:lang w:val="en-US" w:eastAsia="zh-CN"/>
        </w:rPr>
        <w:t>（以下简称“</w:t>
      </w:r>
      <w:r>
        <w:rPr>
          <w:rFonts w:hint="default"/>
          <w:lang w:val="en-US" w:eastAsia="zh-CN"/>
        </w:rPr>
        <w:t>伊日克斯庆</w:t>
      </w:r>
      <w:r>
        <w:rPr>
          <w:rFonts w:hint="eastAsia"/>
          <w:lang w:val="en-US" w:eastAsia="zh-CN"/>
        </w:rPr>
        <w:t>案</w:t>
      </w:r>
      <w:r>
        <w:rPr>
          <w:rFonts w:hint="eastAsia"/>
          <w:spacing w:val="13"/>
          <w:lang w:val="en-US" w:eastAsia="zh-CN"/>
        </w:rPr>
        <w:t>”</w:t>
      </w:r>
      <w:r>
        <w:rPr>
          <w:rFonts w:hint="eastAsia"/>
          <w:lang w:val="en-US" w:eastAsia="zh-CN"/>
        </w:rPr>
        <w:t>）</w:t>
      </w:r>
      <w:r>
        <w:rPr>
          <w:rFonts w:hint="default"/>
          <w:lang w:val="en-US" w:eastAsia="zh-CN"/>
        </w:rPr>
        <w:t>和</w:t>
      </w:r>
      <w:r>
        <w:rPr>
          <w:rFonts w:hint="eastAsia"/>
          <w:lang w:val="en-US" w:eastAsia="zh-CN"/>
        </w:rPr>
        <w:t>“</w:t>
      </w:r>
      <w:r>
        <w:rPr>
          <w:rFonts w:hint="default"/>
          <w:lang w:val="en-US" w:eastAsia="zh-CN"/>
        </w:rPr>
        <w:t>梁雅冰与北京汇法正信科技有限公司网络侵权责任纠纷案</w:t>
      </w:r>
      <w:r>
        <w:rPr>
          <w:rFonts w:hint="eastAsia"/>
          <w:spacing w:val="13"/>
          <w:lang w:val="en-US" w:eastAsia="zh-CN"/>
        </w:rPr>
        <w:t>”</w:t>
      </w:r>
      <w:r>
        <w:rPr>
          <w:rStyle w:val="15"/>
          <w:rFonts w:hint="default"/>
          <w:lang w:val="en-US" w:eastAsia="zh-CN"/>
        </w:rPr>
        <w:footnoteReference w:id="7"/>
      </w:r>
      <w:r>
        <w:rPr>
          <w:rFonts w:hint="eastAsia"/>
          <w:lang w:val="en-US" w:eastAsia="zh-CN"/>
        </w:rPr>
        <w:t>（以下简称“</w:t>
      </w:r>
      <w:r>
        <w:rPr>
          <w:rFonts w:hint="default"/>
          <w:lang w:val="en-US" w:eastAsia="zh-CN"/>
        </w:rPr>
        <w:t>梁雅冰</w:t>
      </w:r>
      <w:r>
        <w:rPr>
          <w:rFonts w:hint="eastAsia"/>
          <w:lang w:val="en-US" w:eastAsia="zh-CN"/>
        </w:rPr>
        <w:t>案</w:t>
      </w:r>
      <w:r>
        <w:rPr>
          <w:rFonts w:hint="eastAsia"/>
          <w:spacing w:val="13"/>
          <w:lang w:val="en-US" w:eastAsia="zh-CN"/>
        </w:rPr>
        <w:t>”</w:t>
      </w:r>
      <w:r>
        <w:rPr>
          <w:rFonts w:hint="eastAsia"/>
          <w:lang w:val="en-US" w:eastAsia="zh-CN"/>
        </w:rPr>
        <w:t>）</w:t>
      </w:r>
      <w:r>
        <w:rPr>
          <w:rFonts w:hint="default"/>
          <w:lang w:val="en-US" w:eastAsia="zh-CN"/>
        </w:rPr>
        <w:t>中，尽管两案被告均为裁判文书查询服务商，</w:t>
      </w:r>
      <w:r>
        <w:rPr>
          <w:rFonts w:hint="eastAsia"/>
          <w:lang w:val="en-US" w:eastAsia="zh-CN"/>
        </w:rPr>
        <w:t>但因法院对“合理范围”的认定标准不同，</w:t>
      </w:r>
      <w:r>
        <w:rPr>
          <w:rFonts w:hint="default"/>
          <w:lang w:val="en-US" w:eastAsia="zh-CN"/>
        </w:rPr>
        <w:t>最终裁判结果呈现完全相悖的司法态度。在伊日克斯庆</w:t>
      </w:r>
      <w:r>
        <w:rPr>
          <w:rFonts w:hint="eastAsia"/>
          <w:lang w:val="en-US" w:eastAsia="zh-CN"/>
        </w:rPr>
        <w:t>案</w:t>
      </w:r>
      <w:r>
        <w:rPr>
          <w:rFonts w:hint="default"/>
          <w:lang w:val="en-US" w:eastAsia="zh-CN"/>
        </w:rPr>
        <w:t>中，法院认为数据公司</w:t>
      </w:r>
      <w:r>
        <w:rPr>
          <w:rFonts w:hint="eastAsia"/>
          <w:lang w:val="en-US" w:eastAsia="zh-CN"/>
        </w:rPr>
        <w:t>处理行为</w:t>
      </w:r>
      <w:r>
        <w:rPr>
          <w:rFonts w:hint="default"/>
          <w:lang w:val="en-US" w:eastAsia="zh-CN"/>
        </w:rPr>
        <w:t>超出了</w:t>
      </w:r>
      <w:r>
        <w:rPr>
          <w:rFonts w:hint="eastAsia"/>
          <w:lang w:val="en-US" w:eastAsia="zh-CN"/>
        </w:rPr>
        <w:t>“</w:t>
      </w:r>
      <w:r>
        <w:rPr>
          <w:rFonts w:hint="default"/>
          <w:lang w:val="en-US" w:eastAsia="zh-CN"/>
        </w:rPr>
        <w:t>合理范围</w:t>
      </w:r>
      <w:r>
        <w:rPr>
          <w:rFonts w:hint="eastAsia"/>
          <w:spacing w:val="13"/>
          <w:lang w:val="en-US" w:eastAsia="zh-CN"/>
        </w:rPr>
        <w:t>”，</w:t>
      </w:r>
      <w:r>
        <w:rPr>
          <w:rFonts w:hint="default"/>
          <w:lang w:val="en-US" w:eastAsia="zh-CN"/>
        </w:rPr>
        <w:t>突破法定授权边界且未履行信息披露义务</w:t>
      </w:r>
      <w:r>
        <w:rPr>
          <w:rFonts w:hint="eastAsia"/>
          <w:lang w:val="en-US" w:eastAsia="zh-CN"/>
        </w:rPr>
        <w:t>。</w:t>
      </w:r>
      <w:r>
        <w:rPr>
          <w:rStyle w:val="15"/>
          <w:rFonts w:hint="default"/>
          <w:lang w:val="en-US" w:eastAsia="zh-CN"/>
        </w:rPr>
        <w:footnoteReference w:id="8"/>
      </w:r>
      <w:r>
        <w:rPr>
          <w:rFonts w:hint="default"/>
          <w:lang w:val="en-US" w:eastAsia="zh-CN"/>
        </w:rPr>
        <w:t>然而，在</w:t>
      </w:r>
      <w:r>
        <w:rPr>
          <w:rFonts w:hint="eastAsia"/>
          <w:lang w:val="en-US" w:eastAsia="zh-CN"/>
        </w:rPr>
        <w:t>“梁雅冰案”</w:t>
      </w:r>
      <w:r>
        <w:rPr>
          <w:rFonts w:hint="default"/>
          <w:lang w:val="en-US" w:eastAsia="zh-CN"/>
        </w:rPr>
        <w:t>中，</w:t>
      </w:r>
      <w:r>
        <w:rPr>
          <w:rFonts w:hint="eastAsia"/>
          <w:lang w:val="en-US" w:eastAsia="zh-CN"/>
        </w:rPr>
        <w:t>相关裁判文书着重指出，原告未能拿出实质性证据证实存在相较于已公开个人信息再利用所承载的公共利益而言更亟待保障的重要利益，基于此判定信息处理行为不存在侵权情形。</w:t>
      </w:r>
      <w:r>
        <w:rPr>
          <w:rStyle w:val="15"/>
          <w:rFonts w:hint="default"/>
          <w:lang w:val="en-US" w:eastAsia="zh-CN"/>
        </w:rPr>
        <w:footnoteReference w:id="9"/>
      </w:r>
      <w:r>
        <w:rPr>
          <w:rFonts w:hint="default"/>
          <w:lang w:val="en-US" w:eastAsia="zh-CN"/>
        </w:rPr>
        <w:t>前案裁判逻辑明显体现对个人信息自决权的优先保护，后案判决则更强调保护司法公开的价值与公共利益的实现。</w:t>
      </w:r>
      <w:r>
        <w:rPr>
          <w:rFonts w:hint="eastAsia"/>
          <w:spacing w:val="13"/>
          <w:lang w:val="en-US" w:eastAsia="zh-CN"/>
        </w:rPr>
        <w:t>财产规则强调信息主体的同意和自决权，虽保护了个人权益，但在法定公开信息处理场景下可能导致交易成本剧增，信息流通受阻</w:t>
      </w:r>
      <w:r>
        <w:rPr>
          <w:rFonts w:hint="default"/>
          <w:lang w:val="en-US" w:eastAsia="zh-CN"/>
        </w:rPr>
        <w:t>；而责任规则虽可通过降低合规成本提升处理效率，</w:t>
      </w:r>
      <w:r>
        <w:rPr>
          <w:rFonts w:hint="eastAsia"/>
          <w:spacing w:val="13"/>
          <w:lang w:val="en-US" w:eastAsia="zh-CN"/>
        </w:rPr>
        <w:t>却可能减损人格利益与自决权，二者适用面临两难。</w:t>
      </w:r>
    </w:p>
    <w:p w14:paraId="4D266665">
      <w:pPr>
        <w:pStyle w:val="3"/>
        <w:bidi w:val="0"/>
        <w:rPr>
          <w:rFonts w:hint="default"/>
          <w:sz w:val="24"/>
          <w:lang w:val="en-US" w:eastAsia="zh-CN"/>
        </w:rPr>
      </w:pPr>
      <w:r>
        <w:rPr>
          <w:rFonts w:hint="eastAsia"/>
          <w:sz w:val="24"/>
          <w:lang w:val="en-US" w:eastAsia="zh-CN"/>
        </w:rPr>
        <w:t>（二）“卡-梅框架</w:t>
      </w:r>
      <w:r>
        <w:rPr>
          <w:rFonts w:hint="eastAsia"/>
          <w:spacing w:val="13"/>
          <w:lang w:val="en-US" w:eastAsia="zh-CN"/>
        </w:rPr>
        <w:t>”</w:t>
      </w:r>
      <w:r>
        <w:rPr>
          <w:rFonts w:hint="eastAsia"/>
          <w:sz w:val="24"/>
          <w:lang w:val="en-US" w:eastAsia="zh-CN"/>
        </w:rPr>
        <w:t>视角下处理规则的选择：责任规则</w:t>
      </w:r>
      <w:bookmarkEnd w:id="4"/>
    </w:p>
    <w:p w14:paraId="61C8FAFB">
      <w:pPr>
        <w:pageBreakBefore w:val="0"/>
        <w:widowControl w:val="0"/>
        <w:kinsoku/>
        <w:wordWrap/>
        <w:overflowPunct/>
        <w:topLinePunct w:val="0"/>
        <w:autoSpaceDE/>
        <w:autoSpaceDN/>
        <w:bidi w:val="0"/>
        <w:adjustRightInd/>
        <w:snapToGrid/>
        <w:spacing w:line="300" w:lineRule="auto"/>
        <w:jc w:val="left"/>
        <w:textAlignment w:val="auto"/>
        <w:rPr>
          <w:rFonts w:hint="default" w:eastAsiaTheme="minorEastAsia"/>
          <w:lang w:val="en-US" w:eastAsia="zh-CN"/>
        </w:rPr>
      </w:pPr>
      <w:r>
        <w:rPr>
          <w:rFonts w:hint="eastAsia"/>
          <w:spacing w:val="13"/>
          <w:lang w:val="en-US" w:eastAsia="zh-CN"/>
        </w:rPr>
        <w:t>“卡-梅框架”</w:t>
      </w:r>
      <w:r>
        <w:rPr>
          <w:rFonts w:hint="default" w:eastAsiaTheme="minorEastAsia"/>
          <w:lang w:val="en-US" w:eastAsia="zh-CN"/>
        </w:rPr>
        <w:t>在法律经济学范畴里是极为关键的分析工具，它由学者卡拉布雷西和梅拉米德从权利配置所引发的法律后果这一角度搭建而成，当下已然成为评判规则选取以及开展效率对比的核心分析模式。</w:t>
      </w:r>
      <w:r>
        <w:rPr>
          <w:rStyle w:val="15"/>
          <w:rFonts w:hint="default"/>
          <w:lang w:val="en-US" w:eastAsia="zh-CN"/>
        </w:rPr>
        <w:footnoteReference w:id="10"/>
      </w:r>
      <w:r>
        <w:rPr>
          <w:rFonts w:hint="default" w:eastAsiaTheme="minorEastAsia"/>
          <w:lang w:val="en-US" w:eastAsia="zh-CN"/>
        </w:rPr>
        <w:t>在信息处理场景中，规则选择实质是比较效率</w:t>
      </w:r>
      <w:r>
        <w:rPr>
          <w:rFonts w:hint="eastAsia" w:eastAsiaTheme="minorEastAsia"/>
          <w:lang w:val="en-US" w:eastAsia="zh-CN"/>
        </w:rPr>
        <w:t>，</w:t>
      </w:r>
      <w:r>
        <w:rPr>
          <w:rFonts w:hint="default" w:eastAsiaTheme="minorEastAsia"/>
          <w:lang w:val="en-US" w:eastAsia="zh-CN"/>
        </w:rPr>
        <w:t>该框架的本质在于通过规则类型的差异化配置，建立权利保护与资源配置效率的权衡机制。</w:t>
      </w:r>
    </w:p>
    <w:p w14:paraId="59A8D810">
      <w:pPr>
        <w:pageBreakBefore w:val="0"/>
        <w:widowControl w:val="0"/>
        <w:kinsoku/>
        <w:wordWrap/>
        <w:overflowPunct/>
        <w:topLinePunct w:val="0"/>
        <w:autoSpaceDE/>
        <w:autoSpaceDN/>
        <w:bidi w:val="0"/>
        <w:adjustRightInd/>
        <w:snapToGrid/>
        <w:spacing w:line="300" w:lineRule="auto"/>
        <w:jc w:val="left"/>
        <w:textAlignment w:val="auto"/>
        <w:rPr>
          <w:rFonts w:hint="default"/>
          <w:lang w:val="en-US" w:eastAsia="zh-CN"/>
        </w:rPr>
      </w:pPr>
      <w:r>
        <w:rPr>
          <w:rFonts w:hint="default"/>
          <w:lang w:val="en-US" w:eastAsia="zh-CN"/>
        </w:rPr>
        <w:t>一方面，经济效率是决定法益配置与规则选择的核心要素。</w:t>
      </w:r>
      <w:r>
        <w:rPr>
          <w:rStyle w:val="15"/>
          <w:rFonts w:hint="default"/>
          <w:lang w:val="en-US" w:eastAsia="zh-CN"/>
        </w:rPr>
        <w:footnoteReference w:id="11"/>
      </w:r>
      <w:r>
        <w:rPr>
          <w:rFonts w:hint="default"/>
          <w:lang w:val="en-US" w:eastAsia="zh-CN"/>
        </w:rPr>
        <w:t>当谈判成本和缔约成本较低时，财产规则通过自愿交易机制能够有效配置权利，信息主体可自主决定信息流向。然而，</w:t>
      </w:r>
      <w:r>
        <w:rPr>
          <w:rFonts w:hint="eastAsia"/>
          <w:lang w:val="en-US" w:eastAsia="zh-CN"/>
        </w:rPr>
        <w:t>法定公开信息在大部分情况下交易对象较多，</w:t>
      </w:r>
      <w:r>
        <w:rPr>
          <w:rFonts w:hint="default"/>
          <w:lang w:val="en-US" w:eastAsia="zh-CN"/>
        </w:rPr>
        <w:t>逐一协商将导致协商成本指数级增长</w:t>
      </w:r>
      <w:r>
        <w:rPr>
          <w:rFonts w:hint="eastAsia"/>
          <w:lang w:val="en-US" w:eastAsia="zh-CN"/>
        </w:rPr>
        <w:t>，这种情况下适用</w:t>
      </w:r>
      <w:r>
        <w:rPr>
          <w:rFonts w:hint="default"/>
          <w:lang w:val="en-US" w:eastAsia="zh-CN"/>
        </w:rPr>
        <w:t>财产规则</w:t>
      </w:r>
      <w:r>
        <w:rPr>
          <w:rFonts w:hint="eastAsia"/>
          <w:lang w:val="en-US" w:eastAsia="zh-CN"/>
        </w:rPr>
        <w:t>适得其反。</w:t>
      </w:r>
      <w:r>
        <w:rPr>
          <w:rFonts w:hint="default"/>
          <w:lang w:val="en-US" w:eastAsia="zh-CN"/>
        </w:rPr>
        <w:t>此外，在实践中，为了避免个人</w:t>
      </w:r>
      <w:r>
        <w:rPr>
          <w:rFonts w:hint="eastAsia"/>
          <w:lang w:val="en-US" w:eastAsia="zh-CN"/>
        </w:rPr>
        <w:t>信息泄露</w:t>
      </w:r>
      <w:r>
        <w:rPr>
          <w:rFonts w:hint="default"/>
          <w:lang w:val="en-US" w:eastAsia="zh-CN"/>
        </w:rPr>
        <w:t>，公共机构</w:t>
      </w:r>
      <w:r>
        <w:rPr>
          <w:rFonts w:hint="eastAsia"/>
          <w:lang w:val="en-US" w:eastAsia="zh-CN"/>
        </w:rPr>
        <w:t>往往</w:t>
      </w:r>
      <w:r>
        <w:rPr>
          <w:rFonts w:hint="default"/>
          <w:lang w:val="en-US" w:eastAsia="zh-CN"/>
        </w:rPr>
        <w:t>在信息公开时已主动脱敏处理，信息处理者若要获取有效联系方式需额外投入资源，进一步推高缔约成本。从技术实践维度观察，现代信息处理高度依赖网络爬虫技术实现规模化数据采集，</w:t>
      </w:r>
      <w:r>
        <w:rPr>
          <w:rStyle w:val="15"/>
          <w:rFonts w:hint="default"/>
          <w:lang w:val="en-US" w:eastAsia="zh-CN"/>
        </w:rPr>
        <w:footnoteReference w:id="12"/>
      </w:r>
      <w:r>
        <w:rPr>
          <w:rFonts w:hint="default"/>
          <w:lang w:val="en-US" w:eastAsia="zh-CN"/>
        </w:rPr>
        <w:t>而</w:t>
      </w:r>
      <w:r>
        <w:rPr>
          <w:rFonts w:hint="eastAsia"/>
          <w:lang w:val="en-US" w:eastAsia="zh-CN"/>
        </w:rPr>
        <w:t>“DeepSee</w:t>
      </w:r>
      <w:r>
        <w:rPr>
          <w:rFonts w:hint="eastAsia"/>
          <w:u w:val="none"/>
          <w:lang w:val="en-US" w:eastAsia="zh-CN"/>
        </w:rPr>
        <w:t>k”</w:t>
      </w:r>
      <w:r>
        <w:rPr>
          <w:rFonts w:hint="default"/>
          <w:lang w:val="en-US" w:eastAsia="zh-CN"/>
        </w:rPr>
        <w:t>这样的大模型训练更需要海量数据支撑</w:t>
      </w:r>
      <w:r>
        <w:rPr>
          <w:rFonts w:hint="eastAsia"/>
          <w:lang w:val="en-US" w:eastAsia="zh-CN"/>
        </w:rPr>
        <w:t>，</w:t>
      </w:r>
      <w:r>
        <w:rPr>
          <w:rFonts w:hint="default"/>
          <w:lang w:val="en-US" w:eastAsia="zh-CN"/>
        </w:rPr>
        <w:t>如果要求信息处理者逐一获得信息主体的同意，将直接阻碍自动化处理技术的效能发挥，形成制度性效率损耗。</w:t>
      </w:r>
      <w:r>
        <w:rPr>
          <w:rStyle w:val="15"/>
          <w:rFonts w:hint="default"/>
          <w:lang w:val="en-US" w:eastAsia="zh-CN"/>
        </w:rPr>
        <w:footnoteReference w:id="13"/>
      </w:r>
      <w:r>
        <w:rPr>
          <w:rFonts w:hint="default"/>
          <w:lang w:val="en-US" w:eastAsia="zh-CN"/>
        </w:rPr>
        <w:t>值得关注的是，传统信息自决理论植根于前数字时代的单次性、小规模数据收集场景，而物联网与大数据技术已构建起多主体、跨场景的复杂数据生态，沿用低技术时代的规范框架显然无法适配新型信息处理范式。</w:t>
      </w:r>
      <w:r>
        <w:rPr>
          <w:rStyle w:val="15"/>
          <w:rFonts w:hint="default"/>
          <w:lang w:val="en-US" w:eastAsia="zh-CN"/>
        </w:rPr>
        <w:footnoteReference w:id="14"/>
      </w:r>
      <w:r>
        <w:rPr>
          <w:rFonts w:hint="default"/>
          <w:lang w:val="en-US" w:eastAsia="zh-CN"/>
        </w:rPr>
        <w:t>基于效率维度与现实维度的双重考量，责任规则因其能够降低制度性交易成本、兼容技术发展逻辑的特性，更适宜作为法定公开信息领域的基础性规制路径。</w:t>
      </w:r>
    </w:p>
    <w:p w14:paraId="04F39F92">
      <w:pPr>
        <w:pageBreakBefore w:val="0"/>
        <w:widowControl w:val="0"/>
        <w:kinsoku/>
        <w:wordWrap/>
        <w:overflowPunct/>
        <w:topLinePunct w:val="0"/>
        <w:autoSpaceDE/>
        <w:autoSpaceDN/>
        <w:bidi w:val="0"/>
        <w:adjustRightInd/>
        <w:snapToGrid/>
        <w:spacing w:line="300" w:lineRule="auto"/>
        <w:jc w:val="left"/>
        <w:textAlignment w:val="auto"/>
        <w:rPr>
          <w:rFonts w:hint="default"/>
          <w:lang w:val="en-US" w:eastAsia="zh-CN"/>
        </w:rPr>
      </w:pPr>
      <w:bookmarkStart w:id="5" w:name="_Toc5850"/>
      <w:r>
        <w:rPr>
          <w:rFonts w:hint="default"/>
          <w:lang w:val="en-US" w:eastAsia="zh-CN"/>
        </w:rPr>
        <w:t>另一方面，目标分配机制同样深刻影响着规则体系的建构方向。当自愿交易因交易成本过高而无法达成特定分配目标时，责任规则通过强制补偿与价值评估的制度构造，形成对自愿交易规则的例外安排</w:t>
      </w:r>
      <w:r>
        <w:rPr>
          <w:rFonts w:hint="eastAsia"/>
          <w:vertAlign w:val="superscript"/>
          <w:lang w:val="en-US" w:eastAsia="zh-CN"/>
        </w:rPr>
        <w:footnoteReference w:id="15"/>
      </w:r>
      <w:r>
        <w:rPr>
          <w:rFonts w:hint="default"/>
          <w:lang w:val="en-US" w:eastAsia="zh-CN"/>
        </w:rPr>
        <w:t>。这种规范设计既维护了初始权利配置的稳定性，又通过非自愿交易路径实现分配正义，构成对传统财产规则的制度性突破。法定公开信息的制度设计天然承载着公共价值实现功能，其分配逻辑必然要求超越个体交易范畴，更适宜通过责任规则实现公共利益目标。数字化政府建设已将信息公开确立为法定职责，信息处理主体依据法定程序将特定信息转化为公共产品，使法定公开信息成为可自由流通的公共资源。</w:t>
      </w:r>
      <w:r>
        <w:rPr>
          <w:rFonts w:hint="default"/>
          <w:vertAlign w:val="superscript"/>
          <w:lang w:val="en-US" w:eastAsia="zh-CN"/>
        </w:rPr>
        <w:footnoteReference w:id="16"/>
      </w:r>
      <w:r>
        <w:rPr>
          <w:rFonts w:hint="default"/>
          <w:lang w:val="en-US" w:eastAsia="zh-CN"/>
        </w:rPr>
        <w:t>若仅因信息与特定主体存在关联性即赋予排他性控制权，将导致法定信息被不当私有化，这种制度安排既缺乏规范正当性，也可能阻碍社会整体发展。</w:t>
      </w:r>
      <w:r>
        <w:rPr>
          <w:rFonts w:hint="default"/>
          <w:vertAlign w:val="superscript"/>
          <w:lang w:val="en-US" w:eastAsia="zh-CN"/>
        </w:rPr>
        <w:footnoteReference w:id="17"/>
      </w:r>
      <w:r>
        <w:rPr>
          <w:rFonts w:hint="default"/>
          <w:lang w:val="en-US" w:eastAsia="zh-CN"/>
        </w:rPr>
        <w:t>鉴于此类信息与公共利益的紧密关联，立法应当适度限制个人对信息的绝对控制权，即</w:t>
      </w:r>
      <w:r>
        <w:rPr>
          <w:rFonts w:hint="eastAsia"/>
          <w:lang w:val="en-US" w:eastAsia="zh-CN"/>
        </w:rPr>
        <w:t>强化责任规则，</w:t>
      </w:r>
      <w:r>
        <w:rPr>
          <w:rFonts w:hint="default"/>
          <w:lang w:val="en-US" w:eastAsia="zh-CN"/>
        </w:rPr>
        <w:t>弱化财产规则的适用。</w:t>
      </w:r>
    </w:p>
    <w:p w14:paraId="337D90BF">
      <w:pPr>
        <w:pStyle w:val="2"/>
        <w:bidi w:val="0"/>
        <w:rPr>
          <w:rFonts w:hint="default"/>
          <w:lang w:val="en-US" w:eastAsia="zh-CN"/>
        </w:rPr>
      </w:pPr>
      <w:r>
        <w:rPr>
          <w:rFonts w:hint="eastAsia"/>
          <w:lang w:val="en-US" w:eastAsia="zh-CN"/>
        </w:rPr>
        <w:t>二、法定公开信息处理场景下责任规则的</w:t>
      </w:r>
      <w:bookmarkEnd w:id="5"/>
      <w:r>
        <w:rPr>
          <w:rFonts w:hint="eastAsia"/>
          <w:lang w:val="en-US" w:eastAsia="zh-CN"/>
        </w:rPr>
        <w:t>强化</w:t>
      </w:r>
    </w:p>
    <w:p w14:paraId="72BAEF05">
      <w:pPr>
        <w:pageBreakBefore w:val="0"/>
        <w:widowControl w:val="0"/>
        <w:kinsoku/>
        <w:wordWrap/>
        <w:overflowPunct/>
        <w:topLinePunct w:val="0"/>
        <w:autoSpaceDE/>
        <w:autoSpaceDN/>
        <w:bidi w:val="0"/>
        <w:adjustRightInd/>
        <w:snapToGrid/>
        <w:spacing w:line="300" w:lineRule="auto"/>
        <w:jc w:val="left"/>
        <w:textAlignment w:val="auto"/>
        <w:rPr>
          <w:rFonts w:hint="eastAsia"/>
          <w:lang w:val="en-US" w:eastAsia="zh-CN"/>
        </w:rPr>
      </w:pPr>
      <w:r>
        <w:rPr>
          <w:rFonts w:hint="eastAsia"/>
          <w:lang w:val="en-US" w:eastAsia="zh-CN"/>
        </w:rPr>
        <w:t>在法定公开信息处理的情境中，责任规则展现出明显优势。信息处理者无需向信息主体进行告知并获取其同意，便可直接对信息展开处理，这极大地提升了信息处理的效率。如此一来，既能推动信息实现自由流通与高效利用，契合社会对信息的多元需求，充分挖掘法定公开信息的公共价值，又有助于规避因个人对信息过度掌控而引发的利用不充分状况，打破个人对信息形成的过度垄断局面。</w:t>
      </w:r>
    </w:p>
    <w:p w14:paraId="5296A95C">
      <w:pPr>
        <w:pageBreakBefore w:val="0"/>
        <w:widowControl w:val="0"/>
        <w:kinsoku/>
        <w:wordWrap/>
        <w:overflowPunct/>
        <w:topLinePunct w:val="0"/>
        <w:autoSpaceDE/>
        <w:autoSpaceDN/>
        <w:bidi w:val="0"/>
        <w:adjustRightInd/>
        <w:snapToGrid/>
        <w:spacing w:line="300" w:lineRule="auto"/>
        <w:jc w:val="left"/>
        <w:textAlignment w:val="auto"/>
        <w:rPr>
          <w:rFonts w:hint="default"/>
          <w:lang w:val="en-US" w:eastAsia="zh-CN"/>
        </w:rPr>
      </w:pPr>
      <w:r>
        <w:rPr>
          <w:rFonts w:hint="default"/>
          <w:spacing w:val="13"/>
          <w:lang w:val="en-US" w:eastAsia="zh-CN"/>
        </w:rPr>
        <w:t>《个人信息保护法》第13条第6项</w:t>
      </w:r>
      <w:r>
        <w:rPr>
          <w:rFonts w:hint="eastAsia"/>
          <w:spacing w:val="13"/>
          <w:lang w:val="en-US" w:eastAsia="zh-CN"/>
        </w:rPr>
        <w:t>允许信息处理者在“</w:t>
      </w:r>
      <w:r>
        <w:rPr>
          <w:rFonts w:hint="default"/>
          <w:spacing w:val="13"/>
          <w:lang w:val="en-US" w:eastAsia="zh-CN"/>
        </w:rPr>
        <w:t>合理范围</w:t>
      </w:r>
      <w:r>
        <w:rPr>
          <w:rFonts w:hint="eastAsia"/>
          <w:spacing w:val="13"/>
          <w:lang w:val="en-US" w:eastAsia="zh-CN"/>
        </w:rPr>
        <w:t>”</w:t>
      </w:r>
      <w:r>
        <w:rPr>
          <w:rFonts w:hint="default"/>
          <w:spacing w:val="13"/>
          <w:lang w:val="en-US" w:eastAsia="zh-CN"/>
        </w:rPr>
        <w:t>内</w:t>
      </w:r>
      <w:r>
        <w:rPr>
          <w:rFonts w:hint="eastAsia"/>
          <w:spacing w:val="13"/>
          <w:lang w:val="en-US" w:eastAsia="zh-CN"/>
        </w:rPr>
        <w:t>无需征得同意即可</w:t>
      </w:r>
      <w:r>
        <w:rPr>
          <w:rFonts w:hint="default"/>
          <w:spacing w:val="13"/>
          <w:lang w:val="en-US" w:eastAsia="zh-CN"/>
        </w:rPr>
        <w:t>处理已公开个人信息，</w:t>
      </w:r>
      <w:r>
        <w:rPr>
          <w:rFonts w:hint="eastAsia"/>
          <w:spacing w:val="13"/>
          <w:lang w:val="en-US" w:eastAsia="zh-CN"/>
        </w:rPr>
        <w:t>上文提到该法条是责任规则的直接体现，强化责任规则，就应扩大该法条的适用范围，所以应对</w:t>
      </w:r>
      <w:r>
        <w:rPr>
          <w:rFonts w:hint="eastAsia"/>
          <w:lang w:val="en-US" w:eastAsia="zh-CN"/>
        </w:rPr>
        <w:t>处理法定信息“合理范围”进行扩张。</w:t>
      </w:r>
      <w:r>
        <w:rPr>
          <w:rFonts w:hint="default"/>
          <w:spacing w:val="13"/>
          <w:lang w:val="en-US" w:eastAsia="zh-CN"/>
        </w:rPr>
        <w:t>《个人信息保护法》第27条</w:t>
      </w:r>
      <w:r>
        <w:rPr>
          <w:rFonts w:hint="eastAsia"/>
          <w:spacing w:val="13"/>
          <w:lang w:val="en-US" w:eastAsia="zh-CN"/>
        </w:rPr>
        <w:t>要求当处理行为“对个人权益有重大影响</w:t>
      </w:r>
      <w:r>
        <w:rPr>
          <w:rFonts w:hint="eastAsia"/>
          <w:lang w:eastAsia="zh-CN"/>
        </w:rPr>
        <w:t>”</w:t>
      </w:r>
      <w:r>
        <w:rPr>
          <w:rFonts w:hint="eastAsia"/>
          <w:spacing w:val="13"/>
          <w:lang w:val="en-US" w:eastAsia="zh-CN"/>
        </w:rPr>
        <w:t>时应进行告知信息主体并征得同意</w:t>
      </w:r>
      <w:r>
        <w:rPr>
          <w:rFonts w:hint="default"/>
          <w:spacing w:val="13"/>
          <w:lang w:val="en-US" w:eastAsia="zh-CN"/>
        </w:rPr>
        <w:t>，若某</w:t>
      </w:r>
      <w:r>
        <w:rPr>
          <w:rFonts w:hint="eastAsia"/>
          <w:spacing w:val="13"/>
          <w:lang w:val="en-US" w:eastAsia="zh-CN"/>
        </w:rPr>
        <w:t>处理</w:t>
      </w:r>
      <w:r>
        <w:rPr>
          <w:rFonts w:hint="default"/>
          <w:spacing w:val="13"/>
          <w:lang w:val="en-US" w:eastAsia="zh-CN"/>
        </w:rPr>
        <w:t>行为已造成</w:t>
      </w:r>
      <w:r>
        <w:rPr>
          <w:rFonts w:hint="eastAsia"/>
          <w:lang w:val="en-US" w:eastAsia="zh-CN"/>
        </w:rPr>
        <w:t>“对</w:t>
      </w:r>
      <w:r>
        <w:rPr>
          <w:rFonts w:hint="default"/>
          <w:lang w:val="en-US" w:eastAsia="zh-CN"/>
        </w:rPr>
        <w:t>个人权益</w:t>
      </w:r>
      <w:r>
        <w:rPr>
          <w:rFonts w:hint="eastAsia"/>
          <w:lang w:val="en-US" w:eastAsia="zh-CN"/>
        </w:rPr>
        <w:t>有</w:t>
      </w:r>
      <w:r>
        <w:rPr>
          <w:rFonts w:hint="default"/>
          <w:lang w:val="en-US" w:eastAsia="zh-CN"/>
        </w:rPr>
        <w:t>重大影响</w:t>
      </w:r>
      <w:r>
        <w:rPr>
          <w:rFonts w:hint="eastAsia"/>
          <w:spacing w:val="13"/>
          <w:lang w:val="en-US" w:eastAsia="zh-CN"/>
        </w:rPr>
        <w:t>”</w:t>
      </w:r>
      <w:r>
        <w:rPr>
          <w:rFonts w:hint="default"/>
          <w:spacing w:val="13"/>
          <w:lang w:val="en-US" w:eastAsia="zh-CN"/>
        </w:rPr>
        <w:t>，通常也难以被认定为在</w:t>
      </w:r>
      <w:r>
        <w:rPr>
          <w:rFonts w:hint="eastAsia"/>
          <w:spacing w:val="13"/>
          <w:lang w:val="en-US" w:eastAsia="zh-CN"/>
        </w:rPr>
        <w:t>“</w:t>
      </w:r>
      <w:r>
        <w:rPr>
          <w:rFonts w:hint="default"/>
          <w:spacing w:val="13"/>
          <w:lang w:val="en-US" w:eastAsia="zh-CN"/>
        </w:rPr>
        <w:t>合理范围</w:t>
      </w:r>
      <w:r>
        <w:rPr>
          <w:rFonts w:hint="eastAsia"/>
          <w:spacing w:val="13"/>
          <w:lang w:val="en-US" w:eastAsia="zh-CN"/>
        </w:rPr>
        <w:t>”</w:t>
      </w:r>
      <w:r>
        <w:rPr>
          <w:rFonts w:hint="default"/>
          <w:spacing w:val="13"/>
          <w:lang w:val="en-US" w:eastAsia="zh-CN"/>
        </w:rPr>
        <w:t>内</w:t>
      </w:r>
      <w:r>
        <w:rPr>
          <w:rFonts w:hint="eastAsia"/>
          <w:spacing w:val="13"/>
          <w:lang w:val="en-US" w:eastAsia="zh-CN"/>
        </w:rPr>
        <w:t>，</w:t>
      </w:r>
      <w:r>
        <w:rPr>
          <w:rFonts w:hint="default"/>
          <w:spacing w:val="13"/>
          <w:lang w:val="en-US" w:eastAsia="zh-CN"/>
        </w:rPr>
        <w:t>因此限缩</w:t>
      </w:r>
      <w:r>
        <w:rPr>
          <w:rFonts w:hint="eastAsia"/>
          <w:lang w:val="en-US" w:eastAsia="zh-CN"/>
        </w:rPr>
        <w:t>“对</w:t>
      </w:r>
      <w:r>
        <w:rPr>
          <w:rFonts w:hint="default"/>
          <w:lang w:val="en-US" w:eastAsia="zh-CN"/>
        </w:rPr>
        <w:t>个人权益</w:t>
      </w:r>
      <w:r>
        <w:rPr>
          <w:rFonts w:hint="eastAsia"/>
          <w:lang w:val="en-US" w:eastAsia="zh-CN"/>
        </w:rPr>
        <w:t>有</w:t>
      </w:r>
      <w:r>
        <w:rPr>
          <w:rFonts w:hint="default"/>
          <w:lang w:val="en-US" w:eastAsia="zh-CN"/>
        </w:rPr>
        <w:t>重大影响</w:t>
      </w:r>
      <w:r>
        <w:rPr>
          <w:rFonts w:hint="eastAsia"/>
          <w:spacing w:val="13"/>
          <w:lang w:val="en-US" w:eastAsia="zh-CN"/>
        </w:rPr>
        <w:t>”</w:t>
      </w:r>
      <w:r>
        <w:rPr>
          <w:rFonts w:hint="eastAsia"/>
          <w:lang w:val="en-US" w:eastAsia="zh-CN"/>
        </w:rPr>
        <w:t>的情形</w:t>
      </w:r>
      <w:r>
        <w:rPr>
          <w:rFonts w:hint="default"/>
          <w:spacing w:val="13"/>
          <w:lang w:val="en-US" w:eastAsia="zh-CN"/>
        </w:rPr>
        <w:t>，实质上就是扩大</w:t>
      </w:r>
      <w:r>
        <w:rPr>
          <w:rFonts w:hint="eastAsia"/>
          <w:spacing w:val="13"/>
          <w:lang w:val="en-US" w:eastAsia="zh-CN"/>
        </w:rPr>
        <w:t>“</w:t>
      </w:r>
      <w:r>
        <w:rPr>
          <w:rFonts w:hint="default"/>
          <w:spacing w:val="13"/>
          <w:lang w:val="en-US" w:eastAsia="zh-CN"/>
        </w:rPr>
        <w:t>合理范围</w:t>
      </w:r>
      <w:r>
        <w:rPr>
          <w:rFonts w:hint="eastAsia"/>
          <w:spacing w:val="13"/>
          <w:lang w:val="en-US" w:eastAsia="zh-CN"/>
        </w:rPr>
        <w:t>”</w:t>
      </w:r>
      <w:r>
        <w:rPr>
          <w:rFonts w:hint="default"/>
          <w:spacing w:val="13"/>
          <w:lang w:val="en-US" w:eastAsia="zh-CN"/>
        </w:rPr>
        <w:t>的适用空间。</w:t>
      </w:r>
      <w:r>
        <w:rPr>
          <w:rFonts w:hint="eastAsia"/>
          <w:lang w:val="en-US" w:eastAsia="zh-CN"/>
        </w:rPr>
        <w:t>所以，对责任规则进行强化，需要对处理法定公开信息“合理范围</w:t>
      </w:r>
      <w:r>
        <w:rPr>
          <w:rFonts w:hint="eastAsia"/>
          <w:spacing w:val="13"/>
          <w:lang w:val="en-US" w:eastAsia="zh-CN"/>
        </w:rPr>
        <w:t>”</w:t>
      </w:r>
      <w:r>
        <w:rPr>
          <w:rFonts w:hint="eastAsia"/>
          <w:lang w:val="en-US" w:eastAsia="zh-CN"/>
        </w:rPr>
        <w:t>进行相应的扩张，以及限缩“对</w:t>
      </w:r>
      <w:r>
        <w:rPr>
          <w:rFonts w:hint="default"/>
          <w:lang w:val="en-US" w:eastAsia="zh-CN"/>
        </w:rPr>
        <w:t>个人权益</w:t>
      </w:r>
      <w:r>
        <w:rPr>
          <w:rFonts w:hint="eastAsia"/>
          <w:lang w:val="en-US" w:eastAsia="zh-CN"/>
        </w:rPr>
        <w:t>有</w:t>
      </w:r>
      <w:r>
        <w:rPr>
          <w:rFonts w:hint="default"/>
          <w:lang w:val="en-US" w:eastAsia="zh-CN"/>
        </w:rPr>
        <w:t>重大影响</w:t>
      </w:r>
      <w:r>
        <w:rPr>
          <w:rFonts w:hint="eastAsia"/>
          <w:spacing w:val="13"/>
          <w:lang w:val="en-US" w:eastAsia="zh-CN"/>
        </w:rPr>
        <w:t>”</w:t>
      </w:r>
      <w:r>
        <w:rPr>
          <w:rFonts w:hint="eastAsia"/>
          <w:lang w:val="en-US" w:eastAsia="zh-CN"/>
        </w:rPr>
        <w:t>的情形。</w:t>
      </w:r>
    </w:p>
    <w:p w14:paraId="65EE831E">
      <w:pPr>
        <w:pStyle w:val="4"/>
        <w:bidi w:val="0"/>
        <w:rPr>
          <w:rFonts w:hint="eastAsia"/>
          <w:lang w:val="en-US" w:eastAsia="zh-CN"/>
        </w:rPr>
      </w:pPr>
      <w:bookmarkStart w:id="6" w:name="_Toc12168"/>
      <w:r>
        <w:rPr>
          <w:rFonts w:hint="eastAsia"/>
          <w:lang w:val="en-US" w:eastAsia="zh-CN"/>
        </w:rPr>
        <w:t>（一）处理法定信息“合理范围”的扩张</w:t>
      </w:r>
      <w:bookmarkEnd w:id="6"/>
    </w:p>
    <w:p w14:paraId="6A45811B">
      <w:pPr>
        <w:pageBreakBefore w:val="0"/>
        <w:widowControl w:val="0"/>
        <w:kinsoku/>
        <w:wordWrap/>
        <w:overflowPunct/>
        <w:topLinePunct w:val="0"/>
        <w:autoSpaceDE/>
        <w:autoSpaceDN/>
        <w:bidi w:val="0"/>
        <w:adjustRightInd/>
        <w:snapToGrid/>
        <w:spacing w:line="300" w:lineRule="auto"/>
        <w:jc w:val="left"/>
        <w:textAlignment w:val="auto"/>
        <w:rPr>
          <w:rFonts w:hint="eastAsia"/>
          <w:lang w:val="en-US" w:eastAsia="zh-CN"/>
        </w:rPr>
      </w:pPr>
      <w:r>
        <w:rPr>
          <w:rFonts w:hint="eastAsia"/>
          <w:lang w:val="en-US" w:eastAsia="zh-CN"/>
        </w:rPr>
        <w:t>《个人信息保护法》规定应在“合理范围</w:t>
      </w:r>
      <w:r>
        <w:rPr>
          <w:rFonts w:hint="eastAsia"/>
          <w:spacing w:val="13"/>
          <w:lang w:val="en-US" w:eastAsia="zh-CN"/>
        </w:rPr>
        <w:t>”内</w:t>
      </w:r>
      <w:r>
        <w:rPr>
          <w:rFonts w:hint="eastAsia"/>
          <w:lang w:val="en-US" w:eastAsia="zh-CN"/>
        </w:rPr>
        <w:t>处理法定公开信息，但对于“合理”标准的界定，立法层面并未给出清晰明确的阐释。“合理范围</w:t>
      </w:r>
      <w:r>
        <w:rPr>
          <w:rFonts w:hint="eastAsia"/>
          <w:spacing w:val="13"/>
          <w:lang w:val="en-US" w:eastAsia="zh-CN"/>
        </w:rPr>
        <w:t>”标准的认定不仅涉及信息处理的核心范围，也涉及下文</w:t>
      </w:r>
      <w:r>
        <w:rPr>
          <w:rFonts w:hint="eastAsia"/>
          <w:lang w:val="en-US" w:eastAsia="zh-CN"/>
        </w:rPr>
        <w:t>“对个人权益有重大影响”以及对于个人拒绝权的标准认定，因此需要给予阐释。在法定公开信息的场景下，必须扩张“合理范围</w:t>
      </w:r>
      <w:r>
        <w:rPr>
          <w:rFonts w:hint="eastAsia"/>
          <w:spacing w:val="13"/>
          <w:lang w:val="en-US" w:eastAsia="zh-CN"/>
        </w:rPr>
        <w:t>”</w:t>
      </w:r>
      <w:r>
        <w:rPr>
          <w:rFonts w:hint="eastAsia"/>
          <w:lang w:val="en-US" w:eastAsia="zh-CN"/>
        </w:rPr>
        <w:t>的适用边界，扩张责任规则的适用范围。</w:t>
      </w:r>
    </w:p>
    <w:p w14:paraId="4C57BC3C">
      <w:pPr>
        <w:pStyle w:val="4"/>
        <w:pageBreakBefore w:val="0"/>
        <w:widowControl w:val="0"/>
        <w:kinsoku/>
        <w:wordWrap/>
        <w:overflowPunct/>
        <w:topLinePunct w:val="0"/>
        <w:autoSpaceDE/>
        <w:autoSpaceDN/>
        <w:bidi w:val="0"/>
        <w:adjustRightInd/>
        <w:snapToGrid/>
        <w:spacing w:line="300" w:lineRule="auto"/>
        <w:jc w:val="left"/>
        <w:textAlignment w:val="auto"/>
        <w:rPr>
          <w:rFonts w:hint="eastAsia"/>
          <w:lang w:val="en-US" w:eastAsia="zh-CN"/>
        </w:rPr>
      </w:pPr>
      <w:r>
        <w:rPr>
          <w:rFonts w:hint="eastAsia"/>
          <w:lang w:val="en-US" w:eastAsia="zh-CN"/>
        </w:rPr>
        <w:t>1. “合理范围”不应限缩于“目的上的客观一致性”标准</w:t>
      </w:r>
    </w:p>
    <w:p w14:paraId="6FB11A1F">
      <w:pPr>
        <w:pageBreakBefore w:val="0"/>
        <w:widowControl w:val="0"/>
        <w:numPr>
          <w:ilvl w:val="0"/>
          <w:numId w:val="0"/>
        </w:numPr>
        <w:kinsoku/>
        <w:wordWrap/>
        <w:overflowPunct/>
        <w:topLinePunct w:val="0"/>
        <w:autoSpaceDE/>
        <w:autoSpaceDN/>
        <w:bidi w:val="0"/>
        <w:adjustRightInd/>
        <w:snapToGrid/>
        <w:spacing w:line="300" w:lineRule="auto"/>
        <w:ind w:firstLine="420" w:firstLineChars="0"/>
        <w:jc w:val="left"/>
        <w:textAlignment w:val="auto"/>
        <w:rPr>
          <w:rFonts w:hint="eastAsia"/>
          <w:lang w:val="en-US" w:eastAsia="zh-CN"/>
        </w:rPr>
      </w:pPr>
      <w:r>
        <w:rPr>
          <w:rFonts w:hint="eastAsia"/>
          <w:lang w:val="en-US" w:eastAsia="zh-CN"/>
        </w:rPr>
        <w:t>有学者认为，认定法定公开信息处理行为是否合理，可将具备“目的上的客观一致性”作为判断标准，</w:t>
      </w:r>
      <w:r>
        <w:rPr>
          <w:rStyle w:val="15"/>
          <w:rFonts w:hint="eastAsia"/>
          <w:lang w:val="en-US" w:eastAsia="zh-CN"/>
        </w:rPr>
        <w:footnoteReference w:id="18"/>
      </w:r>
      <w:r>
        <w:rPr>
          <w:rFonts w:hint="eastAsia"/>
          <w:lang w:val="en-US" w:eastAsia="zh-CN"/>
        </w:rPr>
        <w:t>笔者认为不应将处理行为限缩于目的上的客观一致性标准中，这更符合责任规则和现行法律标准。</w:t>
      </w:r>
    </w:p>
    <w:p w14:paraId="61452133">
      <w:pPr>
        <w:pageBreakBefore w:val="0"/>
        <w:widowControl w:val="0"/>
        <w:numPr>
          <w:ilvl w:val="0"/>
          <w:numId w:val="0"/>
        </w:numPr>
        <w:kinsoku/>
        <w:wordWrap/>
        <w:overflowPunct/>
        <w:topLinePunct w:val="0"/>
        <w:autoSpaceDE/>
        <w:autoSpaceDN/>
        <w:bidi w:val="0"/>
        <w:adjustRightInd/>
        <w:snapToGrid/>
        <w:spacing w:line="300" w:lineRule="auto"/>
        <w:ind w:firstLine="420" w:firstLineChars="0"/>
        <w:jc w:val="left"/>
        <w:textAlignment w:val="auto"/>
        <w:rPr>
          <w:rFonts w:hint="default"/>
          <w:lang w:val="en-US" w:eastAsia="zh-CN"/>
        </w:rPr>
      </w:pPr>
      <w:r>
        <w:rPr>
          <w:rFonts w:hint="eastAsia"/>
          <w:lang w:val="en-US" w:eastAsia="zh-CN"/>
        </w:rPr>
        <w:t>首先，摒弃“目的上的客观一致性</w:t>
      </w:r>
      <w:r>
        <w:rPr>
          <w:rFonts w:hint="eastAsia"/>
          <w:spacing w:val="13"/>
          <w:lang w:val="en-US" w:eastAsia="zh-CN"/>
        </w:rPr>
        <w:t>”</w:t>
      </w:r>
      <w:r>
        <w:rPr>
          <w:rFonts w:hint="eastAsia"/>
          <w:lang w:val="en-US" w:eastAsia="zh-CN"/>
        </w:rPr>
        <w:t>是现行法律的要求。从立法历史来看，信息处理的标准经历了从“符合初始公开用途</w:t>
      </w:r>
      <w:r>
        <w:rPr>
          <w:rFonts w:hint="eastAsia"/>
          <w:spacing w:val="13"/>
          <w:lang w:val="en-US" w:eastAsia="zh-CN"/>
        </w:rPr>
        <w:t>”</w:t>
      </w:r>
      <w:r>
        <w:rPr>
          <w:rFonts w:hint="eastAsia"/>
          <w:lang w:val="en-US" w:eastAsia="zh-CN"/>
        </w:rPr>
        <w:t>到“合理范围</w:t>
      </w:r>
      <w:r>
        <w:rPr>
          <w:rFonts w:hint="eastAsia"/>
          <w:spacing w:val="13"/>
          <w:lang w:val="en-US" w:eastAsia="zh-CN"/>
        </w:rPr>
        <w:t>”</w:t>
      </w:r>
      <w:r>
        <w:rPr>
          <w:rFonts w:hint="eastAsia"/>
          <w:lang w:val="en-US" w:eastAsia="zh-CN"/>
        </w:rPr>
        <w:t>的转变。《个人信息保护法》一审、二审征求意见稿，均明确规定信息处理者若要处理已公开的个人信息，其处理行为需契合该个人信息被公开时所设定的用途，一旦处理行为超出与该用途相关的合理范畴，就必须依照相关规定获取个人同意，此规定采用了“符合初始公开用途”这一体现“目的上的客观一致性”的标准。但在三审征求意见稿中，立法者放弃该标准，转而采用与现行《个人信息保护法》第27条相同的内容，扩张了责任规则的适用范围，更有利于法定公开信息的处理与利用。为此，若将“合理范围”限缩于“目的上的客观一致性</w:t>
      </w:r>
      <w:r>
        <w:rPr>
          <w:rFonts w:hint="eastAsia"/>
          <w:spacing w:val="13"/>
          <w:lang w:val="en-US" w:eastAsia="zh-CN"/>
        </w:rPr>
        <w:t>”</w:t>
      </w:r>
      <w:r>
        <w:rPr>
          <w:rFonts w:hint="eastAsia"/>
          <w:lang w:val="en-US" w:eastAsia="zh-CN"/>
        </w:rPr>
        <w:t>标准，则违背了立法的本意。</w:t>
      </w:r>
    </w:p>
    <w:p w14:paraId="1F581496">
      <w:pPr>
        <w:pageBreakBefore w:val="0"/>
        <w:widowControl w:val="0"/>
        <w:kinsoku/>
        <w:wordWrap/>
        <w:overflowPunct/>
        <w:topLinePunct w:val="0"/>
        <w:autoSpaceDE/>
        <w:autoSpaceDN/>
        <w:bidi w:val="0"/>
        <w:adjustRightInd/>
        <w:snapToGrid/>
        <w:spacing w:line="300" w:lineRule="auto"/>
        <w:jc w:val="left"/>
        <w:textAlignment w:val="auto"/>
        <w:rPr>
          <w:rFonts w:hint="eastAsia"/>
          <w:lang w:val="en-US" w:eastAsia="zh-CN"/>
        </w:rPr>
      </w:pPr>
      <w:r>
        <w:rPr>
          <w:rFonts w:hint="eastAsia"/>
          <w:lang w:val="en-US" w:eastAsia="zh-CN"/>
        </w:rPr>
        <w:t>其次，“目的上的客观一致性</w:t>
      </w:r>
      <w:r>
        <w:rPr>
          <w:rFonts w:hint="eastAsia"/>
          <w:spacing w:val="13"/>
          <w:lang w:val="en-US" w:eastAsia="zh-CN"/>
        </w:rPr>
        <w:t>”</w:t>
      </w:r>
      <w:r>
        <w:rPr>
          <w:rFonts w:hint="eastAsia"/>
          <w:lang w:val="en-US" w:eastAsia="zh-CN"/>
        </w:rPr>
        <w:t>适用成本与难度过高。探寻</w:t>
      </w:r>
      <w:r>
        <w:rPr>
          <w:rFonts w:hint="default"/>
          <w:lang w:val="en-US" w:eastAsia="zh-CN"/>
        </w:rPr>
        <w:t>个人信息公开的初始目的与用途，</w:t>
      </w:r>
      <w:r>
        <w:rPr>
          <w:rFonts w:hint="eastAsia"/>
          <w:lang w:val="en-US" w:eastAsia="zh-CN"/>
        </w:rPr>
        <w:t>宛如在迷宫中寻宝</w:t>
      </w:r>
      <w:r>
        <w:rPr>
          <w:rFonts w:hint="default"/>
          <w:lang w:val="en-US" w:eastAsia="zh-CN"/>
        </w:rPr>
        <w:t>，</w:t>
      </w:r>
      <w:r>
        <w:rPr>
          <w:rFonts w:hint="eastAsia"/>
          <w:lang w:val="en-US" w:eastAsia="zh-CN"/>
        </w:rPr>
        <w:t>难度大且成本较高。</w:t>
      </w:r>
      <w:r>
        <w:rPr>
          <w:rFonts w:hint="default"/>
          <w:lang w:val="en-US" w:eastAsia="zh-CN"/>
        </w:rPr>
        <w:t>在信息主体向外界公开自身个人信息的实际操作过程中，大多数情形下，他们并未事先设定清晰、明确的目的。即便信息主体宣称存在特定的公开目的，但考虑到个人信息已然处于完全公开的状态，信息处理者仿佛置身于迷宫之中，要准确判断信息主体的真实意图，往往会在重重迷雾中迷失方向，遭遇极大的困难。</w:t>
      </w:r>
      <w:r>
        <w:rPr>
          <w:rStyle w:val="15"/>
          <w:rFonts w:hint="eastAsia"/>
          <w:lang w:val="en-US" w:eastAsia="zh-CN"/>
        </w:rPr>
        <w:footnoteReference w:id="19"/>
      </w:r>
    </w:p>
    <w:p w14:paraId="35178E10">
      <w:pPr>
        <w:pageBreakBefore w:val="0"/>
        <w:widowControl w:val="0"/>
        <w:numPr>
          <w:ilvl w:val="0"/>
          <w:numId w:val="0"/>
        </w:numPr>
        <w:kinsoku/>
        <w:wordWrap/>
        <w:overflowPunct/>
        <w:topLinePunct w:val="0"/>
        <w:autoSpaceDE/>
        <w:autoSpaceDN/>
        <w:bidi w:val="0"/>
        <w:adjustRightInd/>
        <w:snapToGrid/>
        <w:spacing w:line="300" w:lineRule="auto"/>
        <w:ind w:firstLine="420" w:firstLineChars="0"/>
        <w:jc w:val="left"/>
        <w:textAlignment w:val="auto"/>
        <w:rPr>
          <w:rFonts w:hint="default"/>
          <w:lang w:eastAsia="zh-CN"/>
        </w:rPr>
      </w:pPr>
      <w:r>
        <w:rPr>
          <w:rFonts w:hint="eastAsia"/>
          <w:lang w:val="en-US" w:eastAsia="zh-CN"/>
        </w:rPr>
        <w:t>最后</w:t>
      </w:r>
      <w:r>
        <w:rPr>
          <w:rFonts w:hint="default"/>
          <w:lang w:eastAsia="zh-CN"/>
        </w:rPr>
        <w:t>，</w:t>
      </w:r>
      <w:r>
        <w:rPr>
          <w:rFonts w:hint="eastAsia"/>
          <w:lang w:val="en-US" w:eastAsia="zh-CN"/>
        </w:rPr>
        <w:t>“目的上的客观一致性</w:t>
      </w:r>
      <w:r>
        <w:rPr>
          <w:rFonts w:hint="eastAsia"/>
          <w:spacing w:val="13"/>
          <w:lang w:val="en-US" w:eastAsia="zh-CN"/>
        </w:rPr>
        <w:t>”标准</w:t>
      </w:r>
      <w:r>
        <w:rPr>
          <w:rFonts w:hint="eastAsia"/>
          <w:lang w:val="en-US" w:eastAsia="zh-CN"/>
        </w:rPr>
        <w:t>还可能会限制数据的再利用。《中华人民共和国政府信息公开条例》（以下简称</w:t>
      </w:r>
      <w:r>
        <w:rPr>
          <w:rFonts w:hint="default"/>
          <w:lang w:eastAsia="zh-CN"/>
        </w:rPr>
        <w:t>《</w:t>
      </w:r>
      <w:r>
        <w:rPr>
          <w:rFonts w:hint="eastAsia"/>
          <w:lang w:val="en-US" w:eastAsia="zh-CN"/>
        </w:rPr>
        <w:t>政府信息公开条例</w:t>
      </w:r>
      <w:r>
        <w:rPr>
          <w:rFonts w:hint="default"/>
          <w:lang w:eastAsia="zh-CN"/>
        </w:rPr>
        <w:t>》</w:t>
      </w:r>
      <w:r>
        <w:rPr>
          <w:rFonts w:hint="eastAsia"/>
          <w:lang w:val="en-US" w:eastAsia="zh-CN"/>
        </w:rPr>
        <w:t>）强调需要大力推进公共信息资源开放，让全社会广泛参与信息利用活动，让政府数据要素赋能经济社会发展。通过设定开放包容的使用规则，鼓励市场主体对法定公开信息进行创新性开发。法定信息公开的核心要义在于，赋予公众依照法律规定获取并运用公共数据资源的权限，以此推动数据实现自由流转与高效运用。反之，要是过度强调对</w:t>
      </w:r>
      <w:r>
        <w:rPr>
          <w:rFonts w:hint="default"/>
          <w:lang w:eastAsia="zh-CN"/>
        </w:rPr>
        <w:t>使用目的</w:t>
      </w:r>
      <w:r>
        <w:rPr>
          <w:rFonts w:hint="eastAsia"/>
          <w:lang w:val="en-US" w:eastAsia="zh-CN"/>
        </w:rPr>
        <w:t>的限制，</w:t>
      </w:r>
      <w:r>
        <w:rPr>
          <w:rFonts w:hint="default"/>
          <w:lang w:eastAsia="zh-CN"/>
        </w:rPr>
        <w:t>无异于</w:t>
      </w:r>
      <w:r>
        <w:rPr>
          <w:rFonts w:hint="eastAsia"/>
          <w:lang w:val="en-US" w:eastAsia="zh-CN"/>
        </w:rPr>
        <w:t>与建设透明型政府、促进数据要素自由流动</w:t>
      </w:r>
      <w:r>
        <w:rPr>
          <w:rFonts w:hint="default"/>
          <w:lang w:eastAsia="zh-CN"/>
        </w:rPr>
        <w:t>以及实现</w:t>
      </w:r>
      <w:r>
        <w:rPr>
          <w:rFonts w:hint="eastAsia"/>
          <w:lang w:val="en-US" w:eastAsia="zh-CN"/>
        </w:rPr>
        <w:t>公共数据资源潜在价值的制度初衷相悖</w:t>
      </w:r>
      <w:r>
        <w:rPr>
          <w:rFonts w:hint="default"/>
          <w:lang w:eastAsia="zh-CN"/>
        </w:rPr>
        <w:t>。</w:t>
      </w:r>
    </w:p>
    <w:p w14:paraId="6963FF8C">
      <w:pPr>
        <w:pStyle w:val="4"/>
        <w:bidi w:val="0"/>
        <w:rPr>
          <w:rFonts w:hint="eastAsia"/>
          <w:lang w:val="en-US" w:eastAsia="zh-CN"/>
        </w:rPr>
      </w:pPr>
      <w:r>
        <w:rPr>
          <w:rFonts w:hint="eastAsia"/>
          <w:lang w:val="en-US" w:eastAsia="zh-CN"/>
        </w:rPr>
        <w:t>2. “合理范围”要求信息处理行为合法、正当、必要，且应符合比例原则</w:t>
      </w:r>
    </w:p>
    <w:p w14:paraId="14026FFB">
      <w:pPr>
        <w:pageBreakBefore w:val="0"/>
        <w:widowControl w:val="0"/>
        <w:numPr>
          <w:ilvl w:val="0"/>
          <w:numId w:val="0"/>
        </w:numPr>
        <w:kinsoku/>
        <w:wordWrap/>
        <w:overflowPunct/>
        <w:topLinePunct w:val="0"/>
        <w:autoSpaceDE/>
        <w:autoSpaceDN/>
        <w:bidi w:val="0"/>
        <w:adjustRightInd/>
        <w:snapToGrid/>
        <w:spacing w:line="300" w:lineRule="auto"/>
        <w:ind w:firstLine="420" w:firstLineChars="0"/>
        <w:jc w:val="left"/>
        <w:textAlignment w:val="auto"/>
        <w:rPr>
          <w:rFonts w:hint="eastAsia"/>
          <w:lang w:val="en-US" w:eastAsia="zh-CN"/>
        </w:rPr>
      </w:pPr>
      <w:r>
        <w:rPr>
          <w:rFonts w:hint="eastAsia"/>
          <w:lang w:val="en-US" w:eastAsia="zh-CN"/>
        </w:rPr>
        <w:t>根据《个人信息保护法》第5条、《民法典》第1035条第1款规定，在“合理范围</w:t>
      </w:r>
      <w:r>
        <w:rPr>
          <w:rFonts w:hint="eastAsia"/>
          <w:spacing w:val="13"/>
          <w:lang w:val="en-US" w:eastAsia="zh-CN"/>
        </w:rPr>
        <w:t>”</w:t>
      </w:r>
      <w:r>
        <w:rPr>
          <w:rFonts w:hint="eastAsia"/>
          <w:lang w:val="en-US" w:eastAsia="zh-CN"/>
        </w:rPr>
        <w:t>内处理信息还应满足合法、正当、必要且符合比例原则。</w:t>
      </w:r>
    </w:p>
    <w:p w14:paraId="23A76EDF">
      <w:pPr>
        <w:pageBreakBefore w:val="0"/>
        <w:widowControl w:val="0"/>
        <w:numPr>
          <w:ilvl w:val="0"/>
          <w:numId w:val="0"/>
        </w:numPr>
        <w:kinsoku/>
        <w:wordWrap/>
        <w:overflowPunct/>
        <w:topLinePunct w:val="0"/>
        <w:autoSpaceDE/>
        <w:autoSpaceDN/>
        <w:bidi w:val="0"/>
        <w:adjustRightInd/>
        <w:snapToGrid/>
        <w:spacing w:line="300" w:lineRule="auto"/>
        <w:ind w:firstLine="420" w:firstLineChars="0"/>
        <w:jc w:val="left"/>
        <w:textAlignment w:val="auto"/>
        <w:rPr>
          <w:rFonts w:hint="eastAsia"/>
          <w:lang w:val="en-US" w:eastAsia="zh-CN"/>
        </w:rPr>
      </w:pPr>
      <w:r>
        <w:rPr>
          <w:rFonts w:hint="eastAsia"/>
          <w:lang w:val="en-US" w:eastAsia="zh-CN"/>
        </w:rPr>
        <w:t>第一，“正当</w:t>
      </w:r>
      <w:r>
        <w:rPr>
          <w:rFonts w:hint="eastAsia"/>
          <w:spacing w:val="13"/>
          <w:lang w:val="en-US" w:eastAsia="zh-CN"/>
        </w:rPr>
        <w:t>”</w:t>
      </w:r>
      <w:r>
        <w:rPr>
          <w:rFonts w:hint="eastAsia"/>
          <w:lang w:val="en-US" w:eastAsia="zh-CN"/>
        </w:rPr>
        <w:t>之要求主要包括个人信息使用目的正当，但并不排斥商业化使用个人信息。如上文所述，正当的处理行为并不要求目的上的客观一致性，而是要求</w:t>
      </w:r>
      <w:r>
        <w:rPr>
          <w:rFonts w:hint="eastAsia" w:ascii="Times New Roman" w:hAnsi="Times New Roman" w:eastAsia="宋体" w:cs="Times New Roman"/>
          <w:kern w:val="2"/>
          <w:sz w:val="21"/>
          <w:szCs w:val="22"/>
          <w:lang w:val="en-US" w:eastAsia="zh-CN" w:bidi="ar-SA"/>
          <w14:ligatures w14:val="standardContextual"/>
        </w:rPr>
        <w:t>处理目的与公共利益</w:t>
      </w:r>
      <w:r>
        <w:rPr>
          <w:rFonts w:hint="eastAsia" w:cs="Times New Roman"/>
          <w:kern w:val="2"/>
          <w:sz w:val="21"/>
          <w:szCs w:val="22"/>
          <w:lang w:val="en-US" w:eastAsia="zh-CN" w:bidi="ar-SA"/>
          <w14:ligatures w14:val="standardContextual"/>
        </w:rPr>
        <w:t>具有相关性。</w:t>
      </w:r>
      <w:r>
        <w:rPr>
          <w:rFonts w:hint="eastAsia" w:ascii="Times New Roman" w:hAnsi="Times New Roman" w:eastAsia="宋体" w:cs="Times New Roman"/>
          <w:kern w:val="2"/>
          <w:sz w:val="21"/>
          <w:szCs w:val="22"/>
          <w:lang w:val="en-US" w:eastAsia="zh-CN" w:bidi="ar-SA"/>
          <w14:ligatures w14:val="standardContextual"/>
        </w:rPr>
        <w:t>处理目的正当性要求与公共利益具有关联性，具体包含三个维度：目的指向性，如司法公开、公共安全维护等法定公共利益领域；社会效益性，如促进法治建设、优化社会治理等公共价值；必要性关联，如处理行为与公共目标需存在实质必要性联系。</w:t>
      </w:r>
      <w:r>
        <w:rPr>
          <w:rFonts w:hint="default"/>
          <w:lang w:val="en-US" w:eastAsia="zh-CN"/>
        </w:rPr>
        <w:t>虽然以实现社会公共利益或履行法定职责为直接目标的处理行为显然符合</w:t>
      </w:r>
      <w:r>
        <w:rPr>
          <w:rFonts w:hint="eastAsia"/>
          <w:lang w:val="en-US" w:eastAsia="zh-CN"/>
        </w:rPr>
        <w:t>目的</w:t>
      </w:r>
      <w:r>
        <w:rPr>
          <w:rFonts w:hint="default"/>
          <w:lang w:val="en-US" w:eastAsia="zh-CN"/>
        </w:rPr>
        <w:t>正当性要求，但商业</w:t>
      </w:r>
      <w:r>
        <w:rPr>
          <w:rFonts w:hint="eastAsia"/>
          <w:lang w:val="en-US" w:eastAsia="zh-CN"/>
        </w:rPr>
        <w:t>盈利性的</w:t>
      </w:r>
      <w:r>
        <w:rPr>
          <w:rFonts w:hint="default"/>
          <w:lang w:val="en-US" w:eastAsia="zh-CN"/>
        </w:rPr>
        <w:t>数据处理活动并不当然被排除在</w:t>
      </w:r>
      <w:r>
        <w:rPr>
          <w:rFonts w:hint="eastAsia"/>
          <w:lang w:val="en-US" w:eastAsia="zh-CN"/>
        </w:rPr>
        <w:t>目的正当的</w:t>
      </w:r>
      <w:r>
        <w:rPr>
          <w:rFonts w:hint="default"/>
          <w:lang w:val="en-US" w:eastAsia="zh-CN"/>
        </w:rPr>
        <w:t>范畴之外。</w:t>
      </w:r>
      <w:r>
        <w:rPr>
          <w:rFonts w:hint="eastAsia"/>
          <w:lang w:val="en-US" w:eastAsia="zh-CN"/>
        </w:rPr>
        <w:t>应强调的是，商业化使用行为本身并非不正当，只要其处理范围包含公共目的，即使存在私人目的，不超过合理比例，仍可被认定为符合正当性要求。如在公共管理活动中，</w:t>
      </w:r>
      <w:r>
        <w:rPr>
          <w:rFonts w:hint="default"/>
          <w:lang w:val="en-US" w:eastAsia="zh-CN"/>
        </w:rPr>
        <w:t>裁判文书公开旨在强化司法透明度，通缉令发布直接关联社会治安维护，失信被执行人名单公示则构成社会信用体系</w:t>
      </w:r>
      <w:r>
        <w:rPr>
          <w:rFonts w:hint="eastAsia"/>
          <w:lang w:val="en-US" w:eastAsia="zh-CN"/>
        </w:rPr>
        <w:t>，上述信息公开均有利于公开目的的实现，属于合理处理。但将公开信息用作其他无益于公开目的实现的用途，则超出合理范围，如某商业数据公司抓取法院公开的裁判文书信息后，未经授权将文书中的当事人个人信息提取并整理成“诉讼风险数据库”，向企业出售用于商业合作风险评估，其处理与督促、惩戒失信被执行人及建设社会信用体系的公开目的无关，不属于合理处理。在“</w:t>
      </w:r>
      <w:r>
        <w:rPr>
          <w:rFonts w:hint="default"/>
          <w:lang w:val="en-US" w:eastAsia="zh-CN"/>
        </w:rPr>
        <w:t>伊日克斯庆</w:t>
      </w:r>
      <w:r>
        <w:rPr>
          <w:rFonts w:hint="eastAsia"/>
          <w:lang w:val="en-US" w:eastAsia="zh-CN"/>
        </w:rPr>
        <w:t>案</w:t>
      </w:r>
      <w:r>
        <w:rPr>
          <w:rFonts w:hint="eastAsia"/>
          <w:spacing w:val="13"/>
          <w:lang w:val="en-US" w:eastAsia="zh-CN"/>
        </w:rPr>
        <w:t>”</w:t>
      </w:r>
      <w:r>
        <w:rPr>
          <w:rFonts w:hint="eastAsia"/>
          <w:lang w:val="en-US" w:eastAsia="zh-CN"/>
        </w:rPr>
        <w:t>和“梁雅冰案</w:t>
      </w:r>
      <w:r>
        <w:rPr>
          <w:rFonts w:hint="eastAsia"/>
          <w:spacing w:val="13"/>
          <w:lang w:val="en-US" w:eastAsia="zh-CN"/>
        </w:rPr>
        <w:t>”</w:t>
      </w:r>
      <w:r>
        <w:rPr>
          <w:rFonts w:hint="eastAsia"/>
          <w:lang w:val="en-US" w:eastAsia="zh-CN"/>
        </w:rPr>
        <w:t>中，法院认可被告转载公开裁判文书吸引流量但利于司法公开的行为属于合法处理，而将公开信息用于广告推送、向获取主体索要对价等与公开目的无关，有碍信息传播的处理，信息处理行为则超出合理范畴且不具有正当性，属于非法处理。</w:t>
      </w:r>
    </w:p>
    <w:p w14:paraId="033C167C">
      <w:pPr>
        <w:pageBreakBefore w:val="0"/>
        <w:widowControl w:val="0"/>
        <w:numPr>
          <w:ilvl w:val="0"/>
          <w:numId w:val="0"/>
        </w:numPr>
        <w:kinsoku/>
        <w:wordWrap/>
        <w:overflowPunct/>
        <w:topLinePunct w:val="0"/>
        <w:autoSpaceDE/>
        <w:autoSpaceDN/>
        <w:bidi w:val="0"/>
        <w:adjustRightInd/>
        <w:snapToGrid/>
        <w:spacing w:line="300" w:lineRule="auto"/>
        <w:ind w:firstLine="420" w:firstLineChars="0"/>
        <w:jc w:val="left"/>
        <w:textAlignment w:val="auto"/>
        <w:rPr>
          <w:rStyle w:val="15"/>
          <w:rFonts w:hint="eastAsia"/>
          <w:lang w:val="en-US" w:eastAsia="zh-CN"/>
        </w:rPr>
      </w:pPr>
      <w:bookmarkStart w:id="7" w:name="_Toc9683"/>
      <w:r>
        <w:rPr>
          <w:rFonts w:hint="eastAsia"/>
          <w:lang w:val="en-US" w:eastAsia="zh-CN"/>
        </w:rPr>
        <w:t>第二，关于“必要</w:t>
      </w:r>
      <w:r>
        <w:rPr>
          <w:rFonts w:hint="eastAsia"/>
          <w:spacing w:val="13"/>
          <w:lang w:val="en-US" w:eastAsia="zh-CN"/>
        </w:rPr>
        <w:t>”</w:t>
      </w:r>
      <w:r>
        <w:rPr>
          <w:rFonts w:hint="default"/>
          <w:lang w:val="en-US" w:eastAsia="zh-CN"/>
        </w:rPr>
        <w:t>这一概念，其核心要义在于避免信息处理范围的过度扩张，从而维护信息主体的合理期待。</w:t>
      </w:r>
      <w:r>
        <w:rPr>
          <w:rFonts w:hint="eastAsia"/>
          <w:lang w:val="en-US" w:eastAsia="zh-CN"/>
        </w:rPr>
        <w:t>首先，在对必要性的判断中需重视数据最小化的要求。《个人信息保护法》第6条要求信息处理者采取对个人信息权益影响最小的范围内处理个人信息，</w:t>
      </w:r>
      <w:r>
        <w:rPr>
          <w:rFonts w:hint="default"/>
          <w:lang w:val="en-US" w:eastAsia="zh-CN"/>
        </w:rPr>
        <w:t>这要求信息处理者对不同个人信息处理方案的</w:t>
      </w:r>
      <w:r>
        <w:rPr>
          <w:rFonts w:hint="eastAsia"/>
          <w:lang w:val="en-US" w:eastAsia="zh-CN"/>
        </w:rPr>
        <w:t>影响</w:t>
      </w:r>
      <w:r>
        <w:rPr>
          <w:rFonts w:hint="default"/>
          <w:lang w:val="en-US" w:eastAsia="zh-CN"/>
        </w:rPr>
        <w:t>程度予以比较，必要时还需全面评估处理行为引发的风险，进而选定无损害或损害最小的处理方式</w:t>
      </w:r>
      <w:r>
        <w:rPr>
          <w:rFonts w:hint="eastAsia"/>
          <w:lang w:val="en-US" w:eastAsia="zh-CN"/>
        </w:rPr>
        <w:t>。</w:t>
      </w:r>
      <w:r>
        <w:rPr>
          <w:rFonts w:hint="default"/>
          <w:lang w:val="en-US" w:eastAsia="zh-CN"/>
        </w:rPr>
        <w:t>在引入</w:t>
      </w:r>
      <w:r>
        <w:rPr>
          <w:rFonts w:hint="eastAsia"/>
          <w:lang w:val="en-US" w:eastAsia="zh-CN"/>
        </w:rPr>
        <w:t>“</w:t>
      </w:r>
      <w:r>
        <w:rPr>
          <w:rFonts w:hint="default"/>
          <w:lang w:val="en-US" w:eastAsia="zh-CN"/>
        </w:rPr>
        <w:t>数据最小化</w:t>
      </w:r>
      <w:r>
        <w:rPr>
          <w:rFonts w:hint="eastAsia"/>
          <w:lang w:val="en-US" w:eastAsia="zh-CN"/>
        </w:rPr>
        <w:t>”</w:t>
      </w:r>
      <w:r>
        <w:rPr>
          <w:rFonts w:hint="default"/>
          <w:lang w:val="en-US" w:eastAsia="zh-CN"/>
        </w:rPr>
        <w:t>原则时，可充分借鉴</w:t>
      </w:r>
      <w:r>
        <w:rPr>
          <w:rFonts w:hint="default" w:ascii="Times New Roman" w:hAnsi="Times New Roman" w:eastAsia="宋体" w:cs="Times New Roman"/>
          <w:kern w:val="2"/>
          <w:sz w:val="21"/>
          <w:szCs w:val="22"/>
          <w:lang w:val="en-US" w:eastAsia="zh-CN" w:bidi="ar-SA"/>
          <w14:ligatures w14:val="standardContextual"/>
        </w:rPr>
        <w:t>欧盟《通用数据保护条例》（GDPR）</w:t>
      </w:r>
      <w:r>
        <w:rPr>
          <w:rFonts w:hint="eastAsia" w:cs="Times New Roman"/>
          <w:kern w:val="2"/>
          <w:sz w:val="21"/>
          <w:szCs w:val="22"/>
          <w:lang w:val="en-US" w:eastAsia="zh-CN" w:bidi="ar-SA"/>
          <w14:ligatures w14:val="standardContextual"/>
        </w:rPr>
        <w:t>和</w:t>
      </w:r>
      <w:r>
        <w:rPr>
          <w:rFonts w:hint="default"/>
          <w:lang w:val="en-US" w:eastAsia="zh-CN"/>
        </w:rPr>
        <w:t>数据保护影响评估制度（DPIA）的相关内容。</w:t>
      </w:r>
      <w:r>
        <w:rPr>
          <w:rFonts w:hint="default" w:ascii="Times New Roman" w:hAnsi="Times New Roman" w:eastAsia="宋体" w:cs="Times New Roman"/>
          <w:kern w:val="2"/>
          <w:sz w:val="21"/>
          <w:szCs w:val="22"/>
          <w:lang w:val="en-US" w:eastAsia="zh-CN" w:bidi="ar-SA"/>
          <w14:ligatures w14:val="standardContextual"/>
        </w:rPr>
        <w:t>GDPR第5条第1款</w:t>
      </w:r>
      <w:r>
        <w:rPr>
          <w:rFonts w:hint="default"/>
          <w:lang w:val="en-US" w:eastAsia="zh-CN"/>
        </w:rPr>
        <w:t>(c)</w:t>
      </w:r>
      <w:r>
        <w:rPr>
          <w:rFonts w:hint="default" w:ascii="Times New Roman" w:hAnsi="Times New Roman" w:eastAsia="宋体" w:cs="Times New Roman"/>
          <w:kern w:val="2"/>
          <w:sz w:val="21"/>
          <w:szCs w:val="22"/>
          <w:lang w:val="en-US" w:eastAsia="zh-CN" w:bidi="ar-SA"/>
          <w14:ligatures w14:val="standardContextual"/>
        </w:rPr>
        <w:t>项明确规定，个人数据应</w:t>
      </w:r>
      <w:r>
        <w:rPr>
          <w:rFonts w:hint="eastAsia" w:cs="Times New Roman"/>
          <w:kern w:val="2"/>
          <w:sz w:val="21"/>
          <w:szCs w:val="22"/>
          <w:lang w:val="en-US" w:eastAsia="zh-CN" w:bidi="ar-SA"/>
          <w14:ligatures w14:val="standardContextual"/>
        </w:rPr>
        <w:t>“</w:t>
      </w:r>
      <w:r>
        <w:rPr>
          <w:rFonts w:hint="default" w:ascii="Times New Roman" w:hAnsi="Times New Roman" w:eastAsia="宋体" w:cs="Times New Roman"/>
          <w:kern w:val="2"/>
          <w:sz w:val="21"/>
          <w:szCs w:val="22"/>
          <w:lang w:val="en-US" w:eastAsia="zh-CN" w:bidi="ar-SA"/>
          <w14:ligatures w14:val="standardContextual"/>
        </w:rPr>
        <w:t>充分、相关，并且仅限于为实现该处理目的所必需的范围</w:t>
      </w:r>
      <w:r>
        <w:rPr>
          <w:rFonts w:hint="eastAsia" w:cs="Times New Roman"/>
          <w:kern w:val="2"/>
          <w:sz w:val="21"/>
          <w:szCs w:val="22"/>
          <w:lang w:val="en-US" w:eastAsia="zh-CN" w:bidi="ar-SA"/>
          <w14:ligatures w14:val="standardContextual"/>
        </w:rPr>
        <w:t>”</w:t>
      </w:r>
      <w:r>
        <w:rPr>
          <w:rFonts w:hint="default" w:ascii="Times New Roman" w:hAnsi="Times New Roman" w:eastAsia="宋体" w:cs="Times New Roman"/>
          <w:kern w:val="2"/>
          <w:sz w:val="21"/>
          <w:szCs w:val="22"/>
          <w:lang w:val="en-US" w:eastAsia="zh-CN" w:bidi="ar-SA"/>
          <w14:ligatures w14:val="standardContextual"/>
        </w:rPr>
        <w:t>，这构成了数据最小化原则的直接法律依据。</w:t>
      </w:r>
      <w:r>
        <w:rPr>
          <w:rFonts w:hint="default"/>
          <w:lang w:val="en-US" w:eastAsia="zh-CN"/>
        </w:rPr>
        <w:t>DPIA对该原则涉及的各类问题作出了细致规定</w:t>
      </w:r>
      <w:r>
        <w:rPr>
          <w:rFonts w:hint="eastAsia"/>
          <w:lang w:val="en-US" w:eastAsia="zh-CN"/>
        </w:rPr>
        <w:t>并</w:t>
      </w:r>
      <w:r>
        <w:rPr>
          <w:rFonts w:hint="default"/>
          <w:lang w:val="en-US" w:eastAsia="zh-CN"/>
        </w:rPr>
        <w:t>实际发展情况提供了实践参考。依据这一制度，相关企业需要制定全面、细致的数据最小化政策，并且要依据不同类型的数据特点，采取差异化的处理方式。</w:t>
      </w:r>
      <w:r>
        <w:rPr>
          <w:rStyle w:val="15"/>
          <w:rFonts w:hint="eastAsia"/>
          <w:lang w:val="en-US" w:eastAsia="zh-CN"/>
        </w:rPr>
        <w:footnoteReference w:id="20"/>
      </w:r>
      <w:r>
        <w:rPr>
          <w:rFonts w:hint="eastAsia" w:ascii="Times New Roman" w:hAnsi="Times New Roman" w:eastAsia="宋体" w:cs="Times New Roman"/>
          <w:kern w:val="2"/>
          <w:sz w:val="21"/>
          <w:szCs w:val="22"/>
          <w:lang w:val="en-US" w:eastAsia="zh-CN" w:bidi="ar-SA"/>
          <w14:ligatures w14:val="standardContextual"/>
        </w:rPr>
        <w:t>可以DPIA为核心方法论，融合《个人信息保护法》第55条“个人信息保护影响评估”要求与GDPR第35条数据保护影响评估要求，旨在构建“风险识别-分级”全链条评估机制，</w:t>
      </w:r>
      <w:r>
        <w:rPr>
          <w:rFonts w:hint="eastAsia"/>
          <w:lang w:val="en-US" w:eastAsia="zh-CN"/>
        </w:rPr>
        <w:t>极高风险对应核心级数据，典型如大规模未加密存储的医疗健康数据，因其既属敏感个人信息，又因未加密存储存在高泄露概率，且泄露可能直接导致患者人格尊严受损或人身财产安全风险；高风险对应重要级数据，例如跨境传输的金融账户信息，此类数据本身敏感度高，跨境场景下技术脆弱性与第三方共享风险叠加，可能引发重大财产损失，对权益影响程度显著；中风险对应一般级数据，像脱敏后的用户行为数据，虽经脱敏降低了直接识别风险，但仍可能因处理规模或用途不当对权益产生一定影响；低风险则对应普通级数据，如公开的新闻资讯类信息，其敏感度低、处理风险小，对权益的潜在影响轻微，可在常规管理下合理利用。</w:t>
      </w:r>
      <w:r>
        <w:rPr>
          <w:rFonts w:hint="default"/>
          <w:lang w:val="en-US" w:eastAsia="zh-CN"/>
        </w:rPr>
        <w:t>此外，特定机构的监督在这一过程中不可或缺</w:t>
      </w:r>
      <w:r>
        <w:rPr>
          <w:rFonts w:hint="eastAsia"/>
          <w:lang w:val="en-US" w:eastAsia="zh-CN"/>
        </w:rPr>
        <w:t>，</w:t>
      </w:r>
      <w:r>
        <w:rPr>
          <w:rFonts w:hint="default"/>
          <w:lang w:val="en-US" w:eastAsia="zh-CN"/>
        </w:rPr>
        <w:t>欧洲数据保护专员公署所提出的</w:t>
      </w:r>
      <w:r>
        <w:rPr>
          <w:rFonts w:hint="eastAsia"/>
          <w:lang w:val="en-US" w:eastAsia="zh-CN"/>
        </w:rPr>
        <w:t>“必要性-比例性</w:t>
      </w:r>
      <w:r>
        <w:rPr>
          <w:rFonts w:hint="eastAsia"/>
          <w:spacing w:val="13"/>
          <w:lang w:val="en-US" w:eastAsia="zh-CN"/>
        </w:rPr>
        <w:t>”</w:t>
      </w:r>
      <w:r>
        <w:rPr>
          <w:rFonts w:hint="eastAsia"/>
          <w:lang w:val="en-US" w:eastAsia="zh-CN"/>
        </w:rPr>
        <w:t>阶段式审查模式</w:t>
      </w:r>
      <w:r>
        <w:rPr>
          <w:rFonts w:hint="default"/>
          <w:lang w:val="en-US" w:eastAsia="zh-CN"/>
        </w:rPr>
        <w:t>，为数据处理的监督审查提供了有益思路</w:t>
      </w:r>
      <w:r>
        <w:rPr>
          <w:rFonts w:hint="eastAsia"/>
          <w:lang w:val="en-US" w:eastAsia="zh-CN"/>
        </w:rPr>
        <w:t>，</w:t>
      </w:r>
      <w:r>
        <w:rPr>
          <w:rFonts w:hint="default"/>
          <w:lang w:val="en-US" w:eastAsia="zh-CN"/>
        </w:rPr>
        <w:t>我国网络执法部门在推进数据保护工作时，可参考这一模式，以更好地落实数据最小化原则，保障数据安全与合理使用。</w:t>
      </w:r>
      <w:r>
        <w:rPr>
          <w:rStyle w:val="15"/>
          <w:rFonts w:hint="eastAsia"/>
          <w:lang w:val="en-US" w:eastAsia="zh-CN"/>
        </w:rPr>
        <w:footnoteReference w:id="21"/>
      </w:r>
    </w:p>
    <w:p w14:paraId="69C56DD4">
      <w:pPr>
        <w:pageBreakBefore w:val="0"/>
        <w:widowControl w:val="0"/>
        <w:numPr>
          <w:ilvl w:val="0"/>
          <w:numId w:val="0"/>
        </w:numPr>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kern w:val="2"/>
          <w:sz w:val="21"/>
          <w:szCs w:val="22"/>
          <w:lang w:val="en-US" w:eastAsia="zh-CN" w:bidi="ar-SA"/>
          <w14:ligatures w14:val="standardContextual"/>
        </w:rPr>
      </w:pPr>
      <w:r>
        <w:rPr>
          <w:rFonts w:hint="eastAsia"/>
          <w:lang w:val="en-US" w:eastAsia="zh-CN"/>
        </w:rPr>
        <w:t>第三，“合法”是“合理范围”的底线要求，应以负面清单的方式进行解释。采用负面清单的方法，更符合对于合理范围的扩张，可以减少对信息的判断和沟通成本，也更符合责任规则的要求。</w:t>
      </w:r>
      <w:r>
        <w:rPr>
          <w:rFonts w:hint="eastAsia" w:ascii="Times New Roman" w:hAnsi="Times New Roman" w:eastAsia="宋体" w:cs="Times New Roman"/>
          <w:kern w:val="2"/>
          <w:sz w:val="21"/>
          <w:szCs w:val="22"/>
          <w:lang w:val="en-US" w:eastAsia="zh-CN" w:bidi="ar-SA"/>
          <w14:ligatures w14:val="standardContextual"/>
        </w:rPr>
        <w:t>从负面清单角度界定信息处理的合理范围，实质是通过</w:t>
      </w:r>
      <w:r>
        <w:rPr>
          <w:rFonts w:hint="default" w:ascii="Times New Roman" w:hAnsi="Times New Roman" w:eastAsia="宋体" w:cs="Times New Roman"/>
          <w:kern w:val="2"/>
          <w:sz w:val="21"/>
          <w:szCs w:val="22"/>
          <w:lang w:val="en-US" w:eastAsia="zh-CN" w:bidi="ar-SA"/>
          <w14:ligatures w14:val="standardContextual"/>
        </w:rPr>
        <w:t>划清</w:t>
      </w:r>
      <w:r>
        <w:rPr>
          <w:rFonts w:hint="eastAsia" w:cs="Times New Roman"/>
          <w:kern w:val="2"/>
          <w:sz w:val="21"/>
          <w:szCs w:val="22"/>
          <w:lang w:val="en-US" w:eastAsia="zh-CN" w:bidi="ar-SA"/>
          <w14:ligatures w14:val="standardContextual"/>
        </w:rPr>
        <w:t>“</w:t>
      </w:r>
      <w:r>
        <w:rPr>
          <w:rFonts w:hint="default" w:ascii="Times New Roman" w:hAnsi="Times New Roman" w:eastAsia="宋体" w:cs="Times New Roman"/>
          <w:kern w:val="2"/>
          <w:sz w:val="21"/>
          <w:szCs w:val="22"/>
          <w:lang w:val="en-US" w:eastAsia="zh-CN" w:bidi="ar-SA"/>
          <w14:ligatures w14:val="standardContextual"/>
        </w:rPr>
        <w:t>不合理</w:t>
      </w:r>
      <w:r>
        <w:rPr>
          <w:rFonts w:hint="eastAsia" w:cs="Times New Roman"/>
          <w:kern w:val="2"/>
          <w:sz w:val="21"/>
          <w:szCs w:val="22"/>
          <w:lang w:val="en-US" w:eastAsia="zh-CN" w:bidi="ar-SA"/>
          <w14:ligatures w14:val="standardContextual"/>
        </w:rPr>
        <w:t>”</w:t>
      </w:r>
      <w:r>
        <w:rPr>
          <w:rFonts w:hint="default" w:ascii="Times New Roman" w:hAnsi="Times New Roman" w:eastAsia="宋体" w:cs="Times New Roman"/>
          <w:kern w:val="2"/>
          <w:sz w:val="21"/>
          <w:szCs w:val="22"/>
          <w:lang w:val="en-US" w:eastAsia="zh-CN" w:bidi="ar-SA"/>
          <w14:ligatures w14:val="standardContextual"/>
        </w:rPr>
        <w:t>的边界来反向确立合理的</w:t>
      </w:r>
      <w:r>
        <w:rPr>
          <w:rFonts w:hint="eastAsia" w:cs="Times New Roman"/>
          <w:kern w:val="2"/>
          <w:sz w:val="21"/>
          <w:szCs w:val="22"/>
          <w:lang w:val="en-US" w:eastAsia="zh-CN" w:bidi="ar-SA"/>
          <w14:ligatures w14:val="standardContextual"/>
        </w:rPr>
        <w:t>范围</w:t>
      </w:r>
      <w:r>
        <w:rPr>
          <w:rFonts w:hint="default" w:ascii="Times New Roman" w:hAnsi="Times New Roman" w:eastAsia="宋体" w:cs="Times New Roman"/>
          <w:kern w:val="2"/>
          <w:sz w:val="21"/>
          <w:szCs w:val="22"/>
          <w:lang w:val="en-US" w:eastAsia="zh-CN" w:bidi="ar-SA"/>
          <w14:ligatures w14:val="standardContextual"/>
        </w:rPr>
        <w:t>。法定公开信息虽具公共属性，但其后续处理仍受负面清单约束</w:t>
      </w:r>
      <w:r>
        <w:rPr>
          <w:rFonts w:hint="eastAsia" w:cs="Times New Roman"/>
          <w:kern w:val="2"/>
          <w:sz w:val="21"/>
          <w:szCs w:val="22"/>
          <w:lang w:val="en-US" w:eastAsia="zh-CN" w:bidi="ar-SA"/>
          <w14:ligatures w14:val="standardContextual"/>
        </w:rPr>
        <w:t>诸如</w:t>
      </w:r>
      <w:r>
        <w:rPr>
          <w:rFonts w:hint="default" w:ascii="Times New Roman" w:hAnsi="Times New Roman" w:eastAsia="宋体" w:cs="Times New Roman"/>
          <w:kern w:val="2"/>
          <w:sz w:val="21"/>
          <w:szCs w:val="22"/>
          <w:lang w:val="en-US" w:eastAsia="zh-CN" w:bidi="ar-SA"/>
          <w14:ligatures w14:val="standardContextual"/>
        </w:rPr>
        <w:t>涉及敏感信息滥用、人格尊严侵害、缺乏安全保障等行为，均属不合理范畴。唯有在避开负面清单、同时满足合法性、必要性与正当性要求的前提下，对公开信息的处理才可被视为</w:t>
      </w:r>
      <w:r>
        <w:rPr>
          <w:rFonts w:hint="eastAsia" w:cs="Times New Roman"/>
          <w:kern w:val="2"/>
          <w:sz w:val="21"/>
          <w:szCs w:val="22"/>
          <w:lang w:val="en-US" w:eastAsia="zh-CN" w:bidi="ar-SA"/>
          <w14:ligatures w14:val="standardContextual"/>
        </w:rPr>
        <w:t>“</w:t>
      </w:r>
      <w:r>
        <w:rPr>
          <w:rFonts w:hint="default" w:ascii="Times New Roman" w:hAnsi="Times New Roman" w:eastAsia="宋体" w:cs="Times New Roman"/>
          <w:kern w:val="2"/>
          <w:sz w:val="21"/>
          <w:szCs w:val="22"/>
          <w:lang w:val="en-US" w:eastAsia="zh-CN" w:bidi="ar-SA"/>
          <w14:ligatures w14:val="standardContextual"/>
        </w:rPr>
        <w:t>合理</w:t>
      </w:r>
      <w:r>
        <w:rPr>
          <w:rFonts w:hint="eastAsia" w:cs="Times New Roman"/>
          <w:kern w:val="2"/>
          <w:sz w:val="21"/>
          <w:szCs w:val="22"/>
          <w:lang w:val="en-US" w:eastAsia="zh-CN" w:bidi="ar-SA"/>
          <w14:ligatures w14:val="standardContextual"/>
        </w:rPr>
        <w:t>”</w:t>
      </w:r>
      <w:r>
        <w:rPr>
          <w:rFonts w:hint="default" w:ascii="Times New Roman" w:hAnsi="Times New Roman" w:eastAsia="宋体" w:cs="Times New Roman"/>
          <w:kern w:val="2"/>
          <w:sz w:val="21"/>
          <w:szCs w:val="22"/>
          <w:lang w:val="en-US" w:eastAsia="zh-CN" w:bidi="ar-SA"/>
          <w14:ligatures w14:val="standardContextual"/>
        </w:rPr>
        <w:t>。</w:t>
      </w:r>
      <w:r>
        <w:rPr>
          <w:rFonts w:hint="eastAsia" w:cs="Times New Roman"/>
          <w:kern w:val="2"/>
          <w:sz w:val="21"/>
          <w:szCs w:val="22"/>
          <w:lang w:val="en-US" w:eastAsia="zh-CN" w:bidi="ar-SA"/>
          <w14:ligatures w14:val="standardContextual"/>
        </w:rPr>
        <w:t>此外，应该注意及时更新负面清单名单，以符合时代发展。</w:t>
      </w:r>
    </w:p>
    <w:p w14:paraId="356C863A">
      <w:pPr>
        <w:pageBreakBefore w:val="0"/>
        <w:widowControl w:val="0"/>
        <w:numPr>
          <w:ilvl w:val="0"/>
          <w:numId w:val="0"/>
        </w:numPr>
        <w:kinsoku/>
        <w:wordWrap/>
        <w:overflowPunct/>
        <w:topLinePunct w:val="0"/>
        <w:autoSpaceDE/>
        <w:autoSpaceDN/>
        <w:bidi w:val="0"/>
        <w:adjustRightInd/>
        <w:snapToGrid/>
        <w:spacing w:line="300" w:lineRule="auto"/>
        <w:ind w:firstLine="420" w:firstLineChars="0"/>
        <w:jc w:val="left"/>
        <w:textAlignment w:val="auto"/>
        <w:rPr>
          <w:rFonts w:hint="default"/>
          <w:lang w:val="en-US" w:eastAsia="zh-CN"/>
        </w:rPr>
      </w:pPr>
      <w:r>
        <w:rPr>
          <w:rFonts w:hint="eastAsia"/>
          <w:lang w:val="en-US" w:eastAsia="zh-CN"/>
        </w:rPr>
        <w:t>第四，法定信息处理应当符合比例原则。比例原则是平衡公平与效率的“帝王原则”。凭借合理地权衡与调适个人信息处理的目的和手段之间的关联，比例原则能够切实起到引导和约束个人信息处理行为的作用，可作为衡量“合理范围”的兜底性判断标准。《个人信息保护法》第6条要求处理个人信息应当具有直接相关的明确、合理的目的，并采取对个人权益影响最小的方式，不得过度收集个人信息，体现了比例原则在个人信息处理场景的要求。</w:t>
      </w:r>
      <w:r>
        <w:rPr>
          <w:rFonts w:hint="default"/>
          <w:lang w:val="en-US" w:eastAsia="zh-CN"/>
        </w:rPr>
        <w:t>这种立法设计既体现了法律对信息处理自由的制度约束，也构建了个人信息权益保护与数字经济发展需求之间的动态平衡机制。在处理行为的伦理维度上，必要性原则延伸出处理者的诚信义务。我国《民法典》第</w:t>
      </w:r>
      <w:r>
        <w:rPr>
          <w:rFonts w:hint="eastAsia"/>
          <w:lang w:val="en-US" w:eastAsia="zh-CN"/>
        </w:rPr>
        <w:t>7</w:t>
      </w:r>
      <w:r>
        <w:rPr>
          <w:rFonts w:hint="default"/>
          <w:lang w:val="en-US" w:eastAsia="zh-CN"/>
        </w:rPr>
        <w:t>条确立的诚信原则在个人信息保护领域具象化为两项行为准则：一方面，处理者须以诚信态度履行义务，遵循行业公认的商业道德准则，不得通过欺诈手段谋取不当利益</w:t>
      </w:r>
      <w:r>
        <w:rPr>
          <w:rFonts w:hint="eastAsia"/>
          <w:lang w:val="en-US" w:eastAsia="zh-CN"/>
        </w:rPr>
        <w:t>以合乎信息主体合理期待的方式处理他们的个人信息</w:t>
      </w:r>
      <w:r>
        <w:rPr>
          <w:rFonts w:hint="default"/>
          <w:lang w:val="en-US" w:eastAsia="zh-CN"/>
        </w:rPr>
        <w:t>；另一方面，处理结果不得偏离信息主体的合理预期，任何导致权利限制、歧视性待遇或其他权益减损的处理行为，均构成对信任关系的实质性破坏。</w:t>
      </w:r>
    </w:p>
    <w:p w14:paraId="767FA93F">
      <w:pPr>
        <w:pStyle w:val="3"/>
        <w:bidi w:val="0"/>
        <w:rPr>
          <w:rFonts w:hint="default"/>
          <w:lang w:val="en-US" w:eastAsia="zh-CN"/>
        </w:rPr>
      </w:pPr>
      <w:r>
        <w:rPr>
          <w:rFonts w:hint="eastAsia"/>
          <w:lang w:val="en-US" w:eastAsia="zh-CN"/>
        </w:rPr>
        <w:t>（二）限缩“对</w:t>
      </w:r>
      <w:r>
        <w:rPr>
          <w:rFonts w:hint="default"/>
          <w:lang w:val="en-US" w:eastAsia="zh-CN"/>
        </w:rPr>
        <w:t>个人权益</w:t>
      </w:r>
      <w:r>
        <w:rPr>
          <w:rFonts w:hint="eastAsia"/>
          <w:lang w:val="en-US" w:eastAsia="zh-CN"/>
        </w:rPr>
        <w:t>有</w:t>
      </w:r>
      <w:r>
        <w:rPr>
          <w:rFonts w:hint="default"/>
          <w:lang w:val="en-US" w:eastAsia="zh-CN"/>
        </w:rPr>
        <w:t>重大影响</w:t>
      </w:r>
      <w:r>
        <w:rPr>
          <w:rFonts w:hint="eastAsia"/>
          <w:lang w:val="en-US" w:eastAsia="zh-CN"/>
        </w:rPr>
        <w:t>”</w:t>
      </w:r>
      <w:r>
        <w:rPr>
          <w:rFonts w:hint="default"/>
          <w:lang w:val="en-US" w:eastAsia="zh-CN"/>
        </w:rPr>
        <w:t>的认定</w:t>
      </w:r>
      <w:bookmarkEnd w:id="7"/>
    </w:p>
    <w:p w14:paraId="16476DB0">
      <w:pPr>
        <w:pageBreakBefore w:val="0"/>
        <w:widowControl w:val="0"/>
        <w:numPr>
          <w:ilvl w:val="0"/>
          <w:numId w:val="0"/>
        </w:numPr>
        <w:kinsoku/>
        <w:wordWrap/>
        <w:overflowPunct/>
        <w:topLinePunct w:val="0"/>
        <w:autoSpaceDE/>
        <w:autoSpaceDN/>
        <w:bidi w:val="0"/>
        <w:adjustRightInd/>
        <w:snapToGrid/>
        <w:spacing w:line="300" w:lineRule="auto"/>
        <w:ind w:firstLine="420" w:firstLineChars="0"/>
        <w:jc w:val="left"/>
        <w:textAlignment w:val="auto"/>
        <w:rPr>
          <w:rFonts w:hint="eastAsia"/>
          <w:lang w:val="en-US" w:eastAsia="zh-CN"/>
        </w:rPr>
      </w:pPr>
      <w:r>
        <w:rPr>
          <w:rFonts w:hint="eastAsia"/>
          <w:lang w:val="en-US" w:eastAsia="zh-CN"/>
        </w:rPr>
        <w:t>根据</w:t>
      </w:r>
      <w:r>
        <w:rPr>
          <w:rFonts w:hint="default"/>
          <w:lang w:val="en-US" w:eastAsia="zh-CN"/>
        </w:rPr>
        <w:t>《个人信息保护法》第27条的要求，在处理已公开个人信息过程中，一旦处理行为有可能对个人权益造成重大影响，信息处理者就必须取得信息主体的明确同意。</w:t>
      </w:r>
      <w:r>
        <w:rPr>
          <w:rFonts w:hint="eastAsia"/>
          <w:lang w:val="en-US" w:eastAsia="zh-CN"/>
        </w:rPr>
        <w:t>该条款是对责任规则的一个限制，在法定公开信息的场景下，我们应该限缩“</w:t>
      </w:r>
      <w:r>
        <w:rPr>
          <w:rFonts w:hint="default"/>
          <w:lang w:val="en-US" w:eastAsia="zh-CN"/>
        </w:rPr>
        <w:t>个人权益重大影响</w:t>
      </w:r>
      <w:r>
        <w:rPr>
          <w:rFonts w:hint="eastAsia"/>
          <w:spacing w:val="13"/>
          <w:lang w:val="en-US" w:eastAsia="zh-CN"/>
        </w:rPr>
        <w:t>”</w:t>
      </w:r>
      <w:r>
        <w:rPr>
          <w:rFonts w:hint="eastAsia"/>
          <w:lang w:val="en-US" w:eastAsia="zh-CN"/>
        </w:rPr>
        <w:t>的范围。</w:t>
      </w:r>
    </w:p>
    <w:p w14:paraId="09CB847E">
      <w:pPr>
        <w:pStyle w:val="4"/>
        <w:pageBreakBefore w:val="0"/>
        <w:widowControl w:val="0"/>
        <w:kinsoku/>
        <w:wordWrap/>
        <w:overflowPunct/>
        <w:topLinePunct w:val="0"/>
        <w:autoSpaceDE/>
        <w:autoSpaceDN/>
        <w:bidi w:val="0"/>
        <w:adjustRightInd/>
        <w:snapToGrid/>
        <w:spacing w:line="300" w:lineRule="auto"/>
        <w:jc w:val="left"/>
        <w:textAlignment w:val="auto"/>
        <w:rPr>
          <w:rFonts w:hint="default"/>
          <w:lang w:val="en-US" w:eastAsia="zh-CN"/>
        </w:rPr>
      </w:pPr>
      <w:r>
        <w:rPr>
          <w:rFonts w:hint="eastAsia"/>
          <w:lang w:val="en-US" w:eastAsia="zh-CN"/>
        </w:rPr>
        <w:t>1. “对</w:t>
      </w:r>
      <w:r>
        <w:rPr>
          <w:rFonts w:hint="default"/>
          <w:lang w:val="en-US" w:eastAsia="zh-CN"/>
        </w:rPr>
        <w:t>个人权益</w:t>
      </w:r>
      <w:r>
        <w:rPr>
          <w:rFonts w:hint="eastAsia"/>
          <w:lang w:val="en-US" w:eastAsia="zh-CN"/>
        </w:rPr>
        <w:t>有</w:t>
      </w:r>
      <w:r>
        <w:rPr>
          <w:rFonts w:hint="default"/>
          <w:lang w:val="en-US" w:eastAsia="zh-CN"/>
        </w:rPr>
        <w:t>重大影响</w:t>
      </w:r>
      <w:r>
        <w:rPr>
          <w:rFonts w:hint="eastAsia"/>
          <w:lang w:val="en-US" w:eastAsia="zh-CN"/>
        </w:rPr>
        <w:t>”</w:t>
      </w:r>
      <w:r>
        <w:rPr>
          <w:rFonts w:hint="default"/>
          <w:lang w:val="en-US" w:eastAsia="zh-CN"/>
        </w:rPr>
        <w:t>和</w:t>
      </w:r>
      <w:r>
        <w:rPr>
          <w:rFonts w:hint="eastAsia"/>
          <w:lang w:val="en-US" w:eastAsia="zh-CN"/>
        </w:rPr>
        <w:t>“</w:t>
      </w:r>
      <w:r>
        <w:rPr>
          <w:rFonts w:hint="default"/>
          <w:lang w:val="en-US" w:eastAsia="zh-CN"/>
        </w:rPr>
        <w:t>合理范围</w:t>
      </w:r>
      <w:r>
        <w:rPr>
          <w:rFonts w:hint="eastAsia"/>
          <w:lang w:val="en-US" w:eastAsia="zh-CN"/>
        </w:rPr>
        <w:t>”的关系</w:t>
      </w:r>
    </w:p>
    <w:p w14:paraId="074701EF">
      <w:pPr>
        <w:pageBreakBefore w:val="0"/>
        <w:widowControl w:val="0"/>
        <w:numPr>
          <w:ilvl w:val="0"/>
          <w:numId w:val="0"/>
        </w:numPr>
        <w:kinsoku/>
        <w:wordWrap/>
        <w:overflowPunct/>
        <w:topLinePunct w:val="0"/>
        <w:autoSpaceDE/>
        <w:autoSpaceDN/>
        <w:bidi w:val="0"/>
        <w:adjustRightInd/>
        <w:snapToGrid/>
        <w:spacing w:line="300" w:lineRule="auto"/>
        <w:ind w:firstLine="420" w:firstLineChars="0"/>
        <w:jc w:val="left"/>
        <w:textAlignment w:val="auto"/>
        <w:rPr>
          <w:rFonts w:hint="default"/>
          <w:lang w:val="en-US" w:eastAsia="zh-CN"/>
        </w:rPr>
      </w:pPr>
      <w:r>
        <w:rPr>
          <w:rFonts w:hint="eastAsia"/>
          <w:lang w:val="en-US" w:eastAsia="zh-CN"/>
        </w:rPr>
        <w:t>研究“对个人权益有重大影响”这一概念时，首先需要厘清其与“合理范围”的关系。笔者认为二者应为互斥关系：如果某一行为符合“合理范围”的要求，通常不会对个人权益产生重大影响；反之，若某行为已经对个人权益造成了重大影响，则该行为通常难以被认定为在“合理范围”之内。尽管立法中将这两个概念分别规定，但由于它们都具有一定的抽象性，在实际应用中，二者并存的情况极为罕见。因此，可以将“不对个人权益造成重大影响”视为解释“合理范围”的一个重要考量因素。</w:t>
      </w:r>
    </w:p>
    <w:p w14:paraId="73075EB9">
      <w:pPr>
        <w:pStyle w:val="4"/>
        <w:pageBreakBefore w:val="0"/>
        <w:widowControl w:val="0"/>
        <w:kinsoku/>
        <w:wordWrap/>
        <w:overflowPunct/>
        <w:topLinePunct w:val="0"/>
        <w:autoSpaceDE/>
        <w:autoSpaceDN/>
        <w:bidi w:val="0"/>
        <w:adjustRightInd/>
        <w:snapToGrid/>
        <w:spacing w:line="300" w:lineRule="auto"/>
        <w:jc w:val="left"/>
        <w:textAlignment w:val="auto"/>
        <w:rPr>
          <w:rFonts w:hint="default"/>
          <w:lang w:val="en-US" w:eastAsia="zh-CN"/>
        </w:rPr>
      </w:pPr>
      <w:r>
        <w:rPr>
          <w:rFonts w:hint="eastAsia"/>
          <w:lang w:val="en-US" w:eastAsia="zh-CN"/>
        </w:rPr>
        <w:t>2. 关于“对</w:t>
      </w:r>
      <w:r>
        <w:rPr>
          <w:rFonts w:hint="default"/>
          <w:lang w:val="en-US" w:eastAsia="zh-CN"/>
        </w:rPr>
        <w:t>个人权益</w:t>
      </w:r>
      <w:r>
        <w:rPr>
          <w:rFonts w:hint="eastAsia"/>
          <w:lang w:val="en-US" w:eastAsia="zh-CN"/>
        </w:rPr>
        <w:t>有</w:t>
      </w:r>
      <w:r>
        <w:rPr>
          <w:rFonts w:hint="default"/>
          <w:lang w:val="en-US" w:eastAsia="zh-CN"/>
        </w:rPr>
        <w:t>重大影响</w:t>
      </w:r>
      <w:r>
        <w:rPr>
          <w:rFonts w:hint="eastAsia"/>
          <w:lang w:val="en-US" w:eastAsia="zh-CN"/>
        </w:rPr>
        <w:t>”的认定标准</w:t>
      </w:r>
    </w:p>
    <w:p w14:paraId="29D097D5">
      <w:pPr>
        <w:pageBreakBefore w:val="0"/>
        <w:widowControl w:val="0"/>
        <w:kinsoku/>
        <w:wordWrap/>
        <w:overflowPunct/>
        <w:topLinePunct w:val="0"/>
        <w:autoSpaceDE/>
        <w:autoSpaceDN/>
        <w:bidi w:val="0"/>
        <w:adjustRightInd/>
        <w:snapToGrid/>
        <w:spacing w:line="300" w:lineRule="auto"/>
        <w:jc w:val="left"/>
        <w:textAlignment w:val="auto"/>
        <w:rPr>
          <w:rFonts w:hint="default"/>
          <w:lang w:val="en-US" w:eastAsia="zh-CN"/>
        </w:rPr>
      </w:pPr>
      <w:r>
        <w:rPr>
          <w:rFonts w:hint="eastAsia"/>
          <w:lang w:val="en-US" w:eastAsia="zh-CN"/>
        </w:rPr>
        <w:t>对“合理范围”的认定需判断</w:t>
      </w:r>
      <w:r>
        <w:rPr>
          <w:rFonts w:hint="default"/>
          <w:lang w:val="en-US" w:eastAsia="zh-CN"/>
        </w:rPr>
        <w:t>相关处理行为是否侵害了其重大利益，</w:t>
      </w:r>
      <w:r>
        <w:rPr>
          <w:rFonts w:hint="eastAsia"/>
          <w:lang w:val="en-US" w:eastAsia="zh-CN"/>
        </w:rPr>
        <w:t>需结合个人权益影响程度综合判断</w:t>
      </w:r>
      <w:r>
        <w:rPr>
          <w:rFonts w:hint="default"/>
          <w:lang w:val="en-US" w:eastAsia="zh-CN"/>
        </w:rPr>
        <w:t>。</w:t>
      </w:r>
    </w:p>
    <w:p w14:paraId="2888B464">
      <w:pPr>
        <w:pageBreakBefore w:val="0"/>
        <w:widowControl w:val="0"/>
        <w:kinsoku/>
        <w:wordWrap/>
        <w:overflowPunct/>
        <w:topLinePunct w:val="0"/>
        <w:autoSpaceDE/>
        <w:autoSpaceDN/>
        <w:bidi w:val="0"/>
        <w:adjustRightInd/>
        <w:snapToGrid/>
        <w:spacing w:line="300" w:lineRule="auto"/>
        <w:jc w:val="left"/>
        <w:textAlignment w:val="auto"/>
        <w:rPr>
          <w:rFonts w:hint="default"/>
          <w:lang w:val="en-US" w:eastAsia="zh-CN"/>
        </w:rPr>
      </w:pPr>
      <w:r>
        <w:rPr>
          <w:rFonts w:hint="default"/>
          <w:lang w:val="en-US" w:eastAsia="zh-CN"/>
        </w:rPr>
        <w:t>在界定</w:t>
      </w:r>
      <w:r>
        <w:rPr>
          <w:rFonts w:hint="eastAsia"/>
          <w:lang w:val="en-US" w:eastAsia="zh-CN"/>
        </w:rPr>
        <w:t>“合理范围”</w:t>
      </w:r>
      <w:r>
        <w:rPr>
          <w:rFonts w:hint="default"/>
          <w:lang w:val="en-US" w:eastAsia="zh-CN"/>
        </w:rPr>
        <w:t>时，核心任务是</w:t>
      </w:r>
      <w:r>
        <w:rPr>
          <w:rFonts w:hint="eastAsia"/>
          <w:lang w:val="en-US" w:eastAsia="zh-CN"/>
        </w:rPr>
        <w:t>判断信息</w:t>
      </w:r>
      <w:r>
        <w:rPr>
          <w:rFonts w:hint="default"/>
          <w:lang w:val="en-US" w:eastAsia="zh-CN"/>
        </w:rPr>
        <w:t>处理行为</w:t>
      </w:r>
      <w:r>
        <w:rPr>
          <w:rFonts w:hint="eastAsia"/>
          <w:lang w:val="en-US" w:eastAsia="zh-CN"/>
        </w:rPr>
        <w:t>是否</w:t>
      </w:r>
      <w:r>
        <w:rPr>
          <w:rFonts w:hint="default"/>
          <w:lang w:val="en-US" w:eastAsia="zh-CN"/>
        </w:rPr>
        <w:t>侵犯</w:t>
      </w:r>
      <w:r>
        <w:rPr>
          <w:rFonts w:hint="eastAsia"/>
          <w:lang w:val="en-US" w:eastAsia="zh-CN"/>
        </w:rPr>
        <w:t>信息主体</w:t>
      </w:r>
      <w:r>
        <w:rPr>
          <w:rFonts w:hint="default"/>
          <w:lang w:val="en-US" w:eastAsia="zh-CN"/>
        </w:rPr>
        <w:t>的重大利益，此判定过程应基于对个人权益影响程度的全面综合评估。</w:t>
      </w:r>
      <w:r>
        <w:rPr>
          <w:rFonts w:hint="eastAsia"/>
          <w:lang w:val="en-US" w:eastAsia="zh-CN"/>
        </w:rPr>
        <w:t>“</w:t>
      </w:r>
      <w:r>
        <w:rPr>
          <w:rFonts w:hint="default"/>
          <w:lang w:val="en-US" w:eastAsia="zh-CN"/>
        </w:rPr>
        <w:t>重大</w:t>
      </w:r>
      <w:r>
        <w:rPr>
          <w:rFonts w:hint="eastAsia"/>
          <w:spacing w:val="13"/>
          <w:lang w:val="en-US" w:eastAsia="zh-CN"/>
        </w:rPr>
        <w:t>”</w:t>
      </w:r>
      <w:r>
        <w:rPr>
          <w:rFonts w:hint="default"/>
          <w:lang w:val="en-US" w:eastAsia="zh-CN"/>
        </w:rPr>
        <w:t>是</w:t>
      </w:r>
      <w:r>
        <w:rPr>
          <w:rFonts w:hint="eastAsia"/>
          <w:lang w:val="en-US" w:eastAsia="zh-CN"/>
        </w:rPr>
        <w:t>用来形容</w:t>
      </w:r>
      <w:r>
        <w:rPr>
          <w:rFonts w:hint="default"/>
          <w:lang w:val="en-US" w:eastAsia="zh-CN"/>
        </w:rPr>
        <w:t>影响</w:t>
      </w:r>
      <w:r>
        <w:rPr>
          <w:rFonts w:hint="eastAsia"/>
          <w:lang w:val="en-US" w:eastAsia="zh-CN"/>
        </w:rPr>
        <w:t>的程度，较为轻微的影响较难阻碍法定信息的公开。法定信息代表着公众利益，信息的公开或多或少会对信息主体造成一定影响，只有达到“重大</w:t>
      </w:r>
      <w:r>
        <w:rPr>
          <w:rFonts w:hint="eastAsia"/>
          <w:spacing w:val="13"/>
          <w:lang w:val="en-US" w:eastAsia="zh-CN"/>
        </w:rPr>
        <w:t>”</w:t>
      </w:r>
      <w:r>
        <w:rPr>
          <w:rFonts w:hint="eastAsia"/>
          <w:lang w:val="en-US" w:eastAsia="zh-CN"/>
        </w:rPr>
        <w:t>的程度，才能阻碍法定信息的公开，这也是责任规则的要求。对于“个人权益</w:t>
      </w:r>
      <w:r>
        <w:rPr>
          <w:rFonts w:hint="eastAsia"/>
          <w:spacing w:val="13"/>
          <w:lang w:val="en-US" w:eastAsia="zh-CN"/>
        </w:rPr>
        <w:t>”</w:t>
      </w:r>
      <w:r>
        <w:rPr>
          <w:rFonts w:hint="eastAsia"/>
          <w:lang w:val="en-US" w:eastAsia="zh-CN"/>
        </w:rPr>
        <w:t>的解释应当宽泛化，应包括政治、经济社会等权益。不仅包括信息主体自身的权益，还应包括相关利害关系人的权益，如与之有关的近亲属、同事等。</w:t>
      </w:r>
    </w:p>
    <w:p w14:paraId="7D8D2147">
      <w:pPr>
        <w:pageBreakBefore w:val="0"/>
        <w:widowControl w:val="0"/>
        <w:kinsoku/>
        <w:wordWrap/>
        <w:overflowPunct/>
        <w:topLinePunct w:val="0"/>
        <w:autoSpaceDE/>
        <w:autoSpaceDN/>
        <w:bidi w:val="0"/>
        <w:adjustRightInd/>
        <w:snapToGrid/>
        <w:spacing w:line="300" w:lineRule="auto"/>
        <w:jc w:val="left"/>
        <w:textAlignment w:val="auto"/>
        <w:rPr>
          <w:rFonts w:hint="eastAsia"/>
          <w:lang w:val="en-US" w:eastAsia="zh-CN"/>
        </w:rPr>
      </w:pPr>
      <w:bookmarkStart w:id="8" w:name="_Toc9633"/>
      <w:r>
        <w:rPr>
          <w:rFonts w:hint="default"/>
          <w:lang w:val="en-US" w:eastAsia="zh-CN"/>
        </w:rPr>
        <w:t>按照《个人信息安全影响评估指南》附录D的界定</w:t>
      </w:r>
      <w:r>
        <w:rPr>
          <w:rFonts w:hint="eastAsia"/>
          <w:lang w:val="en-US" w:eastAsia="zh-CN"/>
        </w:rPr>
        <w:t>，重大</w:t>
      </w:r>
      <w:r>
        <w:rPr>
          <w:rFonts w:hint="default"/>
          <w:lang w:val="en-US" w:eastAsia="zh-CN"/>
        </w:rPr>
        <w:t>影响表现为信息主体</w:t>
      </w:r>
      <w:r>
        <w:rPr>
          <w:rFonts w:hint="eastAsia"/>
          <w:lang w:val="en-US" w:eastAsia="zh-CN"/>
        </w:rPr>
        <w:t>面临或可能</w:t>
      </w:r>
      <w:r>
        <w:rPr>
          <w:rFonts w:hint="default"/>
          <w:lang w:val="en-US" w:eastAsia="zh-CN"/>
        </w:rPr>
        <w:t>面临</w:t>
      </w:r>
      <w:r>
        <w:rPr>
          <w:rFonts w:hint="eastAsia"/>
          <w:lang w:val="en-US" w:eastAsia="zh-CN"/>
        </w:rPr>
        <w:t>的</w:t>
      </w:r>
      <w:r>
        <w:rPr>
          <w:rFonts w:hint="default"/>
          <w:lang w:val="en-US" w:eastAsia="zh-CN"/>
        </w:rPr>
        <w:t>重大、</w:t>
      </w:r>
      <w:r>
        <w:rPr>
          <w:rFonts w:hint="eastAsia"/>
          <w:lang w:val="en-US" w:eastAsia="zh-CN"/>
        </w:rPr>
        <w:t>较难预料、难以接受和</w:t>
      </w:r>
      <w:r>
        <w:rPr>
          <w:rFonts w:hint="default"/>
          <w:lang w:val="en-US" w:eastAsia="zh-CN"/>
        </w:rPr>
        <w:t>克服的不良后果</w:t>
      </w:r>
      <w:r>
        <w:rPr>
          <w:rFonts w:hint="eastAsia"/>
          <w:lang w:val="en-US" w:eastAsia="zh-CN"/>
        </w:rPr>
        <w:t>，</w:t>
      </w:r>
      <w:r>
        <w:rPr>
          <w:rFonts w:hint="default"/>
          <w:lang w:val="en-US" w:eastAsia="zh-CN"/>
        </w:rPr>
        <w:t>其典型表征包括但不限于陷入不可承受的债务困境、永久性丧失劳动能力、罹患长期性身心疾病等极端情形，极端情况下甚至可能</w:t>
      </w:r>
      <w:r>
        <w:rPr>
          <w:rFonts w:hint="eastAsia"/>
          <w:lang w:val="en-US" w:eastAsia="zh-CN"/>
        </w:rPr>
        <w:t>包括</w:t>
      </w:r>
      <w:r>
        <w:rPr>
          <w:rFonts w:hint="default"/>
          <w:lang w:val="en-US" w:eastAsia="zh-CN"/>
        </w:rPr>
        <w:t>自然人生命权受损。</w:t>
      </w:r>
      <w:r>
        <w:rPr>
          <w:rFonts w:hint="eastAsia"/>
          <w:lang w:val="en-US" w:eastAsia="zh-CN"/>
        </w:rPr>
        <w:t>“重大”是指信息处理者对信息主体权益造成法律上可认定的显著损害，</w:t>
      </w:r>
      <w:r>
        <w:rPr>
          <w:rFonts w:hint="default"/>
          <w:lang w:val="en-US" w:eastAsia="zh-CN"/>
        </w:rPr>
        <w:t>此类重大影响不仅限于</w:t>
      </w:r>
      <w:r>
        <w:rPr>
          <w:rFonts w:hint="eastAsia"/>
          <w:lang w:val="en-US" w:eastAsia="zh-CN"/>
        </w:rPr>
        <w:t>社会</w:t>
      </w:r>
      <w:r>
        <w:rPr>
          <w:rFonts w:hint="default"/>
          <w:lang w:val="en-US" w:eastAsia="zh-CN"/>
        </w:rPr>
        <w:t>地位的贬损与经济利益</w:t>
      </w:r>
      <w:r>
        <w:rPr>
          <w:rFonts w:hint="eastAsia"/>
          <w:lang w:val="en-US" w:eastAsia="zh-CN"/>
        </w:rPr>
        <w:t>的丧失</w:t>
      </w:r>
      <w:r>
        <w:rPr>
          <w:rFonts w:hint="default"/>
          <w:lang w:val="en-US" w:eastAsia="zh-CN"/>
        </w:rPr>
        <w:t>，更延伸至职业发展受阻、教育机会丧失、社会福利获取障碍、公共事务参与受限等社会评价维度，以及由此衍生的文化权益与政治权利减损。这种损害认定框架既包含客观损害标准，也涵盖主观权益实现障碍，形成对个人信息权益侵害程度的立体化评价尺度。</w:t>
      </w:r>
      <w:r>
        <w:rPr>
          <w:rFonts w:hint="eastAsia" w:ascii="Times New Roman" w:hAnsi="Times New Roman" w:eastAsia="宋体" w:cs="Times New Roman"/>
          <w:spacing w:val="13"/>
          <w:kern w:val="2"/>
          <w:sz w:val="21"/>
          <w:szCs w:val="22"/>
          <w:lang w:val="en-US" w:eastAsia="zh-CN" w:bidi="ar-SA"/>
          <w14:ligatures w14:val="standardContextual"/>
        </w:rPr>
        <w:t>例如</w:t>
      </w:r>
      <w:r>
        <w:rPr>
          <w:rFonts w:hint="eastAsia" w:cs="Times New Roman"/>
          <w:spacing w:val="13"/>
          <w:kern w:val="2"/>
          <w:sz w:val="21"/>
          <w:szCs w:val="22"/>
          <w:lang w:val="en-US" w:eastAsia="zh-CN" w:bidi="ar-SA"/>
          <w14:ligatures w14:val="standardContextual"/>
        </w:rPr>
        <w:t>，</w:t>
      </w:r>
      <w:r>
        <w:rPr>
          <w:rFonts w:hint="eastAsia" w:ascii="Times New Roman" w:hAnsi="Times New Roman" w:eastAsia="宋体" w:cs="Times New Roman"/>
          <w:spacing w:val="13"/>
          <w:kern w:val="2"/>
          <w:sz w:val="21"/>
          <w:szCs w:val="22"/>
          <w:lang w:val="en-US" w:eastAsia="zh-CN" w:bidi="ar-SA"/>
          <w14:ligatures w14:val="standardContextual"/>
        </w:rPr>
        <w:t>广州互联网法院与杭州互联网法院近期先后判决两起涉及“奥特曼”形象的案件</w:t>
      </w:r>
      <w:r>
        <w:rPr>
          <w:rFonts w:hint="eastAsia" w:cs="Times New Roman"/>
          <w:spacing w:val="13"/>
          <w:kern w:val="2"/>
          <w:sz w:val="21"/>
          <w:szCs w:val="22"/>
          <w:lang w:val="en-US" w:eastAsia="zh-CN" w:bidi="ar-SA"/>
          <w14:ligatures w14:val="standardContextual"/>
        </w:rPr>
        <w:t>，</w:t>
      </w:r>
      <w:r>
        <w:rPr>
          <w:rFonts w:hint="eastAsia" w:ascii="Times New Roman" w:hAnsi="Times New Roman" w:eastAsia="宋体" w:cs="Times New Roman"/>
          <w:spacing w:val="13"/>
          <w:kern w:val="2"/>
          <w:sz w:val="21"/>
          <w:szCs w:val="22"/>
          <w:lang w:val="en-US" w:eastAsia="zh-CN" w:bidi="ar-SA"/>
          <w14:ligatures w14:val="standardContextual"/>
        </w:rPr>
        <w:t>法院就是根据侵权法的一般原理来判断权利人的著作权是否受到侵害。</w:t>
      </w:r>
      <w:r>
        <w:rPr>
          <w:rFonts w:hint="eastAsia" w:ascii="Times New Roman" w:hAnsi="Times New Roman" w:eastAsia="宋体" w:cs="Times New Roman"/>
          <w:spacing w:val="13"/>
          <w:kern w:val="2"/>
          <w:sz w:val="21"/>
          <w:szCs w:val="22"/>
          <w:vertAlign w:val="superscript"/>
          <w:lang w:val="en-US" w:eastAsia="zh-CN" w:bidi="ar-SA"/>
          <w14:ligatures w14:val="standardContextual"/>
        </w:rPr>
        <w:footnoteReference w:id="22"/>
      </w:r>
    </w:p>
    <w:p w14:paraId="2C095020">
      <w:pPr>
        <w:pStyle w:val="2"/>
        <w:bidi w:val="0"/>
        <w:rPr>
          <w:rFonts w:hint="eastAsia"/>
          <w:lang w:val="en-US" w:eastAsia="zh-CN"/>
        </w:rPr>
      </w:pPr>
      <w:r>
        <w:rPr>
          <w:rFonts w:hint="eastAsia"/>
          <w:lang w:val="en-US" w:eastAsia="zh-CN"/>
        </w:rPr>
        <w:t>三、法定公开信息处理场景下财产规则的弱化</w:t>
      </w:r>
      <w:bookmarkEnd w:id="8"/>
    </w:p>
    <w:p w14:paraId="432AB688">
      <w:pPr>
        <w:pageBreakBefore w:val="0"/>
        <w:widowControl w:val="0"/>
        <w:kinsoku/>
        <w:wordWrap/>
        <w:overflowPunct/>
        <w:topLinePunct w:val="0"/>
        <w:autoSpaceDE/>
        <w:autoSpaceDN/>
        <w:bidi w:val="0"/>
        <w:adjustRightInd/>
        <w:snapToGrid/>
        <w:spacing w:line="300" w:lineRule="auto"/>
        <w:jc w:val="left"/>
        <w:textAlignment w:val="auto"/>
        <w:rPr>
          <w:rFonts w:hint="default"/>
          <w:lang w:val="en-US" w:eastAsia="zh-CN"/>
        </w:rPr>
      </w:pPr>
      <w:r>
        <w:rPr>
          <w:rFonts w:hint="eastAsia"/>
          <w:lang w:val="en-US" w:eastAsia="zh-CN"/>
        </w:rPr>
        <w:t>若采用财产规则调整法定公开信息处理行为，会面临诸多问题。一方面，搜寻成本与缔约成本高昂，当信息处理者进行操作时，一般不会披露信息主体的详细联络信息，这致使信息处理者难以同信息主体建立联系，进而难以促成自愿交易；另一方面，技术层面存在障碍，信息处理者普遍对公开信息进行大规模处理，若要求逐一征得同意，不仅会阻断信息处理活动，还将导致大量资源的浪费。所以，在法定公开信息处理场景下，需要弱化财产规则。财产规则主要体现在</w:t>
      </w:r>
      <w:r>
        <w:rPr>
          <w:rFonts w:hint="eastAsia"/>
          <w:spacing w:val="13"/>
          <w:lang w:val="en-US" w:eastAsia="zh-CN"/>
        </w:rPr>
        <w:t>《个人信息保护法》</w:t>
      </w:r>
      <w:r>
        <w:rPr>
          <w:rFonts w:hint="default"/>
          <w:spacing w:val="13"/>
          <w:lang w:val="en-US" w:eastAsia="zh-CN"/>
        </w:rPr>
        <w:t>第27条设置的</w:t>
      </w:r>
      <w:r>
        <w:rPr>
          <w:rFonts w:hint="eastAsia"/>
          <w:lang w:val="en-US" w:eastAsia="zh-CN"/>
        </w:rPr>
        <w:t>“告知同意规则</w:t>
      </w:r>
      <w:r>
        <w:rPr>
          <w:rFonts w:hint="eastAsia"/>
          <w:spacing w:val="13"/>
          <w:lang w:val="en-US" w:eastAsia="zh-CN"/>
        </w:rPr>
        <w:t>”</w:t>
      </w:r>
      <w:r>
        <w:rPr>
          <w:rFonts w:hint="eastAsia"/>
          <w:lang w:val="en-US" w:eastAsia="zh-CN"/>
        </w:rPr>
        <w:t>以及“个人拒绝权</w:t>
      </w:r>
      <w:r>
        <w:rPr>
          <w:rFonts w:hint="eastAsia"/>
          <w:spacing w:val="13"/>
          <w:lang w:val="en-US" w:eastAsia="zh-CN"/>
        </w:rPr>
        <w:t>”</w:t>
      </w:r>
      <w:r>
        <w:rPr>
          <w:rFonts w:hint="eastAsia"/>
          <w:lang w:val="en-US" w:eastAsia="zh-CN"/>
        </w:rPr>
        <w:t>两个部分，法定公开信息处理场景下需要对两者进行弱化。</w:t>
      </w:r>
    </w:p>
    <w:p w14:paraId="14CFDEE6">
      <w:pPr>
        <w:pStyle w:val="3"/>
        <w:bidi w:val="0"/>
        <w:rPr>
          <w:rFonts w:hint="default"/>
          <w:lang w:val="en-US" w:eastAsia="zh-CN"/>
        </w:rPr>
      </w:pPr>
      <w:bookmarkStart w:id="9" w:name="_Toc21270"/>
      <w:r>
        <w:rPr>
          <w:rFonts w:hint="eastAsia"/>
          <w:lang w:val="en-US" w:eastAsia="zh-CN"/>
        </w:rPr>
        <w:t>（一）告知同意规则的弱化</w:t>
      </w:r>
      <w:bookmarkEnd w:id="9"/>
    </w:p>
    <w:p w14:paraId="32159B6C">
      <w:pPr>
        <w:pageBreakBefore w:val="0"/>
        <w:widowControl w:val="0"/>
        <w:kinsoku/>
        <w:wordWrap/>
        <w:overflowPunct/>
        <w:topLinePunct w:val="0"/>
        <w:autoSpaceDE/>
        <w:autoSpaceDN/>
        <w:bidi w:val="0"/>
        <w:adjustRightInd/>
        <w:snapToGrid/>
        <w:spacing w:line="300" w:lineRule="auto"/>
        <w:jc w:val="left"/>
        <w:textAlignment w:val="auto"/>
        <w:rPr>
          <w:rFonts w:hint="eastAsia"/>
          <w:spacing w:val="13"/>
          <w:lang w:val="en-US" w:eastAsia="zh-CN"/>
        </w:rPr>
      </w:pPr>
      <w:r>
        <w:rPr>
          <w:rFonts w:hint="eastAsia"/>
          <w:spacing w:val="13"/>
        </w:rPr>
        <w:t>在</w:t>
      </w:r>
      <w:r>
        <w:rPr>
          <w:rFonts w:hint="eastAsia"/>
          <w:spacing w:val="13"/>
          <w:lang w:eastAsia="zh-CN"/>
        </w:rPr>
        <w:t>《</w:t>
      </w:r>
      <w:r>
        <w:rPr>
          <w:rFonts w:hint="eastAsia"/>
          <w:spacing w:val="13"/>
        </w:rPr>
        <w:t>个人信息保护法</w:t>
      </w:r>
      <w:r>
        <w:rPr>
          <w:rFonts w:hint="eastAsia"/>
          <w:spacing w:val="13"/>
          <w:lang w:eastAsia="zh-CN"/>
        </w:rPr>
        <w:t>》</w:t>
      </w:r>
      <w:r>
        <w:rPr>
          <w:rFonts w:hint="eastAsia"/>
          <w:spacing w:val="13"/>
        </w:rPr>
        <w:t>中，告知同意规则占据着举足轻重的地位，</w:t>
      </w:r>
      <w:r>
        <w:rPr>
          <w:rStyle w:val="15"/>
          <w:rFonts w:hint="eastAsia"/>
          <w:spacing w:val="13"/>
          <w:lang w:eastAsia="zh-CN"/>
        </w:rPr>
        <w:footnoteReference w:id="23"/>
      </w:r>
      <w:r>
        <w:rPr>
          <w:rFonts w:hint="eastAsia"/>
          <w:spacing w:val="13"/>
          <w:lang w:val="en-US" w:eastAsia="zh-CN"/>
        </w:rPr>
        <w:t>然而在法定公开信息处理场景却要对其进行弱化。</w:t>
      </w:r>
      <w:r>
        <w:rPr>
          <w:rFonts w:hint="default"/>
          <w:lang w:val="en-US" w:eastAsia="zh-CN"/>
        </w:rPr>
        <w:t>在大数据时代的浪潮席卷下，法定公开信息处理活动呈现出前所未有的广度与复杂度</w:t>
      </w:r>
      <w:r>
        <w:rPr>
          <w:rFonts w:hint="eastAsia"/>
          <w:lang w:val="en-US" w:eastAsia="zh-CN"/>
        </w:rPr>
        <w:t>。</w:t>
      </w:r>
      <w:r>
        <w:rPr>
          <w:rFonts w:hint="default"/>
          <w:lang w:val="en-US" w:eastAsia="zh-CN"/>
        </w:rPr>
        <w:t>海量的信息在不同领域、不同主体之间频繁交互与流转，形成了一个庞大而复杂的信息处理网络。</w:t>
      </w:r>
      <w:r>
        <w:rPr>
          <w:rFonts w:hint="eastAsia"/>
          <w:lang w:val="en-US" w:eastAsia="zh-CN"/>
        </w:rPr>
        <w:t>且如上文所述，由于公共平台的保护，获取信息主体的联系方式成为一大难题，而取得每个信息主体的同意又将耗费巨大的成本。</w:t>
      </w:r>
      <w:r>
        <w:rPr>
          <w:rFonts w:hint="default"/>
          <w:lang w:val="en-US" w:eastAsia="zh-CN"/>
        </w:rPr>
        <w:t>在</w:t>
      </w:r>
      <w:r>
        <w:rPr>
          <w:rFonts w:hint="eastAsia"/>
          <w:lang w:val="en-US" w:eastAsia="zh-CN"/>
        </w:rPr>
        <w:t>此</w:t>
      </w:r>
      <w:r>
        <w:rPr>
          <w:rFonts w:hint="default"/>
          <w:lang w:val="en-US" w:eastAsia="zh-CN"/>
        </w:rPr>
        <w:t>背景下，若依旧严格遵循传统的告知同意规则，要求信息处理者</w:t>
      </w:r>
      <w:r>
        <w:rPr>
          <w:rFonts w:hint="eastAsia"/>
          <w:lang w:val="en-US" w:eastAsia="zh-CN"/>
        </w:rPr>
        <w:t>为</w:t>
      </w:r>
      <w:r>
        <w:rPr>
          <w:rFonts w:hint="default"/>
          <w:lang w:val="en-US" w:eastAsia="zh-CN"/>
        </w:rPr>
        <w:t>每一次信息处理行为</w:t>
      </w:r>
      <w:r>
        <w:rPr>
          <w:rFonts w:hint="eastAsia"/>
          <w:lang w:val="en-US" w:eastAsia="zh-CN"/>
        </w:rPr>
        <w:t>单独履行告知与获取同意义务</w:t>
      </w:r>
      <w:r>
        <w:rPr>
          <w:rFonts w:hint="default"/>
          <w:lang w:val="en-US" w:eastAsia="zh-CN"/>
        </w:rPr>
        <w:t>，无疑会引发诸多难以</w:t>
      </w:r>
      <w:r>
        <w:rPr>
          <w:rFonts w:hint="eastAsia"/>
          <w:lang w:val="en-US" w:eastAsia="zh-CN"/>
        </w:rPr>
        <w:t>调和</w:t>
      </w:r>
      <w:r>
        <w:rPr>
          <w:rFonts w:hint="default"/>
          <w:lang w:val="en-US" w:eastAsia="zh-CN"/>
        </w:rPr>
        <w:t>的操作难题。</w:t>
      </w:r>
    </w:p>
    <w:p w14:paraId="674F6F4A">
      <w:pPr>
        <w:pageBreakBefore w:val="0"/>
        <w:widowControl w:val="0"/>
        <w:kinsoku/>
        <w:wordWrap/>
        <w:overflowPunct/>
        <w:topLinePunct w:val="0"/>
        <w:autoSpaceDE/>
        <w:autoSpaceDN/>
        <w:bidi w:val="0"/>
        <w:adjustRightInd/>
        <w:snapToGrid/>
        <w:spacing w:line="300" w:lineRule="auto"/>
        <w:ind w:left="0" w:leftChars="0" w:firstLine="420" w:firstLineChars="0"/>
        <w:jc w:val="left"/>
        <w:textAlignment w:val="auto"/>
        <w:rPr>
          <w:rFonts w:hint="default"/>
          <w:lang w:val="en-US" w:eastAsia="zh-CN"/>
        </w:rPr>
      </w:pPr>
      <w:r>
        <w:rPr>
          <w:rFonts w:hint="eastAsia" w:ascii="MS Gothic" w:hAnsi="MS Gothic" w:eastAsia="宋体" w:cs="MS Gothic"/>
          <w:spacing w:val="13"/>
          <w:lang w:val="en-US" w:eastAsia="zh-CN"/>
        </w:rPr>
        <w:t>告知同意规则属于财产规则的一部分，</w:t>
      </w:r>
      <w:r>
        <w:rPr>
          <w:spacing w:val="13"/>
        </w:rPr>
        <w:t>在处理法定公开信息的场景</w:t>
      </w:r>
      <w:r>
        <w:rPr>
          <w:rFonts w:hint="eastAsia"/>
          <w:spacing w:val="13"/>
          <w:lang w:val="en-US" w:eastAsia="zh-CN"/>
        </w:rPr>
        <w:t>下</w:t>
      </w:r>
      <w:r>
        <w:rPr>
          <w:rFonts w:ascii="MS Gothic" w:hAnsi="MS Gothic" w:eastAsia="MS Gothic" w:cs="MS Gothic"/>
          <w:spacing w:val="13"/>
        </w:rPr>
        <w:t>，</w:t>
      </w:r>
      <w:r>
        <w:rPr>
          <w:rFonts w:hint="default"/>
          <w:lang w:val="en-US" w:eastAsia="zh-CN"/>
        </w:rPr>
        <w:t>为了在保障信息主体权益的同时，确保法定公开信息能够得到合理、高效</w:t>
      </w:r>
      <w:r>
        <w:rPr>
          <w:rFonts w:hint="eastAsia"/>
          <w:lang w:val="en-US" w:eastAsia="zh-CN"/>
        </w:rPr>
        <w:t>地</w:t>
      </w:r>
      <w:r>
        <w:rPr>
          <w:rFonts w:hint="default"/>
          <w:lang w:val="en-US" w:eastAsia="zh-CN"/>
        </w:rPr>
        <w:t>利用，</w:t>
      </w:r>
      <w:r>
        <w:rPr>
          <w:spacing w:val="13"/>
        </w:rPr>
        <w:t>应当</w:t>
      </w:r>
      <w:r>
        <w:rPr>
          <w:rFonts w:hint="eastAsia"/>
          <w:spacing w:val="13"/>
          <w:lang w:val="en-US" w:eastAsia="zh-CN"/>
        </w:rPr>
        <w:t>限缩其适用范围。具体而言，对告知同意规则进行限缩，应该</w:t>
      </w:r>
      <w:r>
        <w:rPr>
          <w:spacing w:val="13"/>
        </w:rPr>
        <w:t>严</w:t>
      </w:r>
      <w:r>
        <w:rPr>
          <w:spacing w:val="12"/>
        </w:rPr>
        <w:t>格</w:t>
      </w:r>
      <w:r>
        <w:rPr>
          <w:rFonts w:hint="eastAsia"/>
          <w:spacing w:val="12"/>
          <w:lang w:val="en-US" w:eastAsia="zh-CN"/>
        </w:rPr>
        <w:t>限缩</w:t>
      </w:r>
      <w:r>
        <w:rPr>
          <w:rFonts w:hint="eastAsia" w:ascii="MS Gothic" w:hAnsi="MS Gothic" w:eastAsia="宋体" w:cs="MS Gothic"/>
          <w:spacing w:val="13"/>
          <w:lang w:eastAsia="zh-CN"/>
        </w:rPr>
        <w:t>“</w:t>
      </w:r>
      <w:r>
        <w:rPr>
          <w:spacing w:val="13"/>
        </w:rPr>
        <w:t>对个人权益有重大影响</w:t>
      </w:r>
      <w:r>
        <w:rPr>
          <w:rFonts w:hint="eastAsia"/>
          <w:spacing w:val="13"/>
          <w:lang w:val="en-US" w:eastAsia="zh-CN"/>
        </w:rPr>
        <w:t>”</w:t>
      </w:r>
      <w:r>
        <w:rPr>
          <w:spacing w:val="13"/>
        </w:rPr>
        <w:t>的</w:t>
      </w:r>
      <w:r>
        <w:rPr>
          <w:rFonts w:hint="eastAsia"/>
          <w:spacing w:val="13"/>
          <w:lang w:val="en-US" w:eastAsia="zh-CN"/>
        </w:rPr>
        <w:t>应用标准</w:t>
      </w:r>
      <w:r>
        <w:rPr>
          <w:rFonts w:ascii="MS Gothic" w:hAnsi="MS Gothic" w:eastAsia="MS Gothic" w:cs="MS Gothic"/>
          <w:spacing w:val="12"/>
        </w:rPr>
        <w:t>，</w:t>
      </w:r>
      <w:r>
        <w:rPr>
          <w:rFonts w:hint="eastAsia"/>
          <w:spacing w:val="12"/>
          <w:lang w:val="en-US" w:eastAsia="zh-CN"/>
        </w:rPr>
        <w:t>仅有</w:t>
      </w:r>
      <w:r>
        <w:rPr>
          <w:spacing w:val="12"/>
        </w:rPr>
        <w:t>当</w:t>
      </w:r>
      <w:r>
        <w:rPr>
          <w:rFonts w:hint="eastAsia"/>
          <w:spacing w:val="12"/>
          <w:lang w:val="en-US" w:eastAsia="zh-CN"/>
        </w:rPr>
        <w:t>影响程度达到“重大”时，</w:t>
      </w:r>
      <w:r>
        <w:rPr>
          <w:rFonts w:hint="eastAsia"/>
          <w:spacing w:val="15"/>
          <w:lang w:val="en-US" w:eastAsia="zh-CN"/>
        </w:rPr>
        <w:t>才需要</w:t>
      </w:r>
      <w:r>
        <w:rPr>
          <w:spacing w:val="12"/>
        </w:rPr>
        <w:t>征得信息主体同意</w:t>
      </w:r>
      <w:r>
        <w:rPr>
          <w:rFonts w:hint="eastAsia"/>
          <w:spacing w:val="15"/>
          <w:lang w:eastAsia="zh-CN"/>
        </w:rPr>
        <w:t>。此次调整的核心目的，在于协调信息主体权益保障和信息处理效率之间的关系。通过这一调整，法定公开信息处理活动一方面能够遵循法治的基本准则，确保信息处理在合法合规的框架内进行；另一方面，也能够顺应大数据时代的发展潮流，满足信息快速流动与高效利用的现实需求，实现信息处理的规范化与高效化。</w:t>
      </w:r>
      <w:r>
        <w:rPr>
          <w:rFonts w:hint="eastAsia"/>
          <w:lang w:val="en-US" w:eastAsia="zh-CN"/>
        </w:rPr>
        <w:t>对于不同场景下的告知同意规则，笔者尝试做出以下分类并进行讨论。</w:t>
      </w:r>
    </w:p>
    <w:p w14:paraId="7EE0675E">
      <w:pPr>
        <w:pStyle w:val="4"/>
        <w:pageBreakBefore w:val="0"/>
        <w:widowControl w:val="0"/>
        <w:kinsoku/>
        <w:wordWrap/>
        <w:overflowPunct/>
        <w:topLinePunct w:val="0"/>
        <w:autoSpaceDE/>
        <w:autoSpaceDN/>
        <w:bidi w:val="0"/>
        <w:adjustRightInd/>
        <w:snapToGrid/>
        <w:spacing w:line="300" w:lineRule="auto"/>
        <w:jc w:val="left"/>
        <w:textAlignment w:val="auto"/>
        <w:rPr>
          <w:rFonts w:hint="eastAsia"/>
          <w:lang w:val="en-US" w:eastAsia="zh-CN"/>
        </w:rPr>
      </w:pPr>
      <w:r>
        <w:rPr>
          <w:rFonts w:hint="eastAsia"/>
          <w:lang w:val="en-US" w:eastAsia="zh-CN"/>
        </w:rPr>
        <w:t>1. 紧急公开</w:t>
      </w:r>
    </w:p>
    <w:p w14:paraId="292523B4">
      <w:pPr>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lang w:val="en-US" w:eastAsia="zh-CN"/>
        </w:rPr>
      </w:pPr>
      <w:r>
        <w:rPr>
          <w:rFonts w:hint="eastAsia"/>
          <w:lang w:val="en-US" w:eastAsia="zh-CN"/>
        </w:rPr>
        <w:t>紧急公开不适用告知同意规则。紧急公开是指对于紧急情况下的法定信息公开，如《个人信息保护法》第13条第1款第3项规定的为应对突发公共卫生事件，或者紧急情况下为保护公民的生命健康和财产安全所必须信息公开。紧急公开具有相应的急迫性，且其所要保护的法益远远大于对于个人知情同意法益的保护。在此种情形下，信息处理主体可以完全排除告知同意规则，而对相应信息进行直接公开，最大程度上促进信息的传播，阻止损害的发生。比如在重大传染病高发期，对于感染者行程路径的公开披露，不需要征求信息主体的同意，直接进行相应的披露，可以更快地让公众知道传染病的传播程度，避免更多人感染。</w:t>
      </w:r>
    </w:p>
    <w:p w14:paraId="1572F320">
      <w:pPr>
        <w:pStyle w:val="4"/>
        <w:pageBreakBefore w:val="0"/>
        <w:widowControl w:val="0"/>
        <w:kinsoku/>
        <w:wordWrap/>
        <w:overflowPunct/>
        <w:topLinePunct w:val="0"/>
        <w:autoSpaceDE/>
        <w:autoSpaceDN/>
        <w:bidi w:val="0"/>
        <w:adjustRightInd/>
        <w:snapToGrid/>
        <w:spacing w:line="300" w:lineRule="auto"/>
        <w:jc w:val="left"/>
        <w:textAlignment w:val="auto"/>
        <w:rPr>
          <w:rFonts w:hint="default"/>
          <w:lang w:val="en-US" w:eastAsia="zh-CN"/>
        </w:rPr>
      </w:pPr>
      <w:r>
        <w:rPr>
          <w:rFonts w:hint="eastAsia"/>
          <w:lang w:val="en-US" w:eastAsia="zh-CN"/>
        </w:rPr>
        <w:t xml:space="preserve">2. </w:t>
      </w:r>
      <w:r>
        <w:rPr>
          <w:rFonts w:hint="default"/>
          <w:lang w:val="en-US" w:eastAsia="zh-CN"/>
        </w:rPr>
        <w:t>政府公开</w:t>
      </w:r>
    </w:p>
    <w:p w14:paraId="2751716A">
      <w:pPr>
        <w:pageBreakBefore w:val="0"/>
        <w:widowControl w:val="0"/>
        <w:kinsoku/>
        <w:wordWrap/>
        <w:overflowPunct/>
        <w:topLinePunct w:val="0"/>
        <w:autoSpaceDE/>
        <w:autoSpaceDN/>
        <w:bidi w:val="0"/>
        <w:adjustRightInd/>
        <w:snapToGrid/>
        <w:spacing w:line="300" w:lineRule="auto"/>
        <w:ind w:left="0" w:leftChars="0" w:firstLine="420" w:firstLineChars="0"/>
        <w:jc w:val="left"/>
        <w:textAlignment w:val="auto"/>
        <w:rPr>
          <w:rFonts w:hint="eastAsia"/>
          <w:lang w:val="en-US" w:eastAsia="zh-CN"/>
        </w:rPr>
      </w:pPr>
      <w:r>
        <w:rPr>
          <w:rFonts w:hint="eastAsia"/>
          <w:lang w:val="en-US" w:eastAsia="zh-CN"/>
        </w:rPr>
        <w:t>政府公开</w:t>
      </w:r>
      <w:r>
        <w:rPr>
          <w:rFonts w:hint="default"/>
          <w:lang w:val="en-US" w:eastAsia="zh-CN"/>
        </w:rPr>
        <w:t>原则上</w:t>
      </w:r>
      <w:r>
        <w:rPr>
          <w:rFonts w:hint="eastAsia"/>
          <w:lang w:val="en-US" w:eastAsia="zh-CN"/>
        </w:rPr>
        <w:t>不适用告知同意规则，除非涉及</w:t>
      </w:r>
      <w:r>
        <w:rPr>
          <w:rFonts w:hint="default"/>
          <w:lang w:val="en-US" w:eastAsia="zh-CN"/>
        </w:rPr>
        <w:t>对第三方合法权益造成损害的政府信息。</w:t>
      </w:r>
      <w:r>
        <w:rPr>
          <w:rFonts w:hint="eastAsia"/>
          <w:lang w:val="en-US" w:eastAsia="zh-CN"/>
        </w:rPr>
        <w:t>政府政府公开所涵盖的是公共管理部门依照法定程序予以披露的各类信息，</w:t>
      </w:r>
      <w:r>
        <w:rPr>
          <w:rFonts w:hint="default"/>
          <w:lang w:val="en-US" w:eastAsia="zh-CN"/>
        </w:rPr>
        <w:t>但不限于市场主体工商登记数据、企业信用记录、保障性住房申请公示、积分落户公示信息、行政处罚决定及司法裁判文书等。《政府信息公开条例》第</w:t>
      </w:r>
      <w:r>
        <w:rPr>
          <w:rFonts w:hint="default"/>
          <w:lang w:eastAsia="zh-CN"/>
        </w:rPr>
        <w:t>15</w:t>
      </w:r>
      <w:r>
        <w:rPr>
          <w:rFonts w:hint="default"/>
          <w:lang w:val="en-US" w:eastAsia="zh-CN"/>
        </w:rPr>
        <w:t>定，当拟公开的政府信息涉及商业秘密、个人隐私等可能损害第三方合法权益的情形时，行政机关应秉持审慎</w:t>
      </w:r>
      <w:r>
        <w:rPr>
          <w:rFonts w:hint="eastAsia"/>
          <w:lang w:val="en-US" w:eastAsia="zh-CN"/>
        </w:rPr>
        <w:t>的态度，</w:t>
      </w:r>
      <w:r>
        <w:rPr>
          <w:rFonts w:hint="default"/>
          <w:lang w:val="en-US" w:eastAsia="zh-CN"/>
        </w:rPr>
        <w:t>除经第三方利害关系人明确同意，或行政机关评估认定不公开将严重损害公共利益外，该类信息原则上不予公开。在政务信息披露过程中，若公开可能损害第三方合法权益，行政机关需着重保护商业秘密、未成年人权益、个人隐私权及个人信息权益。行政机关应建立预先告知机制，确保相关主体充分知晓信息披露范围及可能影响。未经法定程序获取</w:t>
      </w:r>
      <w:r>
        <w:rPr>
          <w:rFonts w:hint="eastAsia"/>
          <w:lang w:val="en-US" w:eastAsia="zh-CN"/>
        </w:rPr>
        <w:t>相关信息主体的同意</w:t>
      </w:r>
      <w:r>
        <w:rPr>
          <w:rFonts w:hint="default"/>
          <w:lang w:val="en-US" w:eastAsia="zh-CN"/>
        </w:rPr>
        <w:t>，行政机关不得擅自启动公开流程，以防范披露不当引发的权益侵害风险。</w:t>
      </w:r>
    </w:p>
    <w:p w14:paraId="43FC9429">
      <w:pPr>
        <w:pStyle w:val="4"/>
        <w:pageBreakBefore w:val="0"/>
        <w:widowControl w:val="0"/>
        <w:kinsoku/>
        <w:wordWrap/>
        <w:overflowPunct/>
        <w:topLinePunct w:val="0"/>
        <w:autoSpaceDE/>
        <w:autoSpaceDN/>
        <w:bidi w:val="0"/>
        <w:adjustRightInd/>
        <w:snapToGrid/>
        <w:spacing w:line="300" w:lineRule="auto"/>
        <w:jc w:val="left"/>
        <w:textAlignment w:val="auto"/>
        <w:rPr>
          <w:rFonts w:hint="default"/>
          <w:lang w:val="en-US" w:eastAsia="zh-CN"/>
        </w:rPr>
      </w:pPr>
      <w:r>
        <w:rPr>
          <w:rFonts w:hint="eastAsia"/>
          <w:lang w:val="en-US" w:eastAsia="zh-CN"/>
        </w:rPr>
        <w:t xml:space="preserve">3. </w:t>
      </w:r>
      <w:r>
        <w:rPr>
          <w:rFonts w:hint="default"/>
          <w:lang w:val="en-US" w:eastAsia="zh-CN"/>
        </w:rPr>
        <w:t>社会公开</w:t>
      </w:r>
    </w:p>
    <w:p w14:paraId="62CDA6DD">
      <w:pPr>
        <w:pageBreakBefore w:val="0"/>
        <w:widowControl w:val="0"/>
        <w:kinsoku/>
        <w:wordWrap/>
        <w:overflowPunct/>
        <w:topLinePunct w:val="0"/>
        <w:autoSpaceDE/>
        <w:autoSpaceDN/>
        <w:bidi w:val="0"/>
        <w:adjustRightInd/>
        <w:snapToGrid/>
        <w:spacing w:line="300" w:lineRule="auto"/>
        <w:jc w:val="left"/>
        <w:textAlignment w:val="auto"/>
        <w:rPr>
          <w:rFonts w:hint="default"/>
          <w:lang w:val="en-US" w:eastAsia="zh-CN"/>
        </w:rPr>
      </w:pPr>
      <w:r>
        <w:rPr>
          <w:rFonts w:hint="eastAsia"/>
          <w:lang w:val="en-US" w:eastAsia="zh-CN"/>
        </w:rPr>
        <w:t>社会公开在合法范围内无需适用告知同意规则，超出法律规定范围则需征得信息主体的同意。</w:t>
      </w:r>
      <w:r>
        <w:rPr>
          <w:rFonts w:hint="default"/>
          <w:lang w:val="en-US" w:eastAsia="zh-CN"/>
        </w:rPr>
        <w:t>此类公开行为主要对应《个人信息保护法》第13条</w:t>
      </w:r>
      <w:r>
        <w:rPr>
          <w:rFonts w:hint="eastAsia"/>
          <w:lang w:val="en-US" w:eastAsia="zh-CN"/>
        </w:rPr>
        <w:t>第1款第5项</w:t>
      </w:r>
      <w:r>
        <w:rPr>
          <w:rFonts w:hint="default"/>
          <w:lang w:val="en-US" w:eastAsia="zh-CN"/>
        </w:rPr>
        <w:t>的规范范畴，即基于公共利益需要开展的新闻报道与舆论监督活动。在信息传播体系架构中，新闻媒体占据着核心枢纽地位，</w:t>
      </w:r>
      <w:r>
        <w:rPr>
          <w:rFonts w:hint="eastAsia"/>
          <w:lang w:val="en-US" w:eastAsia="zh-CN"/>
        </w:rPr>
        <w:t>不仅</w:t>
      </w:r>
      <w:r>
        <w:rPr>
          <w:rFonts w:hint="default"/>
          <w:lang w:val="en-US" w:eastAsia="zh-CN"/>
        </w:rPr>
        <w:t>承担着向社会公众传递新闻资讯的重要使命</w:t>
      </w:r>
      <w:r>
        <w:rPr>
          <w:rFonts w:hint="eastAsia"/>
          <w:lang w:val="en-US" w:eastAsia="zh-CN"/>
        </w:rPr>
        <w:t>，还承担着</w:t>
      </w:r>
      <w:r>
        <w:rPr>
          <w:rFonts w:hint="default"/>
          <w:lang w:val="en-US" w:eastAsia="zh-CN"/>
        </w:rPr>
        <w:t>关注与剖析社会热点问题</w:t>
      </w:r>
      <w:r>
        <w:rPr>
          <w:rFonts w:hint="eastAsia"/>
          <w:lang w:val="en-US" w:eastAsia="zh-CN"/>
        </w:rPr>
        <w:t>、</w:t>
      </w:r>
      <w:r>
        <w:rPr>
          <w:rFonts w:hint="default"/>
          <w:lang w:val="en-US" w:eastAsia="zh-CN"/>
        </w:rPr>
        <w:t>评估政策是否达到预期目标</w:t>
      </w:r>
      <w:r>
        <w:rPr>
          <w:rFonts w:hint="eastAsia"/>
          <w:lang w:val="en-US" w:eastAsia="zh-CN"/>
        </w:rPr>
        <w:t>、</w:t>
      </w:r>
      <w:r>
        <w:rPr>
          <w:rFonts w:hint="default"/>
          <w:lang w:val="en-US" w:eastAsia="zh-CN"/>
        </w:rPr>
        <w:t>引导公众树立正确的价值观</w:t>
      </w:r>
      <w:r>
        <w:rPr>
          <w:rFonts w:hint="eastAsia"/>
          <w:lang w:val="en-US" w:eastAsia="zh-CN"/>
        </w:rPr>
        <w:t>等</w:t>
      </w:r>
      <w:r>
        <w:rPr>
          <w:rFonts w:hint="default"/>
          <w:lang w:val="en-US" w:eastAsia="zh-CN"/>
        </w:rPr>
        <w:t>社会责任</w:t>
      </w:r>
      <w:r>
        <w:rPr>
          <w:rFonts w:hint="eastAsia"/>
          <w:lang w:val="en-US" w:eastAsia="zh-CN"/>
        </w:rPr>
        <w:t>；</w:t>
      </w:r>
      <w:r>
        <w:rPr>
          <w:rFonts w:hint="default"/>
          <w:lang w:val="en-US" w:eastAsia="zh-CN"/>
        </w:rPr>
        <w:t>舆论监督机制作为社会监督体系的重要组成部分，与新闻媒体的监督职能相互呼应</w:t>
      </w:r>
      <w:r>
        <w:rPr>
          <w:rFonts w:hint="eastAsia"/>
          <w:lang w:val="en-US" w:eastAsia="zh-CN"/>
        </w:rPr>
        <w:t>，</w:t>
      </w:r>
      <w:r>
        <w:rPr>
          <w:rFonts w:hint="default"/>
          <w:lang w:val="en-US" w:eastAsia="zh-CN"/>
        </w:rPr>
        <w:t>舆论监督机制依托公众的广泛参与，通过公众的讨论、评议与批判，形成了一种强大的社会约束力量，对权力运行和社会事件进行有效制约。《信息安全技术个人信息安全规范》规定新闻报道作为无需单独取得个人同意</w:t>
      </w:r>
      <w:r>
        <w:rPr>
          <w:rFonts w:hint="eastAsia"/>
          <w:lang w:val="en-US" w:eastAsia="zh-CN"/>
        </w:rPr>
        <w:t>的前提</w:t>
      </w:r>
      <w:r>
        <w:rPr>
          <w:rFonts w:hint="default"/>
          <w:lang w:val="en-US" w:eastAsia="zh-CN"/>
        </w:rPr>
        <w:t>应为</w:t>
      </w:r>
      <w:r>
        <w:rPr>
          <w:rFonts w:hint="eastAsia"/>
          <w:lang w:val="en-US" w:eastAsia="zh-CN"/>
        </w:rPr>
        <w:t>“</w:t>
      </w:r>
      <w:r>
        <w:rPr>
          <w:rFonts w:hint="default"/>
          <w:lang w:val="en-US" w:eastAsia="zh-CN"/>
        </w:rPr>
        <w:t>合法</w:t>
      </w:r>
      <w:r>
        <w:rPr>
          <w:rFonts w:hint="eastAsia"/>
          <w:spacing w:val="13"/>
          <w:lang w:val="en-US" w:eastAsia="zh-CN"/>
        </w:rPr>
        <w:t>”，</w:t>
      </w:r>
      <w:r>
        <w:rPr>
          <w:rFonts w:hint="default"/>
          <w:lang w:val="en-US" w:eastAsia="zh-CN"/>
        </w:rPr>
        <w:t>任何超越法定权限的</w:t>
      </w:r>
      <w:r>
        <w:rPr>
          <w:rFonts w:hint="eastAsia"/>
          <w:lang w:val="en-US" w:eastAsia="zh-CN"/>
        </w:rPr>
        <w:t>社会公开</w:t>
      </w:r>
      <w:r>
        <w:rPr>
          <w:rFonts w:hint="default"/>
          <w:lang w:val="en-US" w:eastAsia="zh-CN"/>
        </w:rPr>
        <w:t>均须</w:t>
      </w:r>
      <w:r>
        <w:rPr>
          <w:rFonts w:hint="eastAsia"/>
          <w:lang w:val="en-US" w:eastAsia="zh-CN"/>
        </w:rPr>
        <w:t>则需征得信息主体的同意</w:t>
      </w:r>
      <w:r>
        <w:rPr>
          <w:rFonts w:hint="default"/>
          <w:lang w:val="en-US" w:eastAsia="zh-CN"/>
        </w:rPr>
        <w:t>。这种制度设计既维护了言论自由与公共监督的宪法价值，又通过法律保留原则为个人隐私权划定了必要边界，实现了公共利益与个体权益的动态平衡。</w:t>
      </w:r>
    </w:p>
    <w:p w14:paraId="0C8E6164">
      <w:pPr>
        <w:pStyle w:val="4"/>
        <w:pageBreakBefore w:val="0"/>
        <w:widowControl w:val="0"/>
        <w:kinsoku/>
        <w:wordWrap/>
        <w:overflowPunct/>
        <w:topLinePunct w:val="0"/>
        <w:autoSpaceDE/>
        <w:autoSpaceDN/>
        <w:bidi w:val="0"/>
        <w:adjustRightInd/>
        <w:snapToGrid/>
        <w:spacing w:line="300" w:lineRule="auto"/>
        <w:jc w:val="left"/>
        <w:textAlignment w:val="auto"/>
        <w:rPr>
          <w:rFonts w:hint="default"/>
          <w:lang w:val="en-US" w:eastAsia="zh-CN"/>
        </w:rPr>
      </w:pPr>
      <w:r>
        <w:rPr>
          <w:rFonts w:hint="eastAsia"/>
          <w:lang w:val="en-US" w:eastAsia="zh-CN"/>
        </w:rPr>
        <w:t xml:space="preserve">4. </w:t>
      </w:r>
      <w:r>
        <w:rPr>
          <w:rFonts w:hint="default"/>
          <w:lang w:val="en-US" w:eastAsia="zh-CN"/>
        </w:rPr>
        <w:t>商业公开</w:t>
      </w:r>
    </w:p>
    <w:p w14:paraId="59C41259">
      <w:pPr>
        <w:pageBreakBefore w:val="0"/>
        <w:widowControl w:val="0"/>
        <w:kinsoku/>
        <w:wordWrap/>
        <w:overflowPunct/>
        <w:topLinePunct w:val="0"/>
        <w:autoSpaceDE/>
        <w:autoSpaceDN/>
        <w:bidi w:val="0"/>
        <w:adjustRightInd/>
        <w:snapToGrid/>
        <w:spacing w:line="300" w:lineRule="auto"/>
        <w:ind w:left="0" w:leftChars="0" w:firstLine="420" w:firstLineChars="0"/>
        <w:jc w:val="left"/>
        <w:textAlignment w:val="auto"/>
        <w:rPr>
          <w:rFonts w:hint="default"/>
          <w:lang w:val="en-US" w:eastAsia="zh-CN"/>
        </w:rPr>
      </w:pPr>
      <w:r>
        <w:rPr>
          <w:rFonts w:hint="eastAsia"/>
          <w:lang w:val="en-US" w:eastAsia="zh-CN"/>
        </w:rPr>
        <w:t>商业公开需限定于合理范围内，超出合理范围需要征得信息主体的同意。商业公开场景下的信息传播主要涉及搜索引擎运营、数据产品开发、跨平台数据交互及网络信息采集等业务形态。在技术应用层面，搜索引擎通过自动化程序抓取并展示公开个人信息，这一行为始终处于个人信息自主管理权与社会公共利益博弈的核心地带。当个体主张行使信息删除权或被遗忘权时，其诉求可能与信息公开展示所承载的公共价值产生结构性矛盾。值得关注的是，搜索引擎在拓展商业化服务边界过程中，已形成多维度的数据合作生态。其通过商业合作机制，将其他商业平台的用户生成内容纳入信息展示体系，典型案例包括如美团、大众点评等本地生活服务平台中的餐饮消费评价、休闲娱乐体验记录等数据。这种跨平台数据调用机制在提升信息检索价值的同时，也引发了关于个人信息二次传播边界的法律争议，需要平衡技术创新与隐私保护的价值取向。对于商业公开，目前缺乏相应的法律规范，所以需要用到一些较为抽象的概念进行判断，笔者认为可以通过上文的“合理范围”标准进行判断。平台可在合理范围内处理信息主体的个人信息，对于超出合理范围的部分，或者对个人权益有影响的信息，</w:t>
      </w:r>
      <w:r>
        <w:rPr>
          <w:rFonts w:hint="default"/>
          <w:lang w:val="en-US" w:eastAsia="zh-CN"/>
        </w:rPr>
        <w:t>平台</w:t>
      </w:r>
      <w:r>
        <w:rPr>
          <w:rFonts w:hint="eastAsia"/>
          <w:lang w:val="en-US" w:eastAsia="zh-CN"/>
        </w:rPr>
        <w:t>需要</w:t>
      </w:r>
      <w:r>
        <w:rPr>
          <w:rFonts w:hint="default"/>
          <w:lang w:val="en-US" w:eastAsia="zh-CN"/>
        </w:rPr>
        <w:t>通过</w:t>
      </w:r>
      <w:r>
        <w:rPr>
          <w:rFonts w:hint="eastAsia"/>
          <w:lang w:val="en-US" w:eastAsia="zh-CN"/>
        </w:rPr>
        <w:t>与</w:t>
      </w:r>
      <w:r>
        <w:rPr>
          <w:rFonts w:hint="default"/>
          <w:lang w:val="en-US" w:eastAsia="zh-CN"/>
        </w:rPr>
        <w:t>用户</w:t>
      </w:r>
      <w:r>
        <w:rPr>
          <w:rFonts w:hint="eastAsia"/>
          <w:lang w:val="en-US" w:eastAsia="zh-CN"/>
        </w:rPr>
        <w:t>签订</w:t>
      </w:r>
      <w:r>
        <w:rPr>
          <w:rFonts w:hint="default"/>
          <w:lang w:val="en-US" w:eastAsia="zh-CN"/>
        </w:rPr>
        <w:t>协议</w:t>
      </w:r>
      <w:r>
        <w:rPr>
          <w:rFonts w:hint="eastAsia"/>
          <w:lang w:val="en-US" w:eastAsia="zh-CN"/>
        </w:rPr>
        <w:t>等方式</w:t>
      </w:r>
      <w:r>
        <w:rPr>
          <w:rFonts w:hint="default"/>
          <w:lang w:val="en-US" w:eastAsia="zh-CN"/>
        </w:rPr>
        <w:t>获得用户授权同意</w:t>
      </w:r>
      <w:r>
        <w:rPr>
          <w:rFonts w:hint="eastAsia"/>
          <w:lang w:val="en-US" w:eastAsia="zh-CN"/>
        </w:rPr>
        <w:t>。</w:t>
      </w:r>
    </w:p>
    <w:p w14:paraId="43C5BD04">
      <w:pPr>
        <w:pStyle w:val="3"/>
        <w:pageBreakBefore w:val="0"/>
        <w:widowControl w:val="0"/>
        <w:kinsoku/>
        <w:wordWrap/>
        <w:overflowPunct/>
        <w:topLinePunct w:val="0"/>
        <w:autoSpaceDE/>
        <w:autoSpaceDN/>
        <w:bidi w:val="0"/>
        <w:adjustRightInd/>
        <w:snapToGrid/>
        <w:spacing w:line="300" w:lineRule="auto"/>
        <w:jc w:val="left"/>
        <w:textAlignment w:val="auto"/>
        <w:rPr>
          <w:rFonts w:hint="default"/>
          <w:lang w:val="en-US" w:eastAsia="zh-CN"/>
        </w:rPr>
      </w:pPr>
      <w:bookmarkStart w:id="10" w:name="_Toc1354"/>
      <w:r>
        <w:rPr>
          <w:rFonts w:hint="eastAsia"/>
          <w:lang w:val="en-US" w:eastAsia="zh-CN"/>
        </w:rPr>
        <w:t>（二）个人拒绝权的限制</w:t>
      </w:r>
      <w:bookmarkEnd w:id="10"/>
    </w:p>
    <w:p w14:paraId="033657C5">
      <w:pPr>
        <w:pageBreakBefore w:val="0"/>
        <w:widowControl w:val="0"/>
        <w:kinsoku/>
        <w:wordWrap/>
        <w:overflowPunct/>
        <w:topLinePunct w:val="0"/>
        <w:autoSpaceDE/>
        <w:autoSpaceDN/>
        <w:bidi w:val="0"/>
        <w:adjustRightInd/>
        <w:snapToGrid/>
        <w:spacing w:line="300" w:lineRule="auto"/>
        <w:jc w:val="left"/>
        <w:textAlignment w:val="auto"/>
        <w:rPr>
          <w:rFonts w:hint="default"/>
          <w:lang w:val="en-US" w:eastAsia="zh-CN"/>
        </w:rPr>
      </w:pPr>
      <w:r>
        <w:rPr>
          <w:rFonts w:hint="default"/>
          <w:lang w:val="en-US" w:eastAsia="zh-CN"/>
        </w:rPr>
        <w:t>《个人信息保护法</w:t>
      </w:r>
      <w:r>
        <w:rPr>
          <w:rFonts w:hint="eastAsia"/>
          <w:lang w:val="en-US" w:eastAsia="zh-CN"/>
        </w:rPr>
        <w:t>》第27条</w:t>
      </w:r>
      <w:r>
        <w:rPr>
          <w:rFonts w:hint="default"/>
          <w:lang w:val="en-US" w:eastAsia="zh-CN"/>
        </w:rPr>
        <w:t>赋予信息主体拒绝他人处理</w:t>
      </w:r>
      <w:r>
        <w:rPr>
          <w:rFonts w:hint="eastAsia"/>
          <w:lang w:val="en-US" w:eastAsia="zh-CN"/>
        </w:rPr>
        <w:t>个人已</w:t>
      </w:r>
      <w:r>
        <w:rPr>
          <w:rFonts w:hint="default"/>
          <w:lang w:val="en-US" w:eastAsia="zh-CN"/>
        </w:rPr>
        <w:t>公开信息的权利，</w:t>
      </w:r>
      <w:r>
        <w:rPr>
          <w:rFonts w:hint="eastAsia"/>
          <w:lang w:val="en-US" w:eastAsia="zh-CN"/>
        </w:rPr>
        <w:t>即个人拒绝权，</w:t>
      </w:r>
      <w:r>
        <w:rPr>
          <w:rFonts w:hint="default"/>
          <w:lang w:val="en-US" w:eastAsia="zh-CN"/>
        </w:rPr>
        <w:t>这一规定旨在强化信息主体对个人信息的自主控制权，保护其个人权益。然而，</w:t>
      </w:r>
      <w:r>
        <w:rPr>
          <w:rFonts w:hint="eastAsia"/>
          <w:lang w:val="en-US" w:eastAsia="zh-CN"/>
        </w:rPr>
        <w:t>在法定公开信息的场景下，</w:t>
      </w:r>
      <w:r>
        <w:rPr>
          <w:rFonts w:hint="default"/>
          <w:lang w:val="en-US" w:eastAsia="zh-CN"/>
        </w:rPr>
        <w:t>如果该权利的行使范围缺乏合理限制，过于宽泛，将会引发一系列严重问题。若信息主体可以随意拒绝他人处理相关法定公开信息，将会导致法定公开信息难以被充分利用。例如，在征信业务中，若信息主体能随意拒绝</w:t>
      </w:r>
      <w:r>
        <w:rPr>
          <w:rFonts w:hint="default"/>
          <w:u w:val="none"/>
          <w:lang w:val="en-US" w:eastAsia="zh-CN"/>
        </w:rPr>
        <w:t>征信机构对其法定公开信息的处理，</w:t>
      </w:r>
      <w:r>
        <w:rPr>
          <w:rFonts w:hint="default"/>
          <w:lang w:val="en-US" w:eastAsia="zh-CN"/>
        </w:rPr>
        <w:t>征信机构将无法获取完整、准确的信息，进而影响征信结果的准确性和完整性</w:t>
      </w:r>
      <w:r>
        <w:rPr>
          <w:rFonts w:hint="eastAsia"/>
          <w:lang w:val="en-US" w:eastAsia="zh-CN"/>
        </w:rPr>
        <w:t>，</w:t>
      </w:r>
      <w:r>
        <w:rPr>
          <w:rFonts w:hint="default"/>
          <w:lang w:val="en-US" w:eastAsia="zh-CN"/>
        </w:rPr>
        <w:t>征信结果的不准确将使得金融机构难以对借款人的信用风险进行有效评估，增加金融交易的风险，破坏社会诚信机制。</w:t>
      </w:r>
    </w:p>
    <w:p w14:paraId="34C2BF18">
      <w:pPr>
        <w:pageBreakBefore w:val="0"/>
        <w:widowControl w:val="0"/>
        <w:kinsoku/>
        <w:wordWrap/>
        <w:overflowPunct/>
        <w:topLinePunct w:val="0"/>
        <w:autoSpaceDE/>
        <w:autoSpaceDN/>
        <w:bidi w:val="0"/>
        <w:adjustRightInd/>
        <w:snapToGrid/>
        <w:spacing w:line="300" w:lineRule="auto"/>
        <w:jc w:val="left"/>
        <w:textAlignment w:val="auto"/>
        <w:rPr>
          <w:rFonts w:hint="eastAsia"/>
          <w:lang w:val="en-US" w:eastAsia="zh-CN"/>
        </w:rPr>
      </w:pPr>
      <w:r>
        <w:rPr>
          <w:rFonts w:hint="eastAsia"/>
          <w:lang w:val="en-US" w:eastAsia="zh-CN"/>
        </w:rPr>
        <w:t>我们首先要明确拒绝权的适用范围。学界</w:t>
      </w:r>
      <w:r>
        <w:rPr>
          <w:rFonts w:hint="default"/>
          <w:lang w:val="en-US" w:eastAsia="zh-CN"/>
        </w:rPr>
        <w:t>对</w:t>
      </w:r>
      <w:r>
        <w:rPr>
          <w:rFonts w:hint="eastAsia"/>
          <w:lang w:val="en-US" w:eastAsia="zh-CN"/>
        </w:rPr>
        <w:t>个人</w:t>
      </w:r>
      <w:r>
        <w:rPr>
          <w:rFonts w:hint="default"/>
          <w:lang w:val="en-US" w:eastAsia="zh-CN"/>
        </w:rPr>
        <w:t>拒绝权</w:t>
      </w:r>
      <w:r>
        <w:rPr>
          <w:rFonts w:hint="eastAsia"/>
          <w:lang w:val="en-US" w:eastAsia="zh-CN"/>
        </w:rPr>
        <w:t>的标准存在两种不同的观点，</w:t>
      </w:r>
      <w:r>
        <w:rPr>
          <w:rFonts w:hint="default"/>
          <w:lang w:val="en-US" w:eastAsia="zh-CN"/>
        </w:rPr>
        <w:t>一种观点</w:t>
      </w:r>
      <w:r>
        <w:rPr>
          <w:rFonts w:hint="eastAsia"/>
          <w:lang w:val="en-US" w:eastAsia="zh-CN"/>
        </w:rPr>
        <w:t>采取“利益衡量”标准</w:t>
      </w:r>
      <w:r>
        <w:rPr>
          <w:rFonts w:hint="default"/>
          <w:lang w:val="en-US" w:eastAsia="zh-CN"/>
        </w:rPr>
        <w:t>，</w:t>
      </w:r>
      <w:r>
        <w:rPr>
          <w:rFonts w:hint="eastAsia"/>
          <w:lang w:val="en-US" w:eastAsia="zh-CN"/>
        </w:rPr>
        <w:t>认为在信息公开前</w:t>
      </w:r>
      <w:r>
        <w:rPr>
          <w:rFonts w:hint="default"/>
          <w:lang w:val="en-US" w:eastAsia="zh-CN"/>
        </w:rPr>
        <w:t>应进行利益衡量，若判定公共利益相较于个人信息自决权具有更优先的地位，那么公民就不再享有拒绝信息公开的权利</w:t>
      </w:r>
      <w:r>
        <w:rPr>
          <w:rStyle w:val="15"/>
          <w:rFonts w:hint="default"/>
          <w:lang w:val="en-US" w:eastAsia="zh-CN"/>
        </w:rPr>
        <w:footnoteReference w:id="24"/>
      </w:r>
      <w:r>
        <w:rPr>
          <w:rFonts w:hint="eastAsia"/>
          <w:lang w:val="en-US" w:eastAsia="zh-CN"/>
        </w:rPr>
        <w:t>；另一种观点采取“合理范围”标准</w:t>
      </w:r>
      <w:r>
        <w:rPr>
          <w:rFonts w:hint="default"/>
          <w:lang w:val="en-US" w:eastAsia="zh-CN"/>
        </w:rPr>
        <w:t>，</w:t>
      </w:r>
      <w:r>
        <w:rPr>
          <w:rFonts w:hint="eastAsia"/>
          <w:lang w:val="en-US" w:eastAsia="zh-CN"/>
        </w:rPr>
        <w:t>只有</w:t>
      </w:r>
      <w:r>
        <w:rPr>
          <w:rFonts w:hint="default"/>
          <w:lang w:val="en-US" w:eastAsia="zh-CN"/>
        </w:rPr>
        <w:t>信息处理者</w:t>
      </w:r>
      <w:r>
        <w:rPr>
          <w:rFonts w:hint="eastAsia"/>
          <w:lang w:val="en-US" w:eastAsia="zh-CN"/>
        </w:rPr>
        <w:t>对法定公开信息的处理“</w:t>
      </w:r>
      <w:r>
        <w:rPr>
          <w:rFonts w:hint="default"/>
          <w:lang w:val="en-US" w:eastAsia="zh-CN"/>
        </w:rPr>
        <w:t>超出合理范围</w:t>
      </w:r>
      <w:r>
        <w:rPr>
          <w:rFonts w:hint="eastAsia"/>
          <w:lang w:val="en-US" w:eastAsia="zh-CN"/>
        </w:rPr>
        <w:t>”</w:t>
      </w:r>
      <w:r>
        <w:rPr>
          <w:rFonts w:hint="default"/>
          <w:lang w:val="en-US" w:eastAsia="zh-CN"/>
        </w:rPr>
        <w:t>，</w:t>
      </w:r>
      <w:r>
        <w:rPr>
          <w:rFonts w:hint="eastAsia"/>
          <w:lang w:val="en-US" w:eastAsia="zh-CN"/>
        </w:rPr>
        <w:t>个人</w:t>
      </w:r>
      <w:r>
        <w:rPr>
          <w:rFonts w:hint="default"/>
          <w:lang w:val="en-US" w:eastAsia="zh-CN"/>
        </w:rPr>
        <w:t>拒绝权</w:t>
      </w:r>
      <w:r>
        <w:rPr>
          <w:rFonts w:hint="eastAsia"/>
          <w:lang w:val="en-US" w:eastAsia="zh-CN"/>
        </w:rPr>
        <w:t>才允许被使用</w:t>
      </w:r>
      <w:r>
        <w:rPr>
          <w:rStyle w:val="15"/>
          <w:rFonts w:hint="default"/>
          <w:lang w:val="en-US" w:eastAsia="zh-CN"/>
        </w:rPr>
        <w:footnoteReference w:id="25"/>
      </w:r>
      <w:r>
        <w:rPr>
          <w:rFonts w:hint="default"/>
          <w:lang w:val="en-US" w:eastAsia="zh-CN"/>
        </w:rPr>
        <w:t>。</w:t>
      </w:r>
      <w:r>
        <w:rPr>
          <w:rFonts w:hint="eastAsia"/>
          <w:lang w:val="en-US" w:eastAsia="zh-CN"/>
        </w:rPr>
        <w:t>笔者赞同后一种观点，前一种观点需要衡量</w:t>
      </w:r>
      <w:r>
        <w:rPr>
          <w:rFonts w:hint="default"/>
          <w:lang w:val="en-US" w:eastAsia="zh-CN"/>
        </w:rPr>
        <w:t>公共</w:t>
      </w:r>
      <w:r>
        <w:rPr>
          <w:rFonts w:hint="eastAsia"/>
          <w:lang w:val="en-US" w:eastAsia="zh-CN"/>
        </w:rPr>
        <w:t>利益与个人信息自决权的价值，需要花费多余的时间和经济成本，不符合责任规则的要求；后一种观点则赋予了信息处理者更大的权利和自由，能够做到提高效率与节约成本，更符合责任规则的要求。所以，在保障信息主体合法权益与促进信息合法利用之间，有必要建立动态平衡机制。在法定公开信息处理场景</w:t>
      </w:r>
      <w:r>
        <w:rPr>
          <w:rFonts w:hint="default"/>
          <w:lang w:val="en-US" w:eastAsia="zh-CN"/>
        </w:rPr>
        <w:t>，应当将</w:t>
      </w:r>
      <w:r>
        <w:rPr>
          <w:rFonts w:hint="eastAsia"/>
          <w:lang w:val="en-US" w:eastAsia="zh-CN"/>
        </w:rPr>
        <w:t>个人</w:t>
      </w:r>
      <w:r>
        <w:rPr>
          <w:rFonts w:hint="default"/>
          <w:lang w:val="en-US" w:eastAsia="zh-CN"/>
        </w:rPr>
        <w:t>拒绝权</w:t>
      </w:r>
      <w:r>
        <w:rPr>
          <w:rFonts w:hint="eastAsia"/>
          <w:lang w:val="en-US" w:eastAsia="zh-CN"/>
        </w:rPr>
        <w:t>的行使范围</w:t>
      </w:r>
      <w:r>
        <w:rPr>
          <w:rFonts w:hint="default"/>
          <w:lang w:val="en-US" w:eastAsia="zh-CN"/>
        </w:rPr>
        <w:t>限制</w:t>
      </w:r>
      <w:r>
        <w:rPr>
          <w:rFonts w:hint="eastAsia"/>
          <w:lang w:val="en-US" w:eastAsia="zh-CN"/>
        </w:rPr>
        <w:t>在“</w:t>
      </w:r>
      <w:r>
        <w:rPr>
          <w:rFonts w:hint="default"/>
          <w:lang w:val="en-US" w:eastAsia="zh-CN"/>
        </w:rPr>
        <w:t>超出合理范围</w:t>
      </w:r>
      <w:r>
        <w:rPr>
          <w:rFonts w:hint="eastAsia"/>
          <w:lang w:val="en-US" w:eastAsia="zh-CN"/>
        </w:rPr>
        <w:t>”</w:t>
      </w:r>
      <w:r>
        <w:rPr>
          <w:rFonts w:hint="default"/>
          <w:lang w:val="en-US" w:eastAsia="zh-CN"/>
        </w:rPr>
        <w:t>上，以此实现权益保护与数据流通的双向规范。</w:t>
      </w:r>
      <w:r>
        <w:rPr>
          <w:rFonts w:hint="eastAsia"/>
          <w:lang w:val="en-US" w:eastAsia="zh-CN"/>
        </w:rPr>
        <w:t>“超出</w:t>
      </w:r>
      <w:r>
        <w:rPr>
          <w:rFonts w:hint="default"/>
          <w:lang w:val="en-US" w:eastAsia="zh-CN"/>
        </w:rPr>
        <w:t>合理范围</w:t>
      </w:r>
      <w:r>
        <w:rPr>
          <w:rFonts w:hint="eastAsia"/>
          <w:lang w:val="en-US" w:eastAsia="zh-CN"/>
        </w:rPr>
        <w:t>”</w:t>
      </w:r>
      <w:r>
        <w:rPr>
          <w:rFonts w:hint="default"/>
          <w:lang w:val="en-US" w:eastAsia="zh-CN"/>
        </w:rPr>
        <w:t>的界定需要综合考虑多方面因素，包括信息处理的目的、方式、对信息主体权益的影响程度等</w:t>
      </w:r>
      <w:r>
        <w:rPr>
          <w:rFonts w:hint="eastAsia"/>
          <w:lang w:val="en-US" w:eastAsia="zh-CN"/>
        </w:rPr>
        <w:t>，上文已经详细讨论，下面通过一些具体应用场景细化拒绝权的适用范围。</w:t>
      </w:r>
    </w:p>
    <w:p w14:paraId="0B262EC6">
      <w:pPr>
        <w:pStyle w:val="4"/>
        <w:bidi w:val="0"/>
        <w:rPr>
          <w:rFonts w:hint="eastAsia"/>
          <w:lang w:val="en-US" w:eastAsia="zh-CN"/>
        </w:rPr>
      </w:pPr>
      <w:r>
        <w:rPr>
          <w:rFonts w:hint="eastAsia"/>
          <w:lang w:val="en-US" w:eastAsia="zh-CN"/>
        </w:rPr>
        <w:t>1. 紧急公开</w:t>
      </w:r>
    </w:p>
    <w:p w14:paraId="0FDFC41D">
      <w:pPr>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lang w:val="en-US" w:eastAsia="zh-CN"/>
        </w:rPr>
      </w:pPr>
      <w:r>
        <w:rPr>
          <w:rFonts w:hint="eastAsia"/>
          <w:lang w:val="en-US" w:eastAsia="zh-CN"/>
        </w:rPr>
        <w:t>紧急公开场景下不允许存在个人拒绝权。紧急公开情形具有相应的急迫性，且其所要保护的公共利益远远大于对于个人信息自决权。紧急公开的信息都是重大且必要的，在此种情形下，时间就是金钱，不仅无须告知信息主体，信息主体就算知道要被公开也不能拒绝，即使相关信息超出合理范围或对信息主体权益有影响。比如在重大传染病高发期，感染者不能拒绝政府对其行程路径的公开披露，否则可能造成更多人感染。当然，信息主体虽然不能在信息公开时和信息公开前行使拒绝权，但是可以在信息公开后行使下文的删除权来保护自己的权益。</w:t>
      </w:r>
    </w:p>
    <w:p w14:paraId="1C44C7CE">
      <w:pPr>
        <w:pStyle w:val="4"/>
        <w:pageBreakBefore w:val="0"/>
        <w:widowControl w:val="0"/>
        <w:kinsoku/>
        <w:wordWrap/>
        <w:overflowPunct/>
        <w:topLinePunct w:val="0"/>
        <w:autoSpaceDE/>
        <w:autoSpaceDN/>
        <w:bidi w:val="0"/>
        <w:adjustRightInd/>
        <w:snapToGrid/>
        <w:spacing w:line="300" w:lineRule="auto"/>
        <w:jc w:val="left"/>
        <w:textAlignment w:val="auto"/>
        <w:rPr>
          <w:rFonts w:hint="default"/>
          <w:lang w:val="en-US" w:eastAsia="zh-CN"/>
        </w:rPr>
      </w:pPr>
      <w:r>
        <w:rPr>
          <w:rFonts w:hint="eastAsia"/>
          <w:lang w:val="en-US" w:eastAsia="zh-CN"/>
        </w:rPr>
        <w:t xml:space="preserve">2. </w:t>
      </w:r>
      <w:r>
        <w:rPr>
          <w:rFonts w:hint="default"/>
          <w:lang w:val="en-US" w:eastAsia="zh-CN"/>
        </w:rPr>
        <w:t>政府公开</w:t>
      </w:r>
    </w:p>
    <w:p w14:paraId="57D5FB3F">
      <w:pPr>
        <w:pageBreakBefore w:val="0"/>
        <w:widowControl w:val="0"/>
        <w:kinsoku/>
        <w:wordWrap/>
        <w:overflowPunct/>
        <w:topLinePunct w:val="0"/>
        <w:autoSpaceDE/>
        <w:autoSpaceDN/>
        <w:bidi w:val="0"/>
        <w:adjustRightInd/>
        <w:snapToGrid/>
        <w:spacing w:line="300" w:lineRule="auto"/>
        <w:jc w:val="left"/>
        <w:textAlignment w:val="auto"/>
        <w:rPr>
          <w:rFonts w:hint="default"/>
          <w:lang w:val="en-US" w:eastAsia="zh-CN"/>
        </w:rPr>
      </w:pPr>
      <w:r>
        <w:rPr>
          <w:rFonts w:hint="default"/>
          <w:lang w:val="en-US" w:eastAsia="zh-CN"/>
        </w:rPr>
        <w:t>政府公开</w:t>
      </w:r>
      <w:r>
        <w:rPr>
          <w:rFonts w:hint="eastAsia"/>
          <w:lang w:val="en-US" w:eastAsia="zh-CN"/>
        </w:rPr>
        <w:t>情形下</w:t>
      </w:r>
      <w:r>
        <w:rPr>
          <w:rFonts w:hint="default"/>
          <w:lang w:val="en-US" w:eastAsia="zh-CN"/>
        </w:rPr>
        <w:t>原则上不应允许个人行使拒绝权</w:t>
      </w:r>
      <w:r>
        <w:rPr>
          <w:rFonts w:hint="eastAsia"/>
          <w:lang w:val="en-US" w:eastAsia="zh-CN"/>
        </w:rPr>
        <w:t>，除非涉及严重损害信息主体权益的行为</w:t>
      </w:r>
      <w:r>
        <w:rPr>
          <w:rFonts w:hint="default"/>
          <w:lang w:val="en-US" w:eastAsia="zh-CN"/>
        </w:rPr>
        <w:t>。即便在政府信息公开的情境中，也可能出现对个人信息主体产生负面效应的情况。比如，当裁判文书对外公开时，或许会损害个人信息主体的名誉，并对其后续的求职就业机会造成不利干扰</w:t>
      </w:r>
      <w:r>
        <w:rPr>
          <w:rFonts w:hint="eastAsia"/>
          <w:lang w:val="en-US" w:eastAsia="zh-CN"/>
        </w:rPr>
        <w:t>，</w:t>
      </w:r>
      <w:r>
        <w:rPr>
          <w:rFonts w:hint="default"/>
          <w:lang w:val="en-US" w:eastAsia="zh-CN"/>
        </w:rPr>
        <w:t>尤其在刑事犯罪记录公开场景下这种负面效应更为显著。</w:t>
      </w:r>
      <w:r>
        <w:rPr>
          <w:rFonts w:hint="eastAsia"/>
          <w:lang w:val="en-US" w:eastAsia="zh-CN"/>
        </w:rPr>
        <w:t>针对</w:t>
      </w:r>
      <w:r>
        <w:rPr>
          <w:rFonts w:hint="default"/>
          <w:lang w:val="en-US" w:eastAsia="zh-CN"/>
        </w:rPr>
        <w:t>这</w:t>
      </w:r>
      <w:r>
        <w:rPr>
          <w:rFonts w:hint="eastAsia"/>
          <w:lang w:val="en-US" w:eastAsia="zh-CN"/>
        </w:rPr>
        <w:t>些不利影响，</w:t>
      </w:r>
      <w:r>
        <w:rPr>
          <w:rFonts w:hint="default"/>
          <w:lang w:val="en-US" w:eastAsia="zh-CN"/>
        </w:rPr>
        <w:t>信息</w:t>
      </w:r>
      <w:r>
        <w:rPr>
          <w:rFonts w:hint="eastAsia"/>
          <w:lang w:val="en-US" w:eastAsia="zh-CN"/>
        </w:rPr>
        <w:t>处理者</w:t>
      </w:r>
      <w:r>
        <w:rPr>
          <w:rFonts w:hint="default"/>
          <w:lang w:val="en-US" w:eastAsia="zh-CN"/>
        </w:rPr>
        <w:t>需在初始公开阶段即建立价值评估机制，系统考量信息公开的社会效益与个体权益保障之间的动态平从而</w:t>
      </w:r>
      <w:r>
        <w:rPr>
          <w:rFonts w:hint="eastAsia"/>
          <w:lang w:val="en-US" w:eastAsia="zh-CN"/>
        </w:rPr>
        <w:t>作出</w:t>
      </w:r>
      <w:r>
        <w:rPr>
          <w:rFonts w:hint="default"/>
          <w:lang w:val="en-US" w:eastAsia="zh-CN"/>
        </w:rPr>
        <w:t>决定。我国现行法律框架已构建多层级规范体系：</w:t>
      </w:r>
      <w:r>
        <w:rPr>
          <w:rFonts w:hint="eastAsia"/>
          <w:lang w:val="en-US" w:eastAsia="zh-CN"/>
        </w:rPr>
        <w:t>除了上文提到的</w:t>
      </w:r>
      <w:r>
        <w:rPr>
          <w:rFonts w:hint="default"/>
          <w:lang w:val="en-US" w:eastAsia="zh-CN"/>
        </w:rPr>
        <w:t>《政府信息公开条例》确立的基本原则外，《最高人民法院裁判文书公布管理办法》明确禁止披露涉及国家安全、商业机密、未成年人涉罪记录及个人隐私等敏感信息；《最高人民法院关于人民法院在互联网公布裁判文书的规定》</w:t>
      </w:r>
      <w:r>
        <w:rPr>
          <w:rFonts w:hint="eastAsia"/>
          <w:lang w:val="en-US" w:eastAsia="zh-CN"/>
        </w:rPr>
        <w:t>提出来</w:t>
      </w:r>
      <w:r>
        <w:rPr>
          <w:rFonts w:hint="default"/>
          <w:lang w:val="en-US" w:eastAsia="zh-CN"/>
        </w:rPr>
        <w:t>更细化</w:t>
      </w:r>
      <w:r>
        <w:rPr>
          <w:rFonts w:hint="eastAsia"/>
          <w:lang w:val="en-US" w:eastAsia="zh-CN"/>
        </w:rPr>
        <w:t>的</w:t>
      </w:r>
      <w:r>
        <w:rPr>
          <w:rFonts w:hint="default"/>
          <w:lang w:val="en-US" w:eastAsia="zh-CN"/>
        </w:rPr>
        <w:t>技术处理标准，要求对特定类型裁判文书实施隐名处理，在保留必要身份标识信息的同时，严格规范匿名化技术路径。这些规范共同构成个人信息保护的技术屏障，要求公开主体在初始阶段即应完成比例原则审查，评估信息处理行为对个人权益的潜在损害程度。当信息主体质疑公开行为的合法性时，</w:t>
      </w:r>
      <w:r>
        <w:rPr>
          <w:rFonts w:hint="eastAsia"/>
          <w:lang w:val="en-US" w:eastAsia="zh-CN"/>
        </w:rPr>
        <w:t>可以先联系处理者要求删除，若处理者拒绝</w:t>
      </w:r>
      <w:r>
        <w:rPr>
          <w:rFonts w:hint="default"/>
          <w:lang w:val="en-US" w:eastAsia="zh-CN"/>
        </w:rPr>
        <w:t>可通过司法审查渠道主张权利救济。若法院最终认定初始公开行为超出法定权限构成权益侵害，则后续信息处理者负有配合删除相关信息的法定义务。</w:t>
      </w:r>
    </w:p>
    <w:p w14:paraId="444BE118">
      <w:pPr>
        <w:pStyle w:val="4"/>
        <w:pageBreakBefore w:val="0"/>
        <w:widowControl w:val="0"/>
        <w:kinsoku/>
        <w:wordWrap/>
        <w:overflowPunct/>
        <w:topLinePunct w:val="0"/>
        <w:autoSpaceDE/>
        <w:autoSpaceDN/>
        <w:bidi w:val="0"/>
        <w:adjustRightInd/>
        <w:snapToGrid/>
        <w:spacing w:line="300" w:lineRule="auto"/>
        <w:jc w:val="left"/>
        <w:textAlignment w:val="auto"/>
        <w:rPr>
          <w:rFonts w:hint="default"/>
          <w:lang w:val="en-US" w:eastAsia="zh-CN"/>
        </w:rPr>
      </w:pPr>
      <w:r>
        <w:rPr>
          <w:rFonts w:hint="eastAsia"/>
          <w:lang w:val="en-US" w:eastAsia="zh-CN"/>
        </w:rPr>
        <w:t xml:space="preserve">3. </w:t>
      </w:r>
      <w:r>
        <w:rPr>
          <w:rFonts w:hint="default"/>
          <w:lang w:val="en-US" w:eastAsia="zh-CN"/>
        </w:rPr>
        <w:t>社会公开</w:t>
      </w:r>
    </w:p>
    <w:p w14:paraId="55C9578E">
      <w:pPr>
        <w:pageBreakBefore w:val="0"/>
        <w:widowControl w:val="0"/>
        <w:kinsoku/>
        <w:wordWrap/>
        <w:overflowPunct/>
        <w:topLinePunct w:val="0"/>
        <w:autoSpaceDE/>
        <w:autoSpaceDN/>
        <w:bidi w:val="0"/>
        <w:adjustRightInd/>
        <w:snapToGrid/>
        <w:spacing w:line="300" w:lineRule="auto"/>
        <w:ind w:left="0" w:leftChars="0" w:firstLine="420" w:firstLineChars="0"/>
        <w:jc w:val="left"/>
        <w:textAlignment w:val="auto"/>
        <w:rPr>
          <w:rFonts w:hint="default"/>
          <w:lang w:val="en-US" w:eastAsia="zh-CN"/>
        </w:rPr>
      </w:pPr>
      <w:r>
        <w:rPr>
          <w:rFonts w:hint="eastAsia"/>
          <w:lang w:val="en-US" w:eastAsia="zh-CN"/>
        </w:rPr>
        <w:t>社会公开原则上不允许行使</w:t>
      </w:r>
      <w:r>
        <w:rPr>
          <w:rFonts w:hint="default"/>
          <w:lang w:val="en-US" w:eastAsia="zh-CN"/>
        </w:rPr>
        <w:t>拒绝权</w:t>
      </w:r>
      <w:r>
        <w:rPr>
          <w:rFonts w:hint="eastAsia"/>
          <w:lang w:val="en-US" w:eastAsia="zh-CN"/>
        </w:rPr>
        <w:t>，但公开行为超过法定范围除外</w:t>
      </w:r>
      <w:r>
        <w:rPr>
          <w:rFonts w:hint="default"/>
          <w:lang w:val="en-US" w:eastAsia="zh-CN"/>
        </w:rPr>
        <w:t>。新闻报道与舆论监督所承载的社会公共属性，决定了若</w:t>
      </w:r>
      <w:r>
        <w:rPr>
          <w:rFonts w:hint="eastAsia"/>
          <w:lang w:val="en-US" w:eastAsia="zh-CN"/>
        </w:rPr>
        <w:t>随意允许行使个人拒绝权</w:t>
      </w:r>
      <w:r>
        <w:rPr>
          <w:rFonts w:hint="default"/>
          <w:lang w:val="en-US" w:eastAsia="zh-CN"/>
        </w:rPr>
        <w:t>，则此类公共信息披露机制的设立初衷将在很大程度上失去实践意义</w:t>
      </w:r>
      <w:r>
        <w:rPr>
          <w:rFonts w:hint="eastAsia"/>
          <w:lang w:val="en-US" w:eastAsia="zh-CN"/>
        </w:rPr>
        <w:t>，</w:t>
      </w:r>
      <w:r>
        <w:rPr>
          <w:rFonts w:hint="default"/>
          <w:lang w:val="en-US" w:eastAsia="zh-CN"/>
        </w:rPr>
        <w:t>可能使舆论监督所依赖的信息公开基础遭受结构性削弱，最终导致制度设计目标与实施效果产生根本性偏离。</w:t>
      </w:r>
      <w:r>
        <w:rPr>
          <w:rFonts w:hint="eastAsia"/>
          <w:lang w:val="en-US" w:eastAsia="zh-CN"/>
        </w:rPr>
        <w:t>此处的合理范围，可以参考上文告知同意规则规定的“法律允许的范围”，对于那些超出法律规定的社会公开，信息主体有权拒绝，若信息处理者执意公开，信息主体则可以通过法律手段进行处理，并追究相关处理者的责任。比如相关狗仔队对于艺人行程信息的透露，这属于信息主体的个人隐私，相关公开行为已经超过了合法范围，此时信息主体可以要求拒绝信息平台的公开，并要求平台和曝光者承担责任。</w:t>
      </w:r>
    </w:p>
    <w:p w14:paraId="4D6B57DE">
      <w:pPr>
        <w:pStyle w:val="4"/>
        <w:pageBreakBefore w:val="0"/>
        <w:widowControl w:val="0"/>
        <w:kinsoku/>
        <w:wordWrap/>
        <w:overflowPunct/>
        <w:topLinePunct w:val="0"/>
        <w:autoSpaceDE/>
        <w:autoSpaceDN/>
        <w:bidi w:val="0"/>
        <w:adjustRightInd/>
        <w:snapToGrid/>
        <w:spacing w:line="300" w:lineRule="auto"/>
        <w:jc w:val="left"/>
        <w:textAlignment w:val="auto"/>
        <w:rPr>
          <w:rFonts w:hint="default"/>
          <w:lang w:val="en-US" w:eastAsia="zh-CN"/>
        </w:rPr>
      </w:pPr>
      <w:r>
        <w:rPr>
          <w:rFonts w:hint="eastAsia"/>
          <w:lang w:val="en-US" w:eastAsia="zh-CN"/>
        </w:rPr>
        <w:t xml:space="preserve">4. </w:t>
      </w:r>
      <w:r>
        <w:rPr>
          <w:rFonts w:hint="default"/>
          <w:lang w:val="en-US" w:eastAsia="zh-CN"/>
        </w:rPr>
        <w:t>商业公开</w:t>
      </w:r>
    </w:p>
    <w:p w14:paraId="3B1EFF64">
      <w:pPr>
        <w:pageBreakBefore w:val="0"/>
        <w:widowControl w:val="0"/>
        <w:kinsoku/>
        <w:wordWrap/>
        <w:overflowPunct/>
        <w:topLinePunct w:val="0"/>
        <w:autoSpaceDE/>
        <w:autoSpaceDN/>
        <w:bidi w:val="0"/>
        <w:adjustRightInd/>
        <w:snapToGrid/>
        <w:spacing w:line="300" w:lineRule="auto"/>
        <w:ind w:left="0" w:leftChars="0" w:firstLine="420" w:firstLineChars="0"/>
        <w:jc w:val="left"/>
        <w:textAlignment w:val="auto"/>
        <w:rPr>
          <w:rFonts w:hint="eastAsia"/>
          <w:lang w:val="en-US" w:eastAsia="zh-CN"/>
        </w:rPr>
      </w:pPr>
      <w:r>
        <w:rPr>
          <w:rFonts w:hint="eastAsia"/>
          <w:lang w:val="en-US" w:eastAsia="zh-CN"/>
        </w:rPr>
        <w:t>商业公开需限定于合理范围内，超出合理范围的信息主体可以行使拒绝权。在政策积极引导数据资源价值实现最大化的当下，准许市场主体在特定范围里借助网络爬虫等自动化工具开展数据挖掘工作，已然是数字化时代演进过程中的必然选择。</w:t>
      </w:r>
      <w:r>
        <w:rPr>
          <w:rFonts w:hint="default"/>
          <w:lang w:val="en-US" w:eastAsia="zh-CN"/>
        </w:rPr>
        <w:t>网络服务提供者通过预设程序自动抓取并展示公开个人信息的行为，客观上形成与公民信息自主管理权的潜在张力。针对此类信息二次利用的合规性判定，</w:t>
      </w:r>
      <w:r>
        <w:rPr>
          <w:rFonts w:hint="eastAsia"/>
          <w:lang w:val="en-US" w:eastAsia="zh-CN"/>
        </w:rPr>
        <w:t>上文也提到了需要采用合理范围的标准进行判断</w:t>
      </w:r>
      <w:r>
        <w:rPr>
          <w:rFonts w:hint="default"/>
          <w:lang w:val="en-US" w:eastAsia="zh-CN"/>
        </w:rPr>
        <w:t>，即在技术应用与权益保障间寻求动态平衡。如</w:t>
      </w:r>
      <w:r>
        <w:rPr>
          <w:rFonts w:hint="eastAsia"/>
          <w:lang w:val="en-US" w:eastAsia="zh-CN"/>
        </w:rPr>
        <w:t>饿了吗</w:t>
      </w:r>
      <w:r>
        <w:rPr>
          <w:rFonts w:hint="default"/>
          <w:lang w:val="en-US" w:eastAsia="zh-CN"/>
        </w:rPr>
        <w:t>在合作期间能够合法地利用</w:t>
      </w:r>
      <w:r>
        <w:rPr>
          <w:rFonts w:hint="eastAsia"/>
          <w:lang w:val="en-US" w:eastAsia="zh-CN"/>
        </w:rPr>
        <w:t>支付宝</w:t>
      </w:r>
      <w:r>
        <w:rPr>
          <w:rFonts w:hint="default"/>
          <w:lang w:val="en-US" w:eastAsia="zh-CN"/>
        </w:rPr>
        <w:t>用户的</w:t>
      </w:r>
      <w:r>
        <w:rPr>
          <w:rFonts w:hint="eastAsia"/>
          <w:lang w:val="en-US" w:eastAsia="zh-CN"/>
        </w:rPr>
        <w:t>用餐喜好、消费评价、收藏偏好</w:t>
      </w:r>
      <w:r>
        <w:rPr>
          <w:rFonts w:hint="default"/>
          <w:lang w:val="en-US" w:eastAsia="zh-CN"/>
        </w:rPr>
        <w:t>等</w:t>
      </w:r>
      <w:r>
        <w:rPr>
          <w:rFonts w:hint="eastAsia"/>
          <w:lang w:val="en-US" w:eastAsia="zh-CN"/>
        </w:rPr>
        <w:t>个人</w:t>
      </w:r>
      <w:r>
        <w:rPr>
          <w:rFonts w:hint="default"/>
          <w:lang w:val="en-US" w:eastAsia="zh-CN"/>
        </w:rPr>
        <w:t>信息，以丰富其平台的</w:t>
      </w:r>
      <w:r>
        <w:rPr>
          <w:rFonts w:hint="eastAsia"/>
          <w:lang w:val="en-US" w:eastAsia="zh-CN"/>
        </w:rPr>
        <w:t>信息</w:t>
      </w:r>
      <w:r>
        <w:rPr>
          <w:rFonts w:hint="default"/>
          <w:lang w:val="en-US" w:eastAsia="zh-CN"/>
        </w:rPr>
        <w:t>数据库</w:t>
      </w:r>
      <w:r>
        <w:rPr>
          <w:rFonts w:hint="eastAsia"/>
          <w:lang w:val="en-US" w:eastAsia="zh-CN"/>
        </w:rPr>
        <w:t>。对于商业公开超出了合理范围的行为，信息主体可以行使拒绝权来加以阻止。</w:t>
      </w:r>
    </w:p>
    <w:p w14:paraId="3F21B53F">
      <w:pPr>
        <w:pStyle w:val="2"/>
        <w:bidi w:val="0"/>
        <w:rPr>
          <w:rFonts w:hint="default"/>
          <w:lang w:val="en-US" w:eastAsia="zh-CN"/>
        </w:rPr>
      </w:pPr>
      <w:bookmarkStart w:id="11" w:name="_Toc15202"/>
      <w:bookmarkStart w:id="16" w:name="_GoBack"/>
      <w:bookmarkEnd w:id="16"/>
      <w:r>
        <w:rPr>
          <w:rFonts w:hint="eastAsia"/>
          <w:lang w:val="en-US" w:eastAsia="zh-CN"/>
        </w:rPr>
        <w:t>四、</w:t>
      </w:r>
      <w:bookmarkEnd w:id="11"/>
      <w:r>
        <w:rPr>
          <w:rFonts w:hint="eastAsia"/>
          <w:lang w:val="en-US" w:eastAsia="zh-CN"/>
        </w:rPr>
        <w:t>法定公开场景下个人信息处理行为的规范</w:t>
      </w:r>
    </w:p>
    <w:p w14:paraId="10455569">
      <w:pPr>
        <w:pageBreakBefore w:val="0"/>
        <w:widowControl w:val="0"/>
        <w:kinsoku/>
        <w:wordWrap/>
        <w:overflowPunct/>
        <w:topLinePunct w:val="0"/>
        <w:autoSpaceDE/>
        <w:autoSpaceDN/>
        <w:bidi w:val="0"/>
        <w:adjustRightInd/>
        <w:snapToGrid/>
        <w:spacing w:line="300" w:lineRule="auto"/>
        <w:ind w:left="0" w:leftChars="0" w:firstLine="420" w:firstLineChars="0"/>
        <w:jc w:val="left"/>
        <w:textAlignment w:val="auto"/>
        <w:rPr>
          <w:rFonts w:hint="default"/>
          <w:lang w:val="en-US" w:eastAsia="zh-CN"/>
        </w:rPr>
      </w:pPr>
      <w:bookmarkStart w:id="12" w:name="_Toc32179"/>
      <w:r>
        <w:rPr>
          <w:rFonts w:hint="eastAsia"/>
          <w:lang w:val="en-US" w:eastAsia="zh-CN"/>
        </w:rPr>
        <w:t>上文对于财产规则的弱化以及财产规则的强化，会造成信息处理者的权力过度膨胀，</w:t>
      </w:r>
      <w:r>
        <w:rPr>
          <w:rFonts w:hint="eastAsia"/>
        </w:rPr>
        <w:t>势单力薄的个人在信息处理</w:t>
      </w:r>
      <w:r>
        <w:rPr>
          <w:rFonts w:hint="eastAsia"/>
          <w:lang w:val="en-US" w:eastAsia="zh-CN"/>
        </w:rPr>
        <w:t>场景下本就</w:t>
      </w:r>
      <w:r>
        <w:rPr>
          <w:rFonts w:hint="eastAsia"/>
        </w:rPr>
        <w:t>处于弱势地位，面对掌握海量数据处理能力的企业或政府机构时，往往难以有效保障自身信息安全</w:t>
      </w:r>
      <w:r>
        <w:rPr>
          <w:rStyle w:val="15"/>
          <w:rFonts w:hint="eastAsia"/>
          <w:lang w:eastAsia="zh-CN"/>
        </w:rPr>
        <w:footnoteReference w:id="26"/>
      </w:r>
      <w:r>
        <w:rPr>
          <w:rFonts w:hint="eastAsia"/>
        </w:rPr>
        <w:t>。</w:t>
      </w:r>
      <w:r>
        <w:rPr>
          <w:rFonts w:hint="eastAsia"/>
          <w:lang w:val="en-US" w:eastAsia="zh-CN"/>
        </w:rPr>
        <w:t>此外，</w:t>
      </w:r>
      <w:r>
        <w:rPr>
          <w:rFonts w:hint="default"/>
          <w:lang w:val="en-US" w:eastAsia="zh-CN"/>
        </w:rPr>
        <w:t>把个人信息处理过程想象</w:t>
      </w:r>
      <w:r>
        <w:rPr>
          <w:rFonts w:hint="eastAsia"/>
          <w:lang w:val="en-US" w:eastAsia="zh-CN"/>
        </w:rPr>
        <w:t>水滴</w:t>
      </w:r>
      <w:r>
        <w:rPr>
          <w:rFonts w:hint="default"/>
          <w:lang w:val="en-US" w:eastAsia="zh-CN"/>
        </w:rPr>
        <w:t>成河流的汇聚过程，就像河流需要预防洪水等风险一样，对于汇聚起来的个人信息，</w:t>
      </w:r>
      <w:r>
        <w:rPr>
          <w:rFonts w:hint="eastAsia"/>
          <w:lang w:val="en-US" w:eastAsia="zh-CN"/>
        </w:rPr>
        <w:t>若不好规范</w:t>
      </w:r>
      <w:r>
        <w:rPr>
          <w:rFonts w:hint="default"/>
          <w:lang w:val="en-US" w:eastAsia="zh-CN"/>
        </w:rPr>
        <w:t>信息处理者</w:t>
      </w:r>
      <w:r>
        <w:rPr>
          <w:rFonts w:hint="eastAsia"/>
          <w:lang w:val="en-US" w:eastAsia="zh-CN"/>
        </w:rPr>
        <w:t>的行为，则很容易导致微型风险的大规模聚集，造成信息水库的大坝倒塌</w:t>
      </w:r>
      <w:r>
        <w:rPr>
          <w:rFonts w:hint="default"/>
          <w:lang w:val="en-US" w:eastAsia="zh-CN"/>
        </w:rPr>
        <w:t>。</w:t>
      </w:r>
      <w:r>
        <w:rPr>
          <w:rStyle w:val="15"/>
          <w:rFonts w:hint="default"/>
          <w:lang w:val="en-US" w:eastAsia="zh-CN"/>
        </w:rPr>
        <w:footnoteReference w:id="27"/>
      </w:r>
      <w:r>
        <w:rPr>
          <w:rFonts w:hint="eastAsia"/>
          <w:lang w:val="en-US" w:eastAsia="zh-CN"/>
        </w:rPr>
        <w:t>基于此，为避免法定公开信息处理机关利用自身优势滥用信息以及防范风险聚集，行政机关需要加强规范和监督法定</w:t>
      </w:r>
      <w:r>
        <w:rPr>
          <w:rFonts w:hint="eastAsia"/>
        </w:rPr>
        <w:t>信息处理行为，</w:t>
      </w:r>
      <w:r>
        <w:rPr>
          <w:rFonts w:hint="eastAsia"/>
          <w:lang w:val="en-US" w:eastAsia="zh-CN"/>
        </w:rPr>
        <w:t>减少可能存在的风险</w:t>
      </w:r>
      <w:r>
        <w:rPr>
          <w:rFonts w:hint="eastAsia"/>
        </w:rPr>
        <w:t>。</w:t>
      </w:r>
      <w:r>
        <w:rPr>
          <w:rFonts w:hint="eastAsia"/>
          <w:lang w:val="en-US" w:eastAsia="zh-CN"/>
        </w:rPr>
        <w:t>行政主体可以通过保障删除权、督促信息处理者履行法定义务、强化对信息处理者的监管等方式来保障信息主体的权利。</w:t>
      </w:r>
    </w:p>
    <w:p w14:paraId="342D1CAD">
      <w:pPr>
        <w:pStyle w:val="3"/>
        <w:pageBreakBefore w:val="0"/>
        <w:widowControl w:val="0"/>
        <w:kinsoku/>
        <w:wordWrap/>
        <w:overflowPunct/>
        <w:topLinePunct w:val="0"/>
        <w:autoSpaceDE/>
        <w:autoSpaceDN/>
        <w:bidi w:val="0"/>
        <w:adjustRightInd/>
        <w:snapToGrid/>
        <w:spacing w:line="300" w:lineRule="auto"/>
        <w:jc w:val="left"/>
        <w:textAlignment w:val="auto"/>
        <w:rPr>
          <w:rFonts w:hint="default"/>
          <w:lang w:val="en-US" w:eastAsia="zh-CN"/>
        </w:rPr>
      </w:pPr>
      <w:r>
        <w:rPr>
          <w:rFonts w:hint="eastAsia"/>
          <w:lang w:val="en-US" w:eastAsia="zh-CN"/>
        </w:rPr>
        <w:t>（一）</w:t>
      </w:r>
      <w:bookmarkEnd w:id="12"/>
      <w:r>
        <w:rPr>
          <w:rFonts w:hint="eastAsia"/>
          <w:lang w:val="en-US" w:eastAsia="zh-CN"/>
        </w:rPr>
        <w:t>保障个人信息</w:t>
      </w:r>
      <w:r>
        <w:rPr>
          <w:rFonts w:hint="default"/>
          <w:lang w:val="en-US" w:eastAsia="zh-CN"/>
        </w:rPr>
        <w:t>删除权</w:t>
      </w:r>
      <w:r>
        <w:rPr>
          <w:rFonts w:hint="eastAsia"/>
          <w:lang w:val="en-US" w:eastAsia="zh-CN"/>
        </w:rPr>
        <w:t>的行使</w:t>
      </w:r>
    </w:p>
    <w:p w14:paraId="1B2029F3">
      <w:pPr>
        <w:pageBreakBefore w:val="0"/>
        <w:widowControl w:val="0"/>
        <w:numPr>
          <w:ilvl w:val="0"/>
          <w:numId w:val="0"/>
        </w:numPr>
        <w:kinsoku/>
        <w:wordWrap/>
        <w:overflowPunct/>
        <w:topLinePunct w:val="0"/>
        <w:autoSpaceDE/>
        <w:autoSpaceDN/>
        <w:bidi w:val="0"/>
        <w:adjustRightInd/>
        <w:snapToGrid/>
        <w:spacing w:line="300" w:lineRule="auto"/>
        <w:ind w:firstLine="420" w:firstLineChars="0"/>
        <w:jc w:val="left"/>
        <w:textAlignment w:val="auto"/>
        <w:rPr>
          <w:rFonts w:hint="default"/>
          <w:lang w:val="en-US" w:eastAsia="zh-CN"/>
        </w:rPr>
      </w:pPr>
      <w:r>
        <w:rPr>
          <w:rFonts w:hint="eastAsia"/>
          <w:lang w:val="en-US" w:eastAsia="zh-CN"/>
        </w:rPr>
        <w:t>《个人信息保护法》第47条规定对于违反法律、行政法规或者违反约定公开的处理个人信息，信息主体有权要求信息处理者删除，此即个人信息删除权的直接法源。拒绝权和删除权的区别是，拒绝权是在个人信息公开前和公开时对信息主体处理行为的拒绝；删除权是个人信息公开后要求相关主体删除相应的信息。虽然在法定公开的场景下，个人拒绝权被限制，但是我们仍然需要给予信息主体相应的救济手段，删除权作为一个较为有效的事后救济手段，应该得到有效保障。</w:t>
      </w:r>
    </w:p>
    <w:p w14:paraId="7ED0F3F0">
      <w:pPr>
        <w:pageBreakBefore w:val="0"/>
        <w:widowControl w:val="0"/>
        <w:numPr>
          <w:ilvl w:val="0"/>
          <w:numId w:val="0"/>
        </w:numPr>
        <w:kinsoku/>
        <w:wordWrap/>
        <w:overflowPunct/>
        <w:topLinePunct w:val="0"/>
        <w:autoSpaceDE/>
        <w:autoSpaceDN/>
        <w:bidi w:val="0"/>
        <w:adjustRightInd/>
        <w:snapToGrid/>
        <w:spacing w:line="300" w:lineRule="auto"/>
        <w:ind w:firstLine="420" w:firstLineChars="0"/>
        <w:jc w:val="left"/>
        <w:textAlignment w:val="auto"/>
        <w:rPr>
          <w:rFonts w:hint="eastAsia" w:eastAsia="宋体"/>
          <w:lang w:val="en-US" w:eastAsia="zh-CN"/>
        </w:rPr>
      </w:pPr>
      <w:r>
        <w:rPr>
          <w:rFonts w:hint="default"/>
          <w:lang w:val="en-US" w:eastAsia="zh-CN"/>
        </w:rPr>
        <w:t>在</w:t>
      </w:r>
      <w:r>
        <w:rPr>
          <w:rFonts w:hint="eastAsia"/>
          <w:lang w:val="en-US" w:eastAsia="zh-CN"/>
        </w:rPr>
        <w:t>“</w:t>
      </w:r>
      <w:r>
        <w:rPr>
          <w:rFonts w:hint="default"/>
          <w:lang w:val="en-US" w:eastAsia="zh-CN"/>
        </w:rPr>
        <w:t>孙某某与北京某网讯公司、第三人北京某互联网公司人格权纠纷案</w:t>
      </w:r>
      <w:r>
        <w:rPr>
          <w:rFonts w:hint="eastAsia"/>
          <w:lang w:val="en-US" w:eastAsia="zh-CN"/>
        </w:rPr>
        <w:t>”</w:t>
      </w:r>
      <w:r>
        <w:rPr>
          <w:rStyle w:val="15"/>
          <w:rFonts w:hint="eastAsia"/>
          <w:lang w:val="en-US" w:eastAsia="zh-CN"/>
        </w:rPr>
        <w:footnoteReference w:id="28"/>
      </w:r>
      <w:r>
        <w:rPr>
          <w:rFonts w:hint="default"/>
          <w:lang w:val="en-US" w:eastAsia="zh-CN"/>
        </w:rPr>
        <w:t>中，</w:t>
      </w:r>
      <w:r>
        <w:rPr>
          <w:rFonts w:hint="eastAsia" w:eastAsia="宋体"/>
          <w:lang w:val="en-US" w:eastAsia="zh-CN"/>
        </w:rPr>
        <w:t>法院明确表示，北京某网讯公司在接到删除通知后，自身</w:t>
      </w:r>
      <w:r>
        <w:rPr>
          <w:rFonts w:hint="eastAsia"/>
          <w:lang w:val="en-US" w:eastAsia="zh-CN"/>
        </w:rPr>
        <w:t>客观上</w:t>
      </w:r>
      <w:r>
        <w:rPr>
          <w:rFonts w:hint="eastAsia" w:eastAsia="宋体"/>
          <w:lang w:val="en-US" w:eastAsia="zh-CN"/>
        </w:rPr>
        <w:t>具备采取相应必要举措的能力，然而却未</w:t>
      </w:r>
      <w:r>
        <w:rPr>
          <w:rFonts w:hint="eastAsia"/>
          <w:lang w:val="en-US" w:eastAsia="zh-CN"/>
        </w:rPr>
        <w:t>采取任何相关措施</w:t>
      </w:r>
      <w:r>
        <w:rPr>
          <w:rFonts w:hint="eastAsia" w:eastAsia="宋体"/>
          <w:lang w:val="en-US" w:eastAsia="zh-CN"/>
        </w:rPr>
        <w:t>。它这种拖延采取措施的做法，致使涉案侵权损失持续扩大，构成了对原告个人信息权益的侵犯。当个人信息主体发出删除通知时，信息处理者应当及时采取合理有效的措施来遏制侵权影响。要是信息处理者在收到删除通知后，本有机会采取必要的适当措施却没有任何回应，这种不作为就会被认定为履行职责时的疏忽大意，由此引发的侵权后果扩大，应当判定为对个人信息主体权益的侵害。</w:t>
      </w:r>
    </w:p>
    <w:p w14:paraId="433525BB">
      <w:pPr>
        <w:pageBreakBefore w:val="0"/>
        <w:widowControl w:val="0"/>
        <w:numPr>
          <w:ilvl w:val="0"/>
          <w:numId w:val="0"/>
        </w:numPr>
        <w:kinsoku/>
        <w:wordWrap/>
        <w:overflowPunct/>
        <w:topLinePunct w:val="0"/>
        <w:autoSpaceDE/>
        <w:autoSpaceDN/>
        <w:bidi w:val="0"/>
        <w:adjustRightInd/>
        <w:snapToGrid/>
        <w:spacing w:line="300" w:lineRule="auto"/>
        <w:ind w:firstLine="420" w:firstLineChars="0"/>
        <w:jc w:val="left"/>
        <w:textAlignment w:val="auto"/>
        <w:rPr>
          <w:rFonts w:hint="eastAsia"/>
          <w:lang w:val="en-US" w:eastAsia="zh-CN"/>
        </w:rPr>
      </w:pPr>
      <w:r>
        <w:rPr>
          <w:rFonts w:hint="default"/>
          <w:lang w:val="en-US" w:eastAsia="zh-CN"/>
        </w:rPr>
        <w:t>在删除权的实现阶段上，存在向信息处理者提出删除和向法院提出删除两个阶段。</w:t>
      </w:r>
      <w:r>
        <w:rPr>
          <w:rStyle w:val="15"/>
          <w:rFonts w:hint="default"/>
          <w:lang w:val="en-US" w:eastAsia="zh-CN"/>
        </w:rPr>
        <w:footnoteReference w:id="29"/>
      </w:r>
      <w:r>
        <w:rPr>
          <w:rFonts w:hint="eastAsia"/>
          <w:lang w:val="en-US" w:eastAsia="zh-CN"/>
        </w:rPr>
        <w:t>从删除权的实现阶段来看，可构建分阶段的权益保护机制，两个阶段的处理重心各有侧重：第一阶段以信息主体与处理者的直接沟通为核心，通过权利人向信息处理者提出删除请求，推动双方以协商方式解决争议；第二阶段则针对协商未果的情形，由法院作为中立第三方介入，通过司法裁判对删除权的行使进行裁量。这种分步处理模式具有多重优势：一是尊重双方自主协调意愿，为主体间沟通创造空间；二是通过前置协商机制分流争议，降低司法系统的案件处理压力；三是借助互联网企业高效的信息处理能力，促进问题在前端环节自主解决。</w:t>
      </w:r>
      <w:r>
        <w:rPr>
          <w:rFonts w:hint="default"/>
          <w:lang w:val="en-US" w:eastAsia="zh-CN"/>
        </w:rPr>
        <w:t>在</w:t>
      </w:r>
      <w:r>
        <w:rPr>
          <w:rFonts w:hint="eastAsia"/>
          <w:lang w:val="en-US" w:eastAsia="zh-CN"/>
        </w:rPr>
        <w:t>具体步骤</w:t>
      </w:r>
      <w:r>
        <w:rPr>
          <w:rFonts w:hint="default"/>
          <w:lang w:val="en-US" w:eastAsia="zh-CN"/>
        </w:rPr>
        <w:t>设置的问题上，可以参照</w:t>
      </w:r>
      <w:r>
        <w:rPr>
          <w:rFonts w:hint="eastAsia"/>
          <w:lang w:val="en-US" w:eastAsia="zh-CN"/>
        </w:rPr>
        <w:t>《民法典》</w:t>
      </w:r>
      <w:r>
        <w:rPr>
          <w:rFonts w:hint="default"/>
          <w:lang w:val="en-US" w:eastAsia="zh-CN"/>
        </w:rPr>
        <w:t>第1195条</w:t>
      </w:r>
      <w:r>
        <w:rPr>
          <w:rFonts w:hint="eastAsia"/>
          <w:lang w:val="en-US" w:eastAsia="zh-CN"/>
        </w:rPr>
        <w:t>、第1196条、第1197条“</w:t>
      </w:r>
      <w:r>
        <w:rPr>
          <w:rFonts w:hint="default"/>
          <w:lang w:val="en-US" w:eastAsia="zh-CN"/>
        </w:rPr>
        <w:t>避风港原则</w:t>
      </w:r>
      <w:r>
        <w:rPr>
          <w:rFonts w:hint="eastAsia"/>
          <w:lang w:val="en-US" w:eastAsia="zh-CN"/>
        </w:rPr>
        <w:t>”和“红旗规则”</w:t>
      </w:r>
      <w:r>
        <w:rPr>
          <w:rFonts w:hint="default"/>
          <w:lang w:val="en-US" w:eastAsia="zh-CN"/>
        </w:rPr>
        <w:t>的制度</w:t>
      </w:r>
      <w:r>
        <w:rPr>
          <w:rFonts w:hint="eastAsia"/>
          <w:lang w:val="en-US" w:eastAsia="zh-CN"/>
        </w:rPr>
        <w:t>，分两个阶段构建相应的权利救济体系。</w:t>
      </w:r>
    </w:p>
    <w:p w14:paraId="3B31C2C3">
      <w:pPr>
        <w:pageBreakBefore w:val="0"/>
        <w:widowControl w:val="0"/>
        <w:numPr>
          <w:ilvl w:val="0"/>
          <w:numId w:val="0"/>
        </w:numPr>
        <w:kinsoku/>
        <w:wordWrap/>
        <w:overflowPunct/>
        <w:topLinePunct w:val="0"/>
        <w:autoSpaceDE/>
        <w:autoSpaceDN/>
        <w:bidi w:val="0"/>
        <w:adjustRightInd/>
        <w:snapToGrid/>
        <w:spacing w:line="300" w:lineRule="auto"/>
        <w:ind w:firstLine="420" w:firstLineChars="0"/>
        <w:jc w:val="left"/>
        <w:textAlignment w:val="auto"/>
        <w:rPr>
          <w:rFonts w:hint="eastAsia"/>
          <w:lang w:val="en-US" w:eastAsia="zh-CN"/>
        </w:rPr>
      </w:pPr>
      <w:r>
        <w:rPr>
          <w:rFonts w:hint="eastAsia"/>
          <w:lang w:val="en-US" w:eastAsia="zh-CN"/>
        </w:rPr>
        <w:t>此外，在删除权行使的同时，应该保证信息主体的求偿权。</w:t>
      </w:r>
      <w:r>
        <w:rPr>
          <w:rFonts w:hint="default"/>
          <w:lang w:val="en-US" w:eastAsia="zh-CN"/>
        </w:rPr>
        <w:t>在</w:t>
      </w:r>
      <w:r>
        <w:rPr>
          <w:rFonts w:hint="eastAsia"/>
        </w:rPr>
        <w:t>“卡-梅框架”</w:t>
      </w:r>
      <w:r>
        <w:rPr>
          <w:rFonts w:hint="default"/>
          <w:lang w:val="en-US" w:eastAsia="zh-CN"/>
        </w:rPr>
        <w:t>的责任规则体系下，法益分配呈现二元结构</w:t>
      </w:r>
      <w:r>
        <w:rPr>
          <w:rFonts w:hint="eastAsia"/>
          <w:lang w:val="en-US" w:eastAsia="zh-CN"/>
        </w:rPr>
        <w:t>，</w:t>
      </w:r>
      <w:r>
        <w:rPr>
          <w:rFonts w:hint="default"/>
          <w:lang w:val="en-US" w:eastAsia="zh-CN"/>
        </w:rPr>
        <w:t>法益使用方获得符合法定条件的征用权，而权益主体则保留求偿权。当删除权行使时，权益主体有权向法益使用方主张相应赔偿，这种权利在法律实践中具体体现为</w:t>
      </w:r>
      <w:r>
        <w:rPr>
          <w:rFonts w:hint="eastAsia"/>
        </w:rPr>
        <w:t>损害赔偿金</w:t>
      </w:r>
      <w:r>
        <w:rPr>
          <w:rFonts w:hint="eastAsia"/>
          <w:lang w:eastAsia="zh-CN"/>
        </w:rPr>
        <w:t>、</w:t>
      </w:r>
      <w:r>
        <w:rPr>
          <w:rFonts w:hint="eastAsia"/>
        </w:rPr>
        <w:t>无因管理的合理补偿</w:t>
      </w:r>
      <w:r>
        <w:rPr>
          <w:rFonts w:hint="eastAsia"/>
          <w:lang w:eastAsia="zh-CN"/>
        </w:rPr>
        <w:t>、</w:t>
      </w:r>
      <w:r>
        <w:rPr>
          <w:rFonts w:hint="eastAsia"/>
        </w:rPr>
        <w:t>不当得利的返还</w:t>
      </w:r>
      <w:r>
        <w:rPr>
          <w:rFonts w:hint="eastAsia"/>
          <w:lang w:eastAsia="zh-CN"/>
        </w:rPr>
        <w:t>、</w:t>
      </w:r>
      <w:r>
        <w:rPr>
          <w:rFonts w:hint="eastAsia"/>
        </w:rPr>
        <w:t>征用的合理补偿等等。</w:t>
      </w:r>
      <w:r>
        <w:rPr>
          <w:rFonts w:hint="eastAsia"/>
          <w:lang w:val="en-US" w:eastAsia="zh-CN"/>
        </w:rPr>
        <w:t>在这种情形下《民法典》1197条规定的红旗规则将会成为一个主要的求偿条款。</w:t>
      </w:r>
    </w:p>
    <w:p w14:paraId="76004A55">
      <w:pPr>
        <w:pStyle w:val="3"/>
        <w:pageBreakBefore w:val="0"/>
        <w:widowControl w:val="0"/>
        <w:kinsoku/>
        <w:wordWrap/>
        <w:overflowPunct/>
        <w:topLinePunct w:val="0"/>
        <w:autoSpaceDE/>
        <w:autoSpaceDN/>
        <w:bidi w:val="0"/>
        <w:adjustRightInd/>
        <w:snapToGrid/>
        <w:spacing w:line="300" w:lineRule="auto"/>
        <w:jc w:val="left"/>
        <w:textAlignment w:val="auto"/>
        <w:rPr>
          <w:rFonts w:hint="default"/>
          <w:lang w:val="en-US" w:eastAsia="zh-CN"/>
        </w:rPr>
      </w:pPr>
      <w:bookmarkStart w:id="13" w:name="_Toc26858"/>
      <w:r>
        <w:rPr>
          <w:rFonts w:hint="eastAsia"/>
          <w:lang w:val="en-US" w:eastAsia="zh-CN"/>
        </w:rPr>
        <w:t>（二）</w:t>
      </w:r>
      <w:bookmarkEnd w:id="13"/>
      <w:r>
        <w:rPr>
          <w:rFonts w:hint="eastAsia"/>
          <w:lang w:val="en-US" w:eastAsia="zh-CN"/>
        </w:rPr>
        <w:t>督促信息处理者履行法定义务</w:t>
      </w:r>
    </w:p>
    <w:p w14:paraId="7276E083">
      <w:pPr>
        <w:pageBreakBefore w:val="0"/>
        <w:widowControl w:val="0"/>
        <w:numPr>
          <w:ilvl w:val="0"/>
          <w:numId w:val="0"/>
        </w:numPr>
        <w:kinsoku/>
        <w:wordWrap/>
        <w:overflowPunct/>
        <w:topLinePunct w:val="0"/>
        <w:autoSpaceDE/>
        <w:autoSpaceDN/>
        <w:bidi w:val="0"/>
        <w:adjustRightInd/>
        <w:snapToGrid/>
        <w:spacing w:line="300" w:lineRule="auto"/>
        <w:ind w:firstLine="420" w:firstLineChars="0"/>
        <w:jc w:val="left"/>
        <w:textAlignment w:val="auto"/>
        <w:rPr>
          <w:rFonts w:hint="default"/>
          <w:lang w:val="en-US" w:eastAsia="zh-CN"/>
        </w:rPr>
      </w:pPr>
      <w:r>
        <w:rPr>
          <w:rFonts w:hint="default"/>
          <w:lang w:val="en-US" w:eastAsia="zh-CN"/>
        </w:rPr>
        <w:t>《个人信息保护法》针对信息处理者处理已公开个人信息的情况，制定了一系列必须履行的义务</w:t>
      </w:r>
      <w:r>
        <w:rPr>
          <w:rFonts w:hint="eastAsia"/>
          <w:lang w:val="en-US" w:eastAsia="zh-CN"/>
        </w:rPr>
        <w:t>，</w:t>
      </w:r>
      <w:r>
        <w:rPr>
          <w:rFonts w:hint="default"/>
          <w:lang w:val="en-US" w:eastAsia="zh-CN"/>
        </w:rPr>
        <w:t>即便处于法定公开信息处理的特定场景，这些义务也不容减免。</w:t>
      </w:r>
      <w:r>
        <w:rPr>
          <w:rFonts w:hint="eastAsia"/>
          <w:lang w:val="en-US" w:eastAsia="zh-CN"/>
        </w:rPr>
        <w:t>“</w:t>
      </w:r>
      <w:r>
        <w:rPr>
          <w:rFonts w:hint="default"/>
          <w:lang w:val="en-US" w:eastAsia="zh-CN"/>
        </w:rPr>
        <w:t>合理处理</w:t>
      </w:r>
      <w:r>
        <w:rPr>
          <w:rFonts w:hint="eastAsia"/>
          <w:lang w:val="en-US" w:eastAsia="zh-CN"/>
        </w:rPr>
        <w:t>”</w:t>
      </w:r>
      <w:r>
        <w:rPr>
          <w:rFonts w:hint="default"/>
          <w:lang w:val="en-US" w:eastAsia="zh-CN"/>
        </w:rPr>
        <w:t>这一法定准则，核心作用在于推动信息自由流通，助力数字经济增长</w:t>
      </w:r>
      <w:r>
        <w:rPr>
          <w:rFonts w:hint="eastAsia"/>
          <w:lang w:val="en-US" w:eastAsia="zh-CN"/>
        </w:rPr>
        <w:t>，</w:t>
      </w:r>
      <w:r>
        <w:rPr>
          <w:rFonts w:hint="default"/>
          <w:lang w:val="en-US" w:eastAsia="zh-CN"/>
        </w:rPr>
        <w:t>同时这一准则还体现出立法者摒弃那种认为法定公开信息毫无隐私价值、将利用此类信息的利益置于个人利益之上的错误观念</w:t>
      </w:r>
      <w:r>
        <w:rPr>
          <w:rFonts w:hint="eastAsia"/>
          <w:lang w:val="en-US" w:eastAsia="zh-CN"/>
        </w:rPr>
        <w:t>，</w:t>
      </w:r>
      <w:r>
        <w:rPr>
          <w:rFonts w:hint="default"/>
          <w:lang w:val="en-US" w:eastAsia="zh-CN"/>
        </w:rPr>
        <w:t>认可</w:t>
      </w:r>
      <w:r>
        <w:rPr>
          <w:rFonts w:hint="eastAsia"/>
          <w:lang w:val="en-US" w:eastAsia="zh-CN"/>
        </w:rPr>
        <w:t>了</w:t>
      </w:r>
      <w:r>
        <w:rPr>
          <w:rFonts w:hint="default"/>
          <w:lang w:val="en-US" w:eastAsia="zh-CN"/>
        </w:rPr>
        <w:t>信息主体对已公开的个人信息仍保留一定的隐私期望与控制权益。基于</w:t>
      </w:r>
      <w:r>
        <w:rPr>
          <w:rFonts w:hint="eastAsia"/>
          <w:lang w:val="en-US" w:eastAsia="zh-CN"/>
        </w:rPr>
        <w:t>“</w:t>
      </w:r>
      <w:r>
        <w:rPr>
          <w:rFonts w:hint="default"/>
          <w:lang w:val="en-US" w:eastAsia="zh-CN"/>
        </w:rPr>
        <w:t>合理处理</w:t>
      </w:r>
      <w:r>
        <w:rPr>
          <w:rFonts w:hint="eastAsia"/>
          <w:lang w:val="en-US" w:eastAsia="zh-CN"/>
        </w:rPr>
        <w:t>”</w:t>
      </w:r>
      <w:r>
        <w:rPr>
          <w:rFonts w:hint="default"/>
          <w:lang w:val="en-US" w:eastAsia="zh-CN"/>
        </w:rPr>
        <w:t>的</w:t>
      </w:r>
      <w:r>
        <w:rPr>
          <w:rFonts w:hint="eastAsia"/>
          <w:lang w:val="en-US" w:eastAsia="zh-CN"/>
        </w:rPr>
        <w:t>要求</w:t>
      </w:r>
      <w:r>
        <w:rPr>
          <w:rFonts w:hint="default"/>
          <w:lang w:val="en-US" w:eastAsia="zh-CN"/>
        </w:rPr>
        <w:t>，信息处理者有义务评估自身处理举措对信息主体隐私等权益造成的影响大小，尤其要留意处理行为有无侵害信息主体的信息自主决定权。在实际操作里，运用已公开的个人信息，虽不一定直接触犯隐私权益，却有可能削弱用户对这类信息的掌控能力</w:t>
      </w:r>
      <w:r>
        <w:rPr>
          <w:rFonts w:hint="eastAsia"/>
          <w:lang w:val="en-US" w:eastAsia="zh-CN"/>
        </w:rPr>
        <w:t>，</w:t>
      </w:r>
      <w:r>
        <w:rPr>
          <w:rFonts w:hint="default"/>
          <w:lang w:val="en-US" w:eastAsia="zh-CN"/>
        </w:rPr>
        <w:t>比如会干扰信息主体对已公开信息进行修改、清除等操作的权</w:t>
      </w:r>
      <w:r>
        <w:rPr>
          <w:rFonts w:hint="eastAsia"/>
          <w:lang w:val="en-US" w:eastAsia="zh-CN"/>
        </w:rPr>
        <w:t>限</w:t>
      </w:r>
      <w:r>
        <w:rPr>
          <w:rFonts w:hint="default"/>
          <w:lang w:val="en-US" w:eastAsia="zh-CN"/>
        </w:rPr>
        <w:t>。这体现出，即便个人信息已处于公共范畴，信息主体也不会彻底、永久地失去对该信息隐私方面的利益，以及对其再度传播、公开的控制权力。</w:t>
      </w:r>
      <w:r>
        <w:rPr>
          <w:rStyle w:val="15"/>
          <w:rFonts w:hint="default"/>
          <w:lang w:val="en-US" w:eastAsia="zh-CN"/>
        </w:rPr>
        <w:footnoteReference w:id="30"/>
      </w:r>
      <w:r>
        <w:rPr>
          <w:rFonts w:hint="default"/>
          <w:lang w:val="en-US" w:eastAsia="zh-CN"/>
        </w:rPr>
        <w:t>因此，无论个人信息是否公开，信息处理者都要严格遵循法律规定，秉持公正、合理、诚信、审慎的原则开展信息收集和处理工作。在这个过程中，信息处理者需要妥善平衡各方相互冲突的利益诉求，充分考虑信息的敏感程度，特别是要高度重视处理行为对弱势群体可能产生的重大影响。</w:t>
      </w:r>
      <w:r>
        <w:rPr>
          <w:rStyle w:val="15"/>
          <w:rFonts w:hint="default"/>
          <w:lang w:val="en-US" w:eastAsia="zh-CN"/>
        </w:rPr>
        <w:footnoteReference w:id="31"/>
      </w:r>
    </w:p>
    <w:p w14:paraId="09F8C2D5">
      <w:pPr>
        <w:pageBreakBefore w:val="0"/>
        <w:widowControl w:val="0"/>
        <w:numPr>
          <w:ilvl w:val="0"/>
          <w:numId w:val="0"/>
        </w:numPr>
        <w:kinsoku/>
        <w:wordWrap/>
        <w:overflowPunct/>
        <w:topLinePunct w:val="0"/>
        <w:autoSpaceDE/>
        <w:autoSpaceDN/>
        <w:bidi w:val="0"/>
        <w:adjustRightInd/>
        <w:snapToGrid/>
        <w:spacing w:line="300" w:lineRule="auto"/>
        <w:ind w:firstLine="420" w:firstLineChars="0"/>
        <w:jc w:val="left"/>
        <w:textAlignment w:val="auto"/>
        <w:rPr>
          <w:rFonts w:hint="eastAsia"/>
          <w:lang w:val="en-US" w:eastAsia="zh-CN"/>
        </w:rPr>
      </w:pPr>
      <w:r>
        <w:rPr>
          <w:rFonts w:hint="default"/>
          <w:lang w:val="en-US" w:eastAsia="zh-CN"/>
        </w:rPr>
        <w:t>信息处理者义务维持不变，</w:t>
      </w:r>
      <w:r>
        <w:rPr>
          <w:rFonts w:hint="eastAsia"/>
          <w:lang w:val="en-US" w:eastAsia="zh-CN"/>
        </w:rPr>
        <w:t>另一个原因</w:t>
      </w:r>
      <w:r>
        <w:rPr>
          <w:rFonts w:hint="default"/>
          <w:lang w:val="en-US" w:eastAsia="zh-CN"/>
        </w:rPr>
        <w:t>在于防范微型风险的大规模积聚。</w:t>
      </w:r>
      <w:r>
        <w:rPr>
          <w:rStyle w:val="15"/>
          <w:rFonts w:hint="default"/>
          <w:lang w:val="en-US" w:eastAsia="zh-CN"/>
        </w:rPr>
        <w:footnoteReference w:id="32"/>
      </w:r>
      <w:r>
        <w:rPr>
          <w:rFonts w:hint="default"/>
          <w:lang w:val="en-US" w:eastAsia="zh-CN"/>
        </w:rPr>
        <w:t>把个人信息处理过程想象成河流的汇聚过程，每条个人信息就如同</w:t>
      </w:r>
      <w:r>
        <w:rPr>
          <w:rFonts w:hint="eastAsia"/>
          <w:lang w:val="en-US" w:eastAsia="zh-CN"/>
        </w:rPr>
        <w:t>汇入河流的</w:t>
      </w:r>
      <w:r>
        <w:rPr>
          <w:rFonts w:hint="default"/>
          <w:lang w:val="en-US" w:eastAsia="zh-CN"/>
        </w:rPr>
        <w:t>支流</w:t>
      </w:r>
      <w:r>
        <w:rPr>
          <w:rFonts w:hint="eastAsia"/>
          <w:lang w:val="en-US" w:eastAsia="zh-CN"/>
        </w:rPr>
        <w:t>，</w:t>
      </w:r>
      <w:r>
        <w:rPr>
          <w:rFonts w:hint="default"/>
          <w:lang w:val="en-US" w:eastAsia="zh-CN"/>
        </w:rPr>
        <w:t>就像河流需要维持生态平衡、预防洪水等风险一样，信息处理者对于汇聚起来的个人信息，同样需要承担保护信息安全、预防潜在风险的责任。</w:t>
      </w:r>
      <w:r>
        <w:rPr>
          <w:rStyle w:val="15"/>
          <w:rFonts w:hint="default"/>
          <w:lang w:val="en-US" w:eastAsia="zh-CN"/>
        </w:rPr>
        <w:footnoteReference w:id="33"/>
      </w:r>
      <w:r>
        <w:rPr>
          <w:rFonts w:hint="eastAsia"/>
          <w:lang w:val="en-US" w:eastAsia="zh-CN"/>
        </w:rPr>
        <w:t>随着《个人信息保护法》的普及，信息主体对个人信息有更强自主风险防范意识，但信息处理者进行大规模信息处理时，风险汇聚问题依旧存在，不会因这些特殊性而改变。个人信息保护相关制度明确信息处理者需履行相应义务，即便个体主动自担风险，信息处理者也不能免责，而要积极预防和消除风险。在现代科技迅猛发展的当下，个体信息自决面临诸多难题，更凸显了信息处理者义务和责任的重要性。</w:t>
      </w:r>
      <w:r>
        <w:rPr>
          <w:rStyle w:val="15"/>
          <w:rFonts w:hint="default"/>
          <w:lang w:val="en-US" w:eastAsia="zh-CN"/>
        </w:rPr>
        <w:footnoteReference w:id="34"/>
      </w:r>
      <w:r>
        <w:t>因此，信息处理者在处理个人信息时，必须</w:t>
      </w:r>
      <w:r>
        <w:rPr>
          <w:rFonts w:hint="eastAsia"/>
          <w:lang w:val="en-US" w:eastAsia="zh-CN"/>
        </w:rPr>
        <w:t>维持《个人信息保护法》第51-55条</w:t>
      </w:r>
      <w:r>
        <w:rPr>
          <w:rFonts w:hint="default"/>
          <w:lang w:val="en-US" w:eastAsia="zh-CN"/>
        </w:rPr>
        <w:t>规定的义务</w:t>
      </w:r>
      <w:r>
        <w:t>来确保信息的安全</w:t>
      </w:r>
      <w:r>
        <w:rPr>
          <w:rFonts w:hint="eastAsia"/>
          <w:lang w:eastAsia="zh-CN"/>
        </w:rPr>
        <w:t>，</w:t>
      </w:r>
      <w:r>
        <w:t>但不限于加密技术的使用、访问控制的实施、数据传输的安全性保障以及对内部员工的培训和监督。</w:t>
      </w:r>
    </w:p>
    <w:p w14:paraId="27797050">
      <w:pPr>
        <w:pStyle w:val="3"/>
        <w:pageBreakBefore w:val="0"/>
        <w:widowControl w:val="0"/>
        <w:kinsoku/>
        <w:wordWrap/>
        <w:overflowPunct/>
        <w:topLinePunct w:val="0"/>
        <w:autoSpaceDE/>
        <w:autoSpaceDN/>
        <w:bidi w:val="0"/>
        <w:adjustRightInd/>
        <w:snapToGrid/>
        <w:spacing w:line="300" w:lineRule="auto"/>
        <w:jc w:val="left"/>
        <w:textAlignment w:val="auto"/>
        <w:rPr>
          <w:rFonts w:hint="default"/>
          <w:lang w:val="en-US" w:eastAsia="zh-CN"/>
        </w:rPr>
      </w:pPr>
      <w:bookmarkStart w:id="14" w:name="_Toc12533"/>
      <w:r>
        <w:rPr>
          <w:rFonts w:hint="eastAsia"/>
          <w:lang w:val="en-US" w:eastAsia="zh-CN"/>
        </w:rPr>
        <w:t>（三）强化信息处理者的监管</w:t>
      </w:r>
      <w:bookmarkEnd w:id="14"/>
    </w:p>
    <w:p w14:paraId="27D46320">
      <w:pPr>
        <w:pageBreakBefore w:val="0"/>
        <w:widowControl w:val="0"/>
        <w:kinsoku/>
        <w:wordWrap/>
        <w:overflowPunct/>
        <w:topLinePunct w:val="0"/>
        <w:autoSpaceDE/>
        <w:autoSpaceDN/>
        <w:bidi w:val="0"/>
        <w:adjustRightInd/>
        <w:snapToGrid/>
        <w:spacing w:line="300" w:lineRule="auto"/>
        <w:jc w:val="left"/>
        <w:textAlignment w:val="auto"/>
        <w:rPr>
          <w:rFonts w:hint="default"/>
          <w:lang w:val="en-US" w:eastAsia="zh-CN"/>
        </w:rPr>
      </w:pPr>
      <w:r>
        <w:rPr>
          <w:rFonts w:hint="eastAsia"/>
          <w:lang w:val="en-US" w:eastAsia="zh-CN"/>
        </w:rPr>
        <w:t>在法定公开场景下，通过弱化财产规则和强化责任规则，法定公开信息处理机关所掌握的权力过大，如果不加强对于信息处理者的监管，很容易出现滥用个人信息或者侵害个人隐私等行为。</w:t>
      </w:r>
    </w:p>
    <w:p w14:paraId="18AE82E5">
      <w:pPr>
        <w:pageBreakBefore w:val="0"/>
        <w:widowControl w:val="0"/>
        <w:kinsoku/>
        <w:wordWrap/>
        <w:overflowPunct/>
        <w:topLinePunct w:val="0"/>
        <w:autoSpaceDE/>
        <w:autoSpaceDN/>
        <w:bidi w:val="0"/>
        <w:adjustRightInd/>
        <w:snapToGrid/>
        <w:spacing w:line="300" w:lineRule="auto"/>
        <w:jc w:val="left"/>
        <w:textAlignment w:val="auto"/>
        <w:rPr>
          <w:rFonts w:hint="default" w:eastAsiaTheme="minorEastAsia"/>
          <w:lang w:val="en-US" w:eastAsia="zh-CN"/>
        </w:rPr>
      </w:pPr>
      <w:r>
        <w:rPr>
          <w:rFonts w:hint="eastAsia"/>
          <w:lang w:val="en-US" w:eastAsia="zh-CN"/>
        </w:rPr>
        <w:t>首先，应强化对信息处理的过程和内容进行监管力度。在数字化时代，信息处理活动广泛且复杂，信息处理涵盖了从收集、存储、使用到共享等多个环节，每个环节都存在诸多风险。在收集阶段，可能存在过度收集信息的问题，侵害个人隐私和信息安全；存储环节，若缺乏有效的安全防护措施，易导致信息泄露；使用和共享环节，则可能出现信息滥用、非法交易等情况。为强化监管，首先要完善相关法律法规，明确信息处理者的权利和义务，以及违规处理信息的法律责任。同时，监管部门应加强对信息处理过程的实时监控，借助技术手段监测信息流向，确保处理行为符合规定，对于信息处理的内容和范围，要严格审查，避免超出合理范围。在实践中，像社交媒体平台这类信息处理者，监管部门应要求其定期进行安全评估和内容审查报告，对于违反监管规定的，依法进行严厉处罚，包括罚款、暂停业务甚至吊销经营许可等，以提高违法成本，形成有效威慑。</w:t>
      </w:r>
    </w:p>
    <w:p w14:paraId="213BE81F">
      <w:pPr>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eastAsia"/>
          <w:lang w:val="en-US" w:eastAsia="zh-CN"/>
        </w:rPr>
      </w:pPr>
      <w:r>
        <w:rPr>
          <w:rFonts w:hint="eastAsia"/>
          <w:lang w:val="en-US" w:eastAsia="zh-CN"/>
        </w:rPr>
        <w:t>其次，应防止信息处理者滥用格式条款</w:t>
      </w:r>
      <w:r>
        <w:rPr>
          <w:rFonts w:hint="default"/>
          <w:lang w:val="en-US" w:eastAsia="zh-CN"/>
        </w:rPr>
        <w:t>。</w:t>
      </w:r>
      <w:r>
        <w:rPr>
          <w:rFonts w:hint="eastAsia"/>
          <w:lang w:val="en-US" w:eastAsia="zh-CN"/>
        </w:rPr>
        <w:t>为方便大规模地征求信息主体的同意，信息处理者往往会使用格式条款履行告知义务。</w:t>
      </w:r>
      <w:r>
        <w:rPr>
          <w:rFonts w:hint="default"/>
          <w:highlight w:val="none"/>
          <w:lang w:val="en-US" w:eastAsia="zh-CN"/>
        </w:rPr>
        <w:t>信息处理者制定的格式条款通常繁复冗长，常人往往难以理解</w:t>
      </w:r>
      <w:r>
        <w:rPr>
          <w:rFonts w:hint="eastAsia"/>
          <w:highlight w:val="none"/>
          <w:lang w:val="en-US" w:eastAsia="zh-CN"/>
        </w:rPr>
        <w:t>或者</w:t>
      </w:r>
      <w:r>
        <w:rPr>
          <w:rFonts w:hint="default"/>
          <w:highlight w:val="none"/>
          <w:lang w:val="en-US" w:eastAsia="zh-CN"/>
        </w:rPr>
        <w:t>不愿意花费时间去理解</w:t>
      </w:r>
      <w:r>
        <w:rPr>
          <w:rFonts w:hint="eastAsia"/>
          <w:highlight w:val="none"/>
          <w:lang w:val="en-US" w:eastAsia="zh-CN"/>
        </w:rPr>
        <w:t>，</w:t>
      </w:r>
      <w:r>
        <w:rPr>
          <w:rFonts w:hint="default"/>
          <w:highlight w:val="none"/>
          <w:lang w:val="en-US" w:eastAsia="zh-CN"/>
        </w:rPr>
        <w:t>更无法有效弥合缔约双方之间客观存在的如鸿沟般的信息差距。</w:t>
      </w:r>
      <w:r>
        <w:rPr>
          <w:rFonts w:hint="eastAsia"/>
          <w:highlight w:val="none"/>
          <w:lang w:val="en-US" w:eastAsia="zh-CN"/>
        </w:rPr>
        <w:t>我们可以采用格式条款的订入控制规则对这种情况进行监管，要求信息处理者的告知达到</w:t>
      </w:r>
      <w:r>
        <w:rPr>
          <w:rFonts w:hint="eastAsia"/>
          <w:lang w:val="en-US" w:eastAsia="zh-CN"/>
        </w:rPr>
        <w:t>“通常足以引起对方注意”的程度标准。</w:t>
      </w:r>
      <w:r>
        <w:rPr>
          <w:rStyle w:val="15"/>
          <w:rFonts w:hint="eastAsia"/>
          <w:lang w:val="en-US" w:eastAsia="zh-CN"/>
        </w:rPr>
        <w:footnoteReference w:id="35"/>
      </w:r>
      <w:r>
        <w:rPr>
          <w:rFonts w:hint="eastAsia"/>
          <w:lang w:val="en-US" w:eastAsia="zh-CN"/>
        </w:rPr>
        <w:t>需注意的是，即使格式条款使用方在合同中改变了文字、符号、字体、颜色等进行提示，也可能依然不能达到通常足以引起对方注意的目的，我们可以</w:t>
      </w:r>
      <w:r>
        <w:rPr>
          <w:rFonts w:hint="default"/>
          <w:lang w:val="en-US" w:eastAsia="zh-CN"/>
        </w:rPr>
        <w:t>通过</w:t>
      </w:r>
      <w:r>
        <w:rPr>
          <w:rFonts w:hint="eastAsia"/>
          <w:lang w:val="en-US" w:eastAsia="zh-CN"/>
        </w:rPr>
        <w:t>采取勾选、弹窗、延时阅读</w:t>
      </w:r>
      <w:r>
        <w:rPr>
          <w:rFonts w:hint="default"/>
          <w:lang w:val="en-US" w:eastAsia="zh-CN"/>
        </w:rPr>
        <w:t>等技术手段让相对方</w:t>
      </w:r>
      <w:r>
        <w:rPr>
          <w:rFonts w:hint="eastAsia"/>
          <w:lang w:val="en-US" w:eastAsia="zh-CN"/>
        </w:rPr>
        <w:t>更好地</w:t>
      </w:r>
      <w:r>
        <w:rPr>
          <w:rFonts w:hint="default"/>
          <w:lang w:val="en-US" w:eastAsia="zh-CN"/>
        </w:rPr>
        <w:t>注意到异常条款的存在</w:t>
      </w:r>
      <w:r>
        <w:rPr>
          <w:rStyle w:val="15"/>
          <w:rFonts w:hint="default"/>
          <w:lang w:val="en-US" w:eastAsia="zh-CN"/>
        </w:rPr>
        <w:footnoteReference w:id="36"/>
      </w:r>
      <w:r>
        <w:rPr>
          <w:rFonts w:hint="eastAsia"/>
          <w:lang w:val="en-US" w:eastAsia="zh-CN"/>
        </w:rPr>
        <w:t>。</w:t>
      </w:r>
    </w:p>
    <w:p w14:paraId="30A71B06">
      <w:pPr>
        <w:pStyle w:val="2"/>
        <w:bidi w:val="0"/>
        <w:rPr>
          <w:rFonts w:hint="eastAsia"/>
          <w:lang w:val="en-US" w:eastAsia="zh-CN"/>
        </w:rPr>
      </w:pPr>
      <w:bookmarkStart w:id="15" w:name="_Toc6959"/>
      <w:r>
        <w:rPr>
          <w:rFonts w:hint="eastAsia"/>
          <w:lang w:val="en-US" w:eastAsia="zh-CN"/>
        </w:rPr>
        <w:t>结语</w:t>
      </w:r>
      <w:bookmarkEnd w:id="15"/>
    </w:p>
    <w:p w14:paraId="402AD430">
      <w:pPr>
        <w:pageBreakBefore w:val="0"/>
        <w:widowControl w:val="0"/>
        <w:kinsoku/>
        <w:wordWrap/>
        <w:overflowPunct/>
        <w:topLinePunct w:val="0"/>
        <w:autoSpaceDE/>
        <w:autoSpaceDN/>
        <w:bidi w:val="0"/>
        <w:adjustRightInd/>
        <w:snapToGrid/>
        <w:spacing w:line="300" w:lineRule="auto"/>
        <w:jc w:val="left"/>
        <w:textAlignment w:val="auto"/>
        <w:rPr>
          <w:rFonts w:hint="default"/>
          <w:lang w:val="en-US" w:eastAsia="zh-CN"/>
        </w:rPr>
      </w:pPr>
      <w:r>
        <w:rPr>
          <w:rFonts w:hint="eastAsia"/>
          <w:lang w:val="en-US" w:eastAsia="zh-CN"/>
        </w:rPr>
        <w:t>随着数字时代的到来，法定公开信息成为一个不得不讨论的热点问题，如何在侧重公共利益的同时兼顾个人权利的保护成为难题。“卡-梅框架”给了我们处理法定公开信息的大纲，就是强化责任规则，弱化财产规则。对于责任规则，我们需要明确“合理范围”的适用标准，仅要求信息处理行为正当、必要且比例原则，不应采用与初始公开目的一致的标准，“对个人权益有重大影响”可视为“合理范围”标准的一个相对面，我们可以通过限缩“对个人权益有重大影响”的标准来扩大“合理范围”标准的适用范围。对于财产规则，告知同意规则需要在“对个人权益有重大影响”时才需要被信息处理者应用，个人拒绝权仅在处理行为“超出合理范围”才能被行使。当然，我们还需要兼顾好对个人权益的保护，需要通过保障删除权、督促信息处理者履行法定义务、强化对信息处理者的监管，来防止信息处理者滥用其优势地位。法定公开信息处理场景千变万化，本文仅进行一个概括性的讨论，笔者相信随着相关具体实践场景的深入，法定公开信息理论会得到进一步发展。</w:t>
      </w:r>
    </w:p>
    <w:sectPr>
      <w:footerReference r:id="rId5" w:type="default"/>
      <w:footnotePr>
        <w:numFmt w:val="decimalEnclosedCircleChinese"/>
      </w:footnotePr>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72"/>
      </w:pPr>
      <w:r>
        <w:separator/>
      </w:r>
    </w:p>
  </w:endnote>
  <w:endnote w:type="continuationSeparator" w:id="1">
    <w:p>
      <w:pPr>
        <w:spacing w:line="240" w:lineRule="auto"/>
        <w:ind w:firstLine="47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MS Gothic">
    <w:panose1 w:val="020B0609070205080204"/>
    <w:charset w:val="80"/>
    <w:family w:val="auto"/>
    <w:pitch w:val="default"/>
    <w:sig w:usb0="E00002FF" w:usb1="6AC7FDFB" w:usb2="08000012" w:usb3="00000000" w:csb0="400200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C0D3E">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0BE3EE">
                          <w:pPr>
                            <w:pStyle w:val="6"/>
                          </w:pPr>
                          <w:r>
                            <w:t xml:space="preserve">第 </w:t>
                          </w:r>
                          <w:r>
                            <w:fldChar w:fldCharType="begin"/>
                          </w:r>
                          <w:r>
                            <w:instrText xml:space="preserve"> PAGE  \* MERGEFORMAT </w:instrText>
                          </w:r>
                          <w:r>
                            <w:fldChar w:fldCharType="separate"/>
                          </w:r>
                          <w:r>
                            <w:t>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D0BE3EE">
                    <w:pPr>
                      <w:pStyle w:val="6"/>
                    </w:pPr>
                    <w:r>
                      <w:t xml:space="preserve">第 </w:t>
                    </w:r>
                    <w:r>
                      <w:fldChar w:fldCharType="begin"/>
                    </w:r>
                    <w:r>
                      <w:instrText xml:space="preserve"> PAGE  \* MERGEFORMAT </w:instrText>
                    </w:r>
                    <w:r>
                      <w:fldChar w:fldCharType="separate"/>
                    </w:r>
                    <w:r>
                      <w:t>2</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4">
    <w:p>
      <w:pPr>
        <w:spacing w:line="300" w:lineRule="auto"/>
        <w:ind w:firstLine="472"/>
      </w:pPr>
      <w:r>
        <w:separator/>
      </w:r>
    </w:p>
  </w:footnote>
  <w:footnote w:type="continuationSeparator" w:id="75">
    <w:p>
      <w:pPr>
        <w:spacing w:line="300" w:lineRule="auto"/>
        <w:ind w:firstLine="472"/>
      </w:pPr>
      <w:r>
        <w:continuationSeparator/>
      </w:r>
    </w:p>
  </w:footnote>
  <w:footnote w:id="0">
    <w:p w14:paraId="2D02037D">
      <w:pPr>
        <w:pStyle w:val="9"/>
        <w:snapToGrid w:val="0"/>
        <w:rPr>
          <w:rFonts w:hint="eastAsia" w:eastAsia="宋体"/>
          <w:lang w:eastAsia="zh-CN"/>
        </w:rPr>
      </w:pPr>
      <w:r>
        <w:rPr>
          <w:rStyle w:val="15"/>
        </w:rPr>
        <w:footnoteRef/>
      </w:r>
      <w:r>
        <w:rPr>
          <w:rFonts w:hint="eastAsia"/>
          <w:lang w:val="en-US" w:eastAsia="zh-CN"/>
        </w:rPr>
        <w:t xml:space="preserve"> </w:t>
      </w:r>
      <w:r>
        <w:rPr>
          <w:rFonts w:hint="eastAsia"/>
        </w:rPr>
        <w:t>参见高富平</w:t>
      </w:r>
      <w:r>
        <w:rPr>
          <w:rFonts w:hint="eastAsia"/>
          <w:lang w:eastAsia="zh-CN"/>
        </w:rPr>
        <w:t>：</w:t>
      </w:r>
      <w:r>
        <w:rPr>
          <w:rFonts w:hint="eastAsia"/>
        </w:rPr>
        <w:t>《个人信息保护</w:t>
      </w:r>
      <w:r>
        <w:rPr>
          <w:rFonts w:hint="eastAsia"/>
          <w:lang w:eastAsia="zh-CN"/>
        </w:rPr>
        <w:t>：</w:t>
      </w:r>
      <w:r>
        <w:rPr>
          <w:rFonts w:hint="eastAsia"/>
        </w:rPr>
        <w:t>从个人控制到社会控制》</w:t>
      </w:r>
      <w:r>
        <w:rPr>
          <w:rFonts w:hint="eastAsia"/>
          <w:lang w:eastAsia="zh-CN"/>
        </w:rPr>
        <w:t>，</w:t>
      </w:r>
      <w:r>
        <w:rPr>
          <w:rFonts w:hint="eastAsia"/>
          <w:lang w:val="en-US" w:eastAsia="zh-CN"/>
        </w:rPr>
        <w:t>载</w:t>
      </w:r>
      <w:r>
        <w:rPr>
          <w:rFonts w:hint="eastAsia"/>
        </w:rPr>
        <w:t>《法学研究》2018年第3期</w:t>
      </w:r>
      <w:r>
        <w:rPr>
          <w:rFonts w:hint="eastAsia"/>
          <w:lang w:eastAsia="zh-CN"/>
        </w:rPr>
        <w:t>。</w:t>
      </w:r>
    </w:p>
  </w:footnote>
  <w:footnote w:id="1">
    <w:p w14:paraId="4BC1B208">
      <w:pPr>
        <w:pStyle w:val="9"/>
        <w:snapToGrid w:val="0"/>
      </w:pPr>
      <w:r>
        <w:rPr>
          <w:rStyle w:val="15"/>
        </w:rPr>
        <w:footnoteRef/>
      </w:r>
      <w:r>
        <w:t xml:space="preserve"> </w:t>
      </w:r>
      <w:r>
        <w:rPr>
          <w:rFonts w:hint="eastAsia"/>
        </w:rPr>
        <w:t>《个人信息保护法》第13条第6项规定，信息处理者可“依照本法规定在合理的范围内处理个人自行公开或者其他已经合法公开的个人信息”。</w:t>
      </w:r>
    </w:p>
  </w:footnote>
  <w:footnote w:id="2">
    <w:p w14:paraId="3C5F8990">
      <w:pPr>
        <w:pStyle w:val="9"/>
        <w:snapToGrid w:val="0"/>
        <w:rPr>
          <w:rFonts w:hint="eastAsia" w:eastAsia="宋体"/>
          <w:lang w:eastAsia="zh-CN"/>
        </w:rPr>
      </w:pPr>
      <w:r>
        <w:rPr>
          <w:rStyle w:val="15"/>
        </w:rPr>
        <w:footnoteRef/>
      </w:r>
      <w:r>
        <w:t xml:space="preserve"> </w:t>
      </w:r>
      <w:r>
        <w:rPr>
          <w:rFonts w:hint="eastAsia" w:ascii="Times New Roman" w:hAnsi="Times New Roman" w:cs="Times New Roman"/>
        </w:rPr>
        <w:t>《个人信息保护法》第</w:t>
      </w:r>
      <w:r>
        <w:rPr>
          <w:rFonts w:hint="eastAsia" w:cs="Times New Roman"/>
          <w:lang w:val="en-US" w:eastAsia="zh-CN"/>
        </w:rPr>
        <w:t>27</w:t>
      </w:r>
      <w:r>
        <w:rPr>
          <w:rFonts w:hint="eastAsia" w:ascii="Times New Roman" w:hAnsi="Times New Roman" w:cs="Times New Roman"/>
        </w:rPr>
        <w:t>条</w:t>
      </w:r>
      <w:r>
        <w:rPr>
          <w:rFonts w:hint="eastAsia" w:ascii="Times New Roman" w:hAnsi="Times New Roman" w:cs="Times New Roman"/>
          <w:lang w:val="en-US" w:eastAsia="zh-CN"/>
        </w:rPr>
        <w:t>规定：“</w:t>
      </w:r>
      <w:r>
        <w:rPr>
          <w:rFonts w:hint="eastAsia" w:ascii="Times New Roman" w:hAnsi="Times New Roman" w:cs="Times New Roman"/>
        </w:rPr>
        <w:t>个人信息处理者可以在合理的范围内处理个人自行公开或者其他已经合法公开的个人信息；个人明确拒绝的除外。个人信息处理者处理已公开的个人信息，对个人权益有重大影响的，应当依照本法规定取得个人同意。</w:t>
      </w:r>
      <w:r>
        <w:rPr>
          <w:rFonts w:hint="eastAsia" w:ascii="Times New Roman" w:hAnsi="Times New Roman" w:cs="Times New Roman"/>
          <w:lang w:eastAsia="zh-CN"/>
        </w:rPr>
        <w:t>”</w:t>
      </w:r>
    </w:p>
  </w:footnote>
  <w:footnote w:id="3">
    <w:p w14:paraId="2962EE08">
      <w:pPr>
        <w:pStyle w:val="9"/>
        <w:snapToGrid w:val="0"/>
        <w:rPr>
          <w:rFonts w:hint="eastAsia" w:eastAsiaTheme="minorEastAsia"/>
          <w:lang w:val="en-US" w:eastAsia="zh-CN"/>
        </w:rPr>
      </w:pPr>
      <w:r>
        <w:rPr>
          <w:rStyle w:val="15"/>
        </w:rPr>
        <w:footnoteRef/>
      </w:r>
      <w:r>
        <w:rPr>
          <w:rFonts w:hint="eastAsia"/>
          <w:lang w:val="en-US" w:eastAsia="zh-CN"/>
        </w:rPr>
        <w:t xml:space="preserve"> </w:t>
      </w:r>
      <w:r>
        <w:rPr>
          <w:rFonts w:hint="eastAsia"/>
        </w:rPr>
        <w:t>See Guido Calabresi and Douglas Melamed</w:t>
      </w:r>
      <w:r>
        <w:rPr>
          <w:rFonts w:hint="eastAsia"/>
          <w:lang w:val="en-US" w:eastAsia="zh-CN"/>
        </w:rPr>
        <w:t>,</w:t>
      </w:r>
      <w:r>
        <w:rPr>
          <w:rFonts w:hint="default"/>
          <w:lang w:val="en-US" w:eastAsia="zh-CN"/>
        </w:rPr>
        <w:t>“</w:t>
      </w:r>
      <w:r>
        <w:rPr>
          <w:rFonts w:hint="eastAsia"/>
        </w:rPr>
        <w:t>Property Rules</w:t>
      </w:r>
      <w:r>
        <w:rPr>
          <w:rFonts w:hint="eastAsia"/>
          <w:lang w:val="en-US" w:eastAsia="zh-CN"/>
        </w:rPr>
        <w:t xml:space="preserve">, </w:t>
      </w:r>
      <w:r>
        <w:rPr>
          <w:rFonts w:hint="eastAsia"/>
        </w:rPr>
        <w:t>Liability Rules</w:t>
      </w:r>
      <w:r>
        <w:rPr>
          <w:rFonts w:hint="eastAsia"/>
          <w:lang w:val="en-US" w:eastAsia="zh-CN"/>
        </w:rPr>
        <w:t xml:space="preserve">, </w:t>
      </w:r>
      <w:r>
        <w:rPr>
          <w:rFonts w:hint="eastAsia"/>
        </w:rPr>
        <w:t>and Inalienability</w:t>
      </w:r>
      <w:r>
        <w:rPr>
          <w:rFonts w:hint="eastAsia"/>
          <w:lang w:val="en-US" w:eastAsia="zh-CN"/>
        </w:rPr>
        <w:t>:</w:t>
      </w:r>
      <w:r>
        <w:rPr>
          <w:rFonts w:hint="eastAsia"/>
        </w:rPr>
        <w:t>One View of the</w:t>
      </w:r>
      <w:r>
        <w:rPr>
          <w:rFonts w:hint="eastAsia"/>
          <w:lang w:val="en-US" w:eastAsia="zh-CN"/>
        </w:rPr>
        <w:t xml:space="preserve"> </w:t>
      </w:r>
      <w:r>
        <w:rPr>
          <w:rFonts w:hint="eastAsia"/>
        </w:rPr>
        <w:t>Cathedral</w:t>
      </w:r>
      <w:r>
        <w:rPr>
          <w:rFonts w:hint="default"/>
          <w:lang w:val="en-US" w:eastAsia="zh-CN"/>
        </w:rPr>
        <w:t>”</w:t>
      </w:r>
      <w:r>
        <w:rPr>
          <w:rFonts w:hint="eastAsia"/>
          <w:lang w:val="en-US" w:eastAsia="zh-CN"/>
        </w:rPr>
        <w:t>,</w:t>
      </w:r>
      <w:r>
        <w:rPr>
          <w:rFonts w:hint="eastAsia"/>
          <w:i/>
          <w:iCs/>
        </w:rPr>
        <w:t>Harvard Law Review</w:t>
      </w:r>
      <w:r>
        <w:rPr>
          <w:rFonts w:hint="eastAsia"/>
          <w:lang w:val="en-US" w:eastAsia="zh-CN"/>
        </w:rPr>
        <w:t>,</w:t>
      </w:r>
      <w:r>
        <w:rPr>
          <w:rFonts w:hint="eastAsia"/>
        </w:rPr>
        <w:t>Vol</w:t>
      </w:r>
      <w:r>
        <w:rPr>
          <w:rFonts w:hint="eastAsia"/>
          <w:lang w:val="en-US" w:eastAsia="zh-CN"/>
        </w:rPr>
        <w:t>.</w:t>
      </w:r>
      <w:r>
        <w:rPr>
          <w:rFonts w:hint="eastAsia"/>
        </w:rPr>
        <w:t>85</w:t>
      </w:r>
      <w:r>
        <w:rPr>
          <w:rFonts w:hint="eastAsia"/>
          <w:lang w:val="en-US" w:eastAsia="zh-CN"/>
        </w:rPr>
        <w:t>,</w:t>
      </w:r>
      <w:r>
        <w:rPr>
          <w:rFonts w:hint="eastAsia"/>
        </w:rPr>
        <w:t>No</w:t>
      </w:r>
      <w:r>
        <w:rPr>
          <w:rFonts w:hint="eastAsia"/>
          <w:lang w:val="en-US" w:eastAsia="zh-CN"/>
        </w:rPr>
        <w:t>.</w:t>
      </w:r>
      <w:r>
        <w:rPr>
          <w:rFonts w:hint="eastAsia"/>
        </w:rPr>
        <w:t>6(Apr</w:t>
      </w:r>
      <w:r>
        <w:rPr>
          <w:rFonts w:hint="eastAsia"/>
          <w:lang w:val="en-US" w:eastAsia="zh-CN"/>
        </w:rPr>
        <w:t>.</w:t>
      </w:r>
      <w:r>
        <w:rPr>
          <w:rFonts w:hint="eastAsia"/>
          <w:lang w:eastAsia="zh-CN"/>
        </w:rPr>
        <w:t>，</w:t>
      </w:r>
      <w:r>
        <w:rPr>
          <w:rFonts w:hint="eastAsia"/>
        </w:rPr>
        <w:t>1972)</w:t>
      </w:r>
      <w:r>
        <w:rPr>
          <w:rFonts w:hint="eastAsia"/>
          <w:lang w:val="en-US" w:eastAsia="zh-CN"/>
        </w:rPr>
        <w:t>,p.1089-1111.</w:t>
      </w:r>
    </w:p>
  </w:footnote>
  <w:footnote w:id="4">
    <w:p w14:paraId="368385C6">
      <w:pPr>
        <w:pStyle w:val="9"/>
        <w:snapToGrid w:val="0"/>
        <w:rPr>
          <w:rFonts w:hint="eastAsia" w:eastAsiaTheme="minorEastAsia"/>
          <w:lang w:val="en-US" w:eastAsia="zh-CN"/>
        </w:rPr>
      </w:pPr>
      <w:r>
        <w:rPr>
          <w:rStyle w:val="15"/>
        </w:rPr>
        <w:footnoteRef/>
      </w:r>
      <w:r>
        <w:rPr>
          <w:rFonts w:hint="eastAsia"/>
          <w:lang w:val="en-US" w:eastAsia="zh-CN"/>
        </w:rPr>
        <w:t xml:space="preserve"> </w:t>
      </w:r>
      <w:r>
        <w:rPr>
          <w:rFonts w:hint="eastAsia"/>
        </w:rPr>
        <w:t>See Guido Calabresi and Douglas Melamed</w:t>
      </w:r>
      <w:r>
        <w:rPr>
          <w:rFonts w:hint="eastAsia"/>
          <w:lang w:val="en-US" w:eastAsia="zh-CN"/>
        </w:rPr>
        <w:t>,</w:t>
      </w:r>
      <w:r>
        <w:rPr>
          <w:rFonts w:hint="default"/>
          <w:lang w:val="en-US" w:eastAsia="zh-CN"/>
        </w:rPr>
        <w:t>“</w:t>
      </w:r>
      <w:r>
        <w:rPr>
          <w:rFonts w:hint="eastAsia"/>
        </w:rPr>
        <w:t>Property Rules</w:t>
      </w:r>
      <w:r>
        <w:rPr>
          <w:rFonts w:hint="eastAsia"/>
          <w:lang w:val="en-US" w:eastAsia="zh-CN"/>
        </w:rPr>
        <w:t xml:space="preserve">, </w:t>
      </w:r>
      <w:r>
        <w:rPr>
          <w:rFonts w:hint="eastAsia"/>
        </w:rPr>
        <w:t>Liability Rules</w:t>
      </w:r>
      <w:r>
        <w:rPr>
          <w:rFonts w:hint="eastAsia"/>
          <w:lang w:val="en-US" w:eastAsia="zh-CN"/>
        </w:rPr>
        <w:t xml:space="preserve">, </w:t>
      </w:r>
      <w:r>
        <w:rPr>
          <w:rFonts w:hint="eastAsia"/>
        </w:rPr>
        <w:t>and Inalienability</w:t>
      </w:r>
      <w:r>
        <w:rPr>
          <w:rFonts w:hint="eastAsia"/>
          <w:lang w:val="en-US" w:eastAsia="zh-CN"/>
        </w:rPr>
        <w:t>:</w:t>
      </w:r>
      <w:r>
        <w:rPr>
          <w:rFonts w:hint="eastAsia"/>
        </w:rPr>
        <w:t>One View of the</w:t>
      </w:r>
      <w:r>
        <w:rPr>
          <w:rFonts w:hint="eastAsia"/>
          <w:lang w:val="en-US" w:eastAsia="zh-CN"/>
        </w:rPr>
        <w:t xml:space="preserve"> </w:t>
      </w:r>
      <w:r>
        <w:rPr>
          <w:rFonts w:hint="eastAsia"/>
        </w:rPr>
        <w:t>Cathedral</w:t>
      </w:r>
      <w:r>
        <w:rPr>
          <w:rFonts w:hint="default"/>
          <w:lang w:val="en-US" w:eastAsia="zh-CN"/>
        </w:rPr>
        <w:t>”</w:t>
      </w:r>
      <w:r>
        <w:rPr>
          <w:rFonts w:hint="eastAsia"/>
          <w:lang w:val="en-US" w:eastAsia="zh-CN"/>
        </w:rPr>
        <w:t>,</w:t>
      </w:r>
      <w:r>
        <w:rPr>
          <w:rFonts w:hint="eastAsia"/>
          <w:i/>
          <w:iCs/>
        </w:rPr>
        <w:t>Harvard Law Review</w:t>
      </w:r>
      <w:r>
        <w:rPr>
          <w:rFonts w:hint="eastAsia"/>
          <w:lang w:val="en-US" w:eastAsia="zh-CN"/>
        </w:rPr>
        <w:t>,</w:t>
      </w:r>
      <w:r>
        <w:rPr>
          <w:rFonts w:hint="eastAsia"/>
        </w:rPr>
        <w:t>Vol</w:t>
      </w:r>
      <w:r>
        <w:rPr>
          <w:rFonts w:hint="eastAsia"/>
          <w:lang w:val="en-US" w:eastAsia="zh-CN"/>
        </w:rPr>
        <w:t>.</w:t>
      </w:r>
      <w:r>
        <w:rPr>
          <w:rFonts w:hint="eastAsia"/>
        </w:rPr>
        <w:t>85</w:t>
      </w:r>
      <w:r>
        <w:rPr>
          <w:rFonts w:hint="eastAsia"/>
          <w:lang w:val="en-US" w:eastAsia="zh-CN"/>
        </w:rPr>
        <w:t>,</w:t>
      </w:r>
      <w:r>
        <w:rPr>
          <w:rFonts w:hint="eastAsia"/>
        </w:rPr>
        <w:t>No</w:t>
      </w:r>
      <w:r>
        <w:rPr>
          <w:rFonts w:hint="eastAsia"/>
          <w:lang w:val="en-US" w:eastAsia="zh-CN"/>
        </w:rPr>
        <w:t>.</w:t>
      </w:r>
      <w:r>
        <w:rPr>
          <w:rFonts w:hint="eastAsia"/>
        </w:rPr>
        <w:t>6(Apr</w:t>
      </w:r>
      <w:r>
        <w:rPr>
          <w:rFonts w:hint="eastAsia"/>
          <w:lang w:val="en-US" w:eastAsia="zh-CN"/>
        </w:rPr>
        <w:t>.</w:t>
      </w:r>
      <w:r>
        <w:rPr>
          <w:rFonts w:hint="eastAsia"/>
          <w:lang w:eastAsia="zh-CN"/>
        </w:rPr>
        <w:t>，</w:t>
      </w:r>
      <w:r>
        <w:rPr>
          <w:rFonts w:hint="eastAsia"/>
        </w:rPr>
        <w:t>1972)</w:t>
      </w:r>
      <w:r>
        <w:rPr>
          <w:rFonts w:hint="eastAsia"/>
          <w:lang w:val="en-US" w:eastAsia="zh-CN"/>
        </w:rPr>
        <w:t>,p.1089-1111.</w:t>
      </w:r>
    </w:p>
  </w:footnote>
  <w:footnote w:id="5">
    <w:p w14:paraId="746456B7">
      <w:pPr>
        <w:pStyle w:val="9"/>
        <w:snapToGrid w:val="0"/>
      </w:pPr>
      <w:r>
        <w:rPr>
          <w:rStyle w:val="15"/>
        </w:rPr>
        <w:footnoteRef/>
      </w:r>
      <w:r>
        <w:rPr>
          <w:rFonts w:hint="eastAsia"/>
          <w:lang w:val="en-US" w:eastAsia="zh-CN"/>
        </w:rPr>
        <w:t xml:space="preserve"> 参见齐英程：《已公开个人信息处理规则的类型化阐释》，载《法制与社会发展》2022年第5期。</w:t>
      </w:r>
    </w:p>
  </w:footnote>
  <w:footnote w:id="6">
    <w:p w14:paraId="79420F58">
      <w:pPr>
        <w:pStyle w:val="9"/>
        <w:snapToGrid w:val="0"/>
      </w:pPr>
      <w:r>
        <w:rPr>
          <w:rStyle w:val="15"/>
        </w:rPr>
        <w:footnoteRef/>
      </w:r>
      <w:r>
        <w:rPr>
          <w:rFonts w:hint="eastAsia"/>
          <w:lang w:val="en-US" w:eastAsia="zh-CN"/>
        </w:rPr>
        <w:t xml:space="preserve"> </w:t>
      </w:r>
      <w:r>
        <w:t>参见江苏省苏州市中级人民法院民事判决书，(2019)苏05民终4745号。</w:t>
      </w:r>
    </w:p>
  </w:footnote>
  <w:footnote w:id="7">
    <w:p w14:paraId="6A29A09A">
      <w:pPr>
        <w:pStyle w:val="9"/>
        <w:snapToGrid w:val="0"/>
      </w:pPr>
      <w:r>
        <w:rPr>
          <w:rStyle w:val="15"/>
        </w:rPr>
        <w:footnoteRef/>
      </w:r>
      <w:r>
        <w:rPr>
          <w:rFonts w:hint="eastAsia"/>
          <w:lang w:val="en-US" w:eastAsia="zh-CN"/>
        </w:rPr>
        <w:t xml:space="preserve"> </w:t>
      </w:r>
      <w:r>
        <w:t>参见北京铁路运输中级法院民事判决书，(2021)京04民终71号。</w:t>
      </w:r>
    </w:p>
  </w:footnote>
  <w:footnote w:id="8">
    <w:p w14:paraId="6DDDECF2">
      <w:pPr>
        <w:pStyle w:val="9"/>
        <w:snapToGrid w:val="0"/>
      </w:pPr>
      <w:r>
        <w:rPr>
          <w:rStyle w:val="15"/>
        </w:rPr>
        <w:footnoteRef/>
      </w:r>
      <w:r>
        <w:rPr>
          <w:rFonts w:hint="eastAsia"/>
          <w:lang w:val="en-US" w:eastAsia="zh-CN"/>
        </w:rPr>
        <w:t xml:space="preserve"> </w:t>
      </w:r>
      <w:r>
        <w:t>参见江苏省苏州市中级人民法院民事判决书，(2019)苏05民终4745号。</w:t>
      </w:r>
    </w:p>
  </w:footnote>
  <w:footnote w:id="9">
    <w:p w14:paraId="0EFBDD7C">
      <w:pPr>
        <w:pStyle w:val="9"/>
        <w:snapToGrid w:val="0"/>
      </w:pPr>
      <w:r>
        <w:rPr>
          <w:rStyle w:val="15"/>
        </w:rPr>
        <w:footnoteRef/>
      </w:r>
      <w:r>
        <w:rPr>
          <w:rFonts w:hint="eastAsia"/>
          <w:lang w:val="en-US" w:eastAsia="zh-CN"/>
        </w:rPr>
        <w:t xml:space="preserve"> </w:t>
      </w:r>
      <w:r>
        <w:t>参见北京铁路运输中级法院民事判决书，(2021)京04民终71号。</w:t>
      </w:r>
    </w:p>
  </w:footnote>
  <w:footnote w:id="10">
    <w:p w14:paraId="58EE1587">
      <w:pPr>
        <w:pStyle w:val="9"/>
        <w:snapToGrid w:val="0"/>
        <w:ind w:firstLine="0"/>
        <w:rPr>
          <w:rFonts w:hint="eastAsia"/>
          <w:lang w:val="en-US" w:eastAsia="zh-CN"/>
        </w:rPr>
      </w:pPr>
      <w:r>
        <w:rPr>
          <w:rStyle w:val="15"/>
        </w:rPr>
        <w:footnoteRef/>
      </w:r>
      <w:r>
        <w:rPr>
          <w:rFonts w:hint="eastAsia"/>
          <w:lang w:val="en-US" w:eastAsia="zh-CN"/>
        </w:rPr>
        <w:t xml:space="preserve"> </w:t>
      </w:r>
      <w:r>
        <w:t>参见凌斌</w:t>
      </w:r>
      <w:r>
        <w:rPr>
          <w:rFonts w:hint="eastAsia"/>
          <w:lang w:eastAsia="zh-CN"/>
        </w:rPr>
        <w:t>：</w:t>
      </w:r>
      <w:r>
        <w:t>《法律救济的规则选择：财产规则、责任规则与卡梅框架的法律经济学重构》，</w:t>
      </w:r>
      <w:r>
        <w:rPr>
          <w:rFonts w:hint="eastAsia"/>
          <w:lang w:val="en-US" w:eastAsia="zh-CN"/>
        </w:rPr>
        <w:t>载</w:t>
      </w:r>
      <w:r>
        <w:t>《中国法学》2012年第6期。</w:t>
      </w:r>
    </w:p>
  </w:footnote>
  <w:footnote w:id="11">
    <w:p w14:paraId="589FF378">
      <w:pPr>
        <w:pStyle w:val="9"/>
        <w:snapToGrid w:val="0"/>
      </w:pPr>
      <w:r>
        <w:rPr>
          <w:rStyle w:val="15"/>
        </w:rPr>
        <w:footnoteRef/>
      </w:r>
      <w:r>
        <w:rPr>
          <w:rFonts w:hint="eastAsia"/>
          <w:lang w:val="en-US" w:eastAsia="zh-CN"/>
        </w:rPr>
        <w:t xml:space="preserve"> 齐英程：《已公开个人信息处理规则的类型化阐释》，载《法制与社会发展》2022年第5期。</w:t>
      </w:r>
    </w:p>
  </w:footnote>
  <w:footnote w:id="12">
    <w:p w14:paraId="2BAFDBB0">
      <w:pPr>
        <w:pStyle w:val="9"/>
        <w:snapToGrid w:val="0"/>
      </w:pPr>
      <w:r>
        <w:rPr>
          <w:rStyle w:val="15"/>
        </w:rPr>
        <w:footnoteRef/>
      </w:r>
      <w:r>
        <w:rPr>
          <w:rFonts w:hint="eastAsia"/>
          <w:lang w:val="en-US" w:eastAsia="zh-CN"/>
        </w:rPr>
        <w:t xml:space="preserve"> </w:t>
      </w:r>
      <w:r>
        <w:rPr>
          <w:rFonts w:hint="eastAsia"/>
        </w:rPr>
        <w:t>参见许可</w:t>
      </w:r>
      <w:r>
        <w:rPr>
          <w:rFonts w:hint="eastAsia"/>
          <w:lang w:eastAsia="zh-CN"/>
        </w:rPr>
        <w:t>：</w:t>
      </w:r>
      <w:r>
        <w:rPr>
          <w:rFonts w:hint="eastAsia"/>
        </w:rPr>
        <w:t>《数据爬取的正当性及其边界》</w:t>
      </w:r>
      <w:r>
        <w:rPr>
          <w:rFonts w:hint="eastAsia"/>
          <w:lang w:eastAsia="zh-CN"/>
        </w:rPr>
        <w:t>，</w:t>
      </w:r>
      <w:r>
        <w:rPr>
          <w:rFonts w:hint="eastAsia"/>
          <w:lang w:val="en-US" w:eastAsia="zh-CN"/>
        </w:rPr>
        <w:t>载</w:t>
      </w:r>
      <w:r>
        <w:rPr>
          <w:rFonts w:hint="eastAsia"/>
        </w:rPr>
        <w:t>《中国法学》2021年第2期。</w:t>
      </w:r>
    </w:p>
  </w:footnote>
  <w:footnote w:id="13">
    <w:p w14:paraId="29FFBF09">
      <w:pPr>
        <w:pStyle w:val="9"/>
        <w:snapToGrid w:val="0"/>
      </w:pPr>
      <w:r>
        <w:rPr>
          <w:rStyle w:val="15"/>
        </w:rPr>
        <w:footnoteRef/>
      </w:r>
      <w:r>
        <w:rPr>
          <w:rFonts w:hint="eastAsia"/>
          <w:lang w:val="en-US" w:eastAsia="zh-CN"/>
        </w:rPr>
        <w:t xml:space="preserve"> </w:t>
      </w:r>
      <w:r>
        <w:rPr>
          <w:rFonts w:hint="eastAsia"/>
        </w:rPr>
        <w:t>参见许可</w:t>
      </w:r>
      <w:r>
        <w:rPr>
          <w:rFonts w:hint="eastAsia"/>
          <w:lang w:eastAsia="zh-CN"/>
        </w:rPr>
        <w:t>：</w:t>
      </w:r>
      <w:r>
        <w:rPr>
          <w:rFonts w:hint="eastAsia"/>
        </w:rPr>
        <w:t>《数据爬取的正当性及其边界》</w:t>
      </w:r>
      <w:r>
        <w:rPr>
          <w:rFonts w:hint="eastAsia"/>
          <w:lang w:eastAsia="zh-CN"/>
        </w:rPr>
        <w:t>，</w:t>
      </w:r>
      <w:r>
        <w:rPr>
          <w:rFonts w:hint="eastAsia"/>
          <w:lang w:val="en-US" w:eastAsia="zh-CN"/>
        </w:rPr>
        <w:t>载</w:t>
      </w:r>
      <w:r>
        <w:rPr>
          <w:rFonts w:hint="eastAsia"/>
        </w:rPr>
        <w:t>《中国法学》2021年第2期。</w:t>
      </w:r>
    </w:p>
  </w:footnote>
  <w:footnote w:id="14">
    <w:p w14:paraId="7E47A512">
      <w:pPr>
        <w:pStyle w:val="9"/>
        <w:snapToGrid w:val="0"/>
      </w:pPr>
      <w:r>
        <w:rPr>
          <w:rStyle w:val="15"/>
        </w:rPr>
        <w:footnoteRef/>
      </w:r>
      <w:r>
        <w:rPr>
          <w:rFonts w:hint="eastAsia"/>
          <w:lang w:val="en-US" w:eastAsia="zh-CN"/>
        </w:rPr>
        <w:t xml:space="preserve"> 参见</w:t>
      </w:r>
      <w:r>
        <w:rPr>
          <w:rFonts w:hint="eastAsia"/>
        </w:rPr>
        <w:t>丁晓强</w:t>
      </w:r>
      <w:r>
        <w:rPr>
          <w:rFonts w:hint="eastAsia"/>
          <w:lang w:eastAsia="zh-CN"/>
        </w:rPr>
        <w:t>：</w:t>
      </w:r>
      <w:r>
        <w:rPr>
          <w:rFonts w:hint="eastAsia"/>
        </w:rPr>
        <w:t>《个人数据保护中同意规则的</w:t>
      </w:r>
      <w:r>
        <w:rPr>
          <w:rFonts w:hint="eastAsia"/>
          <w:lang w:eastAsia="zh-CN"/>
        </w:rPr>
        <w:t>“</w:t>
      </w:r>
      <w:r>
        <w:rPr>
          <w:rFonts w:hint="eastAsia"/>
        </w:rPr>
        <w:t>扬</w:t>
      </w:r>
      <w:r>
        <w:rPr>
          <w:rFonts w:hint="eastAsia"/>
          <w:lang w:eastAsia="zh-CN"/>
        </w:rPr>
        <w:t>“</w:t>
      </w:r>
      <w:r>
        <w:rPr>
          <w:rFonts w:hint="eastAsia"/>
        </w:rPr>
        <w:t>与</w:t>
      </w:r>
      <w:r>
        <w:rPr>
          <w:rFonts w:hint="eastAsia"/>
          <w:lang w:eastAsia="zh-CN"/>
        </w:rPr>
        <w:t>“</w:t>
      </w:r>
      <w:r>
        <w:rPr>
          <w:rFonts w:hint="eastAsia"/>
        </w:rPr>
        <w:t>抑</w:t>
      </w:r>
      <w:r>
        <w:rPr>
          <w:rFonts w:hint="eastAsia"/>
          <w:lang w:eastAsia="zh-CN"/>
        </w:rPr>
        <w:t>“——</w:t>
      </w:r>
      <w:r>
        <w:rPr>
          <w:rFonts w:hint="eastAsia"/>
        </w:rPr>
        <w:t>卡-梅框架视域下的规则配置研究》</w:t>
      </w:r>
      <w:r>
        <w:rPr>
          <w:rFonts w:hint="eastAsia"/>
          <w:lang w:eastAsia="zh-CN"/>
        </w:rPr>
        <w:t>，</w:t>
      </w:r>
      <w:r>
        <w:rPr>
          <w:rFonts w:hint="eastAsia"/>
          <w:lang w:val="en-US" w:eastAsia="zh-CN"/>
        </w:rPr>
        <w:t>载</w:t>
      </w:r>
      <w:r>
        <w:rPr>
          <w:rFonts w:hint="eastAsia"/>
        </w:rPr>
        <w:t>《法学评论》2020年第4期</w:t>
      </w:r>
      <w:r>
        <w:rPr>
          <w:rFonts w:hint="default"/>
        </w:rPr>
        <w:t>。</w:t>
      </w:r>
    </w:p>
  </w:footnote>
  <w:footnote w:id="15">
    <w:p w14:paraId="7D6D63F3">
      <w:pPr>
        <w:pStyle w:val="9"/>
        <w:snapToGrid w:val="0"/>
        <w:rPr>
          <w:rFonts w:hint="eastAsia" w:eastAsiaTheme="minorEastAsia"/>
          <w:lang w:val="en-US" w:eastAsia="zh-CN"/>
        </w:rPr>
      </w:pPr>
      <w:r>
        <w:rPr>
          <w:rStyle w:val="15"/>
        </w:rPr>
        <w:footnoteRef/>
      </w:r>
      <w:r>
        <w:rPr>
          <w:rFonts w:hint="eastAsia"/>
          <w:lang w:val="en-US" w:eastAsia="zh-CN"/>
        </w:rPr>
        <w:t xml:space="preserve"> </w:t>
      </w:r>
      <w:r>
        <w:rPr>
          <w:rFonts w:hint="eastAsia"/>
        </w:rPr>
        <w:t>See Mark A</w:t>
      </w:r>
      <w:r>
        <w:rPr>
          <w:rFonts w:hint="eastAsia"/>
          <w:lang w:val="en-US" w:eastAsia="zh-CN"/>
        </w:rPr>
        <w:t>.</w:t>
      </w:r>
      <w:r>
        <w:rPr>
          <w:rFonts w:hint="eastAsia"/>
        </w:rPr>
        <w:t>Lemley</w:t>
      </w:r>
      <w:r>
        <w:rPr>
          <w:rFonts w:hint="eastAsia"/>
          <w:lang w:val="en-US" w:eastAsia="zh-CN"/>
        </w:rPr>
        <w:t>,</w:t>
      </w:r>
      <w:r>
        <w:rPr>
          <w:rFonts w:hint="eastAsia"/>
        </w:rPr>
        <w:t>Philip J</w:t>
      </w:r>
      <w:r>
        <w:rPr>
          <w:rFonts w:hint="eastAsia"/>
          <w:lang w:val="en-US" w:eastAsia="zh-CN"/>
        </w:rPr>
        <w:t>.</w:t>
      </w:r>
      <w:r>
        <w:rPr>
          <w:rFonts w:hint="eastAsia"/>
        </w:rPr>
        <w:t>weiser</w:t>
      </w:r>
      <w:r>
        <w:rPr>
          <w:rFonts w:hint="eastAsia"/>
          <w:lang w:eastAsia="zh-CN"/>
        </w:rPr>
        <w:t>，</w:t>
      </w:r>
      <w:r>
        <w:rPr>
          <w:rFonts w:hint="default"/>
          <w:lang w:val="en-US" w:eastAsia="zh-CN"/>
        </w:rPr>
        <w:t>“</w:t>
      </w:r>
      <w:r>
        <w:rPr>
          <w:rFonts w:hint="eastAsia"/>
        </w:rPr>
        <w:t>Should</w:t>
      </w:r>
      <w:r>
        <w:rPr>
          <w:rFonts w:hint="eastAsia"/>
          <w:lang w:val="en-US" w:eastAsia="zh-CN"/>
        </w:rPr>
        <w:t xml:space="preserve"> </w:t>
      </w:r>
      <w:r>
        <w:rPr>
          <w:rFonts w:hint="eastAsia"/>
        </w:rPr>
        <w:t>Property or Liability Rules Govern Information</w:t>
      </w:r>
      <w:r>
        <w:rPr>
          <w:rFonts w:hint="eastAsia"/>
          <w:lang w:val="en-US" w:eastAsia="zh-CN"/>
        </w:rPr>
        <w:t>?</w:t>
      </w:r>
      <w:r>
        <w:rPr>
          <w:rFonts w:hint="default"/>
          <w:lang w:val="en-US" w:eastAsia="zh-CN"/>
        </w:rPr>
        <w:t>”</w:t>
      </w:r>
      <w:r>
        <w:rPr>
          <w:rFonts w:hint="eastAsia"/>
          <w:lang w:val="en-US" w:eastAsia="zh-CN"/>
        </w:rPr>
        <w:t>,</w:t>
      </w:r>
      <w:r>
        <w:rPr>
          <w:rFonts w:hint="eastAsia"/>
          <w:i/>
          <w:iCs/>
        </w:rPr>
        <w:t>Texas Law Review</w:t>
      </w:r>
      <w:r>
        <w:rPr>
          <w:rFonts w:hint="eastAsia"/>
          <w:i/>
          <w:iCs/>
          <w:lang w:val="en-US" w:eastAsia="zh-CN"/>
        </w:rPr>
        <w:t>,</w:t>
      </w:r>
      <w:r>
        <w:rPr>
          <w:rFonts w:hint="eastAsia"/>
        </w:rPr>
        <w:t>Vol</w:t>
      </w:r>
      <w:r>
        <w:rPr>
          <w:rFonts w:hint="eastAsia"/>
          <w:lang w:val="en-US" w:eastAsia="zh-CN"/>
        </w:rPr>
        <w:t>.</w:t>
      </w:r>
      <w:r>
        <w:rPr>
          <w:rFonts w:hint="eastAsia"/>
        </w:rPr>
        <w:t>85</w:t>
      </w:r>
      <w:r>
        <w:rPr>
          <w:rFonts w:hint="eastAsia"/>
          <w:lang w:val="en-US" w:eastAsia="zh-CN"/>
        </w:rPr>
        <w:t>,No.</w:t>
      </w:r>
      <w:r>
        <w:rPr>
          <w:rFonts w:hint="eastAsia"/>
        </w:rPr>
        <w:t>4(Mar</w:t>
      </w:r>
      <w:r>
        <w:rPr>
          <w:rFonts w:hint="eastAsia"/>
          <w:lang w:val="en-US" w:eastAsia="zh-CN"/>
        </w:rPr>
        <w:t>.,</w:t>
      </w:r>
      <w:r>
        <w:rPr>
          <w:rFonts w:hint="eastAsia"/>
        </w:rPr>
        <w:t>2007)</w:t>
      </w:r>
      <w:r>
        <w:rPr>
          <w:rFonts w:hint="eastAsia"/>
          <w:lang w:val="en-US" w:eastAsia="zh-CN"/>
        </w:rPr>
        <w:t>,</w:t>
      </w:r>
      <w:r>
        <w:rPr>
          <w:rFonts w:hint="eastAsia"/>
        </w:rPr>
        <w:t>p</w:t>
      </w:r>
      <w:r>
        <w:rPr>
          <w:rFonts w:hint="eastAsia"/>
          <w:lang w:val="en-US" w:eastAsia="zh-CN"/>
        </w:rPr>
        <w:t>.</w:t>
      </w:r>
      <w:r>
        <w:rPr>
          <w:rFonts w:hint="eastAsia"/>
        </w:rPr>
        <w:t>783</w:t>
      </w:r>
      <w:r>
        <w:rPr>
          <w:rFonts w:hint="eastAsia"/>
          <w:lang w:val="en-US" w:eastAsia="zh-CN"/>
        </w:rPr>
        <w:t>.</w:t>
      </w:r>
    </w:p>
  </w:footnote>
  <w:footnote w:id="16">
    <w:p w14:paraId="11A385C4">
      <w:pPr>
        <w:pStyle w:val="9"/>
        <w:snapToGrid w:val="0"/>
      </w:pPr>
      <w:r>
        <w:rPr>
          <w:rStyle w:val="15"/>
        </w:rPr>
        <w:footnoteRef/>
      </w:r>
      <w:r>
        <w:rPr>
          <w:rFonts w:hint="eastAsia"/>
          <w:lang w:val="en-US" w:eastAsia="zh-CN"/>
        </w:rPr>
        <w:t xml:space="preserve"> </w:t>
      </w:r>
      <w:r>
        <w:rPr>
          <w:rFonts w:hint="eastAsia"/>
        </w:rPr>
        <w:t>参见陈甦、谢鸿飞主编</w:t>
      </w:r>
      <w:r>
        <w:rPr>
          <w:rFonts w:hint="eastAsia"/>
          <w:lang w:eastAsia="zh-CN"/>
        </w:rPr>
        <w:t>：</w:t>
      </w:r>
      <w:r>
        <w:rPr>
          <w:rFonts w:hint="eastAsia"/>
        </w:rPr>
        <w:t>《民法典评注</w:t>
      </w:r>
      <w:r>
        <w:rPr>
          <w:rFonts w:hint="eastAsia"/>
          <w:lang w:eastAsia="zh-CN"/>
        </w:rPr>
        <w:t>：</w:t>
      </w:r>
      <w:r>
        <w:rPr>
          <w:rFonts w:hint="eastAsia"/>
        </w:rPr>
        <w:t>人格权编》</w:t>
      </w:r>
      <w:r>
        <w:rPr>
          <w:rFonts w:hint="eastAsia"/>
          <w:lang w:eastAsia="zh-CN"/>
        </w:rPr>
        <w:t>，</w:t>
      </w:r>
      <w:r>
        <w:rPr>
          <w:rFonts w:hint="eastAsia"/>
        </w:rPr>
        <w:t>中国法制出版社2020年版，第391页。</w:t>
      </w:r>
    </w:p>
  </w:footnote>
  <w:footnote w:id="17">
    <w:p w14:paraId="368BDD1F">
      <w:pPr>
        <w:pStyle w:val="9"/>
        <w:snapToGrid w:val="0"/>
      </w:pPr>
      <w:r>
        <w:rPr>
          <w:rStyle w:val="15"/>
        </w:rPr>
        <w:footnoteRef/>
      </w:r>
      <w:r>
        <w:rPr>
          <w:rFonts w:hint="eastAsia"/>
          <w:lang w:val="en-US" w:eastAsia="zh-CN"/>
        </w:rPr>
        <w:t xml:space="preserve"> 参见</w:t>
      </w:r>
      <w:r>
        <w:t>高富平：《个人信息保护：从个人控制到社会控制》，</w:t>
      </w:r>
      <w:r>
        <w:rPr>
          <w:rFonts w:hint="eastAsia"/>
          <w:lang w:val="en-US" w:eastAsia="zh-CN"/>
        </w:rPr>
        <w:t>载</w:t>
      </w:r>
      <w:r>
        <w:t>《法学研究》2018年第3期。</w:t>
      </w:r>
    </w:p>
  </w:footnote>
  <w:footnote w:id="18">
    <w:p w14:paraId="116515C4">
      <w:pPr>
        <w:pStyle w:val="9"/>
        <w:snapToGrid w:val="0"/>
      </w:pPr>
      <w:r>
        <w:rPr>
          <w:rStyle w:val="15"/>
        </w:rPr>
        <w:footnoteRef/>
      </w:r>
      <w:r>
        <w:rPr>
          <w:rFonts w:hint="eastAsia"/>
          <w:lang w:val="en-US" w:eastAsia="zh-CN"/>
        </w:rPr>
        <w:t xml:space="preserve"> </w:t>
      </w:r>
      <w:r>
        <w:rPr>
          <w:rFonts w:hint="eastAsia"/>
        </w:rPr>
        <w:t>参见宁园</w:t>
      </w:r>
      <w:r>
        <w:rPr>
          <w:rFonts w:hint="eastAsia"/>
          <w:lang w:eastAsia="zh-CN"/>
        </w:rPr>
        <w:t>：</w:t>
      </w:r>
      <w:r>
        <w:rPr>
          <w:rFonts w:hint="eastAsia"/>
        </w:rPr>
        <w:t>《</w:t>
      </w:r>
      <w:r>
        <w:rPr>
          <w:rFonts w:hint="eastAsia"/>
          <w:lang w:eastAsia="zh-CN"/>
        </w:rPr>
        <w:t>“</w:t>
      </w:r>
      <w:r>
        <w:rPr>
          <w:rFonts w:hint="eastAsia"/>
        </w:rPr>
        <w:t>个人信息已公开</w:t>
      </w:r>
      <w:r>
        <w:rPr>
          <w:rFonts w:hint="eastAsia"/>
          <w:lang w:eastAsia="zh-CN"/>
        </w:rPr>
        <w:t>”</w:t>
      </w:r>
      <w:r>
        <w:rPr>
          <w:rFonts w:hint="eastAsia"/>
        </w:rPr>
        <w:t>作为合法处理事由的法理基础和规则适用》</w:t>
      </w:r>
      <w:r>
        <w:rPr>
          <w:rFonts w:hint="eastAsia"/>
          <w:lang w:eastAsia="zh-CN"/>
        </w:rPr>
        <w:t>，</w:t>
      </w:r>
      <w:r>
        <w:rPr>
          <w:rFonts w:hint="eastAsia"/>
          <w:lang w:val="en-US" w:eastAsia="zh-CN"/>
        </w:rPr>
        <w:t>载</w:t>
      </w:r>
      <w:r>
        <w:rPr>
          <w:rFonts w:hint="eastAsia"/>
        </w:rPr>
        <w:t>《环球法律评论》2022年第2期。</w:t>
      </w:r>
    </w:p>
  </w:footnote>
  <w:footnote w:id="19">
    <w:p w14:paraId="6D8FEDFD">
      <w:pPr>
        <w:pStyle w:val="9"/>
        <w:snapToGrid w:val="0"/>
        <w:rPr>
          <w:rFonts w:hint="default" w:eastAsiaTheme="minorEastAsia"/>
          <w:lang w:val="en-US" w:eastAsia="zh-CN"/>
        </w:rPr>
      </w:pPr>
      <w:r>
        <w:rPr>
          <w:rStyle w:val="15"/>
        </w:rPr>
        <w:footnoteRef/>
      </w:r>
      <w:r>
        <w:rPr>
          <w:rFonts w:hint="eastAsia"/>
          <w:lang w:val="en-US" w:eastAsia="zh-CN"/>
        </w:rPr>
        <w:t xml:space="preserve"> </w:t>
      </w:r>
      <w:r>
        <w:rPr>
          <w:rFonts w:hint="eastAsia"/>
        </w:rPr>
        <w:t>参见储陈城、魏培林：《刑法视阈下已公开个人信息的合理利用——以个人自治法益观为中心的探讨》，</w:t>
      </w:r>
      <w:r>
        <w:rPr>
          <w:rFonts w:hint="eastAsia"/>
          <w:lang w:val="en-US" w:eastAsia="zh-CN"/>
        </w:rPr>
        <w:t>载</w:t>
      </w:r>
      <w:r>
        <w:rPr>
          <w:rFonts w:hint="eastAsia"/>
        </w:rPr>
        <w:t>《重庆邮电大学学报</w:t>
      </w:r>
      <w:r>
        <w:rPr>
          <w:rFonts w:hint="eastAsia"/>
          <w:lang w:eastAsia="zh-CN"/>
        </w:rPr>
        <w:t>（</w:t>
      </w:r>
      <w:r>
        <w:rPr>
          <w:rFonts w:hint="eastAsia"/>
        </w:rPr>
        <w:t>社会科学版）》2023年第5期</w:t>
      </w:r>
      <w:r>
        <w:rPr>
          <w:rFonts w:hint="eastAsia"/>
          <w:lang w:val="en-US" w:eastAsia="zh-CN"/>
        </w:rPr>
        <w:t>。</w:t>
      </w:r>
    </w:p>
  </w:footnote>
  <w:footnote w:id="20">
    <w:p w14:paraId="57F380C7">
      <w:pPr>
        <w:pStyle w:val="9"/>
        <w:snapToGrid w:val="0"/>
        <w:rPr>
          <w:rFonts w:hint="eastAsia" w:eastAsiaTheme="minorEastAsia"/>
          <w:lang w:val="en-US" w:eastAsia="zh-CN"/>
        </w:rPr>
      </w:pPr>
      <w:r>
        <w:rPr>
          <w:rStyle w:val="15"/>
        </w:rPr>
        <w:footnoteRef/>
      </w:r>
      <w:r>
        <w:rPr>
          <w:rFonts w:hint="eastAsia"/>
          <w:lang w:val="en-US" w:eastAsia="zh-CN"/>
        </w:rPr>
        <w:t xml:space="preserve"> </w:t>
      </w:r>
      <w:r>
        <w:rPr>
          <w:rFonts w:hint="eastAsia"/>
        </w:rPr>
        <w:t>See Raphaël Gellert</w:t>
      </w:r>
      <w:r>
        <w:rPr>
          <w:rFonts w:hint="eastAsia"/>
          <w:lang w:val="en-US" w:eastAsia="zh-CN"/>
        </w:rPr>
        <w:t>,</w:t>
      </w:r>
      <w:r>
        <w:rPr>
          <w:rFonts w:hint="default"/>
          <w:lang w:val="en-US" w:eastAsia="zh-CN"/>
        </w:rPr>
        <w:t>“</w:t>
      </w:r>
      <w:r>
        <w:rPr>
          <w:rFonts w:hint="eastAsia"/>
        </w:rPr>
        <w:t>Understanding the notion of risk in the General Data Protection Regulation</w:t>
      </w:r>
      <w:r>
        <w:rPr>
          <w:rFonts w:hint="default"/>
          <w:lang w:val="en-US" w:eastAsia="zh-CN"/>
        </w:rPr>
        <w:t>”</w:t>
      </w:r>
      <w:r>
        <w:rPr>
          <w:rFonts w:hint="eastAsia"/>
          <w:lang w:val="en-US" w:eastAsia="zh-CN"/>
        </w:rPr>
        <w:t>,</w:t>
      </w:r>
      <w:r>
        <w:rPr>
          <w:rFonts w:hint="eastAsia"/>
          <w:i/>
          <w:iCs/>
        </w:rPr>
        <w:t>Computer Law&amp;Security Review</w:t>
      </w:r>
      <w:r>
        <w:rPr>
          <w:rFonts w:hint="eastAsia"/>
          <w:i/>
          <w:iCs/>
          <w:lang w:val="en-US" w:eastAsia="zh-CN"/>
        </w:rPr>
        <w:t>,</w:t>
      </w:r>
      <w:r>
        <w:rPr>
          <w:rFonts w:hint="eastAsia"/>
        </w:rPr>
        <w:t>Vol</w:t>
      </w:r>
      <w:r>
        <w:rPr>
          <w:rFonts w:hint="eastAsia"/>
          <w:lang w:val="en-US" w:eastAsia="zh-CN"/>
        </w:rPr>
        <w:t>.</w:t>
      </w:r>
      <w:r>
        <w:rPr>
          <w:rFonts w:hint="eastAsia"/>
        </w:rPr>
        <w:t>34</w:t>
      </w:r>
      <w:r>
        <w:rPr>
          <w:rFonts w:hint="eastAsia"/>
          <w:lang w:val="en-US" w:eastAsia="zh-CN"/>
        </w:rPr>
        <w:t>,</w:t>
      </w:r>
      <w:r>
        <w:rPr>
          <w:rFonts w:hint="eastAsia"/>
        </w:rPr>
        <w:t>No</w:t>
      </w:r>
      <w:r>
        <w:rPr>
          <w:rFonts w:hint="eastAsia"/>
          <w:lang w:val="en-US" w:eastAsia="zh-CN"/>
        </w:rPr>
        <w:t>.</w:t>
      </w:r>
      <w:r>
        <w:rPr>
          <w:rFonts w:hint="eastAsia"/>
        </w:rPr>
        <w:t>2(2018)</w:t>
      </w:r>
      <w:r>
        <w:rPr>
          <w:rFonts w:hint="eastAsia"/>
          <w:lang w:val="en-US" w:eastAsia="zh-CN"/>
        </w:rPr>
        <w:t>,</w:t>
      </w:r>
      <w:r>
        <w:rPr>
          <w:rFonts w:hint="eastAsia"/>
        </w:rPr>
        <w:t>p</w:t>
      </w:r>
      <w:r>
        <w:rPr>
          <w:rFonts w:hint="eastAsia"/>
          <w:lang w:val="en-US" w:eastAsia="zh-CN"/>
        </w:rPr>
        <w:t>.</w:t>
      </w:r>
      <w:r>
        <w:rPr>
          <w:rFonts w:hint="eastAsia"/>
        </w:rPr>
        <w:t>286</w:t>
      </w:r>
      <w:r>
        <w:rPr>
          <w:rFonts w:hint="eastAsia"/>
          <w:lang w:val="en-US" w:eastAsia="zh-CN"/>
        </w:rPr>
        <w:t>.</w:t>
      </w:r>
    </w:p>
  </w:footnote>
  <w:footnote w:id="21">
    <w:p w14:paraId="5083D0C7">
      <w:pPr>
        <w:pStyle w:val="9"/>
        <w:snapToGrid w:val="0"/>
        <w:rPr>
          <w:rFonts w:hint="eastAsia" w:eastAsiaTheme="minorEastAsia"/>
          <w:lang w:eastAsia="zh-CN"/>
        </w:rPr>
      </w:pPr>
      <w:r>
        <w:rPr>
          <w:rStyle w:val="15"/>
        </w:rPr>
        <w:footnoteRef/>
      </w:r>
      <w:r>
        <w:rPr>
          <w:rFonts w:hint="eastAsia"/>
          <w:lang w:val="en-US" w:eastAsia="zh-CN"/>
        </w:rPr>
        <w:t xml:space="preserve"> 参见</w:t>
      </w:r>
      <w:r>
        <w:rPr>
          <w:rFonts w:hint="eastAsia"/>
        </w:rPr>
        <w:t>金龙君</w:t>
      </w:r>
      <w:r>
        <w:rPr>
          <w:rFonts w:hint="eastAsia"/>
          <w:lang w:eastAsia="zh-CN"/>
        </w:rPr>
        <w:t>、</w:t>
      </w:r>
      <w:r>
        <w:rPr>
          <w:rFonts w:hint="eastAsia"/>
        </w:rPr>
        <w:t>翟翌</w:t>
      </w:r>
      <w:r>
        <w:rPr>
          <w:rFonts w:hint="eastAsia"/>
          <w:lang w:eastAsia="zh-CN"/>
        </w:rPr>
        <w:t>：《</w:t>
      </w:r>
      <w:r>
        <w:rPr>
          <w:rFonts w:hint="eastAsia"/>
        </w:rPr>
        <w:t>论个人信息处理中最小必要原则的审査</w:t>
      </w:r>
      <w:r>
        <w:rPr>
          <w:rFonts w:hint="eastAsia"/>
          <w:lang w:eastAsia="zh-CN"/>
        </w:rPr>
        <w:t>》，</w:t>
      </w:r>
      <w:r>
        <w:rPr>
          <w:rFonts w:hint="eastAsia"/>
          <w:lang w:val="en-US" w:eastAsia="zh-CN"/>
        </w:rPr>
        <w:t>载</w:t>
      </w:r>
      <w:r>
        <w:rPr>
          <w:rFonts w:hint="eastAsia"/>
          <w:lang w:eastAsia="zh-CN"/>
        </w:rPr>
        <w:t>《</w:t>
      </w:r>
      <w:r>
        <w:rPr>
          <w:rFonts w:hint="eastAsia"/>
        </w:rPr>
        <w:t>北京理工大学学报</w:t>
      </w:r>
      <w:r>
        <w:rPr>
          <w:rFonts w:hint="eastAsia"/>
          <w:lang w:val="en-US" w:eastAsia="zh-CN"/>
        </w:rPr>
        <w:t>(</w:t>
      </w:r>
      <w:r>
        <w:rPr>
          <w:rFonts w:hint="eastAsia"/>
        </w:rPr>
        <w:t>社会科学版)</w:t>
      </w:r>
      <w:r>
        <w:rPr>
          <w:rFonts w:hint="eastAsia"/>
          <w:lang w:eastAsia="zh-CN"/>
        </w:rPr>
        <w:t>》</w:t>
      </w:r>
      <w:r>
        <w:rPr>
          <w:rFonts w:hint="eastAsia"/>
        </w:rPr>
        <w:t>2023</w:t>
      </w:r>
      <w:r>
        <w:rPr>
          <w:rFonts w:hint="eastAsia"/>
          <w:lang w:val="en-US" w:eastAsia="zh-CN"/>
        </w:rPr>
        <w:t>年第</w:t>
      </w:r>
      <w:r>
        <w:rPr>
          <w:rFonts w:hint="eastAsia"/>
        </w:rPr>
        <w:t>4</w:t>
      </w:r>
      <w:r>
        <w:rPr>
          <w:rFonts w:hint="eastAsia"/>
          <w:lang w:val="en-US" w:eastAsia="zh-CN"/>
        </w:rPr>
        <w:t>期。</w:t>
      </w:r>
    </w:p>
  </w:footnote>
  <w:footnote w:id="22">
    <w:p w14:paraId="590122A2">
      <w:pPr>
        <w:pStyle w:val="9"/>
        <w:snapToGrid w:val="0"/>
      </w:pPr>
      <w:r>
        <w:rPr>
          <w:rStyle w:val="15"/>
        </w:rPr>
        <w:footnoteRef/>
      </w:r>
      <w:r>
        <w:t xml:space="preserve"> 参见广州互联网法院(2024)粤0192民初113号民事判决书;杭州互联网法院(2024)浙0192民初1587号民事判决书;浙江省杭州市中级人民法院(2024)浙01民终10332号民事判决书。</w:t>
      </w:r>
    </w:p>
  </w:footnote>
  <w:footnote w:id="23">
    <w:p w14:paraId="4C106555">
      <w:pPr>
        <w:pStyle w:val="9"/>
        <w:snapToGrid w:val="0"/>
      </w:pPr>
      <w:r>
        <w:rPr>
          <w:rStyle w:val="15"/>
        </w:rPr>
        <w:footnoteRef/>
      </w:r>
      <w:r>
        <w:rPr>
          <w:rFonts w:hint="eastAsia"/>
          <w:lang w:val="en-US" w:eastAsia="zh-CN"/>
        </w:rPr>
        <w:t xml:space="preserve"> 参见</w:t>
      </w:r>
      <w:r>
        <w:t>程啸</w:t>
      </w:r>
      <w:r>
        <w:rPr>
          <w:rFonts w:hint="eastAsia"/>
          <w:lang w:val="en-US" w:eastAsia="zh-CN"/>
        </w:rPr>
        <w:t>：《</w:t>
      </w:r>
      <w:r>
        <w:t>论我国个人信息保护法中的个人信息处理规则</w:t>
      </w:r>
      <w:r>
        <w:rPr>
          <w:rFonts w:hint="eastAsia"/>
          <w:lang w:eastAsia="zh-CN"/>
        </w:rPr>
        <w:t>》，</w:t>
      </w:r>
      <w:r>
        <w:rPr>
          <w:rFonts w:hint="eastAsia"/>
          <w:lang w:val="en-US" w:eastAsia="zh-CN"/>
        </w:rPr>
        <w:t>载</w:t>
      </w:r>
      <w:r>
        <w:rPr>
          <w:rFonts w:hint="eastAsia"/>
          <w:lang w:eastAsia="zh-CN"/>
        </w:rPr>
        <w:t>《</w:t>
      </w:r>
      <w:r>
        <w:rPr>
          <w:rFonts w:hint="eastAsia"/>
        </w:rPr>
        <w:t>清华法学</w:t>
      </w:r>
      <w:r>
        <w:rPr>
          <w:rFonts w:hint="eastAsia"/>
          <w:lang w:eastAsia="zh-CN"/>
        </w:rPr>
        <w:t>》</w:t>
      </w:r>
      <w:r>
        <w:rPr>
          <w:rFonts w:hint="eastAsia"/>
        </w:rPr>
        <w:t>2021年第3期</w:t>
      </w:r>
      <w:r>
        <w:rPr>
          <w:rFonts w:hint="eastAsia"/>
          <w:lang w:val="en-US" w:eastAsia="zh-CN"/>
        </w:rPr>
        <w:t>。</w:t>
      </w:r>
    </w:p>
  </w:footnote>
  <w:footnote w:id="24">
    <w:p w14:paraId="21F356EA">
      <w:pPr>
        <w:pStyle w:val="9"/>
        <w:snapToGrid w:val="0"/>
        <w:rPr>
          <w:rFonts w:hint="eastAsia" w:eastAsiaTheme="minorEastAsia"/>
          <w:lang w:val="en-US" w:eastAsia="zh-CN"/>
        </w:rPr>
      </w:pPr>
      <w:r>
        <w:rPr>
          <w:rStyle w:val="15"/>
        </w:rPr>
        <w:footnoteRef/>
      </w:r>
      <w:r>
        <w:rPr>
          <w:rFonts w:hint="eastAsia"/>
          <w:lang w:val="en-US" w:eastAsia="zh-CN"/>
        </w:rPr>
        <w:t xml:space="preserve"> 参见</w:t>
      </w:r>
      <w:r>
        <w:rPr>
          <w:rFonts w:hint="eastAsia"/>
        </w:rPr>
        <w:t>刘晓春</w:t>
      </w:r>
      <w:r>
        <w:rPr>
          <w:rFonts w:hint="eastAsia"/>
          <w:lang w:eastAsia="zh-CN"/>
        </w:rPr>
        <w:t>：《</w:t>
      </w:r>
      <w:r>
        <w:rPr>
          <w:rFonts w:hint="eastAsia"/>
        </w:rPr>
        <w:t>已公开个人信息保护和利用的规则建构</w:t>
      </w:r>
      <w:r>
        <w:rPr>
          <w:rFonts w:hint="eastAsia"/>
          <w:lang w:eastAsia="zh-CN"/>
        </w:rPr>
        <w:t>》，</w:t>
      </w:r>
      <w:r>
        <w:rPr>
          <w:rFonts w:hint="eastAsia"/>
          <w:lang w:val="en-US" w:eastAsia="zh-CN"/>
        </w:rPr>
        <w:t>载</w:t>
      </w:r>
      <w:r>
        <w:rPr>
          <w:rFonts w:hint="eastAsia"/>
          <w:lang w:eastAsia="zh-CN"/>
        </w:rPr>
        <w:t>《</w:t>
      </w:r>
      <w:r>
        <w:rPr>
          <w:rFonts w:hint="eastAsia"/>
        </w:rPr>
        <w:t>环球法律评论</w:t>
      </w:r>
      <w:r>
        <w:rPr>
          <w:rFonts w:hint="eastAsia"/>
          <w:lang w:eastAsia="zh-CN"/>
        </w:rPr>
        <w:t>》</w:t>
      </w:r>
      <w:r>
        <w:rPr>
          <w:rFonts w:hint="eastAsia"/>
        </w:rPr>
        <w:t>2022</w:t>
      </w:r>
      <w:r>
        <w:rPr>
          <w:rFonts w:hint="eastAsia"/>
          <w:lang w:val="en-US" w:eastAsia="zh-CN"/>
        </w:rPr>
        <w:t>年第</w:t>
      </w:r>
      <w:r>
        <w:rPr>
          <w:rFonts w:hint="eastAsia"/>
        </w:rPr>
        <w:t>2</w:t>
      </w:r>
      <w:r>
        <w:rPr>
          <w:rFonts w:hint="eastAsia"/>
          <w:lang w:val="en-US" w:eastAsia="zh-CN"/>
        </w:rPr>
        <w:t>期。</w:t>
      </w:r>
    </w:p>
  </w:footnote>
  <w:footnote w:id="25">
    <w:p w14:paraId="41F0F471">
      <w:pPr>
        <w:pStyle w:val="9"/>
        <w:snapToGrid w:val="0"/>
      </w:pPr>
      <w:r>
        <w:rPr>
          <w:rStyle w:val="15"/>
        </w:rPr>
        <w:footnoteRef/>
      </w:r>
      <w:r>
        <w:rPr>
          <w:rFonts w:hint="eastAsia"/>
          <w:lang w:val="en-US" w:eastAsia="zh-CN"/>
        </w:rPr>
        <w:t xml:space="preserve"> 参见齐英程：《已公开个人信息处理规则的类型化阐释》，载《法制与社会发展》2022年第5期。</w:t>
      </w:r>
    </w:p>
  </w:footnote>
  <w:footnote w:id="26">
    <w:p w14:paraId="6D1C2461">
      <w:pPr>
        <w:pStyle w:val="9"/>
        <w:snapToGrid w:val="0"/>
        <w:rPr>
          <w:rFonts w:ascii="仿宋" w:hAnsi="仿宋" w:eastAsia="仿宋" w:cstheme="minorBidi"/>
          <w:spacing w:val="0"/>
          <w:szCs w:val="18"/>
          <w14:ligatures w14:val="none"/>
        </w:rPr>
      </w:pPr>
      <w:r>
        <w:rPr>
          <w:rStyle w:val="15"/>
        </w:rPr>
        <w:footnoteRef/>
      </w:r>
      <w:r>
        <w:rPr>
          <w:rFonts w:hint="eastAsia"/>
          <w:lang w:val="en-US" w:eastAsia="zh-CN"/>
        </w:rPr>
        <w:t xml:space="preserve"> </w:t>
      </w:r>
      <w:r>
        <w:rPr>
          <w:rFonts w:hint="eastAsia" w:ascii="仿宋" w:hAnsi="仿宋" w:eastAsia="仿宋" w:cstheme="minorBidi"/>
          <w:spacing w:val="0"/>
          <w:szCs w:val="18"/>
          <w:lang w:val="en-US" w:eastAsia="zh-CN"/>
          <w14:ligatures w14:val="none"/>
        </w:rPr>
        <w:t>参见</w:t>
      </w:r>
      <w:r>
        <w:rPr>
          <w:rFonts w:ascii="仿宋" w:hAnsi="仿宋" w:eastAsia="仿宋" w:cstheme="minorBidi"/>
          <w:spacing w:val="0"/>
          <w:szCs w:val="18"/>
          <w14:ligatures w14:val="none"/>
        </w:rPr>
        <w:t>程啸</w:t>
      </w:r>
      <w:r>
        <w:rPr>
          <w:rFonts w:hint="eastAsia" w:ascii="仿宋" w:hAnsi="仿宋" w:eastAsia="仿宋" w:cstheme="minorBidi"/>
          <w:spacing w:val="0"/>
          <w:szCs w:val="18"/>
          <w:lang w:eastAsia="zh-CN"/>
          <w14:ligatures w14:val="none"/>
        </w:rPr>
        <w:t>：</w:t>
      </w:r>
      <w:r>
        <w:rPr>
          <w:rFonts w:hint="eastAsia" w:ascii="仿宋" w:hAnsi="仿宋" w:eastAsia="仿宋" w:cstheme="minorBidi"/>
          <w:spacing w:val="0"/>
          <w:szCs w:val="18"/>
          <w:lang w:val="en-US" w:eastAsia="zh-CN"/>
          <w14:ligatures w14:val="none"/>
        </w:rPr>
        <w:t>《</w:t>
      </w:r>
      <w:r>
        <w:rPr>
          <w:rFonts w:ascii="仿宋" w:hAnsi="仿宋" w:eastAsia="仿宋" w:cstheme="minorBidi"/>
          <w:spacing w:val="0"/>
          <w:szCs w:val="18"/>
          <w14:ligatures w14:val="none"/>
        </w:rPr>
        <w:t>论我国个人</w:t>
      </w:r>
      <w:r>
        <w:rPr>
          <w:rFonts w:hint="eastAsia" w:ascii="仿宋" w:hAnsi="仿宋" w:eastAsia="仿宋" w:cstheme="minorBidi"/>
          <w:spacing w:val="0"/>
          <w:szCs w:val="18"/>
          <w:lang w:val="en-US" w:eastAsia="zh-CN"/>
          <w14:ligatures w14:val="none"/>
        </w:rPr>
        <w:t>信息</w:t>
      </w:r>
      <w:r>
        <w:rPr>
          <w:rFonts w:ascii="仿宋" w:hAnsi="仿宋" w:eastAsia="仿宋" w:cstheme="minorBidi"/>
          <w:spacing w:val="0"/>
          <w:szCs w:val="18"/>
          <w14:ligatures w14:val="none"/>
        </w:rPr>
        <w:t>保护法中的个人信息处理规则</w:t>
      </w:r>
      <w:r>
        <w:rPr>
          <w:rFonts w:hint="eastAsia" w:ascii="仿宋" w:hAnsi="仿宋" w:eastAsia="仿宋" w:cstheme="minorBidi"/>
          <w:spacing w:val="0"/>
          <w:szCs w:val="18"/>
          <w:lang w:eastAsia="zh-CN"/>
          <w14:ligatures w14:val="none"/>
        </w:rPr>
        <w:t>》，</w:t>
      </w:r>
      <w:r>
        <w:rPr>
          <w:rFonts w:hint="eastAsia" w:ascii="仿宋" w:hAnsi="仿宋" w:eastAsia="仿宋" w:cstheme="minorBidi"/>
          <w:spacing w:val="0"/>
          <w:szCs w:val="18"/>
          <w:lang w:val="en-US" w:eastAsia="zh-CN"/>
          <w14:ligatures w14:val="none"/>
        </w:rPr>
        <w:t>载</w:t>
      </w:r>
      <w:r>
        <w:rPr>
          <w:rFonts w:hint="eastAsia" w:ascii="仿宋" w:hAnsi="仿宋" w:eastAsia="仿宋" w:cstheme="minorBidi"/>
          <w:spacing w:val="0"/>
          <w:szCs w:val="18"/>
          <w:lang w:eastAsia="zh-CN"/>
          <w14:ligatures w14:val="none"/>
        </w:rPr>
        <w:t>《</w:t>
      </w:r>
      <w:r>
        <w:rPr>
          <w:rFonts w:hint="eastAsia" w:ascii="仿宋" w:hAnsi="仿宋" w:eastAsia="仿宋" w:cstheme="minorBidi"/>
          <w:spacing w:val="0"/>
          <w:szCs w:val="18"/>
          <w14:ligatures w14:val="none"/>
        </w:rPr>
        <w:t>清华法学</w:t>
      </w:r>
      <w:r>
        <w:rPr>
          <w:rFonts w:hint="eastAsia" w:ascii="仿宋" w:hAnsi="仿宋" w:eastAsia="仿宋" w:cstheme="minorBidi"/>
          <w:spacing w:val="0"/>
          <w:szCs w:val="18"/>
          <w:lang w:eastAsia="zh-CN"/>
          <w14:ligatures w14:val="none"/>
        </w:rPr>
        <w:t>》</w:t>
      </w:r>
      <w:r>
        <w:rPr>
          <w:rFonts w:hint="eastAsia" w:ascii="仿宋" w:hAnsi="仿宋" w:eastAsia="仿宋" w:cstheme="minorBidi"/>
          <w:spacing w:val="0"/>
          <w:szCs w:val="18"/>
          <w14:ligatures w14:val="none"/>
        </w:rPr>
        <w:t>2021年第3期</w:t>
      </w:r>
      <w:r>
        <w:rPr>
          <w:rFonts w:hint="eastAsia" w:ascii="仿宋" w:hAnsi="仿宋" w:eastAsia="仿宋" w:cstheme="minorBidi"/>
          <w:spacing w:val="0"/>
          <w:szCs w:val="18"/>
          <w:lang w:val="en-US" w:eastAsia="zh-CN"/>
          <w14:ligatures w14:val="none"/>
        </w:rPr>
        <w:t>。</w:t>
      </w:r>
    </w:p>
  </w:footnote>
  <w:footnote w:id="27">
    <w:p w14:paraId="6165CDB2">
      <w:pPr>
        <w:pStyle w:val="9"/>
        <w:snapToGrid w:val="0"/>
        <w:rPr>
          <w:rFonts w:hint="eastAsia" w:eastAsiaTheme="minorEastAsia"/>
          <w:lang w:val="en-US" w:eastAsia="zh-CN"/>
        </w:rPr>
      </w:pPr>
      <w:r>
        <w:rPr>
          <w:rStyle w:val="15"/>
        </w:rPr>
        <w:footnoteRef/>
      </w:r>
      <w:r>
        <w:rPr>
          <w:rFonts w:hint="eastAsia"/>
          <w:lang w:val="en-US" w:eastAsia="zh-CN"/>
        </w:rPr>
        <w:t xml:space="preserve"> </w:t>
      </w:r>
      <w:r>
        <w:rPr>
          <w:rFonts w:hint="eastAsia"/>
        </w:rPr>
        <w:t>See Omri Ben-Shahar</w:t>
      </w:r>
      <w:r>
        <w:rPr>
          <w:rFonts w:hint="eastAsia"/>
          <w:lang w:val="en-US" w:eastAsia="zh-CN"/>
        </w:rPr>
        <w:t>,</w:t>
      </w:r>
      <w:r>
        <w:rPr>
          <w:rFonts w:hint="eastAsia"/>
        </w:rPr>
        <w:t>Data Pollution</w:t>
      </w:r>
      <w:r>
        <w:rPr>
          <w:rFonts w:hint="eastAsia"/>
          <w:lang w:val="en-US" w:eastAsia="zh-CN"/>
        </w:rPr>
        <w:t>,</w:t>
      </w:r>
      <w:r>
        <w:rPr>
          <w:rFonts w:hint="eastAsia"/>
        </w:rPr>
        <w:t>11 J</w:t>
      </w:r>
      <w:r>
        <w:rPr>
          <w:rFonts w:hint="eastAsia"/>
          <w:lang w:val="en-US" w:eastAsia="zh-CN"/>
        </w:rPr>
        <w:t>,</w:t>
      </w:r>
      <w:r>
        <w:rPr>
          <w:rFonts w:hint="eastAsia"/>
          <w:i/>
          <w:iCs/>
        </w:rPr>
        <w:t>Legal Analysis</w:t>
      </w:r>
      <w:r>
        <w:rPr>
          <w:rFonts w:hint="eastAsia"/>
        </w:rPr>
        <w:t xml:space="preserve"> 104(2019)</w:t>
      </w:r>
      <w:r>
        <w:rPr>
          <w:rFonts w:hint="eastAsia"/>
          <w:lang w:val="en-US" w:eastAsia="zh-CN"/>
        </w:rPr>
        <w:t>,p.111..</w:t>
      </w:r>
    </w:p>
  </w:footnote>
  <w:footnote w:id="28">
    <w:p w14:paraId="033C8C4D">
      <w:pPr>
        <w:pStyle w:val="9"/>
        <w:snapToGrid w:val="0"/>
        <w:rPr>
          <w:rFonts w:hint="eastAsia"/>
          <w:lang w:val="en-US" w:eastAsia="zh-CN"/>
        </w:rPr>
      </w:pPr>
      <w:r>
        <w:rPr>
          <w:rStyle w:val="15"/>
        </w:rPr>
        <w:footnoteRef/>
      </w:r>
      <w:r>
        <w:rPr>
          <w:rFonts w:hint="eastAsia"/>
          <w:lang w:val="en-US" w:eastAsia="zh-CN"/>
        </w:rPr>
        <w:t xml:space="preserve"> 参见北京互联网法院民事判决书，(2019)京0491民初10989号。</w:t>
      </w:r>
    </w:p>
  </w:footnote>
  <w:footnote w:id="29">
    <w:p w14:paraId="5244A9D2">
      <w:pPr>
        <w:pStyle w:val="9"/>
        <w:snapToGrid w:val="0"/>
      </w:pPr>
      <w:r>
        <w:rPr>
          <w:rStyle w:val="15"/>
        </w:rPr>
        <w:footnoteRef/>
      </w:r>
      <w:r>
        <w:rPr>
          <w:rFonts w:hint="eastAsia"/>
          <w:lang w:val="en-US" w:eastAsia="zh-CN"/>
        </w:rPr>
        <w:t xml:space="preserve"> 参见梅傲、张优涵</w:t>
      </w:r>
      <w:r>
        <w:rPr>
          <w:rFonts w:hint="eastAsia"/>
          <w:lang w:eastAsia="zh-CN"/>
        </w:rPr>
        <w:t>：《</w:t>
      </w:r>
      <w:r>
        <w:rPr>
          <w:rFonts w:hint="eastAsia"/>
        </w:rPr>
        <w:t>已公开个人信息合理处理的实践困境及因应之策</w:t>
      </w:r>
      <w:r>
        <w:rPr>
          <w:rFonts w:hint="eastAsia"/>
          <w:lang w:eastAsia="zh-CN"/>
        </w:rPr>
        <w:t>》，</w:t>
      </w:r>
      <w:r>
        <w:rPr>
          <w:rFonts w:hint="eastAsia"/>
          <w:lang w:val="en-US" w:eastAsia="zh-CN"/>
        </w:rPr>
        <w:t>载</w:t>
      </w:r>
      <w:r>
        <w:rPr>
          <w:rFonts w:hint="eastAsia"/>
          <w:lang w:eastAsia="zh-CN"/>
        </w:rPr>
        <w:t>《</w:t>
      </w:r>
      <w:r>
        <w:rPr>
          <w:rFonts w:hint="eastAsia"/>
          <w:lang w:val="en-US" w:eastAsia="zh-CN"/>
        </w:rPr>
        <w:t>西华大学学（哲学社会科学版）</w:t>
      </w:r>
      <w:r>
        <w:rPr>
          <w:rFonts w:hint="eastAsia"/>
          <w:lang w:eastAsia="zh-CN"/>
        </w:rPr>
        <w:t>》</w:t>
      </w:r>
      <w:r>
        <w:rPr>
          <w:rFonts w:hint="eastAsia"/>
        </w:rPr>
        <w:t>2024</w:t>
      </w:r>
      <w:r>
        <w:rPr>
          <w:rFonts w:hint="eastAsia"/>
          <w:lang w:val="en-US" w:eastAsia="zh-CN"/>
        </w:rPr>
        <w:t>年第6期。</w:t>
      </w:r>
    </w:p>
  </w:footnote>
  <w:footnote w:id="30">
    <w:p w14:paraId="15C43F33">
      <w:pPr>
        <w:pStyle w:val="9"/>
        <w:snapToGrid w:val="0"/>
        <w:rPr>
          <w:rFonts w:hint="eastAsia" w:eastAsiaTheme="minorEastAsia"/>
          <w:lang w:val="en-US" w:eastAsia="zh-CN"/>
        </w:rPr>
      </w:pPr>
      <w:r>
        <w:rPr>
          <w:rStyle w:val="15"/>
        </w:rPr>
        <w:footnoteRef/>
      </w:r>
      <w:r>
        <w:rPr>
          <w:rFonts w:hint="eastAsia"/>
          <w:lang w:val="en-US" w:eastAsia="zh-CN"/>
        </w:rPr>
        <w:t xml:space="preserve"> See </w:t>
      </w:r>
      <w:r>
        <w:rPr>
          <w:rFonts w:hint="eastAsia"/>
        </w:rPr>
        <w:t>Woodrow Hartzog</w:t>
      </w:r>
      <w:r>
        <w:rPr>
          <w:rFonts w:hint="eastAsia"/>
          <w:lang w:val="en-US" w:eastAsia="zh-CN"/>
        </w:rPr>
        <w:t>,</w:t>
      </w:r>
      <w:r>
        <w:rPr>
          <w:rFonts w:hint="default"/>
          <w:lang w:val="en-US" w:eastAsia="zh-CN"/>
        </w:rPr>
        <w:t>“</w:t>
      </w:r>
      <w:r>
        <w:rPr>
          <w:rFonts w:hint="eastAsia"/>
        </w:rPr>
        <w:t>the Public Information Fallacy</w:t>
      </w:r>
      <w:r>
        <w:rPr>
          <w:rFonts w:hint="default"/>
          <w:lang w:val="en-US" w:eastAsia="zh-CN"/>
        </w:rPr>
        <w:t>”</w:t>
      </w:r>
      <w:r>
        <w:rPr>
          <w:rFonts w:hint="eastAsia"/>
          <w:lang w:val="en-US" w:eastAsia="zh-CN"/>
        </w:rPr>
        <w:t>,</w:t>
      </w:r>
      <w:r>
        <w:rPr>
          <w:rFonts w:hint="eastAsia"/>
          <w:i/>
          <w:iCs/>
        </w:rPr>
        <w:t>Boston University Law Review</w:t>
      </w:r>
      <w:r>
        <w:rPr>
          <w:rFonts w:hint="eastAsia"/>
          <w:i w:val="0"/>
          <w:iCs w:val="0"/>
          <w:lang w:val="en-US" w:eastAsia="zh-CN"/>
        </w:rPr>
        <w:t>,</w:t>
      </w:r>
      <w:r>
        <w:rPr>
          <w:rFonts w:hint="eastAsia"/>
        </w:rPr>
        <w:t>Vol</w:t>
      </w:r>
      <w:r>
        <w:rPr>
          <w:rFonts w:hint="eastAsia"/>
          <w:lang w:val="en-US" w:eastAsia="zh-CN"/>
        </w:rPr>
        <w:t>.</w:t>
      </w:r>
      <w:r>
        <w:rPr>
          <w:rFonts w:hint="eastAsia"/>
        </w:rPr>
        <w:t>99</w:t>
      </w:r>
      <w:r>
        <w:rPr>
          <w:rFonts w:hint="eastAsia"/>
          <w:lang w:val="en-US" w:eastAsia="zh-CN"/>
        </w:rPr>
        <w:t>(</w:t>
      </w:r>
      <w:r>
        <w:rPr>
          <w:rFonts w:hint="eastAsia"/>
        </w:rPr>
        <w:t>Issue 2</w:t>
      </w:r>
      <w:r>
        <w:rPr>
          <w:rFonts w:hint="eastAsia"/>
          <w:lang w:val="en-US" w:eastAsia="zh-CN"/>
        </w:rPr>
        <w:t>,</w:t>
      </w:r>
      <w:r>
        <w:rPr>
          <w:rFonts w:hint="eastAsia"/>
        </w:rPr>
        <w:t>2019</w:t>
      </w:r>
      <w:r>
        <w:rPr>
          <w:rFonts w:hint="eastAsia"/>
          <w:lang w:val="en-US" w:eastAsia="zh-CN"/>
        </w:rPr>
        <w:t>),</w:t>
      </w:r>
      <w:r>
        <w:rPr>
          <w:rFonts w:hint="eastAsia"/>
        </w:rPr>
        <w:t>p</w:t>
      </w:r>
      <w:r>
        <w:rPr>
          <w:rFonts w:hint="eastAsia"/>
          <w:lang w:val="en-US" w:eastAsia="zh-CN"/>
        </w:rPr>
        <w:t>.</w:t>
      </w:r>
      <w:r>
        <w:rPr>
          <w:rFonts w:hint="eastAsia"/>
        </w:rPr>
        <w:t>459-522</w:t>
      </w:r>
      <w:r>
        <w:rPr>
          <w:rFonts w:hint="eastAsia"/>
          <w:lang w:val="en-US" w:eastAsia="zh-CN"/>
        </w:rPr>
        <w:t>.</w:t>
      </w:r>
    </w:p>
  </w:footnote>
  <w:footnote w:id="31">
    <w:p w14:paraId="3E328487">
      <w:pPr>
        <w:pStyle w:val="9"/>
        <w:snapToGrid w:val="0"/>
        <w:rPr>
          <w:rFonts w:hint="eastAsia" w:eastAsiaTheme="minorEastAsia"/>
          <w:lang w:val="en-US" w:eastAsia="zh-CN"/>
        </w:rPr>
      </w:pPr>
      <w:r>
        <w:rPr>
          <w:rStyle w:val="15"/>
        </w:rPr>
        <w:footnoteRef/>
      </w:r>
      <w:r>
        <w:rPr>
          <w:rFonts w:hint="eastAsia"/>
          <w:lang w:val="en-US" w:eastAsia="zh-CN"/>
        </w:rPr>
        <w:t xml:space="preserve"> See </w:t>
      </w:r>
      <w:r>
        <w:rPr>
          <w:rFonts w:hint="eastAsia"/>
        </w:rPr>
        <w:t>Andrea Slane</w:t>
      </w:r>
      <w:r>
        <w:rPr>
          <w:rFonts w:hint="eastAsia"/>
          <w:lang w:val="en-US" w:eastAsia="zh-CN"/>
        </w:rPr>
        <w:t>,</w:t>
      </w:r>
      <w:r>
        <w:rPr>
          <w:rFonts w:hint="default"/>
          <w:lang w:val="en-US" w:eastAsia="zh-CN"/>
        </w:rPr>
        <w:t>“</w:t>
      </w:r>
      <w:r>
        <w:rPr>
          <w:rFonts w:hint="eastAsia"/>
        </w:rPr>
        <w:t>Information Brokers</w:t>
      </w:r>
      <w:r>
        <w:rPr>
          <w:rFonts w:hint="eastAsia"/>
          <w:lang w:eastAsia="zh-CN"/>
        </w:rPr>
        <w:t>，</w:t>
      </w:r>
      <w:r>
        <w:rPr>
          <w:rFonts w:hint="eastAsia"/>
        </w:rPr>
        <w:t>Fairness</w:t>
      </w:r>
      <w:r>
        <w:rPr>
          <w:rFonts w:hint="eastAsia"/>
          <w:lang w:val="en-US" w:eastAsia="zh-CN"/>
        </w:rPr>
        <w:t>,</w:t>
      </w:r>
      <w:r>
        <w:rPr>
          <w:rFonts w:hint="eastAsia"/>
        </w:rPr>
        <w:t>and Privacy in Publicly Accessible Information</w:t>
      </w:r>
      <w:r>
        <w:rPr>
          <w:rFonts w:hint="default"/>
          <w:lang w:val="en-US" w:eastAsia="zh-CN"/>
        </w:rPr>
        <w:t>”</w:t>
      </w:r>
      <w:r>
        <w:rPr>
          <w:rFonts w:hint="eastAsia"/>
          <w:lang w:val="en-US" w:eastAsia="zh-CN"/>
        </w:rPr>
        <w:t>,</w:t>
      </w:r>
      <w:r>
        <w:rPr>
          <w:rFonts w:hint="eastAsia"/>
          <w:i/>
          <w:iCs/>
        </w:rPr>
        <w:t>Canadian Journal of Comparative and Contemporary Law</w:t>
      </w:r>
      <w:r>
        <w:rPr>
          <w:rFonts w:hint="eastAsia"/>
          <w:i/>
          <w:iCs/>
          <w:lang w:val="en-US" w:eastAsia="zh-CN"/>
        </w:rPr>
        <w:t>,</w:t>
      </w:r>
      <w:r>
        <w:rPr>
          <w:rFonts w:hint="eastAsia"/>
        </w:rPr>
        <w:t>Vol</w:t>
      </w:r>
      <w:r>
        <w:rPr>
          <w:rFonts w:hint="eastAsia"/>
          <w:lang w:val="en-US" w:eastAsia="zh-CN"/>
        </w:rPr>
        <w:t>.</w:t>
      </w:r>
      <w:r>
        <w:rPr>
          <w:rFonts w:hint="eastAsia"/>
        </w:rPr>
        <w:t>4</w:t>
      </w:r>
      <w:r>
        <w:rPr>
          <w:rFonts w:hint="eastAsia"/>
          <w:lang w:val="en-US" w:eastAsia="zh-CN"/>
        </w:rPr>
        <w:t>(</w:t>
      </w:r>
      <w:r>
        <w:rPr>
          <w:rFonts w:hint="eastAsia"/>
        </w:rPr>
        <w:t>2018</w:t>
      </w:r>
      <w:r>
        <w:rPr>
          <w:rFonts w:hint="eastAsia"/>
          <w:lang w:val="en-US" w:eastAsia="zh-CN"/>
        </w:rPr>
        <w:t>),</w:t>
      </w:r>
      <w:r>
        <w:rPr>
          <w:rFonts w:hint="eastAsia"/>
        </w:rPr>
        <w:t>p</w:t>
      </w:r>
      <w:r>
        <w:rPr>
          <w:rFonts w:hint="eastAsia"/>
          <w:lang w:val="en-US" w:eastAsia="zh-CN"/>
        </w:rPr>
        <w:t>.</w:t>
      </w:r>
      <w:r>
        <w:rPr>
          <w:rFonts w:hint="eastAsia"/>
        </w:rPr>
        <w:t>249-292</w:t>
      </w:r>
      <w:r>
        <w:rPr>
          <w:rFonts w:hint="eastAsia"/>
          <w:lang w:val="en-US" w:eastAsia="zh-CN"/>
        </w:rPr>
        <w:t>.</w:t>
      </w:r>
    </w:p>
  </w:footnote>
  <w:footnote w:id="32">
    <w:p w14:paraId="448FFD7F">
      <w:pPr>
        <w:pStyle w:val="9"/>
        <w:snapToGrid w:val="0"/>
        <w:rPr>
          <w:rFonts w:hint="default" w:eastAsiaTheme="minorEastAsia"/>
          <w:lang w:val="en-US" w:eastAsia="zh-CN"/>
        </w:rPr>
      </w:pPr>
      <w:r>
        <w:rPr>
          <w:rStyle w:val="15"/>
        </w:rPr>
        <w:footnoteRef/>
      </w:r>
      <w:r>
        <w:rPr>
          <w:rFonts w:hint="eastAsia"/>
          <w:lang w:val="en-US" w:eastAsia="zh-CN"/>
        </w:rPr>
        <w:t xml:space="preserve"> 参见</w:t>
      </w:r>
      <w:r>
        <w:rPr>
          <w:rFonts w:hint="eastAsia"/>
        </w:rPr>
        <w:t>丁晓东</w:t>
      </w:r>
      <w:r>
        <w:rPr>
          <w:rFonts w:hint="eastAsia"/>
          <w:lang w:eastAsia="zh-CN"/>
        </w:rPr>
        <w:t>：《</w:t>
      </w:r>
      <w:r>
        <w:rPr>
          <w:rFonts w:hint="eastAsia"/>
        </w:rPr>
        <w:t>公开个人信息法律保护的中国方案</w:t>
      </w:r>
      <w:r>
        <w:rPr>
          <w:rFonts w:hint="eastAsia"/>
          <w:lang w:eastAsia="zh-CN"/>
        </w:rPr>
        <w:t>》，</w:t>
      </w:r>
      <w:r>
        <w:rPr>
          <w:rFonts w:hint="eastAsia"/>
          <w:lang w:val="en-US" w:eastAsia="zh-CN"/>
        </w:rPr>
        <w:t>载</w:t>
      </w:r>
      <w:r>
        <w:rPr>
          <w:rFonts w:hint="eastAsia"/>
          <w:lang w:eastAsia="zh-CN"/>
        </w:rPr>
        <w:t>《</w:t>
      </w:r>
      <w:r>
        <w:rPr>
          <w:rFonts w:hint="eastAsia"/>
        </w:rPr>
        <w:t>法学</w:t>
      </w:r>
      <w:r>
        <w:rPr>
          <w:rFonts w:hint="eastAsia"/>
          <w:lang w:eastAsia="zh-CN"/>
        </w:rPr>
        <w:t>》</w:t>
      </w:r>
      <w:r>
        <w:rPr>
          <w:rFonts w:hint="eastAsia"/>
        </w:rPr>
        <w:t>2024</w:t>
      </w:r>
      <w:r>
        <w:rPr>
          <w:rFonts w:hint="eastAsia"/>
          <w:lang w:val="en-US" w:eastAsia="zh-CN"/>
        </w:rPr>
        <w:t>年第</w:t>
      </w:r>
      <w:r>
        <w:rPr>
          <w:rFonts w:hint="eastAsia"/>
        </w:rPr>
        <w:t>3</w:t>
      </w:r>
      <w:r>
        <w:rPr>
          <w:rFonts w:hint="eastAsia"/>
          <w:lang w:val="en-US" w:eastAsia="zh-CN"/>
        </w:rPr>
        <w:t>期。</w:t>
      </w:r>
    </w:p>
  </w:footnote>
  <w:footnote w:id="33">
    <w:p w14:paraId="39F748DB">
      <w:pPr>
        <w:pStyle w:val="9"/>
        <w:snapToGrid w:val="0"/>
        <w:rPr>
          <w:rFonts w:hint="eastAsia" w:eastAsiaTheme="minorEastAsia"/>
          <w:lang w:val="en-US" w:eastAsia="zh-CN"/>
        </w:rPr>
      </w:pPr>
      <w:r>
        <w:rPr>
          <w:rStyle w:val="15"/>
        </w:rPr>
        <w:footnoteRef/>
      </w:r>
      <w:r>
        <w:rPr>
          <w:rFonts w:hint="eastAsia"/>
          <w:lang w:val="en-US" w:eastAsia="zh-CN"/>
        </w:rPr>
        <w:t xml:space="preserve"> </w:t>
      </w:r>
      <w:r>
        <w:rPr>
          <w:rFonts w:hint="eastAsia"/>
        </w:rPr>
        <w:t>See Omri Ben-Shahar</w:t>
      </w:r>
      <w:r>
        <w:rPr>
          <w:rFonts w:hint="eastAsia"/>
          <w:lang w:val="en-US" w:eastAsia="zh-CN"/>
        </w:rPr>
        <w:t>,</w:t>
      </w:r>
      <w:r>
        <w:rPr>
          <w:rFonts w:hint="eastAsia"/>
        </w:rPr>
        <w:t>Data Pollution</w:t>
      </w:r>
      <w:r>
        <w:rPr>
          <w:rFonts w:hint="eastAsia"/>
          <w:lang w:val="en-US" w:eastAsia="zh-CN"/>
        </w:rPr>
        <w:t>,</w:t>
      </w:r>
      <w:r>
        <w:rPr>
          <w:rFonts w:hint="eastAsia"/>
        </w:rPr>
        <w:t>11 J</w:t>
      </w:r>
      <w:r>
        <w:rPr>
          <w:rFonts w:hint="eastAsia"/>
          <w:lang w:val="en-US" w:eastAsia="zh-CN"/>
        </w:rPr>
        <w:t>,</w:t>
      </w:r>
      <w:r>
        <w:rPr>
          <w:rFonts w:hint="eastAsia"/>
          <w:i/>
          <w:iCs/>
        </w:rPr>
        <w:t>Legal Analysis</w:t>
      </w:r>
      <w:r>
        <w:rPr>
          <w:rFonts w:hint="eastAsia"/>
        </w:rPr>
        <w:t xml:space="preserve"> 104(2019)</w:t>
      </w:r>
      <w:r>
        <w:rPr>
          <w:rFonts w:hint="eastAsia"/>
          <w:lang w:val="en-US" w:eastAsia="zh-CN"/>
        </w:rPr>
        <w:t>,p.111..</w:t>
      </w:r>
    </w:p>
  </w:footnote>
  <w:footnote w:id="34">
    <w:p w14:paraId="69895D0B">
      <w:pPr>
        <w:pStyle w:val="9"/>
        <w:snapToGrid w:val="0"/>
        <w:rPr>
          <w:rFonts w:hint="eastAsia" w:eastAsiaTheme="minorEastAsia"/>
          <w:lang w:val="en-US" w:eastAsia="zh-CN"/>
        </w:rPr>
      </w:pPr>
      <w:r>
        <w:rPr>
          <w:rStyle w:val="15"/>
        </w:rPr>
        <w:footnoteRef/>
      </w:r>
      <w:r>
        <w:rPr>
          <w:rFonts w:hint="eastAsia"/>
          <w:lang w:val="en-US" w:eastAsia="zh-CN"/>
        </w:rPr>
        <w:t xml:space="preserve"> </w:t>
      </w:r>
      <w:r>
        <w:rPr>
          <w:rFonts w:hint="eastAsia"/>
        </w:rPr>
        <w:t>See Solove</w:t>
      </w:r>
      <w:r>
        <w:rPr>
          <w:rFonts w:hint="eastAsia"/>
          <w:lang w:val="en-US" w:eastAsia="zh-CN"/>
        </w:rPr>
        <w:t>,</w:t>
      </w:r>
      <w:r>
        <w:rPr>
          <w:rFonts w:hint="eastAsia"/>
        </w:rPr>
        <w:t>supra note 27</w:t>
      </w:r>
      <w:r>
        <w:rPr>
          <w:rFonts w:hint="eastAsia"/>
          <w:lang w:val="en-US" w:eastAsia="zh-CN"/>
        </w:rPr>
        <w:t>,</w:t>
      </w:r>
      <w:r>
        <w:rPr>
          <w:rFonts w:hint="eastAsia"/>
          <w:i/>
          <w:iCs/>
        </w:rPr>
        <w:t>Access and Aggregation</w:t>
      </w:r>
      <w:r>
        <w:rPr>
          <w:rFonts w:hint="eastAsia"/>
          <w:i w:val="0"/>
          <w:iCs w:val="0"/>
          <w:lang w:val="en-US" w:eastAsia="zh-CN"/>
        </w:rPr>
        <w:t>,</w:t>
      </w:r>
      <w:r>
        <w:rPr>
          <w:rFonts w:hint="eastAsia"/>
          <w:lang w:val="en-US" w:eastAsia="zh-CN"/>
        </w:rPr>
        <w:t>p.</w:t>
      </w:r>
      <w:r>
        <w:rPr>
          <w:rFonts w:hint="eastAsia"/>
        </w:rPr>
        <w:t>1138</w:t>
      </w:r>
      <w:r>
        <w:rPr>
          <w:rFonts w:hint="eastAsia"/>
          <w:lang w:val="en-US" w:eastAsia="zh-CN"/>
        </w:rPr>
        <w:t>.</w:t>
      </w:r>
    </w:p>
  </w:footnote>
  <w:footnote w:id="35">
    <w:p w14:paraId="0AC32E29">
      <w:pPr>
        <w:pStyle w:val="9"/>
        <w:snapToGrid w:val="0"/>
      </w:pPr>
      <w:r>
        <w:rPr>
          <w:rStyle w:val="15"/>
        </w:rPr>
        <w:footnoteRef/>
      </w:r>
      <w:r>
        <w:t xml:space="preserve"> </w:t>
      </w:r>
      <w:r>
        <w:rPr>
          <w:rFonts w:hint="eastAsia"/>
          <w:lang w:val="en-US" w:eastAsia="zh-CN"/>
        </w:rPr>
        <w:t>参见周恒宇：《民法典格式条款规定适用规则探析》，载《法律适用》2022年第9期。</w:t>
      </w:r>
    </w:p>
  </w:footnote>
  <w:footnote w:id="36">
    <w:p w14:paraId="3E8E1114">
      <w:pPr>
        <w:pStyle w:val="9"/>
        <w:snapToGrid w:val="0"/>
      </w:pPr>
      <w:r>
        <w:rPr>
          <w:rStyle w:val="15"/>
        </w:rPr>
        <w:footnoteRef/>
      </w:r>
      <w:r>
        <w:t xml:space="preserve"> </w:t>
      </w:r>
      <w:r>
        <w:rPr>
          <w:rFonts w:hint="eastAsia"/>
          <w:lang w:val="en-US" w:eastAsia="zh-CN"/>
        </w:rPr>
        <w:t>参见</w:t>
      </w:r>
      <w:r>
        <w:rPr>
          <w:rFonts w:hint="eastAsia"/>
        </w:rPr>
        <w:t>王天凡</w:t>
      </w:r>
      <w:r>
        <w:rPr>
          <w:rFonts w:hint="eastAsia"/>
          <w:lang w:eastAsia="zh-CN"/>
        </w:rPr>
        <w:t>：</w:t>
      </w:r>
      <w:r>
        <w:rPr>
          <w:rFonts w:hint="eastAsia"/>
          <w:lang w:val="en-US" w:eastAsia="zh-CN"/>
        </w:rPr>
        <w:t>《〈</w:t>
      </w:r>
      <w:r>
        <w:rPr>
          <w:rFonts w:hint="eastAsia"/>
        </w:rPr>
        <w:t>民法典〉第496条(格式条款的定义及使用人义务)评注</w:t>
      </w:r>
      <w:r>
        <w:rPr>
          <w:rFonts w:hint="eastAsia"/>
          <w:lang w:val="en-US" w:eastAsia="zh-CN"/>
        </w:rPr>
        <w:t>》，载《中国应用法学》2022年第4期。</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A8B23B"/>
    <w:multiLevelType w:val="singleLevel"/>
    <w:tmpl w:val="EFA8B23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footnote w:id="74"/>
    <w:footnote w:id="75"/>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FB1F28"/>
    <w:rsid w:val="01D90184"/>
    <w:rsid w:val="020B3695"/>
    <w:rsid w:val="04424598"/>
    <w:rsid w:val="044D771D"/>
    <w:rsid w:val="08966904"/>
    <w:rsid w:val="09187C60"/>
    <w:rsid w:val="097A6A09"/>
    <w:rsid w:val="0A016224"/>
    <w:rsid w:val="0A8A693C"/>
    <w:rsid w:val="0B991D10"/>
    <w:rsid w:val="0CEB6D41"/>
    <w:rsid w:val="0D8E6743"/>
    <w:rsid w:val="0E6C3219"/>
    <w:rsid w:val="0ED4462A"/>
    <w:rsid w:val="0FBD6414"/>
    <w:rsid w:val="11202456"/>
    <w:rsid w:val="11B81FE1"/>
    <w:rsid w:val="13C540FC"/>
    <w:rsid w:val="16434BC0"/>
    <w:rsid w:val="176C4806"/>
    <w:rsid w:val="17A9094A"/>
    <w:rsid w:val="17D86F39"/>
    <w:rsid w:val="18B43502"/>
    <w:rsid w:val="1A02204B"/>
    <w:rsid w:val="1A2E7004"/>
    <w:rsid w:val="1BAC6712"/>
    <w:rsid w:val="1BFB1F28"/>
    <w:rsid w:val="1CB11B06"/>
    <w:rsid w:val="1CE44476"/>
    <w:rsid w:val="1D6D6DB7"/>
    <w:rsid w:val="1E6A399F"/>
    <w:rsid w:val="1F2B5BA0"/>
    <w:rsid w:val="1F585CFC"/>
    <w:rsid w:val="1FAD2A59"/>
    <w:rsid w:val="206F34BE"/>
    <w:rsid w:val="213D7E0C"/>
    <w:rsid w:val="21815F4B"/>
    <w:rsid w:val="22865EB4"/>
    <w:rsid w:val="22DB78DD"/>
    <w:rsid w:val="23321C2E"/>
    <w:rsid w:val="24442EA8"/>
    <w:rsid w:val="26277433"/>
    <w:rsid w:val="278E28DE"/>
    <w:rsid w:val="27C9064C"/>
    <w:rsid w:val="296D4B02"/>
    <w:rsid w:val="29B07B75"/>
    <w:rsid w:val="2A4D1923"/>
    <w:rsid w:val="2D220C50"/>
    <w:rsid w:val="2F07194B"/>
    <w:rsid w:val="320C360F"/>
    <w:rsid w:val="32663562"/>
    <w:rsid w:val="32BB6DE3"/>
    <w:rsid w:val="32D67DB2"/>
    <w:rsid w:val="33686F6B"/>
    <w:rsid w:val="340A1DD0"/>
    <w:rsid w:val="34B04C09"/>
    <w:rsid w:val="35B30245"/>
    <w:rsid w:val="38251A22"/>
    <w:rsid w:val="382F62A9"/>
    <w:rsid w:val="39810D86"/>
    <w:rsid w:val="3B82342F"/>
    <w:rsid w:val="3BF4479C"/>
    <w:rsid w:val="3D5A3DC8"/>
    <w:rsid w:val="3E2972F7"/>
    <w:rsid w:val="3E907B20"/>
    <w:rsid w:val="3F2B4CD2"/>
    <w:rsid w:val="3F3B5533"/>
    <w:rsid w:val="3FCC6AD3"/>
    <w:rsid w:val="404B0E09"/>
    <w:rsid w:val="42997141"/>
    <w:rsid w:val="42C97F2C"/>
    <w:rsid w:val="45C168FC"/>
    <w:rsid w:val="463A3650"/>
    <w:rsid w:val="472D57D7"/>
    <w:rsid w:val="477F6C5D"/>
    <w:rsid w:val="496507BF"/>
    <w:rsid w:val="4A827EBB"/>
    <w:rsid w:val="4AE90539"/>
    <w:rsid w:val="4B0B1632"/>
    <w:rsid w:val="4B6202EC"/>
    <w:rsid w:val="4C7044F7"/>
    <w:rsid w:val="4CB837DB"/>
    <w:rsid w:val="4ED60DD5"/>
    <w:rsid w:val="4FD07F1A"/>
    <w:rsid w:val="501047BA"/>
    <w:rsid w:val="505B24E3"/>
    <w:rsid w:val="50EC039C"/>
    <w:rsid w:val="51733275"/>
    <w:rsid w:val="52FE08FA"/>
    <w:rsid w:val="547231A5"/>
    <w:rsid w:val="54C10A67"/>
    <w:rsid w:val="55324FD5"/>
    <w:rsid w:val="560B30A1"/>
    <w:rsid w:val="56386BDE"/>
    <w:rsid w:val="56FA45C0"/>
    <w:rsid w:val="577475C4"/>
    <w:rsid w:val="58972F94"/>
    <w:rsid w:val="59E720E8"/>
    <w:rsid w:val="5A554343"/>
    <w:rsid w:val="5A7D0C9E"/>
    <w:rsid w:val="5C8005D2"/>
    <w:rsid w:val="5E0852C3"/>
    <w:rsid w:val="60824A59"/>
    <w:rsid w:val="60DC167F"/>
    <w:rsid w:val="62165562"/>
    <w:rsid w:val="62173BF9"/>
    <w:rsid w:val="627D0058"/>
    <w:rsid w:val="62C9140F"/>
    <w:rsid w:val="63DE4A78"/>
    <w:rsid w:val="6402249F"/>
    <w:rsid w:val="651133A9"/>
    <w:rsid w:val="65D32698"/>
    <w:rsid w:val="67A94E81"/>
    <w:rsid w:val="68093B71"/>
    <w:rsid w:val="68295FC1"/>
    <w:rsid w:val="69B16870"/>
    <w:rsid w:val="6A391722"/>
    <w:rsid w:val="6B1C3EC6"/>
    <w:rsid w:val="6CE4425D"/>
    <w:rsid w:val="6DD753C4"/>
    <w:rsid w:val="6F2D283B"/>
    <w:rsid w:val="706D2A7F"/>
    <w:rsid w:val="70897D08"/>
    <w:rsid w:val="722F2719"/>
    <w:rsid w:val="72351B44"/>
    <w:rsid w:val="75241FEA"/>
    <w:rsid w:val="75327854"/>
    <w:rsid w:val="753F5076"/>
    <w:rsid w:val="76F1414E"/>
    <w:rsid w:val="785B3F75"/>
    <w:rsid w:val="78AC47D1"/>
    <w:rsid w:val="7A08012D"/>
    <w:rsid w:val="7CC91E39"/>
    <w:rsid w:val="7DFC3B04"/>
    <w:rsid w:val="7E8654EE"/>
    <w:rsid w:val="7EA71B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pPr>
    <w:rPr>
      <w:rFonts w:ascii="Times New Roman" w:hAnsi="Times New Roman" w:eastAsia="宋体" w:cs="Times New Roman"/>
      <w:spacing w:val="13"/>
      <w:kern w:val="2"/>
      <w:sz w:val="21"/>
      <w:szCs w:val="22"/>
      <w:lang w:val="en-US" w:eastAsia="zh-CN" w:bidi="ar-SA"/>
      <w14:ligatures w14:val="standardContextual"/>
    </w:rPr>
  </w:style>
  <w:style w:type="paragraph" w:styleId="2">
    <w:name w:val="heading 1"/>
    <w:basedOn w:val="1"/>
    <w:next w:val="1"/>
    <w:link w:val="16"/>
    <w:qFormat/>
    <w:uiPriority w:val="0"/>
    <w:pPr>
      <w:spacing w:line="240" w:lineRule="auto"/>
      <w:ind w:firstLine="0" w:firstLineChars="0"/>
      <w:jc w:val="both"/>
      <w:outlineLvl w:val="0"/>
    </w:pPr>
    <w:rPr>
      <w:rFonts w:ascii="黑体" w:hAnsi="黑体" w:eastAsia="黑体" w:cstheme="minorBidi"/>
      <w:spacing w:val="0"/>
      <w:sz w:val="28"/>
      <w:szCs w:val="28"/>
      <w14:ligatures w14:val="none"/>
    </w:rPr>
  </w:style>
  <w:style w:type="paragraph" w:styleId="3">
    <w:name w:val="heading 2"/>
    <w:basedOn w:val="1"/>
    <w:next w:val="1"/>
    <w:unhideWhenUsed/>
    <w:qFormat/>
    <w:uiPriority w:val="0"/>
    <w:pPr>
      <w:keepNext/>
      <w:keepLines/>
      <w:tabs>
        <w:tab w:val="left" w:pos="737"/>
      </w:tabs>
      <w:ind w:firstLine="880" w:firstLineChars="200"/>
      <w:jc w:val="left"/>
      <w:outlineLvl w:val="1"/>
    </w:pPr>
    <w:rPr>
      <w:rFonts w:ascii="宋体" w:hAnsi="宋体" w:eastAsia="黑体" w:cs="宋体"/>
      <w:b/>
      <w:bCs/>
      <w:sz w:val="21"/>
      <w:szCs w:val="28"/>
    </w:rPr>
  </w:style>
  <w:style w:type="paragraph" w:styleId="4">
    <w:name w:val="heading 3"/>
    <w:basedOn w:val="1"/>
    <w:next w:val="1"/>
    <w:link w:val="17"/>
    <w:unhideWhenUsed/>
    <w:qFormat/>
    <w:uiPriority w:val="0"/>
    <w:pPr>
      <w:keepNext/>
      <w:keepLines/>
      <w:jc w:val="left"/>
      <w:outlineLvl w:val="2"/>
    </w:pPr>
    <w:rPr>
      <w:rFonts w:ascii="黑体" w:hAnsi="黑体" w:cs="黑体"/>
      <w:bCs/>
      <w:szCs w:val="24"/>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宋体" w:hAnsi="宋体" w:eastAsia="宋体" w:cs="宋体"/>
      <w:sz w:val="24"/>
      <w:szCs w:val="24"/>
      <w:lang w:val="en-US" w:eastAsia="en-US" w:bidi="ar-SA"/>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0"/>
  </w:style>
  <w:style w:type="paragraph" w:styleId="9">
    <w:name w:val="footnote text"/>
    <w:basedOn w:val="1"/>
    <w:qFormat/>
    <w:uiPriority w:val="0"/>
    <w:pPr>
      <w:snapToGrid w:val="0"/>
      <w:ind w:firstLine="0" w:firstLineChars="0"/>
    </w:pPr>
    <w:rPr>
      <w:rFonts w:ascii="仿宋" w:hAnsi="仿宋" w:eastAsia="仿宋" w:cstheme="minorBidi"/>
      <w:spacing w:val="0"/>
      <w:sz w:val="18"/>
      <w:szCs w:val="18"/>
      <w14:ligatures w14:val="none"/>
    </w:rPr>
  </w:style>
  <w:style w:type="paragraph" w:styleId="10">
    <w:name w:val="toc 2"/>
    <w:basedOn w:val="1"/>
    <w:next w:val="1"/>
    <w:qFormat/>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4">
    <w:name w:val="Strong"/>
    <w:basedOn w:val="13"/>
    <w:qFormat/>
    <w:uiPriority w:val="0"/>
    <w:rPr>
      <w:b/>
    </w:rPr>
  </w:style>
  <w:style w:type="character" w:styleId="15">
    <w:name w:val="footnote reference"/>
    <w:basedOn w:val="13"/>
    <w:qFormat/>
    <w:uiPriority w:val="0"/>
    <w:rPr>
      <w:vertAlign w:val="superscript"/>
    </w:rPr>
  </w:style>
  <w:style w:type="character" w:customStyle="1" w:styleId="16">
    <w:name w:val="标题 1 Char"/>
    <w:link w:val="2"/>
    <w:qFormat/>
    <w:uiPriority w:val="0"/>
    <w:rPr>
      <w:rFonts w:ascii="黑体" w:hAnsi="黑体" w:eastAsia="黑体" w:cstheme="minorBidi"/>
      <w:spacing w:val="0"/>
      <w:kern w:val="2"/>
      <w:sz w:val="28"/>
      <w:szCs w:val="28"/>
      <w:lang w:val="en-US" w:eastAsia="zh-CN" w:bidi="ar-SA"/>
      <w14:ligatures w14:val="none"/>
    </w:rPr>
  </w:style>
  <w:style w:type="character" w:customStyle="1" w:styleId="17">
    <w:name w:val="标题 3 Char"/>
    <w:link w:val="4"/>
    <w:qFormat/>
    <w:uiPriority w:val="0"/>
    <w:rPr>
      <w:rFonts w:ascii="黑体" w:hAnsi="黑体" w:eastAsia="宋体" w:cs="黑体"/>
      <w:bCs/>
      <w:kern w:val="2"/>
      <w:sz w:val="21"/>
      <w:szCs w:val="24"/>
      <w:lang w:val="en-US" w:eastAsia="zh-CN" w:bidi="ar-SA"/>
      <w14:ligatures w14:val="standardContextual"/>
    </w:rPr>
  </w:style>
  <w:style w:type="paragraph" w:styleId="1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12300</Words>
  <Characters>12364</Characters>
  <Lines>0</Lines>
  <Paragraphs>0</Paragraphs>
  <TotalTime>31</TotalTime>
  <ScaleCrop>false</ScaleCrop>
  <LinksUpToDate>false</LinksUpToDate>
  <CharactersWithSpaces>12374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2025-05-06T04:59:00Z</dcterms:created>
  <dc:creator>随便</dc:creator>
  <cp:lastModifiedBy>苏绅宇</cp:lastModifiedBy>
  <dcterms:modified xsi:type="dcterms:W3CDTF">2026-04-28T10:56:30Z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4D0A4E81741F4B7599F70889A308015C_13</vt:lpwstr>
  </property>
  <property fmtid="{D5CDD505-2E9C-101B-9397-08002B2CF9AE}" pid="4" name="KSOTemplateDocerSaveRecord">
    <vt:lpwstr>eyJoZGlkIjoiYzZkNzQ4ZWFiZmQ4NTRhOWRkZTk3YTMwMjlmMmZhYmUiLCJ1c2VySWQiOiIxMjUyOTIwMjAxIn0=</vt:lpwstr>
  </property>
</Properties>
</file>