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D14FD">
      <w:pPr>
        <w:jc w:val="center"/>
        <w:rPr>
          <w:rFonts w:hint="default" w:ascii="黑体" w:hAnsi="黑体" w:eastAsia="黑体" w:cs="Times New Roman"/>
          <w:bCs/>
          <w:sz w:val="32"/>
          <w:szCs w:val="32"/>
          <w:lang w:val="en-US" w:eastAsia="zh-CN"/>
        </w:rPr>
      </w:pPr>
      <w:r>
        <w:rPr>
          <w:rFonts w:hint="eastAsia" w:ascii="黑体" w:hAnsi="黑体" w:eastAsia="黑体" w:cs="Times New Roman"/>
          <w:bCs/>
          <w:sz w:val="32"/>
          <w:szCs w:val="32"/>
          <w:lang w:val="en-US" w:eastAsia="zh-CN"/>
        </w:rPr>
        <w:t>行政嵌入下地理标志专用权的资格化转向</w:t>
      </w:r>
    </w:p>
    <w:p w14:paraId="39844E07">
      <w:pPr>
        <w:jc w:val="center"/>
        <w:rPr>
          <w:rFonts w:hint="default" w:ascii="黑体" w:hAnsi="黑体" w:eastAsia="黑体" w:cs="Times New Roman"/>
          <w:bCs/>
          <w:sz w:val="32"/>
          <w:szCs w:val="32"/>
          <w:lang w:val="en-US" w:eastAsia="zh-CN"/>
        </w:rPr>
      </w:pPr>
      <w:r>
        <w:rPr>
          <w:rFonts w:hint="eastAsia" w:ascii="黑体" w:hAnsi="黑体" w:eastAsia="黑体" w:cs="Times New Roman"/>
          <w:bCs/>
          <w:sz w:val="32"/>
          <w:szCs w:val="32"/>
          <w:lang w:val="en-US" w:eastAsia="zh-CN"/>
        </w:rPr>
        <w:t>——以赤壁青砖茶国家地理标志产品保护示范区筹建为例</w:t>
      </w:r>
    </w:p>
    <w:p w14:paraId="0A93FFA5">
      <w:pPr>
        <w:jc w:val="center"/>
        <w:rPr>
          <w:rFonts w:hint="eastAsia" w:ascii="楷体" w:hAnsi="楷体" w:eastAsia="楷体" w:cs="楷体"/>
          <w:bCs/>
          <w:color w:val="auto"/>
          <w:sz w:val="24"/>
          <w:szCs w:val="28"/>
          <w:highlight w:val="none"/>
          <w:lang w:val="en-US" w:eastAsia="zh-CN"/>
        </w:rPr>
      </w:pPr>
      <w:bookmarkStart w:id="0" w:name="_GoBack"/>
      <w:bookmarkEnd w:id="0"/>
    </w:p>
    <w:p w14:paraId="01B3861C">
      <w:pPr>
        <w:ind w:firstLine="420" w:firstLineChars="200"/>
        <w:rPr>
          <w:rFonts w:hint="eastAsia" w:ascii="华文仿宋" w:hAnsi="华文仿宋" w:eastAsia="华文仿宋" w:cs="Times New Roman"/>
          <w:bCs/>
          <w:color w:val="auto"/>
          <w:szCs w:val="22"/>
          <w:highlight w:val="none"/>
          <w:lang w:val="en-US" w:eastAsia="zh-CN"/>
        </w:rPr>
      </w:pPr>
      <w:r>
        <w:rPr>
          <w:rFonts w:hint="eastAsia" w:ascii="华文仿宋" w:hAnsi="华文仿宋" w:eastAsia="华文仿宋" w:cs="Times New Roman"/>
          <w:bCs/>
          <w:color w:val="auto"/>
          <w:szCs w:val="22"/>
          <w:highlight w:val="none"/>
        </w:rPr>
        <w:t>【摘  要】</w:t>
      </w:r>
      <w:r>
        <w:rPr>
          <w:rFonts w:hint="eastAsia" w:ascii="华文仿宋" w:hAnsi="华文仿宋" w:eastAsia="华文仿宋" w:cs="Times New Roman"/>
          <w:bCs/>
          <w:color w:val="auto"/>
          <w:szCs w:val="22"/>
          <w:highlight w:val="none"/>
          <w:lang w:val="en-US" w:eastAsia="zh-CN"/>
        </w:rPr>
        <w:t>在乡村振兴与区域品牌建设背景下，地理标志已由单纯的来源识别工具进一步嵌入地方产业治理，其专用权运行也因此呈现出不同于传统知识产权的结构形态。赤壁青砖茶国家地理标志产品保护示范区筹建实践表明，围绕产区范围整合、产品标准统一以及用标主体筛选等制度安排，地理标志专用权的运行逐步被纳入一套持续性的制度过程之中。用标资格的取得、维持与变动，不再主要依赖权利主体的排他主张，而越来越依赖行政确认、持续合规与动态评价。由此，地理标志专用权不再只是以排他支配为中心的私权形态，而呈现出以准入、合规与资格维持为核心的资格化运行结构</w:t>
      </w:r>
      <w:r>
        <w:rPr>
          <w:rFonts w:hint="default" w:ascii="华文仿宋" w:hAnsi="华文仿宋" w:eastAsia="华文仿宋" w:cs="Times New Roman"/>
          <w:bCs/>
          <w:color w:val="auto"/>
          <w:szCs w:val="22"/>
          <w:highlight w:val="none"/>
          <w:lang w:val="en-US" w:eastAsia="zh-CN"/>
        </w:rPr>
        <w:t>。</w:t>
      </w:r>
      <w:r>
        <w:rPr>
          <w:rFonts w:hint="eastAsia" w:ascii="华文仿宋" w:hAnsi="华文仿宋" w:eastAsia="华文仿宋" w:cs="Times New Roman"/>
          <w:bCs/>
          <w:color w:val="auto"/>
          <w:szCs w:val="22"/>
          <w:highlight w:val="none"/>
          <w:lang w:val="en-US" w:eastAsia="zh-CN"/>
        </w:rPr>
        <w:t>这一实践表明，在特定治理情境中，知识产权的内部结构可能呈现出由“支配”向“资格”转移的趋势。</w:t>
      </w:r>
    </w:p>
    <w:p w14:paraId="7BF5FD48">
      <w:pPr>
        <w:ind w:firstLine="420" w:firstLineChars="200"/>
        <w:rPr>
          <w:rFonts w:hint="default" w:ascii="华文仿宋" w:hAnsi="华文仿宋" w:eastAsia="华文仿宋" w:cs="Times New Roman"/>
          <w:bCs/>
          <w:color w:val="auto"/>
          <w:szCs w:val="22"/>
          <w:highlight w:val="none"/>
          <w:lang w:val="en-US" w:eastAsia="zh-CN"/>
        </w:rPr>
      </w:pPr>
      <w:r>
        <w:rPr>
          <w:rFonts w:hint="eastAsia" w:ascii="华文仿宋" w:hAnsi="华文仿宋" w:eastAsia="华文仿宋" w:cs="Times New Roman"/>
          <w:bCs/>
          <w:color w:val="auto"/>
          <w:szCs w:val="22"/>
          <w:highlight w:val="none"/>
        </w:rPr>
        <w:t>【关键词】</w:t>
      </w:r>
      <w:r>
        <w:rPr>
          <w:rFonts w:hint="eastAsia" w:ascii="华文仿宋" w:hAnsi="华文仿宋" w:eastAsia="华文仿宋" w:cs="Times New Roman"/>
          <w:bCs/>
          <w:color w:val="auto"/>
          <w:szCs w:val="22"/>
          <w:highlight w:val="none"/>
          <w:lang w:val="en-US" w:eastAsia="zh-CN"/>
        </w:rPr>
        <w:t>地理标志；专用权；资格化运行结构；资格审查；行政程序</w:t>
      </w:r>
    </w:p>
    <w:p w14:paraId="3436BD9E">
      <w:pPr>
        <w:ind w:firstLine="420" w:firstLineChars="200"/>
        <w:rPr>
          <w:rFonts w:hint="default" w:ascii="华文仿宋" w:hAnsi="华文仿宋" w:eastAsia="华文仿宋" w:cs="Times New Roman"/>
          <w:bCs/>
          <w:color w:val="auto"/>
          <w:szCs w:val="22"/>
          <w:highlight w:val="none"/>
          <w:lang w:val="en-US" w:eastAsia="zh-CN"/>
        </w:rPr>
      </w:pPr>
      <w:r>
        <w:rPr>
          <w:rFonts w:hint="eastAsia" w:ascii="华文仿宋" w:hAnsi="华文仿宋" w:eastAsia="华文仿宋" w:cs="Times New Roman"/>
          <w:bCs/>
          <w:color w:val="auto"/>
          <w:szCs w:val="22"/>
          <w:highlight w:val="none"/>
        </w:rPr>
        <w:t>【</w:t>
      </w:r>
      <w:r>
        <w:rPr>
          <w:rFonts w:hint="eastAsia" w:ascii="华文仿宋" w:hAnsi="华文仿宋" w:eastAsia="华文仿宋" w:cs="Times New Roman"/>
          <w:bCs/>
          <w:color w:val="auto"/>
          <w:szCs w:val="22"/>
          <w:highlight w:val="none"/>
          <w:lang w:val="en-US" w:eastAsia="zh-CN"/>
        </w:rPr>
        <w:t>作者信息</w:t>
      </w:r>
      <w:r>
        <w:rPr>
          <w:rFonts w:hint="eastAsia" w:ascii="华文仿宋" w:hAnsi="华文仿宋" w:eastAsia="华文仿宋" w:cs="Times New Roman"/>
          <w:bCs/>
          <w:color w:val="auto"/>
          <w:szCs w:val="22"/>
          <w:highlight w:val="none"/>
        </w:rPr>
        <w:t>】</w:t>
      </w:r>
      <w:r>
        <w:rPr>
          <w:rFonts w:hint="eastAsia" w:ascii="华文仿宋" w:hAnsi="华文仿宋" w:eastAsia="华文仿宋" w:cs="Times New Roman"/>
          <w:bCs/>
          <w:color w:val="auto"/>
          <w:szCs w:val="22"/>
          <w:highlight w:val="none"/>
          <w:lang w:val="en-US" w:eastAsia="zh-CN"/>
        </w:rPr>
        <w:t>刘天睿，武汉工程大学法商学院（知识产权学院）2022级本科生；唐晨宸，武汉工程大学法商学院（知识产权学院）2023级本科生。</w:t>
      </w:r>
    </w:p>
    <w:p w14:paraId="7A740139">
      <w:pPr>
        <w:ind w:firstLine="420" w:firstLineChars="200"/>
        <w:rPr>
          <w:rFonts w:hint="default" w:ascii="华文仿宋" w:hAnsi="华文仿宋" w:eastAsia="华文仿宋" w:cs="Times New Roman"/>
          <w:bCs/>
          <w:color w:val="auto"/>
          <w:szCs w:val="22"/>
          <w:highlight w:val="none"/>
          <w:lang w:val="en-US" w:eastAsia="zh-CN"/>
        </w:rPr>
      </w:pPr>
      <w:r>
        <w:rPr>
          <w:rFonts w:hint="eastAsia" w:ascii="华文仿宋" w:hAnsi="华文仿宋" w:eastAsia="华文仿宋" w:cs="Times New Roman"/>
          <w:bCs/>
          <w:color w:val="auto"/>
          <w:szCs w:val="22"/>
          <w:highlight w:val="none"/>
        </w:rPr>
        <w:t>【</w:t>
      </w:r>
      <w:r>
        <w:rPr>
          <w:rFonts w:hint="eastAsia" w:ascii="华文仿宋" w:hAnsi="华文仿宋" w:eastAsia="华文仿宋" w:cs="Times New Roman"/>
          <w:bCs/>
          <w:color w:val="auto"/>
          <w:szCs w:val="22"/>
          <w:highlight w:val="none"/>
          <w:lang w:val="en-US" w:eastAsia="zh-CN"/>
        </w:rPr>
        <w:t>备注</w:t>
      </w:r>
      <w:r>
        <w:rPr>
          <w:rFonts w:hint="eastAsia" w:ascii="华文仿宋" w:hAnsi="华文仿宋" w:eastAsia="华文仿宋" w:cs="Times New Roman"/>
          <w:bCs/>
          <w:color w:val="auto"/>
          <w:szCs w:val="22"/>
          <w:highlight w:val="none"/>
        </w:rPr>
        <w:t>】</w:t>
      </w:r>
      <w:r>
        <w:rPr>
          <w:rFonts w:hint="eastAsia" w:ascii="华文仿宋" w:hAnsi="华文仿宋" w:eastAsia="华文仿宋" w:cs="Times New Roman"/>
          <w:bCs/>
          <w:color w:val="auto"/>
          <w:szCs w:val="22"/>
          <w:highlight w:val="none"/>
          <w:lang w:val="en-US" w:eastAsia="zh-CN"/>
        </w:rPr>
        <w:t>感谢赤壁市市场监督管理局，赤壁市茶叶协会，羊楼洞茶叶股份有限公司相关人员对本文的帮助。</w:t>
      </w:r>
    </w:p>
    <w:p w14:paraId="445EB218">
      <w:pPr>
        <w:rPr>
          <w:rFonts w:hint="default" w:ascii="华文仿宋" w:hAnsi="华文仿宋" w:eastAsia="华文仿宋" w:cs="Times New Roman"/>
          <w:szCs w:val="22"/>
          <w:lang w:val="en-US" w:eastAsia="zh-CN"/>
        </w:rPr>
      </w:pPr>
    </w:p>
    <w:p w14:paraId="4327FDA5">
      <w:pPr>
        <w:rPr>
          <w:rFonts w:hint="eastAsia"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引言</w:t>
      </w:r>
    </w:p>
    <w:p w14:paraId="1349BA0E">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乡村振兴与区域品牌整合持续推进的背景下，地理标志已不再仅是识别商品来源的法律标识，而是逐步嵌入地方产业治理之中。以赤壁青砖茶为例，相关政策文件已将地理标志纳入区域品牌整合、标准统一与产业治理的制度框架之中，表明地理标志正从单纯权利形态转向治理工具。</w:t>
      </w:r>
      <w:r>
        <w:rPr>
          <w:rFonts w:hint="eastAsia" w:ascii="宋体" w:hAnsi="宋体" w:eastAsia="宋体" w:cs="Times New Roman"/>
          <w:color w:val="auto"/>
          <w:szCs w:val="21"/>
          <w:highlight w:val="none"/>
          <w:vertAlign w:val="superscript"/>
          <w:lang w:val="en-US" w:eastAsia="zh-CN"/>
        </w:rPr>
        <w:footnoteReference w:id="0"/>
      </w:r>
      <w:r>
        <w:rPr>
          <w:rFonts w:hint="eastAsia" w:ascii="宋体" w:hAnsi="宋体" w:eastAsia="宋体" w:cs="Times New Roman"/>
          <w:color w:val="auto"/>
          <w:szCs w:val="21"/>
          <w:highlight w:val="none"/>
          <w:lang w:val="en-US" w:eastAsia="zh-CN"/>
        </w:rPr>
        <w:t>同时，从“赤壁青砖茶”地理标志证明商标续展及专用标志使用申请材料来看，用标主体的确认与专用权的实现并非一次性完成，而是处于动态调整、持续规范的状态。</w:t>
      </w:r>
      <w:r>
        <w:rPr>
          <w:rStyle w:val="10"/>
          <w:rFonts w:hint="eastAsia" w:ascii="宋体" w:hAnsi="宋体" w:eastAsia="宋体" w:cs="Times New Roman"/>
          <w:color w:val="auto"/>
          <w:szCs w:val="21"/>
          <w:highlight w:val="none"/>
          <w:lang w:val="en-US" w:eastAsia="zh-CN"/>
        </w:rPr>
        <w:footnoteReference w:id="1"/>
      </w:r>
      <w:r>
        <w:rPr>
          <w:rFonts w:hint="eastAsia" w:ascii="宋体" w:hAnsi="宋体" w:eastAsia="宋体" w:cs="Times New Roman"/>
          <w:color w:val="auto"/>
          <w:szCs w:val="21"/>
          <w:highlight w:val="none"/>
          <w:lang w:val="en-US" w:eastAsia="zh-CN"/>
        </w:rPr>
        <w:t>地方政府进一步通过产业发展政策强化标准化生产与质量监管，使地理标志保护与产业治理形成制度性结合。</w:t>
      </w:r>
      <w:r>
        <w:rPr>
          <w:rStyle w:val="10"/>
          <w:rFonts w:hint="eastAsia" w:ascii="宋体" w:hAnsi="宋体" w:eastAsia="宋体" w:cs="Times New Roman"/>
          <w:color w:val="auto"/>
          <w:szCs w:val="21"/>
          <w:highlight w:val="none"/>
          <w:lang w:val="en-US" w:eastAsia="zh-CN"/>
        </w:rPr>
        <w:footnoteReference w:id="2"/>
      </w:r>
      <w:r>
        <w:rPr>
          <w:rFonts w:hint="eastAsia" w:ascii="宋体" w:hAnsi="宋体" w:eastAsia="宋体" w:cs="Times New Roman"/>
          <w:color w:val="auto"/>
          <w:szCs w:val="21"/>
          <w:highlight w:val="none"/>
          <w:lang w:val="en-US" w:eastAsia="zh-CN"/>
        </w:rPr>
        <w:t>由此引出本文的核心问题：行政参与是否已经进入地理标志专用权形成、存续与退出的内部机制，并由此改变其运行结构？若行政作用仅限于权利形成后的外部监管，则仍属一般监管强化；但若行政程序已实际决定用标资格的取得与维持，并使相关争议转而围绕资格确认与资格变动展开，则应该将其理解为专用权由排他支配结构转向资格化运行结构。本文即围绕这一判断展开分析。</w:t>
      </w:r>
    </w:p>
    <w:p w14:paraId="2315CC51">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现有关于地理标志的研究，大体可以分为三类：一是围绕其法律性质与保护模式展开，强调其不同于传统商标权的制度属性；</w:t>
      </w:r>
      <w:r>
        <w:rPr>
          <w:rFonts w:hint="eastAsia" w:ascii="宋体" w:hAnsi="宋体" w:eastAsia="宋体" w:cs="Times New Roman"/>
          <w:color w:val="auto"/>
          <w:szCs w:val="21"/>
          <w:highlight w:val="none"/>
          <w:vertAlign w:val="superscript"/>
          <w:lang w:val="en-US" w:eastAsia="zh-CN"/>
        </w:rPr>
        <w:footnoteReference w:id="3"/>
      </w:r>
      <w:r>
        <w:rPr>
          <w:rFonts w:hint="eastAsia" w:ascii="宋体" w:hAnsi="宋体" w:eastAsia="宋体" w:cs="Times New Roman"/>
          <w:color w:val="auto"/>
          <w:szCs w:val="21"/>
          <w:highlight w:val="none"/>
          <w:lang w:val="en-US" w:eastAsia="zh-CN"/>
        </w:rPr>
        <w:t>二是关注多轨并行格局下规范体系的衔接与协调；</w:t>
      </w:r>
      <w:r>
        <w:rPr>
          <w:rStyle w:val="10"/>
          <w:rFonts w:hint="eastAsia" w:ascii="宋体" w:hAnsi="宋体" w:eastAsia="宋体" w:cs="Times New Roman"/>
          <w:color w:val="auto"/>
          <w:szCs w:val="21"/>
          <w:highlight w:val="none"/>
          <w:lang w:val="en-US" w:eastAsia="zh-CN"/>
        </w:rPr>
        <w:footnoteReference w:id="4"/>
      </w:r>
      <w:r>
        <w:rPr>
          <w:rFonts w:hint="eastAsia" w:ascii="宋体" w:hAnsi="宋体" w:eastAsia="宋体" w:cs="Times New Roman"/>
          <w:color w:val="auto"/>
          <w:szCs w:val="21"/>
          <w:highlight w:val="none"/>
          <w:lang w:val="en-US" w:eastAsia="zh-CN"/>
        </w:rPr>
        <w:t>三是从国际条约与比较法视角探讨其保护机制及演进趋势。</w:t>
      </w:r>
      <w:r>
        <w:rPr>
          <w:rStyle w:val="10"/>
          <w:rFonts w:hint="eastAsia" w:ascii="宋体" w:hAnsi="宋体" w:eastAsia="宋体" w:cs="Times New Roman"/>
          <w:color w:val="auto"/>
          <w:szCs w:val="21"/>
          <w:highlight w:val="none"/>
          <w:lang w:val="en-US" w:eastAsia="zh-CN"/>
        </w:rPr>
        <w:footnoteReference w:id="5"/>
      </w:r>
      <w:r>
        <w:rPr>
          <w:rFonts w:hint="eastAsia" w:ascii="宋体" w:hAnsi="宋体" w:eastAsia="宋体" w:cs="Times New Roman"/>
          <w:color w:val="auto"/>
          <w:szCs w:val="21"/>
          <w:highlight w:val="none"/>
          <w:lang w:val="en-US" w:eastAsia="zh-CN"/>
        </w:rPr>
        <w:t>总体而言，既有研究主要回答了地理标志“应如何界定与保护”的问题，但对其在具体治理结构中如何形成、维持与调整，尤其是用标资格如何在行政确认与持续监管中被塑造，关注仍显不足。换言之，学界对地理标志“是什么”已有较多解释，但对其“如何运行”缺乏细致分析。</w:t>
      </w:r>
    </w:p>
    <w:p w14:paraId="2EB3EC40">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基于此，本文以赤壁青砖茶国家地理标志产品保护示范区筹建过程为观察对象，在规范表达与制度运行的对照中重新理解地理标志专用权。本文认为，尽管地理标志专用权在规范层面仍以知识产权形式表达，并对外体现为排除不当使用的排他性利益，但其形成与实现过程已明显依赖行政确认、标准约束与组织协调。围绕产区整合、标准统一与用标主体筛选所建立的制度安排，已逐步嵌入专用权的运行机制之中，从而使其在实践中呈现出以准入、合规与持续评价为核心的资格化运行结构。</w:t>
      </w:r>
    </w:p>
    <w:p w14:paraId="6DF8E56C">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研究方法上，本文采取规范分析与制度材料分析相结合的路径：一方面，梳理地理标志专用权的规范表达，另一方面结合赤壁青砖茶国家地理标志产品保护示范区筹建过程中的制度文件与运行材料，分析用标资格的形成、维持与调整机制。本文所使用的材料包括制度文件、行业规则及相关运行数据，重点在于通过制度运行过程观察专用权结构如何被具体塑造，而非进行大规模个案统计。</w:t>
      </w:r>
    </w:p>
    <w:p w14:paraId="2DF86D2C">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本文旨在说明，对地理标志专用权的讨论不能仅停留在其属于何种权利的层面，还应进一步考察其在具体治理结构中如何形成、维持与调整。不同于既有研究主要围绕制度定位、保护模式及规则衔接展开，本文试图说明行政参与已经进入专用权运行机制内部，并由此使其呈现出区别于传统排他性私权的资格化特征。从理论上看，这一分析有助于将地理标志研究从静态权利性质判断推进到动态运行结构分析，揭示知识产权在群体性资源治理背景下可能呈现的复合结构形态；从实践上看，通过对示范区制度安排的考察，可以更具体地理解用标资格如何在准入审查、持续监管与资格调整中被塑造，从而为相关制度设计、程序约束以及争议审查提供分析框架。</w:t>
      </w:r>
    </w:p>
    <w:p w14:paraId="2A17CF16">
      <w:pPr>
        <w:rPr>
          <w:rFonts w:hint="eastAsia" w:ascii="宋体" w:hAnsi="宋体" w:eastAsia="宋体" w:cs="Times New Roman"/>
          <w:color w:val="auto"/>
          <w:szCs w:val="21"/>
          <w:highlight w:val="none"/>
          <w:lang w:val="en-US" w:eastAsia="zh-CN"/>
        </w:rPr>
      </w:pPr>
    </w:p>
    <w:p w14:paraId="156181A7">
      <w:pPr>
        <w:rPr>
          <w:rFonts w:hint="default"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一、地理标志专用权的制度定位与运行结构</w:t>
      </w:r>
    </w:p>
    <w:p w14:paraId="2076FD71">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本部分首先从规范层面对地理标志专用权加以界定，并以商标制度为参照，说明其何以呈现出不同于典型排他私权的运行逻辑，从而为后文分析其资格化运行结构奠定基础。</w:t>
      </w:r>
    </w:p>
    <w:p w14:paraId="1618CA60">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（一）地理标志专用权的规范属性</w:t>
      </w:r>
    </w:p>
    <w:p w14:paraId="581AF6B7">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地理标志作为独立的知识产权客体，其保护地位已在国际法框架中得到确认。根据TRIPS协定第22条，地理标志是指用于识别某一商品来源于特定地区，且其质量、声誉或其他特征主要归因于该地理来源的标志。</w:t>
      </w:r>
      <w:r>
        <w:rPr>
          <w:rFonts w:hint="eastAsia" w:ascii="宋体" w:hAnsi="宋体" w:eastAsia="宋体" w:cs="Times New Roman"/>
          <w:color w:val="auto"/>
          <w:szCs w:val="21"/>
          <w:highlight w:val="none"/>
          <w:vertAlign w:val="superscript"/>
          <w:lang w:val="en-US" w:eastAsia="zh-CN"/>
        </w:rPr>
        <w:footnoteReference w:id="6"/>
      </w:r>
      <w:r>
        <w:rPr>
          <w:rFonts w:hint="eastAsia" w:ascii="宋体" w:hAnsi="宋体" w:eastAsia="宋体" w:cs="Times New Roman"/>
          <w:color w:val="auto"/>
          <w:szCs w:val="21"/>
          <w:highlight w:val="none"/>
          <w:lang w:val="en-US" w:eastAsia="zh-CN"/>
        </w:rPr>
        <w:t>与以经营主体识别为核心的商标制度不同，地理标志保护的重点不在于个体经营者信誉，而在于产品特征与地理来源之间的归因联系。正因如此，地理标志所依托的并非单一主体的创造性成果，而是区域资源、生产传统与长期积累的产地声誉，因而难以完全纳入典型私权逻辑。本文所称“地理标志专用权”，是指在地理标志产品保护制度框架内，围绕专用标志合法使用所形成的利益与地位，对外表现为排除不当使用的边界，对内则表现为用标资格的取得、维持与变动。它不同于典型商标权之处在于，商标权强调单一主体对标识的支配与处分，而地理标志专用权的核心，更接近于以产地标准、行政确认与持续合规为前提的用标资格。因此，其运行重点并不只是排他支配，而在于资格能否取得并得以持续维持。在比较法上，欧盟地理标志保护并不以避免来源混淆为唯一目标，而是强调维持产品品质、产地声誉与地理来源之间的稳定联系。相关判例与研究也表明，地理标志保护的评价重点已从传统商标法上的“混淆可能性”，部分转向对产地关联及声誉承载的维护。</w:t>
      </w:r>
      <w:r>
        <w:rPr>
          <w:rStyle w:val="10"/>
          <w:rFonts w:hint="eastAsia" w:ascii="宋体" w:hAnsi="宋体" w:eastAsia="宋体" w:cs="Times New Roman"/>
          <w:color w:val="auto"/>
          <w:szCs w:val="21"/>
          <w:highlight w:val="none"/>
          <w:lang w:val="en-US" w:eastAsia="zh-CN"/>
        </w:rPr>
        <w:footnoteReference w:id="7"/>
      </w:r>
      <w:r>
        <w:rPr>
          <w:rFonts w:hint="eastAsia" w:ascii="宋体" w:hAnsi="宋体" w:eastAsia="宋体" w:cs="Times New Roman"/>
          <w:color w:val="auto"/>
          <w:szCs w:val="21"/>
          <w:highlight w:val="none"/>
          <w:lang w:val="en-US" w:eastAsia="zh-CN"/>
        </w:rPr>
        <w:t>这说明，地理标志保护的制度目标并不只是识别不同经营主体，而是维持产品与产地之间的结构性关联。</w:t>
      </w:r>
      <w:r>
        <w:rPr>
          <w:rFonts w:hint="eastAsia" w:ascii="宋体" w:hAnsi="宋体" w:eastAsia="宋体" w:cs="Times New Roman"/>
          <w:color w:val="auto"/>
          <w:szCs w:val="21"/>
          <w:highlight w:val="none"/>
          <w:vertAlign w:val="superscript"/>
          <w:lang w:val="en-US" w:eastAsia="zh-CN"/>
        </w:rPr>
        <w:footnoteReference w:id="8"/>
      </w:r>
    </w:p>
    <w:p w14:paraId="0C8C337A">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我国现行制度中，地理标志保护长期采取多种路径并行的模式，包括地理标志产品保护、农产品地理标志登记以及通过证明商标、集体商标注册保护等方式。这些路径的差异主要不在名称本身，而在确权方式、权利范围与救济机制。通过商标法路径保护时，更强调私权救济与权利人的自主处分；而专门制度路径则更重视标准制定、资格审查与持续监管。《地理标志产品保护办法》进一步将申请、审查认定、撤销、变更及专用标志使用管理统一纳入框架，并要求申请材料包含产地范围、保护机制、检验检测报告和技术标准等内容。</w:t>
      </w:r>
      <w:r>
        <w:rPr>
          <w:rStyle w:val="10"/>
          <w:rFonts w:hint="eastAsia" w:ascii="宋体" w:hAnsi="宋体" w:eastAsia="宋体" w:cs="Times New Roman"/>
          <w:color w:val="auto"/>
          <w:szCs w:val="21"/>
          <w:highlight w:val="none"/>
          <w:lang w:val="en-US" w:eastAsia="zh-CN"/>
        </w:rPr>
        <w:footnoteReference w:id="9"/>
      </w:r>
      <w:r>
        <w:rPr>
          <w:rFonts w:hint="eastAsia" w:ascii="宋体" w:hAnsi="宋体" w:eastAsia="宋体" w:cs="Times New Roman"/>
          <w:color w:val="auto"/>
          <w:szCs w:val="21"/>
          <w:highlight w:val="none"/>
          <w:lang w:val="en-US" w:eastAsia="zh-CN"/>
        </w:rPr>
        <w:t>这表明，产地范围、技术标准与专用标志使用管理并非确权之后附加的外围事项，而是制度设计本身的重要组成部分。在侵权认定上，证明商标或集体商标路径通常仍以“混淆可能性”为基本判断标准，但地理标志保护的内容并不限于商品来源区分，更在于维护产品特征与特定地理来源之间的归因联系。有学者据此指出，“关联性”不仅关系到地理标志的确权门槛，也关系到其作为独立制度类型的成立。</w:t>
      </w:r>
      <w:r>
        <w:rPr>
          <w:rFonts w:hint="eastAsia" w:ascii="宋体" w:hAnsi="宋体" w:eastAsia="宋体" w:cs="Times New Roman"/>
          <w:color w:val="auto"/>
          <w:szCs w:val="21"/>
          <w:highlight w:val="none"/>
          <w:vertAlign w:val="superscript"/>
          <w:lang w:val="en-US" w:eastAsia="zh-CN"/>
        </w:rPr>
        <w:footnoteReference w:id="10"/>
      </w:r>
      <w:r>
        <w:rPr>
          <w:rFonts w:hint="eastAsia" w:ascii="宋体" w:hAnsi="宋体" w:eastAsia="宋体" w:cs="Times New Roman"/>
          <w:color w:val="auto"/>
          <w:szCs w:val="21"/>
          <w:highlight w:val="none"/>
          <w:lang w:val="en-US" w:eastAsia="zh-CN"/>
        </w:rPr>
        <w:t>因此，若完全沿用商标法上的混淆逻辑，便容易忽略产品与产地之间的关联性被削弱或稀释这一独立法益。这一制度特征在赤壁青砖茶相关规则中已有体现。区域公用品牌管理办法规定，用标实行申报、审批与授权管理，对不按标准组织生产、抽检不合格或拒绝监督管理的主体，可以取消其使用资格。</w:t>
      </w:r>
      <w:r>
        <w:rPr>
          <w:rStyle w:val="10"/>
          <w:rFonts w:hint="eastAsia" w:ascii="宋体" w:hAnsi="宋体" w:eastAsia="宋体" w:cs="Times New Roman"/>
          <w:color w:val="auto"/>
          <w:szCs w:val="21"/>
          <w:highlight w:val="none"/>
          <w:lang w:val="en-US" w:eastAsia="zh-CN"/>
        </w:rPr>
        <w:footnoteReference w:id="11"/>
      </w:r>
      <w:r>
        <w:rPr>
          <w:rFonts w:hint="eastAsia" w:ascii="宋体" w:hAnsi="宋体" w:eastAsia="宋体" w:cs="Times New Roman"/>
          <w:color w:val="auto"/>
          <w:szCs w:val="21"/>
          <w:highlight w:val="none"/>
          <w:lang w:val="en-US" w:eastAsia="zh-CN"/>
        </w:rPr>
        <w:t>这表明，专用标志的使用并非一次性确认，而是与准入审查、持续监管和资格退出直接相联系。</w:t>
      </w:r>
    </w:p>
    <w:p w14:paraId="3606FF79">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本文所称“资格化运行结构”，并非泛指地理标志保护中存在行政许可或一般监管要求，而是指专用权的形成、存续与退出均被纳入持续性的制度评价之中，从而使权利状态表现为一种附条件、可调整、可审查的资格形态。从制度运行的具体表现来看，可以概括出以下几个方面的特征：其一，权利取得以准入审查为前提；其二，权利存续以持续合规和动态评价为条件；其三，权利退出可能直接因行政评价、资格调整或名录变动而发生。也正因此，专用权的运行重心不再只是排他支配，而转向资格取得、资格维持与资格变动。</w:t>
      </w:r>
    </w:p>
    <w:p w14:paraId="654904F0">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（二）资格化运行结构并非一般监管强化：权利结构变化的识别标准</w:t>
      </w:r>
    </w:p>
    <w:p w14:paraId="17DFA49C">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需要进一步说明的是，本文所称资格化运行结构，并不等同于行政监管强度的一般上升。判断地理标志专用权是否已经发生结构变化，关键不在于行政因素是否存在，而在于行政程序是否进入了专用权形成、存续与争议处理的内部机制。可以从以下几个维度加以区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8"/>
        <w:gridCol w:w="3391"/>
        <w:gridCol w:w="3873"/>
      </w:tblGrid>
      <w:tr w14:paraId="374C0AEF">
        <w:trPr>
          <w:trHeight w:val="57" w:hRule="atLeast"/>
          <w:tblHeader/>
        </w:trPr>
        <w:tc>
          <w:tcPr>
            <w:tcW w:w="1258" w:type="dxa"/>
            <w:tcBorders>
              <w:top w:val="single" w:color="000000" w:sz="12" w:space="0"/>
              <w:left w:val="nil"/>
              <w:bottom w:val="single" w:color="000000" w:sz="4" w:space="0"/>
              <w:right w:val="nil"/>
              <w:tl2br w:val="nil"/>
            </w:tcBorders>
            <w:shd w:val="clear" w:color="auto" w:fill="FFFFFF"/>
            <w:vAlign w:val="center"/>
          </w:tcPr>
          <w:p w14:paraId="391530EE">
            <w:pPr>
              <w:jc w:val="center"/>
              <w:rPr>
                <w:rFonts w:hint="eastAsia" w:ascii="宋体" w:hAnsi="宋体" w:eastAsia="宋体" w:cs="Times New Roman"/>
                <w:b w:val="0"/>
                <w:color w:val="auto"/>
                <w:sz w:val="21"/>
                <w:szCs w:val="21"/>
                <w:highlight w:val="none"/>
                <w:vertAlign w:val="baseline"/>
                <w:lang w:val="en-US" w:eastAsia="zh-CN"/>
              </w:rPr>
            </w:pPr>
            <w:r>
              <w:rPr>
                <w:rFonts w:ascii="宋体" w:hAnsi="宋体" w:eastAsia="宋体" w:cs="宋体"/>
                <w:b w:val="0"/>
                <w:bCs/>
                <w:i w:val="0"/>
                <w:iCs w:val="0"/>
                <w:caps w:val="0"/>
                <w:color w:val="auto"/>
                <w:spacing w:val="0"/>
                <w:kern w:val="0"/>
                <w:sz w:val="21"/>
                <w:szCs w:val="21"/>
                <w:highlight w:val="none"/>
                <w:lang w:val="en-US" w:eastAsia="zh-CN" w:bidi="ar"/>
              </w:rPr>
              <w:t>识别维度</w:t>
            </w:r>
          </w:p>
        </w:tc>
        <w:tc>
          <w:tcPr>
            <w:tcW w:w="3391" w:type="dxa"/>
            <w:tcBorders>
              <w:top w:val="single" w:color="000000" w:sz="12" w:space="0"/>
              <w:left w:val="nil"/>
              <w:bottom w:val="single" w:color="000000" w:sz="4" w:space="0"/>
              <w:right w:val="nil"/>
            </w:tcBorders>
            <w:shd w:val="clear" w:color="auto" w:fill="FFFFFF"/>
            <w:vAlign w:val="center"/>
          </w:tcPr>
          <w:p w14:paraId="6E33DD6F">
            <w:pPr>
              <w:jc w:val="center"/>
              <w:rPr>
                <w:rFonts w:hint="eastAsia" w:ascii="宋体" w:hAnsi="宋体" w:eastAsia="宋体" w:cs="Times New Roman"/>
                <w:b w:val="0"/>
                <w:color w:val="auto"/>
                <w:sz w:val="21"/>
                <w:szCs w:val="21"/>
                <w:highlight w:val="none"/>
                <w:vertAlign w:val="baseline"/>
                <w:lang w:val="en-US" w:eastAsia="zh-CN"/>
              </w:rPr>
            </w:pPr>
            <w:r>
              <w:rPr>
                <w:rFonts w:ascii="宋体" w:hAnsi="宋体" w:eastAsia="宋体" w:cs="宋体"/>
                <w:b w:val="0"/>
                <w:bCs/>
                <w:i w:val="0"/>
                <w:iCs w:val="0"/>
                <w:caps w:val="0"/>
                <w:color w:val="auto"/>
                <w:spacing w:val="0"/>
                <w:kern w:val="0"/>
                <w:sz w:val="21"/>
                <w:szCs w:val="21"/>
                <w:highlight w:val="none"/>
                <w:lang w:val="en-US" w:eastAsia="zh-CN" w:bidi="ar"/>
              </w:rPr>
              <w:t>一般监管强化</w:t>
            </w:r>
          </w:p>
        </w:tc>
        <w:tc>
          <w:tcPr>
            <w:tcW w:w="3873" w:type="dxa"/>
            <w:tcBorders>
              <w:top w:val="single" w:color="000000" w:sz="12" w:space="0"/>
              <w:left w:val="nil"/>
              <w:bottom w:val="single" w:color="000000" w:sz="4" w:space="0"/>
              <w:right w:val="nil"/>
            </w:tcBorders>
            <w:shd w:val="clear" w:color="auto" w:fill="FFFFFF"/>
            <w:vAlign w:val="center"/>
          </w:tcPr>
          <w:p w14:paraId="4D3888C8">
            <w:pPr>
              <w:jc w:val="center"/>
              <w:rPr>
                <w:rFonts w:hint="eastAsia" w:ascii="宋体" w:hAnsi="宋体" w:eastAsia="宋体" w:cs="Times New Roman"/>
                <w:b w:val="0"/>
                <w:color w:val="auto"/>
                <w:sz w:val="21"/>
                <w:szCs w:val="21"/>
                <w:highlight w:val="none"/>
                <w:vertAlign w:val="baseline"/>
                <w:lang w:val="en-US" w:eastAsia="zh-CN"/>
              </w:rPr>
            </w:pPr>
            <w:r>
              <w:rPr>
                <w:rFonts w:ascii="宋体" w:hAnsi="宋体" w:eastAsia="宋体" w:cs="宋体"/>
                <w:b w:val="0"/>
                <w:bCs/>
                <w:i w:val="0"/>
                <w:iCs w:val="0"/>
                <w:caps w:val="0"/>
                <w:color w:val="auto"/>
                <w:spacing w:val="0"/>
                <w:kern w:val="0"/>
                <w:sz w:val="21"/>
                <w:szCs w:val="21"/>
                <w:highlight w:val="none"/>
                <w:lang w:val="en-US" w:eastAsia="zh-CN" w:bidi="ar"/>
              </w:rPr>
              <w:t>资格化运行结构</w:t>
            </w:r>
          </w:p>
        </w:tc>
      </w:tr>
      <w:tr w14:paraId="2A4662BA">
        <w:trPr>
          <w:trHeight w:val="624" w:hRule="atLeast"/>
        </w:trPr>
        <w:tc>
          <w:tcPr>
            <w:tcW w:w="1258" w:type="dxa"/>
            <w:tcBorders>
              <w:top w:val="single" w:color="000000" w:sz="4" w:space="0"/>
              <w:left w:val="nil"/>
              <w:bottom w:val="nil"/>
              <w:right w:val="nil"/>
            </w:tcBorders>
            <w:shd w:val="clear" w:color="auto" w:fill="FFFFFF"/>
            <w:vAlign w:val="center"/>
          </w:tcPr>
          <w:p w14:paraId="7629F1B0">
            <w:pPr>
              <w:jc w:val="center"/>
              <w:rPr>
                <w:rFonts w:hint="eastAsia" w:ascii="宋体" w:hAnsi="宋体" w:eastAsia="宋体" w:cs="Times New Roman"/>
                <w:b w:val="0"/>
                <w:color w:val="auto"/>
                <w:sz w:val="21"/>
                <w:szCs w:val="21"/>
                <w:highlight w:val="none"/>
                <w:vertAlign w:val="baseline"/>
                <w:lang w:val="en-US" w:eastAsia="zh-CN"/>
              </w:rPr>
            </w:pPr>
            <w:r>
              <w:rPr>
                <w:rFonts w:ascii="宋体" w:hAnsi="宋体" w:eastAsia="宋体" w:cs="宋体"/>
                <w:b w:val="0"/>
                <w:i w:val="0"/>
                <w:iCs w:val="0"/>
                <w:caps w:val="0"/>
                <w:color w:val="auto"/>
                <w:spacing w:val="0"/>
                <w:kern w:val="0"/>
                <w:sz w:val="21"/>
                <w:szCs w:val="21"/>
                <w:highlight w:val="none"/>
                <w:lang w:val="en-US" w:eastAsia="zh-CN" w:bidi="ar"/>
              </w:rPr>
              <w:t>形成环节</w:t>
            </w:r>
          </w:p>
        </w:tc>
        <w:tc>
          <w:tcPr>
            <w:tcW w:w="3391" w:type="dxa"/>
            <w:tcBorders>
              <w:top w:val="single" w:color="000000" w:sz="4" w:space="0"/>
              <w:left w:val="nil"/>
              <w:bottom w:val="nil"/>
              <w:right w:val="nil"/>
            </w:tcBorders>
            <w:shd w:val="clear" w:color="auto" w:fill="FFFFFF"/>
            <w:vAlign w:val="center"/>
          </w:tcPr>
          <w:p w14:paraId="14D477DA">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行政程序主要表现为备案、检查或其他权利形成后的外部管理</w:t>
            </w:r>
          </w:p>
        </w:tc>
        <w:tc>
          <w:tcPr>
            <w:tcW w:w="3873" w:type="dxa"/>
            <w:tcBorders>
              <w:top w:val="single" w:color="000000" w:sz="4" w:space="0"/>
              <w:left w:val="nil"/>
              <w:bottom w:val="nil"/>
              <w:right w:val="nil"/>
            </w:tcBorders>
            <w:shd w:val="clear" w:color="auto" w:fill="FFFFFF"/>
            <w:vAlign w:val="center"/>
          </w:tcPr>
          <w:p w14:paraId="412506CE">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主体能否进入用标范围，取决于行政确认、名录审核、产区范围认定及标准审查，行政程序成为权利取得的前提条件</w:t>
            </w:r>
          </w:p>
        </w:tc>
      </w:tr>
      <w:tr w14:paraId="36D84412">
        <w:trPr>
          <w:trHeight w:val="624" w:hRule="atLeast"/>
        </w:trPr>
        <w:tc>
          <w:tcPr>
            <w:tcW w:w="1258" w:type="dxa"/>
            <w:tcBorders>
              <w:top w:val="nil"/>
              <w:left w:val="nil"/>
              <w:bottom w:val="nil"/>
              <w:right w:val="nil"/>
            </w:tcBorders>
            <w:shd w:val="clear" w:color="auto" w:fill="FFFFFF"/>
            <w:vAlign w:val="center"/>
          </w:tcPr>
          <w:p w14:paraId="66469944">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存续环节</w:t>
            </w:r>
          </w:p>
        </w:tc>
        <w:tc>
          <w:tcPr>
            <w:tcW w:w="3391" w:type="dxa"/>
            <w:tcBorders>
              <w:top w:val="nil"/>
              <w:left w:val="nil"/>
              <w:bottom w:val="nil"/>
              <w:right w:val="nil"/>
            </w:tcBorders>
            <w:shd w:val="clear" w:color="auto" w:fill="FFFFFF"/>
            <w:vAlign w:val="center"/>
          </w:tcPr>
          <w:p w14:paraId="7B3DE182">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行政监管主要针对违法使用行为实施处罚，功能在于限制既有权利行使</w:t>
            </w:r>
          </w:p>
        </w:tc>
        <w:tc>
          <w:tcPr>
            <w:tcW w:w="3873" w:type="dxa"/>
            <w:tcBorders>
              <w:top w:val="nil"/>
              <w:left w:val="nil"/>
              <w:bottom w:val="nil"/>
              <w:right w:val="nil"/>
            </w:tcBorders>
            <w:shd w:val="clear" w:color="auto" w:fill="FFFFFF"/>
            <w:vAlign w:val="center"/>
          </w:tcPr>
          <w:p w14:paraId="71561E79">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主体是否继续保有用标资格，取决于年度核查、质量抽检、持续备案及动态评价结果，合规成为权利继续存在的条件</w:t>
            </w:r>
          </w:p>
        </w:tc>
      </w:tr>
      <w:tr w14:paraId="539FBFF5">
        <w:trPr>
          <w:trHeight w:val="624" w:hRule="atLeast"/>
        </w:trPr>
        <w:tc>
          <w:tcPr>
            <w:tcW w:w="1258" w:type="dxa"/>
            <w:tcBorders>
              <w:top w:val="nil"/>
              <w:left w:val="nil"/>
              <w:bottom w:val="nil"/>
              <w:right w:val="nil"/>
            </w:tcBorders>
            <w:shd w:val="clear" w:color="auto" w:fill="FFFFFF"/>
            <w:vAlign w:val="center"/>
          </w:tcPr>
          <w:p w14:paraId="271D9E34">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争议环节</w:t>
            </w:r>
          </w:p>
        </w:tc>
        <w:tc>
          <w:tcPr>
            <w:tcW w:w="3391" w:type="dxa"/>
            <w:tcBorders>
              <w:top w:val="nil"/>
              <w:left w:val="nil"/>
              <w:bottom w:val="nil"/>
              <w:right w:val="nil"/>
            </w:tcBorders>
            <w:shd w:val="clear" w:color="auto" w:fill="FFFFFF"/>
            <w:vAlign w:val="center"/>
          </w:tcPr>
          <w:p w14:paraId="28C56D1E">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纠纷主要围绕擅自使用、仿冒使用及市场混淆展开，基本属于传统侵权法上的排他保护问题</w:t>
            </w:r>
          </w:p>
        </w:tc>
        <w:tc>
          <w:tcPr>
            <w:tcW w:w="3873" w:type="dxa"/>
            <w:tcBorders>
              <w:top w:val="nil"/>
              <w:left w:val="nil"/>
              <w:bottom w:val="nil"/>
              <w:right w:val="nil"/>
            </w:tcBorders>
            <w:shd w:val="clear" w:color="auto" w:fill="FFFFFF"/>
            <w:vAlign w:val="center"/>
          </w:tcPr>
          <w:p w14:paraId="2A0C38C6">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更关键的争议围绕资格确认、资格取消、名录调整、程序告知、陈述申辩及评价标准适用展开，争议重心转向资格条件与程序审查</w:t>
            </w:r>
          </w:p>
        </w:tc>
      </w:tr>
      <w:tr w14:paraId="67857693">
        <w:trPr>
          <w:trHeight w:val="624" w:hRule="atLeast"/>
        </w:trPr>
        <w:tc>
          <w:tcPr>
            <w:tcW w:w="1258" w:type="dxa"/>
            <w:tcBorders>
              <w:top w:val="nil"/>
              <w:left w:val="nil"/>
              <w:bottom w:val="single" w:color="000000" w:sz="12" w:space="0"/>
              <w:right w:val="nil"/>
            </w:tcBorders>
            <w:shd w:val="clear" w:color="auto" w:fill="FFFFFF"/>
            <w:vAlign w:val="center"/>
          </w:tcPr>
          <w:p w14:paraId="3A32ABE8">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权利结构后果</w:t>
            </w:r>
          </w:p>
        </w:tc>
        <w:tc>
          <w:tcPr>
            <w:tcW w:w="3391" w:type="dxa"/>
            <w:tcBorders>
              <w:top w:val="nil"/>
              <w:left w:val="nil"/>
              <w:bottom w:val="single" w:color="000000" w:sz="12" w:space="0"/>
              <w:right w:val="nil"/>
            </w:tcBorders>
            <w:shd w:val="clear" w:color="auto" w:fill="FFFFFF"/>
            <w:vAlign w:val="center"/>
          </w:tcPr>
          <w:p w14:paraId="15F127A2">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行政作用仍停留于权利外部，对既有排他权施加约束</w:t>
            </w:r>
          </w:p>
        </w:tc>
        <w:tc>
          <w:tcPr>
            <w:tcW w:w="3873" w:type="dxa"/>
            <w:tcBorders>
              <w:top w:val="nil"/>
              <w:left w:val="nil"/>
              <w:bottom w:val="single" w:color="000000" w:sz="12" w:space="0"/>
              <w:right w:val="nil"/>
            </w:tcBorders>
            <w:shd w:val="clear" w:color="auto" w:fill="FFFFFF"/>
            <w:vAlign w:val="center"/>
          </w:tcPr>
          <w:p w14:paraId="259140AC">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行政程序进入权利内部结构，改变权利的取得前提、持续条件与争议形态，使专用权呈现资格化运行结构</w:t>
            </w:r>
          </w:p>
        </w:tc>
      </w:tr>
    </w:tbl>
    <w:p w14:paraId="2C362E0D">
      <w:pPr>
        <w:jc w:val="center"/>
        <w:rPr>
          <w:rFonts w:hint="eastAsia" w:ascii="宋体" w:hAnsi="宋体" w:eastAsia="宋体" w:cs="Times New Roman"/>
          <w:color w:val="auto"/>
          <w:szCs w:val="21"/>
          <w:highlight w:val="none"/>
          <w:lang w:val="en-US" w:eastAsia="zh-CN"/>
        </w:rPr>
      </w:pPr>
      <w:r>
        <w:rPr>
          <w:rFonts w:hint="eastAsia" w:ascii="宋体" w:hAnsi="宋体" w:eastAsia="宋体" w:cs="Times New Roman"/>
          <w:b/>
          <w:bCs/>
          <w:color w:val="auto"/>
          <w:szCs w:val="21"/>
          <w:highlight w:val="none"/>
          <w:lang w:val="en-US" w:eastAsia="zh-CN"/>
        </w:rPr>
        <w:t>表1  一般监管强化与资格化运行结构的识别标准</w:t>
      </w:r>
    </w:p>
    <w:p w14:paraId="7557475C">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由此可见，地理标志专用权的变化是否属于结构调整，关键不在于行政监管是否加强，而在于行政程序是否已经由外部规制进入权利内部机制。</w:t>
      </w:r>
    </w:p>
    <w:p w14:paraId="0E37894B">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（三）商标化表达与关联性保护的结构错位</w:t>
      </w:r>
    </w:p>
    <w:p w14:paraId="5C1796EA">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前文已区分外部监管强化与内部结构变化的不同。进一步的问题在于，在现行制度表达中，地理标志为何仍容易被置入商标式排他权框架加以理解，而这一框架又为何难以完整解释其实践中的资格化运行结构。因此，有必要进一步考察商标化表达与关联性保护之间的结构错位。</w:t>
      </w:r>
    </w:p>
    <w:p w14:paraId="239BEAE7">
      <w:pPr>
        <w:ind w:firstLine="420" w:firstLineChars="200"/>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在我国现行制度安排中，地理标志在一定程度上通过证明商标、集体商标等方式被纳入商标法体系。这种制度选择具有现实合理性，因为商标法已提供了相对成熟的确权、侵权判断与救济机制，为地理标志保护提供了现成工具。但问题在于，商标法的分析框架以来源识别和排他支配为中心，其侵权判断通常围绕“混淆可能性”展开；而地理标志所要维持的，则是产品特性、产地来源及区域声誉之间的稳定联系。由此，商标化表达虽然便于制度适用，却未必能够完整解释地理标志的实际运行逻辑。就此而言，“关联性”之于地理标志，具有类似于商标显著性的基础性地位。它既关系到地理标志能否成立，也影响其保护范围的划定。若将“混淆可能性”作为唯一判断尺度，则一些虽未导致来源误认、却可能攀附声誉或削弱产品与产地联系的行为，往往难以得到充分评价。正如相关研究所指出的，关联性要素正是地理标志制度得以区别于商标制度的重要依据。更重要的是，在区域品牌建设与公共治理语境中，地理标志并不只承载市场识别功能，还具有维系区域声誉、组织生产标准与维护公共信用的制度功能。</w:t>
      </w:r>
      <w:r>
        <w:rPr>
          <w:rFonts w:hint="eastAsia" w:ascii="宋体" w:hAnsi="宋体" w:eastAsia="宋体" w:cs="宋体"/>
          <w:color w:val="auto"/>
          <w:szCs w:val="21"/>
          <w:highlight w:val="none"/>
          <w:vertAlign w:val="superscript"/>
          <w:lang w:val="en-US" w:eastAsia="zh-CN"/>
        </w:rPr>
        <w:footnoteReference w:id="12"/>
      </w:r>
      <w:r>
        <w:rPr>
          <w:rFonts w:hint="eastAsia" w:ascii="宋体" w:hAnsi="宋体" w:eastAsia="宋体" w:cs="宋体"/>
          <w:color w:val="auto"/>
          <w:highlight w:val="none"/>
          <w:lang w:val="en-US" w:eastAsia="zh-CN"/>
        </w:rPr>
        <w:t>因此，商标化路径固然提供了可诉的工具，却可能在评价重心上偏离地理标志“关联维护”的制度目标。也正是在这种偏离之下，地理标志专用权的实际运行便难以被简单概括为商标式排他权，而需要进一步从资格化运行结构的角度加以理解。</w:t>
      </w:r>
    </w:p>
    <w:p w14:paraId="06738334">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（四）行政嵌入式运行：权利结构的现实形态</w:t>
      </w:r>
    </w:p>
    <w:p w14:paraId="5D690F7D">
      <w:pPr>
        <w:ind w:firstLine="420" w:firstLineChars="200"/>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从制度实践层面看，我国地理标志保护通常伴随着持续性的行政参与。除司法救济之外，行政机关在确权认定、产区范围划定、标准制定、用标监管及专项执法等方面均发挥实质作用，并在一定程度上影响权利边界与存续条件。以湖北省相关实践为例，地方政府在推动地理标志注册与产品认定的同时，也将其纳入产业规划、区域品牌建设与专项整治安排之中，使地理标志逐步嵌入地方产业治理体系。</w:t>
      </w:r>
      <w:r>
        <w:rPr>
          <w:rFonts w:hint="eastAsia" w:ascii="宋体" w:hAnsi="宋体" w:eastAsia="宋体" w:cs="宋体"/>
          <w:color w:val="auto"/>
          <w:szCs w:val="21"/>
          <w:highlight w:val="none"/>
          <w:vertAlign w:val="superscript"/>
          <w:lang w:val="en-US" w:eastAsia="zh-CN"/>
        </w:rPr>
        <w:footnoteReference w:id="13"/>
      </w:r>
      <w:r>
        <w:rPr>
          <w:rFonts w:hint="eastAsia" w:ascii="宋体" w:hAnsi="宋体" w:eastAsia="宋体" w:cs="宋体"/>
          <w:color w:val="auto"/>
          <w:highlight w:val="none"/>
          <w:lang w:val="en-US" w:eastAsia="zh-CN"/>
        </w:rPr>
        <w:t>在这一制度环境下，用标资格审核、年度检查与质量抽检等程序多由行政机关组织实施。即使行业协会承担部分管理</w:t>
      </w:r>
      <w:r>
        <w:rPr>
          <w:rFonts w:hint="eastAsia" w:ascii="宋体" w:hAnsi="宋体" w:eastAsia="宋体" w:cs="宋体"/>
          <w:color w:val="auto"/>
          <w:szCs w:val="21"/>
          <w:highlight w:val="none"/>
          <w:lang w:val="en-US" w:eastAsia="zh-CN"/>
        </w:rPr>
        <w:t>职责，其在标准制定、品牌授权与监督执行方面，通常仍依赖行政资源与决策支持。以赤壁市茶叶协会章程为例，协会在业务上接受农业农村部门指导，并承担公用品牌授权、品牌规范制定及配合监管整顿等职责，这表明其并非单纯行业联谊组织，而是专用权运行中的组织性节点。</w:t>
      </w:r>
      <w:r>
        <w:rPr>
          <w:rStyle w:val="10"/>
          <w:rFonts w:hint="eastAsia" w:ascii="宋体" w:hAnsi="宋体" w:eastAsia="宋体" w:cs="宋体"/>
          <w:color w:val="auto"/>
          <w:szCs w:val="21"/>
          <w:highlight w:val="none"/>
          <w:lang w:val="en-US" w:eastAsia="zh-CN"/>
        </w:rPr>
        <w:footnoteReference w:id="14"/>
      </w:r>
      <w:r>
        <w:rPr>
          <w:rFonts w:hint="eastAsia" w:ascii="宋体" w:hAnsi="宋体" w:eastAsia="宋体" w:cs="宋体"/>
          <w:color w:val="auto"/>
          <w:szCs w:val="21"/>
          <w:highlight w:val="none"/>
          <w:lang w:val="en-US" w:eastAsia="zh-CN"/>
        </w:rPr>
        <w:t>从实践运行看，专用权的实现方式与行政机制之间存在较为紧密的联系。行政执法与行政治理并非仅仅是权利之外的监管力量。在相当程度上，它们本身已构成专用权得以实现的重要通道。在此意义上，专用权在规范界定与现实运行之间呈现出双重面向。对外仍体现为排除不当使用的权利形式，对内则更多围绕标准控制、资格审查与持续合规展开。《赤壁青砖茶综合标准体系汇编》所覆盖的种植、加工、产品、标识、检测、溯源与售后等环节，也表明这里的标准控制并非抽象要求，而是贯穿生产经营全过程的制度安排。</w:t>
      </w:r>
      <w:r>
        <w:rPr>
          <w:rStyle w:val="10"/>
          <w:rFonts w:hint="eastAsia" w:ascii="宋体" w:hAnsi="宋体" w:eastAsia="宋体" w:cs="宋体"/>
          <w:color w:val="auto"/>
          <w:szCs w:val="21"/>
          <w:highlight w:val="none"/>
          <w:lang w:val="en-US" w:eastAsia="zh-CN"/>
        </w:rPr>
        <w:footnoteReference w:id="15"/>
      </w:r>
      <w:r>
        <w:rPr>
          <w:rFonts w:hint="eastAsia" w:ascii="宋体" w:hAnsi="宋体" w:eastAsia="宋体" w:cs="宋体"/>
          <w:color w:val="auto"/>
          <w:szCs w:val="21"/>
          <w:highlight w:val="none"/>
          <w:lang w:val="en-US" w:eastAsia="zh-CN"/>
        </w:rPr>
        <w:t>正如相关研究所指出，地理标志制度兼具市场</w:t>
      </w:r>
      <w:r>
        <w:rPr>
          <w:rFonts w:hint="eastAsia" w:ascii="宋体" w:hAnsi="宋体" w:eastAsia="宋体" w:cs="宋体"/>
          <w:color w:val="auto"/>
          <w:highlight w:val="none"/>
        </w:rPr>
        <w:t>竞争秩序与区域公共利益两个维度，其保护逻辑难以简单等同于商标法上的私益保护逻辑。</w:t>
      </w:r>
      <w:r>
        <w:rPr>
          <w:rFonts w:hint="eastAsia" w:ascii="宋体" w:hAnsi="宋体" w:eastAsia="宋体" w:cs="宋体"/>
          <w:color w:val="auto"/>
          <w:szCs w:val="21"/>
          <w:highlight w:val="none"/>
          <w:vertAlign w:val="superscript"/>
          <w:lang w:val="en-US" w:eastAsia="zh-CN"/>
        </w:rPr>
        <w:footnoteReference w:id="16"/>
      </w:r>
      <w:r>
        <w:rPr>
          <w:rFonts w:hint="eastAsia" w:ascii="宋体" w:hAnsi="宋体" w:eastAsia="宋体" w:cs="宋体"/>
          <w:color w:val="auto"/>
          <w:highlight w:val="none"/>
        </w:rPr>
        <w:t>在行政逻辑深度介入权利形成与实现过程的情形下，专用权的实现便不再完全依赖传统排他权的行使，而更多围绕准入、合规与持续评价展开。这也正是后文进一步分析其资格化运行结构的现实背景。因此，尽管地理标志专用权在法律文本上仍以私权形式表达，但在实际运行中，其行使已明显依托行政管理、标准控制与资格审核机制展开。其核心形态并非单纯的排他支配，而是逐渐呈现为以准入、合规和持续评价为中心的资格化运行结构。这种变化并不必然意味着私权属性的消解，而更可理解为群体性资源治理逻辑下的制度调适。</w:t>
      </w:r>
    </w:p>
    <w:p w14:paraId="4633DEC0">
      <w:pPr>
        <w:rPr>
          <w:rFonts w:hint="eastAsia" w:ascii="宋体" w:hAnsi="宋体" w:eastAsia="宋体" w:cs="宋体"/>
          <w:color w:val="auto"/>
          <w:highlight w:val="none"/>
        </w:rPr>
      </w:pPr>
    </w:p>
    <w:p w14:paraId="27E25F9D">
      <w:pPr>
        <w:rPr>
          <w:rFonts w:hint="default"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二、地理标志专用权资格化运行结构的实践展开</w:t>
      </w:r>
    </w:p>
    <w:p w14:paraId="7C90F311">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前文主要从规范层面界定地理标志专用权的制度结构，以下转向制度运行层面，结合赤壁青砖茶国家地理标志产品保护示范区筹建实践，围绕用标资格如何形成、如何在监管中得以持续维持，以及在何种条件下发生变动，对其运行结构加以具体考察。</w:t>
      </w:r>
    </w:p>
    <w:p w14:paraId="57D68D00">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（一）用标资格形成中的行政确认</w:t>
      </w:r>
    </w:p>
    <w:p w14:paraId="3B2F834C">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不同于一般知识产权主要围绕申请、审查和确权展开，地理标志取得程序中的行政确认并不限于登记或形式性认定，而同时承担产区整合、标准形成与主体筛选的功能。换言之，在地理标志制度中，取得阶段不仅要确认标志本身能否成立，还要通过资格审查明确哪些主体可以进入用标体系。地理标志所标示的并非单一经营者的成果，而是区域自然条件、生产方式与历史传统长期积累形成的品质特征，这也决定了其取得程序天然带有组织整合色彩。</w:t>
      </w:r>
      <w:r>
        <w:rPr>
          <w:rFonts w:hint="eastAsia" w:ascii="宋体" w:hAnsi="宋体" w:eastAsia="宋体" w:cs="Times New Roman"/>
          <w:color w:val="auto"/>
          <w:szCs w:val="21"/>
          <w:highlight w:val="none"/>
          <w:vertAlign w:val="superscript"/>
          <w:lang w:val="en-US" w:eastAsia="zh-CN"/>
        </w:rPr>
        <w:footnoteReference w:id="17"/>
      </w:r>
      <w:r>
        <w:rPr>
          <w:rFonts w:hint="eastAsia" w:ascii="宋体" w:hAnsi="宋体" w:eastAsia="宋体" w:cs="Times New Roman"/>
          <w:color w:val="auto"/>
          <w:szCs w:val="21"/>
          <w:highlight w:val="none"/>
          <w:lang w:val="en-US" w:eastAsia="zh-CN"/>
        </w:rPr>
        <w:t>以赤壁青砖茶为例，在地理标志产品认定及示范区筹建过程中，行政机关并非仅进行材料审核与形式确认，而是实际参与产区范围划定、技术规范制定与用标主体资格的前置统筹。相关材料显示，《湖北省地理标志商标发放使用专用标志申请表》已列明申请人为赤壁市茶叶协会，商标为“赤壁青砖茶”，专用标志使用与DB42/T 969-2014标准直接挂钩，并以表格形式确认了11家专用标志使用人。由此可见，用标主体并非当然取得用标资格，而须经申请、审核并进入名录后方可获得确认。</w:t>
      </w:r>
      <w:r>
        <w:rPr>
          <w:rStyle w:val="10"/>
          <w:rFonts w:hint="default" w:ascii="宋体" w:hAnsi="宋体" w:eastAsia="宋体" w:cs="Times New Roman"/>
          <w:color w:val="auto"/>
          <w:szCs w:val="21"/>
          <w:highlight w:val="none"/>
          <w:lang w:val="en-US" w:eastAsia="zh-CN"/>
        </w:rPr>
        <w:footnoteReference w:id="18"/>
      </w:r>
    </w:p>
    <w:p w14:paraId="56D9F848">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从制度运行看，技术规范与用标资格并不是彼此分离的事项，而是共同进入取得程序之中。用标主体通常需提交生产记录、质量检测及合规材料，经审核备案后方可纳入用标名录；只有经确认进入名录的生产者，才可合法使用专用标志。这种以名录为基础的确认方式，实际上构成了对用标主体的程序性筛选。</w:t>
      </w:r>
      <w:r>
        <w:rPr>
          <w:rStyle w:val="10"/>
          <w:rFonts w:hint="eastAsia" w:ascii="宋体" w:hAnsi="宋体" w:eastAsia="宋体" w:cs="Times New Roman"/>
          <w:color w:val="auto"/>
          <w:szCs w:val="21"/>
          <w:highlight w:val="none"/>
          <w:lang w:val="en-US" w:eastAsia="zh-CN"/>
        </w:rPr>
        <w:footnoteReference w:id="19"/>
      </w:r>
      <w:r>
        <w:rPr>
          <w:rFonts w:hint="eastAsia" w:ascii="宋体" w:hAnsi="宋体" w:eastAsia="宋体" w:cs="Times New Roman"/>
          <w:color w:val="auto"/>
          <w:szCs w:val="21"/>
          <w:highlight w:val="none"/>
          <w:lang w:val="en-US" w:eastAsia="zh-CN"/>
        </w:rPr>
        <w:t>此外，相关政策文件还提出统一标准、整合区域品牌并培育龙头企业等要求，使取得阶段本身即带有资源整合与主体结构塑造的意味。从制度形态上看，这与专门制度下对产区范围、产品规范与主体资格进行整体管理的逻辑具有一定相似性。</w:t>
      </w:r>
      <w:r>
        <w:rPr>
          <w:rFonts w:hint="eastAsia" w:ascii="宋体" w:hAnsi="宋体" w:eastAsia="宋体" w:cs="Times New Roman"/>
          <w:color w:val="auto"/>
          <w:szCs w:val="21"/>
          <w:highlight w:val="none"/>
          <w:vertAlign w:val="superscript"/>
          <w:lang w:val="en-US" w:eastAsia="zh-CN"/>
        </w:rPr>
        <w:footnoteReference w:id="20"/>
      </w:r>
      <w:r>
        <w:rPr>
          <w:rFonts w:hint="eastAsia" w:ascii="宋体" w:hAnsi="宋体" w:eastAsia="宋体" w:cs="Times New Roman"/>
          <w:color w:val="auto"/>
          <w:szCs w:val="21"/>
          <w:highlight w:val="none"/>
          <w:lang w:val="en-US" w:eastAsia="zh-CN"/>
        </w:rPr>
        <w:t>因此，地理标志专用权的取得并非单一主体提出申请后即可自然成立，而是在行政主导下，通过产区资源整合、产品规范确认与用标主体筛选共同完成。行政程序在这里所决定的，并不是既有权利形成后的行使边界，而是何种主体能够进入专用标志使用体系的前提条件。就此而言，取得程序不仅是形式上的确权环节，更是资格形成与边界预设的制度起点。地理标志专用权的资格化运行结构</w:t>
      </w:r>
      <w:r>
        <w:rPr>
          <w:rFonts w:hint="default" w:ascii="宋体" w:hAnsi="宋体" w:eastAsia="宋体" w:cs="Times New Roman"/>
          <w:color w:val="auto"/>
          <w:szCs w:val="21"/>
          <w:highlight w:val="none"/>
          <w:lang w:val="en-US" w:eastAsia="zh-CN"/>
        </w:rPr>
        <w:t>，在取得阶段即已显现。</w:t>
      </w:r>
    </w:p>
    <w:p w14:paraId="5409C42A">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（二）用标资格的持续维持与监督机制</w:t>
      </w:r>
    </w:p>
    <w:p w14:paraId="380F24E3">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如果说取得阶段主要体现为资格形成，那么在使用阶段，行政参与则更多表现为对资格的持续维持。于赤壁青砖茶等示范区实践而言，用标主体只有经备案或纳入名录后，方可使用地理标志专用标识。进入使用体系后，还需持续接受年度检查、质量抽检等监督措施，未达到要求者则可能被责令整改、暂停使用乃至取消资格。由此可见，地理标志专用权在使用阶段并不表现为一次取得后的自由处分，而是表现为以持续符合统一标准和监管评价为前提的资格维持状态。其运行逻辑并非偶然，而是与地理标志制度旨在维护产品特性与产地关联的目标相一致。</w:t>
      </w:r>
      <w:r>
        <w:rPr>
          <w:rFonts w:hint="eastAsia" w:ascii="宋体" w:hAnsi="宋体" w:eastAsia="宋体" w:cs="宋体"/>
          <w:color w:val="auto"/>
          <w:szCs w:val="21"/>
          <w:highlight w:val="none"/>
          <w:vertAlign w:val="superscript"/>
          <w:lang w:val="en-US" w:eastAsia="zh-CN"/>
        </w:rPr>
        <w:footnoteReference w:id="21"/>
      </w:r>
    </w:p>
    <w:p w14:paraId="205F15E1">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具体而言，用标资格的持续存在，始终以既定产品标准、产区规范与监管评价为前提。就制度运行顺序而言，用标管理大体可以概括为一条从名录准入、日常核查或质量抽检，到责令整改，最后到资格调整的连续链条。这一链条并非抽象推定，而有明确的实践印证。根据赤壁市市场监督管理局2025年核查处置任务完成情况公示，某“250克一带一路青砖茶”因检出三氯杀螨醇，被纳入产品控制、召回、原因排查、整改和行政处罚程序，并最终移送公安机关处理；</w:t>
      </w:r>
      <w:r>
        <w:rPr>
          <w:rStyle w:val="10"/>
          <w:rFonts w:hint="eastAsia" w:ascii="宋体" w:hAnsi="宋体" w:eastAsia="宋体" w:cs="宋体"/>
          <w:color w:val="auto"/>
          <w:szCs w:val="21"/>
          <w:highlight w:val="none"/>
          <w:lang w:val="en-US" w:eastAsia="zh-CN"/>
        </w:rPr>
        <w:footnoteReference w:id="22"/>
      </w:r>
      <w:r>
        <w:rPr>
          <w:rFonts w:hint="eastAsia" w:ascii="宋体" w:hAnsi="宋体" w:eastAsia="宋体" w:cs="宋体"/>
          <w:color w:val="auto"/>
          <w:szCs w:val="21"/>
          <w:highlight w:val="none"/>
          <w:lang w:val="en-US" w:eastAsia="zh-CN"/>
        </w:rPr>
        <w:t>2026年公示中，某“颗粒青砖茶”因检出胭脂红，同样经历了产品控制、召回、原因排查、整改和处罚程序。</w:t>
      </w:r>
      <w:r>
        <w:rPr>
          <w:rStyle w:val="10"/>
          <w:rFonts w:hint="eastAsia" w:ascii="宋体" w:hAnsi="宋体" w:eastAsia="宋体" w:cs="宋体"/>
          <w:color w:val="auto"/>
          <w:szCs w:val="21"/>
          <w:highlight w:val="none"/>
          <w:lang w:val="en-US" w:eastAsia="zh-CN"/>
        </w:rPr>
        <w:footnoteReference w:id="23"/>
      </w:r>
      <w:r>
        <w:rPr>
          <w:rFonts w:hint="eastAsia" w:ascii="宋体" w:hAnsi="宋体" w:eastAsia="宋体" w:cs="宋体"/>
          <w:color w:val="auto"/>
          <w:szCs w:val="21"/>
          <w:highlight w:val="none"/>
          <w:lang w:val="en-US" w:eastAsia="zh-CN"/>
        </w:rPr>
        <w:t>就这一链条而言，主体首先并非当然取得用标资格，而需进入相应使用人名录。进入名录后，又需接受持续性的质量核查与规范检查。若出现不符合标准或使用规范的情形，制度通常并不立即终止其资格，而是先设置整改、限期改正等中间环节。只有对经整改仍不符合要求或情节较重者，才进一步触发暂停使用、退出名录或取消资格等后果。正因为这一链条所决定的并非单纯违法责任，而是资格能否继续存在，合规要求才由一般监管义务转化为专用权的存续条件。</w:t>
      </w:r>
    </w:p>
    <w:p w14:paraId="53D415CE">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从年度管理安排看，用标主体需定期提交质量报告，并接受市场监管部门组织的抽检与年度核查，相关结果进入年度评价与资格管理体系。</w:t>
      </w:r>
      <w:r>
        <w:rPr>
          <w:rStyle w:val="10"/>
          <w:rFonts w:hint="eastAsia" w:ascii="宋体" w:hAnsi="宋体" w:eastAsia="宋体" w:cs="宋体"/>
          <w:color w:val="auto"/>
          <w:szCs w:val="21"/>
          <w:highlight w:val="none"/>
          <w:lang w:val="en-US" w:eastAsia="zh-CN"/>
        </w:rPr>
        <w:footnoteReference w:id="24"/>
      </w:r>
      <w:r>
        <w:rPr>
          <w:rFonts w:hint="eastAsia" w:ascii="宋体" w:hAnsi="宋体" w:eastAsia="宋体" w:cs="宋体"/>
          <w:color w:val="auto"/>
          <w:szCs w:val="21"/>
          <w:highlight w:val="none"/>
          <w:lang w:val="en-US" w:eastAsia="zh-CN"/>
        </w:rPr>
        <w:t>与此同时，监管措施并不限于抽检本身，还通过食品安全培训、过程控制等方式前置于生产环节，使标准执行嵌入日常经营活动。由此可见，使用阶段的监管并非零散执法，而是一种持续性的资格管理机制。</w:t>
      </w:r>
      <w:r>
        <w:rPr>
          <w:rStyle w:val="10"/>
          <w:rFonts w:hint="eastAsia" w:ascii="宋体" w:hAnsi="宋体" w:eastAsia="宋体" w:cs="宋体"/>
          <w:color w:val="auto"/>
          <w:szCs w:val="21"/>
          <w:highlight w:val="none"/>
          <w:lang w:val="en-US" w:eastAsia="zh-CN"/>
        </w:rPr>
        <w:footnoteReference w:id="25"/>
      </w:r>
      <w:r>
        <w:rPr>
          <w:rFonts w:hint="eastAsia" w:ascii="宋体" w:hAnsi="宋体" w:eastAsia="宋体" w:cs="宋体"/>
          <w:color w:val="auto"/>
          <w:szCs w:val="21"/>
          <w:highlight w:val="none"/>
          <w:lang w:val="en-US" w:eastAsia="zh-CN"/>
        </w:rPr>
        <w:t>若产品质量或使用行为不符合相关要求，制度上通常先通过整改、限期改正等方式处理。对持续不符合要求者，则进一步触发暂停使用、退出名录或取消资格等后果。由此可见，监管评价并非孤立的执法动作，而是与资格状态形成持续联动。</w:t>
      </w:r>
      <w:r>
        <w:rPr>
          <w:rStyle w:val="10"/>
          <w:rFonts w:hint="eastAsia" w:ascii="宋体" w:hAnsi="宋体" w:eastAsia="宋体" w:cs="宋体"/>
          <w:color w:val="auto"/>
          <w:szCs w:val="21"/>
          <w:highlight w:val="none"/>
          <w:lang w:val="en-US" w:eastAsia="zh-CN"/>
        </w:rPr>
        <w:footnoteReference w:id="26"/>
      </w:r>
      <w:r>
        <w:rPr>
          <w:rFonts w:hint="eastAsia" w:ascii="宋体" w:hAnsi="宋体" w:eastAsia="宋体" w:cs="宋体"/>
          <w:color w:val="auto"/>
          <w:szCs w:val="21"/>
          <w:highlight w:val="none"/>
          <w:lang w:val="en-US" w:eastAsia="zh-CN"/>
        </w:rPr>
        <w:t>这里的年度核查、质量抽检与动态备案，并不只是针对违法行为的事后监管，而是直接决定主体能否继续保有用标资格。就此而言，合规不再只是权利行使中的附随义务，而成为专用权继续存在的条件。使用阶段所呈现的，也不只是监管密度的上升，而是专用权存续方式的结构性变化。为更直观呈现使用阶段的资格维持机制，现将示范区用标资格的年度监管流程概括如下。</w:t>
      </w:r>
    </w:p>
    <w:p w14:paraId="2D86B708">
      <w:pPr>
        <w:jc w:val="center"/>
        <w:rPr>
          <w:rFonts w:hint="eastAsia" w:asciiTheme="minorEastAsia" w:hAnsiTheme="minorEastAsia" w:eastAsiaTheme="minorEastAsia" w:cstheme="minorEastAsia"/>
          <w:color w:val="auto"/>
          <w:highlight w:val="none"/>
          <w:lang w:val="en-US" w:eastAsia="zh-CN"/>
        </w:rPr>
      </w:pPr>
      <w:r>
        <w:rPr>
          <w:rFonts w:hint="eastAsia" w:asciiTheme="minorEastAsia" w:hAnsiTheme="minorEastAsia" w:eastAsiaTheme="minorEastAsia" w:cstheme="minorEastAsia"/>
          <w:color w:val="auto"/>
          <w:highlight w:val="none"/>
          <w:lang w:val="en-US" w:eastAsia="zh-CN"/>
        </w:rPr>
        <w:drawing>
          <wp:inline distT="0" distB="0" distL="114300" distR="114300">
            <wp:extent cx="2677160" cy="3530600"/>
            <wp:effectExtent l="0" t="0" r="0" b="0"/>
            <wp:docPr id="3" name="图片 3" descr="adwqdq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dwqdqw"/>
                    <pic:cNvPicPr>
                      <a:picLocks noChangeAspect="1"/>
                    </pic:cNvPicPr>
                  </pic:nvPicPr>
                  <pic:blipFill>
                    <a:blip r:embed="rId5"/>
                    <a:stretch>
                      <a:fillRect/>
                    </a:stretch>
                  </pic:blipFill>
                  <pic:spPr>
                    <a:xfrm>
                      <a:off x="0" y="0"/>
                      <a:ext cx="2677160" cy="3530600"/>
                    </a:xfrm>
                    <a:prstGeom prst="rect">
                      <a:avLst/>
                    </a:prstGeom>
                  </pic:spPr>
                </pic:pic>
              </a:graphicData>
            </a:graphic>
          </wp:inline>
        </w:drawing>
      </w:r>
    </w:p>
    <w:p w14:paraId="467CC4BD">
      <w:pPr>
        <w:jc w:val="center"/>
        <w:rPr>
          <w:rFonts w:hint="eastAsia" w:ascii="宋体" w:hAnsi="宋体" w:eastAsia="宋体" w:cs="Times New Roman"/>
          <w:b/>
          <w:bCs/>
          <w:color w:val="auto"/>
          <w:szCs w:val="21"/>
          <w:highlight w:val="none"/>
          <w:lang w:val="en-US" w:eastAsia="zh-CN"/>
        </w:rPr>
      </w:pPr>
      <w:r>
        <w:rPr>
          <w:rFonts w:hint="eastAsia" w:ascii="宋体" w:hAnsi="宋体" w:eastAsia="宋体" w:cs="Times New Roman"/>
          <w:b/>
          <w:bCs/>
          <w:color w:val="auto"/>
          <w:szCs w:val="21"/>
          <w:highlight w:val="none"/>
          <w:lang w:val="en-US" w:eastAsia="zh-CN"/>
        </w:rPr>
        <w:t>图1  示范区用标资格年度监管流程图</w:t>
      </w:r>
    </w:p>
    <w:p w14:paraId="0E76A7F2">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如图1所示，用标资格的维持并不取决于一次性授权，而取决于后续持续监管中的合规表现。</w:t>
      </w:r>
    </w:p>
    <w:p w14:paraId="7A7266A6">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（三）用标资格的调整与退出机制</w:t>
      </w:r>
    </w:p>
    <w:p w14:paraId="2FB80AEE">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在取得与日常使用之外，资格的调整与退出构成专用权运行中的关键节点。以赤壁青砖茶示范区为例，行政机关不仅通过使用标准实施约束，还借助奖补制度、年度评估与资格管理对主体行为进行持续评价。其制度逻辑在于，资格的延续以持续合规为前提，未达到产品标准或年检要求者，可能被暂停或取消用标资格。</w:t>
      </w:r>
      <w:r>
        <w:rPr>
          <w:rFonts w:hint="eastAsia" w:ascii="宋体" w:hAnsi="宋体" w:eastAsia="宋体" w:cs="宋体"/>
          <w:color w:val="auto"/>
          <w:szCs w:val="21"/>
          <w:highlight w:val="none"/>
          <w:vertAlign w:val="superscript"/>
          <w:lang w:val="en-US" w:eastAsia="zh-CN"/>
        </w:rPr>
        <w:footnoteReference w:id="27"/>
      </w:r>
      <w:r>
        <w:rPr>
          <w:rFonts w:hint="eastAsia" w:ascii="宋体" w:hAnsi="宋体" w:eastAsia="宋体" w:cs="宋体"/>
          <w:color w:val="auto"/>
          <w:szCs w:val="21"/>
          <w:highlight w:val="none"/>
          <w:lang w:val="en-US" w:eastAsia="zh-CN"/>
        </w:rPr>
        <w:t>由此，在调整与退出环节，问题的核心已不再主要是主体是否遭受他人侵害，而是其是否仍具备继续保有专用标志使用地位的条件。相关争议的重心也随之发生变化，与传统商标侵权纠纷主要围绕“未经许可使用”或“是否造成混淆”不同，此类争议更可能围绕资格取消是否有据、评价标准是否适当、程序保障是否充分以及名录调整是否合法展开。就此而言，资格化运行结构不仅表现为权利状态可以被调整，也表现为争议类型由侵权救济逻辑部分转向资格确认与行政程序审查逻辑。</w:t>
      </w:r>
    </w:p>
    <w:p w14:paraId="527C03BD">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从用标资格的形成过程、其在持续监管中的维持方式，以及后续调整所依赖的制度条件出发，可以更清晰地理解，地理标志专用权的运行并非围绕一次性确权后的自由行使展开，而是通过对资格形成、持续维持以及后续调整的连续衔接，构成一套贯通始终的制度运行机制。其在规范层面仍以排他保护的形式呈现，但在实际运行中，专用权的实现已明显依赖于准入审查、持续合规以及后续评价与资格延续等制度安排，从而呈现出一种以资格控制为核心的运行结构。为更清晰地呈现这一结构，现将三个阶段归纳如下：</w:t>
      </w:r>
    </w:p>
    <w:tbl>
      <w:tblPr>
        <w:tblStyle w:val="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
        <w:gridCol w:w="1273"/>
        <w:gridCol w:w="1103"/>
        <w:gridCol w:w="1300"/>
        <w:gridCol w:w="4191"/>
      </w:tblGrid>
      <w:tr w14:paraId="55B328F4">
        <w:trPr>
          <w:trHeight w:val="227" w:hRule="atLeast"/>
        </w:trPr>
        <w:tc>
          <w:tcPr>
            <w:tcW w:w="383" w:type="pct"/>
            <w:tcBorders>
              <w:top w:val="single" w:color="000000" w:sz="12" w:space="0"/>
              <w:left w:val="nil"/>
              <w:bottom w:val="single" w:color="000000" w:sz="4" w:space="0"/>
              <w:right w:val="nil"/>
              <w:tl2br w:val="nil"/>
            </w:tcBorders>
            <w:shd w:val="clear" w:color="auto" w:fill="FFFFFF"/>
            <w:vAlign w:val="center"/>
          </w:tcPr>
          <w:p w14:paraId="780D5FF1">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阶段</w:t>
            </w:r>
          </w:p>
        </w:tc>
        <w:tc>
          <w:tcPr>
            <w:tcW w:w="747" w:type="pct"/>
            <w:tcBorders>
              <w:top w:val="single" w:color="000000" w:sz="12" w:space="0"/>
              <w:left w:val="nil"/>
              <w:bottom w:val="single" w:color="000000" w:sz="4" w:space="0"/>
              <w:right w:val="nil"/>
            </w:tcBorders>
            <w:shd w:val="clear" w:color="auto" w:fill="FFFFFF"/>
            <w:vAlign w:val="center"/>
          </w:tcPr>
          <w:p w14:paraId="35A907C3">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行政介入方式</w:t>
            </w:r>
          </w:p>
        </w:tc>
        <w:tc>
          <w:tcPr>
            <w:tcW w:w="647" w:type="pct"/>
            <w:tcBorders>
              <w:top w:val="single" w:color="000000" w:sz="12" w:space="0"/>
              <w:left w:val="nil"/>
              <w:bottom w:val="single" w:color="000000" w:sz="4" w:space="0"/>
              <w:right w:val="nil"/>
            </w:tcBorders>
            <w:shd w:val="clear" w:color="auto" w:fill="FFFFFF"/>
            <w:vAlign w:val="center"/>
          </w:tcPr>
          <w:p w14:paraId="4CCC04C0">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决定权利的要素</w:t>
            </w:r>
          </w:p>
        </w:tc>
        <w:tc>
          <w:tcPr>
            <w:tcW w:w="763" w:type="pct"/>
            <w:tcBorders>
              <w:top w:val="single" w:color="000000" w:sz="12" w:space="0"/>
              <w:left w:val="nil"/>
              <w:bottom w:val="single" w:color="000000" w:sz="4" w:space="0"/>
              <w:right w:val="nil"/>
            </w:tcBorders>
            <w:shd w:val="clear" w:color="auto" w:fill="FFFFFF"/>
            <w:vAlign w:val="center"/>
          </w:tcPr>
          <w:p w14:paraId="3E5A3B8B">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权利形态变化</w:t>
            </w:r>
          </w:p>
        </w:tc>
        <w:tc>
          <w:tcPr>
            <w:tcW w:w="2459" w:type="pct"/>
            <w:tcBorders>
              <w:top w:val="single" w:color="000000" w:sz="12" w:space="0"/>
              <w:left w:val="nil"/>
              <w:bottom w:val="single" w:color="000000" w:sz="4" w:space="0"/>
              <w:right w:val="nil"/>
            </w:tcBorders>
            <w:shd w:val="clear" w:color="auto" w:fill="FFFFFF"/>
            <w:vAlign w:val="center"/>
          </w:tcPr>
          <w:p w14:paraId="485E3142">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材料依据</w:t>
            </w:r>
          </w:p>
        </w:tc>
      </w:tr>
      <w:tr w14:paraId="02791875">
        <w:trPr>
          <w:trHeight w:val="227" w:hRule="atLeast"/>
        </w:trPr>
        <w:tc>
          <w:tcPr>
            <w:tcW w:w="383" w:type="pct"/>
            <w:tcBorders>
              <w:top w:val="single" w:color="000000" w:sz="4" w:space="0"/>
              <w:left w:val="nil"/>
              <w:bottom w:val="nil"/>
              <w:right w:val="nil"/>
            </w:tcBorders>
            <w:shd w:val="clear" w:color="auto" w:fill="FFFFFF"/>
            <w:vAlign w:val="center"/>
          </w:tcPr>
          <w:p w14:paraId="7EA7244D">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资格形成</w:t>
            </w:r>
          </w:p>
        </w:tc>
        <w:tc>
          <w:tcPr>
            <w:tcW w:w="747" w:type="pct"/>
            <w:tcBorders>
              <w:top w:val="single" w:color="000000" w:sz="4" w:space="0"/>
              <w:left w:val="nil"/>
              <w:bottom w:val="nil"/>
              <w:right w:val="nil"/>
            </w:tcBorders>
            <w:shd w:val="clear" w:color="auto" w:fill="FFFFFF"/>
            <w:vAlign w:val="center"/>
          </w:tcPr>
          <w:p w14:paraId="7ED3DA2A">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申请审核、标准挂钩、名录确认</w:t>
            </w:r>
          </w:p>
        </w:tc>
        <w:tc>
          <w:tcPr>
            <w:tcW w:w="647" w:type="pct"/>
            <w:tcBorders>
              <w:top w:val="single" w:color="000000" w:sz="4" w:space="0"/>
              <w:left w:val="nil"/>
              <w:bottom w:val="nil"/>
              <w:right w:val="nil"/>
            </w:tcBorders>
            <w:shd w:val="clear" w:color="auto" w:fill="FFFFFF"/>
            <w:vAlign w:val="center"/>
          </w:tcPr>
          <w:p w14:paraId="492B0FE4">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行政确认</w:t>
            </w:r>
          </w:p>
        </w:tc>
        <w:tc>
          <w:tcPr>
            <w:tcW w:w="763" w:type="pct"/>
            <w:tcBorders>
              <w:top w:val="single" w:color="000000" w:sz="4" w:space="0"/>
              <w:left w:val="nil"/>
              <w:bottom w:val="nil"/>
              <w:right w:val="nil"/>
            </w:tcBorders>
            <w:shd w:val="clear" w:color="auto" w:fill="FFFFFF"/>
            <w:vAlign w:val="center"/>
          </w:tcPr>
          <w:p w14:paraId="07FCE6DD">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用标资格经程序筛选后形成</w:t>
            </w:r>
          </w:p>
        </w:tc>
        <w:tc>
          <w:tcPr>
            <w:tcW w:w="2459" w:type="pct"/>
            <w:tcBorders>
              <w:top w:val="single" w:color="000000" w:sz="4" w:space="0"/>
              <w:left w:val="nil"/>
              <w:bottom w:val="nil"/>
              <w:right w:val="nil"/>
            </w:tcBorders>
            <w:shd w:val="clear" w:color="auto" w:fill="FFFFFF"/>
            <w:vAlign w:val="center"/>
          </w:tcPr>
          <w:p w14:paraId="0D2AFB3E">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《湖北省地理标志商标发放使用专用标志申请表》；《青砖茶》（DB42/T 969—2014）；“赤壁青砖茶”地理标志专用标志使用人信息</w:t>
            </w:r>
          </w:p>
        </w:tc>
      </w:tr>
      <w:tr w14:paraId="6211F10D">
        <w:trPr>
          <w:trHeight w:val="227" w:hRule="atLeast"/>
        </w:trPr>
        <w:tc>
          <w:tcPr>
            <w:tcW w:w="383" w:type="pct"/>
            <w:tcBorders>
              <w:top w:val="nil"/>
              <w:left w:val="nil"/>
              <w:bottom w:val="nil"/>
              <w:right w:val="nil"/>
            </w:tcBorders>
            <w:shd w:val="clear" w:color="auto" w:fill="FFFFFF"/>
            <w:vAlign w:val="center"/>
          </w:tcPr>
          <w:p w14:paraId="77C19417">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资格维持</w:t>
            </w:r>
          </w:p>
        </w:tc>
        <w:tc>
          <w:tcPr>
            <w:tcW w:w="747" w:type="pct"/>
            <w:tcBorders>
              <w:top w:val="nil"/>
              <w:left w:val="nil"/>
              <w:bottom w:val="nil"/>
              <w:right w:val="nil"/>
            </w:tcBorders>
            <w:shd w:val="clear" w:color="auto" w:fill="FFFFFF"/>
            <w:vAlign w:val="center"/>
          </w:tcPr>
          <w:p w14:paraId="0DD89CC9">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年度核查、质量抽检、整改与培训</w:t>
            </w:r>
          </w:p>
        </w:tc>
        <w:tc>
          <w:tcPr>
            <w:tcW w:w="647" w:type="pct"/>
            <w:tcBorders>
              <w:top w:val="nil"/>
              <w:left w:val="nil"/>
              <w:bottom w:val="nil"/>
              <w:right w:val="nil"/>
            </w:tcBorders>
            <w:shd w:val="clear" w:color="auto" w:fill="FFFFFF"/>
            <w:vAlign w:val="center"/>
          </w:tcPr>
          <w:p w14:paraId="5AE6D922">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持续合规</w:t>
            </w:r>
          </w:p>
        </w:tc>
        <w:tc>
          <w:tcPr>
            <w:tcW w:w="763" w:type="pct"/>
            <w:tcBorders>
              <w:top w:val="nil"/>
              <w:left w:val="nil"/>
              <w:bottom w:val="nil"/>
              <w:right w:val="nil"/>
            </w:tcBorders>
            <w:shd w:val="clear" w:color="auto" w:fill="FFFFFF"/>
            <w:vAlign w:val="center"/>
          </w:tcPr>
          <w:p w14:paraId="36435E98">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用标资格在持续评价中维持</w:t>
            </w:r>
          </w:p>
        </w:tc>
        <w:tc>
          <w:tcPr>
            <w:tcW w:w="2459" w:type="pct"/>
            <w:tcBorders>
              <w:top w:val="nil"/>
              <w:left w:val="nil"/>
              <w:bottom w:val="nil"/>
              <w:right w:val="nil"/>
            </w:tcBorders>
            <w:shd w:val="clear" w:color="auto" w:fill="FFFFFF"/>
            <w:vAlign w:val="center"/>
          </w:tcPr>
          <w:p w14:paraId="1D2A2C10">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《赤壁市市场监督管理局2025年核查处置任务完成情况公示（十八）》；《赤壁市市场监督管理局2026年核查处置任务完成情况公示（三）》；《赤壁市市场监管局联合多部门召开青砖茶食品安全培训会》</w:t>
            </w:r>
          </w:p>
        </w:tc>
      </w:tr>
      <w:tr w14:paraId="0C2FE4FB">
        <w:trPr>
          <w:trHeight w:val="227" w:hRule="atLeast"/>
        </w:trPr>
        <w:tc>
          <w:tcPr>
            <w:tcW w:w="383" w:type="pct"/>
            <w:tcBorders>
              <w:top w:val="nil"/>
              <w:left w:val="nil"/>
              <w:bottom w:val="single" w:color="000000" w:sz="12" w:space="0"/>
              <w:right w:val="nil"/>
            </w:tcBorders>
            <w:shd w:val="clear" w:color="auto" w:fill="FFFFFF"/>
            <w:vAlign w:val="center"/>
          </w:tcPr>
          <w:p w14:paraId="66ACDCDF">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资格调整</w:t>
            </w:r>
          </w:p>
        </w:tc>
        <w:tc>
          <w:tcPr>
            <w:tcW w:w="747" w:type="pct"/>
            <w:tcBorders>
              <w:top w:val="nil"/>
              <w:left w:val="nil"/>
              <w:bottom w:val="single" w:color="000000" w:sz="12" w:space="0"/>
              <w:right w:val="nil"/>
            </w:tcBorders>
            <w:shd w:val="clear" w:color="auto" w:fill="FFFFFF"/>
            <w:vAlign w:val="center"/>
          </w:tcPr>
          <w:p w14:paraId="2ADD3A37">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年度评估、资格暂停、退出决定</w:t>
            </w:r>
          </w:p>
        </w:tc>
        <w:tc>
          <w:tcPr>
            <w:tcW w:w="647" w:type="pct"/>
            <w:tcBorders>
              <w:top w:val="nil"/>
              <w:left w:val="nil"/>
              <w:bottom w:val="single" w:color="000000" w:sz="12" w:space="0"/>
              <w:right w:val="nil"/>
            </w:tcBorders>
            <w:shd w:val="clear" w:color="auto" w:fill="FFFFFF"/>
            <w:vAlign w:val="center"/>
          </w:tcPr>
          <w:p w14:paraId="6BDD079D">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行政评价</w:t>
            </w:r>
          </w:p>
        </w:tc>
        <w:tc>
          <w:tcPr>
            <w:tcW w:w="763" w:type="pct"/>
            <w:tcBorders>
              <w:top w:val="nil"/>
              <w:left w:val="nil"/>
              <w:bottom w:val="single" w:color="000000" w:sz="12" w:space="0"/>
              <w:right w:val="nil"/>
            </w:tcBorders>
            <w:shd w:val="clear" w:color="auto" w:fill="FFFFFF"/>
            <w:vAlign w:val="center"/>
          </w:tcPr>
          <w:p w14:paraId="2101E9C5">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用标资格可被暂停、取消，主体可退出用标名录</w:t>
            </w:r>
          </w:p>
        </w:tc>
        <w:tc>
          <w:tcPr>
            <w:tcW w:w="2459" w:type="pct"/>
            <w:tcBorders>
              <w:top w:val="nil"/>
              <w:left w:val="nil"/>
              <w:bottom w:val="single" w:color="000000" w:sz="12" w:space="0"/>
              <w:right w:val="nil"/>
            </w:tcBorders>
            <w:shd w:val="clear" w:color="auto" w:fill="FFFFFF"/>
            <w:vAlign w:val="center"/>
          </w:tcPr>
          <w:p w14:paraId="64EB20D4">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《赤壁青（米）砖茶区域公用品牌管理办法》；相关奖补与年度评价材料</w:t>
            </w:r>
          </w:p>
        </w:tc>
      </w:tr>
    </w:tbl>
    <w:p w14:paraId="5EA44790">
      <w:pPr>
        <w:jc w:val="center"/>
        <w:rPr>
          <w:rFonts w:hint="default" w:ascii="宋体" w:hAnsi="宋体" w:eastAsia="宋体" w:cs="Times New Roman"/>
          <w:b/>
          <w:bCs/>
          <w:color w:val="auto"/>
          <w:szCs w:val="21"/>
          <w:highlight w:val="none"/>
          <w:lang w:val="en-US" w:eastAsia="zh-CN"/>
        </w:rPr>
      </w:pPr>
      <w:r>
        <w:rPr>
          <w:rFonts w:hint="eastAsia" w:ascii="宋体" w:hAnsi="宋体" w:eastAsia="宋体" w:cs="Times New Roman"/>
          <w:b/>
          <w:bCs/>
          <w:color w:val="auto"/>
          <w:szCs w:val="21"/>
          <w:highlight w:val="none"/>
          <w:lang w:val="en-US" w:eastAsia="zh-CN"/>
        </w:rPr>
        <w:t>表2  地理标志专用权运行机制的制度结构</w:t>
      </w:r>
    </w:p>
    <w:p w14:paraId="460805EA">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从上述用标资格运行机制可以看出，行政程序对专用权的影响并不止于外部监管，而是贯穿其形成、维持与调整全过程。因此，地理标志专用权的运行不再主要体现为一次性确权后的排他支配，而是在持续监管与动态评价过程中，通过对主体准入、合规状态及资格延续的不断确认，逐步形成以资格维系为特征的运行方式。</w:t>
      </w:r>
    </w:p>
    <w:p w14:paraId="0F9600B2">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（四）三阶段运行的结构归纳</w:t>
      </w:r>
    </w:p>
    <w:p w14:paraId="37B3E3FE">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结合前文对取得、使用与调整三个方面的分析可以看到，地理标志专用权虽然在规范表达上仍以排他保护为基本形式，但在实际运行中，其形成、维持与退出均受到行政程序、标准控制与持续评价的塑造。专用权的运行因此不再主要表现为一次性确权后的自由行使，而是呈现出以准入、合规与持续评价为核心的资格化运行结构。上述各环节并非相互分离，而是在制度运行中前后衔接，共同构成专用权持续运作的整体机制。在制度运行过程中，用标资格首先通过准入审查予以确认，其后在持续监管与质量控制中得以维持，并在后续评价与名录调整中可能发生变动。基于上述分析，本文认为，地理标志专用权的运行可以理解为一个贯穿资格确认、持续维系与后续变动的动态过程，并在此基础上形成相应的运行模型。</w:t>
      </w:r>
    </w:p>
    <w:p w14:paraId="69F2F0CA">
      <w:pPr>
        <w:jc w:val="center"/>
        <w:rPr>
          <w:rFonts w:hint="default"/>
          <w:color w:val="auto"/>
          <w:highlight w:val="none"/>
          <w:lang w:val="en-US" w:eastAsia="zh-CN"/>
        </w:rPr>
      </w:pPr>
      <w:r>
        <w:rPr>
          <w:rFonts w:hint="default"/>
          <w:color w:val="auto"/>
          <w:highlight w:val="none"/>
          <w:lang w:val="en-US" w:eastAsia="zh-CN"/>
        </w:rPr>
        <w:drawing>
          <wp:inline distT="0" distB="0" distL="114300" distR="114300">
            <wp:extent cx="2623185" cy="2267585"/>
            <wp:effectExtent l="0" t="0" r="0" b="0"/>
            <wp:docPr id="4" name="图片 4" descr="谷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谷歌"/>
                    <pic:cNvPicPr>
                      <a:picLocks noChangeAspect="1"/>
                    </pic:cNvPicPr>
                  </pic:nvPicPr>
                  <pic:blipFill>
                    <a:blip r:embed="rId6"/>
                    <a:srcRect t="8729" b="6909"/>
                    <a:stretch>
                      <a:fillRect/>
                    </a:stretch>
                  </pic:blipFill>
                  <pic:spPr>
                    <a:xfrm>
                      <a:off x="0" y="0"/>
                      <a:ext cx="2623185" cy="2267585"/>
                    </a:xfrm>
                    <a:prstGeom prst="rect">
                      <a:avLst/>
                    </a:prstGeom>
                  </pic:spPr>
                </pic:pic>
              </a:graphicData>
            </a:graphic>
          </wp:inline>
        </w:drawing>
      </w:r>
    </w:p>
    <w:p w14:paraId="2A5760E2">
      <w:pPr>
        <w:jc w:val="center"/>
        <w:rPr>
          <w:rFonts w:hint="eastAsia" w:ascii="宋体" w:hAnsi="宋体" w:eastAsia="宋体" w:cs="Times New Roman"/>
          <w:b/>
          <w:bCs/>
          <w:color w:val="auto"/>
          <w:szCs w:val="21"/>
          <w:highlight w:val="none"/>
          <w:lang w:val="en-US" w:eastAsia="zh-CN"/>
        </w:rPr>
      </w:pPr>
      <w:r>
        <w:rPr>
          <w:rFonts w:hint="eastAsia" w:ascii="宋体" w:hAnsi="宋体" w:eastAsia="宋体" w:cs="Times New Roman"/>
          <w:b/>
          <w:bCs/>
          <w:color w:val="auto"/>
          <w:szCs w:val="21"/>
          <w:highlight w:val="none"/>
          <w:lang w:val="en-US" w:eastAsia="zh-CN"/>
        </w:rPr>
        <w:t>图2  地理标志专用权资格化运行结构的运行模型</w:t>
      </w:r>
    </w:p>
    <w:p w14:paraId="43098000">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图2所示的“运行模型”并非仅仅描述行政监管的一般存在，而是强调行政程序已经进入专用权形成、存续与退出的内部机制。主体能否取得、维持并继续使用地理标志专用标识，不再主要取决于单方权利主张，而取决于其是否通过资格确认并持续符合统一标准。也正是在这一意义上，地理标志专用权呈现出以准入、合规与持续评价为核心的资格化运行结构。</w:t>
      </w:r>
    </w:p>
    <w:p w14:paraId="0431FEAE">
      <w:pPr>
        <w:rPr>
          <w:rFonts w:hint="eastAsia" w:ascii="宋体" w:hAnsi="宋体" w:eastAsia="宋体" w:cs="宋体"/>
          <w:color w:val="auto"/>
          <w:szCs w:val="21"/>
          <w:highlight w:val="none"/>
          <w:lang w:val="en-US" w:eastAsia="zh-CN"/>
        </w:rPr>
      </w:pPr>
    </w:p>
    <w:p w14:paraId="5CD00A48">
      <w:pPr>
        <w:rPr>
          <w:rFonts w:hint="default"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三、地理标志专用权资格化运行结构的制度逻辑</w:t>
      </w:r>
    </w:p>
    <w:p w14:paraId="0CAD6009">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本章在前文规范分析与运行分析的基础上，进一步追问：地理标志专用权何以在地方治理实践中呈现出持续的资格化运行结构。</w:t>
      </w:r>
    </w:p>
    <w:p w14:paraId="18D7970E">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（一）组织化控制的制度基础</w:t>
      </w:r>
    </w:p>
    <w:p w14:paraId="5C30360B">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地理标志不同于以单一权利人为中心的知识产权类型，其所保护的对象具有明显的地域性与群体性特征。正因为如此，地理标志的形成和维持往往难以完全依靠个体权利人自行完成，而需要通过制度化方式整合产区范围、产品标准与用标主体。相关研究也指出，地理标志制度在性质上兼具公共性与私权性，多轨并行的制度安排本身即带有明显的组织与协调色彩。</w:t>
      </w:r>
      <w:r>
        <w:rPr>
          <w:rFonts w:hint="eastAsia" w:ascii="宋体" w:hAnsi="宋体" w:eastAsia="宋体" w:cs="Times New Roman"/>
          <w:color w:val="auto"/>
          <w:szCs w:val="21"/>
          <w:highlight w:val="none"/>
          <w:vertAlign w:val="superscript"/>
          <w:lang w:val="en-US" w:eastAsia="zh-CN"/>
        </w:rPr>
        <w:footnoteReference w:id="28"/>
      </w:r>
      <w:r>
        <w:rPr>
          <w:rFonts w:hint="default" w:ascii="宋体" w:hAnsi="宋体" w:eastAsia="宋体" w:cs="Times New Roman"/>
          <w:color w:val="auto"/>
          <w:szCs w:val="21"/>
          <w:highlight w:val="none"/>
          <w:lang w:val="en-US" w:eastAsia="zh-CN"/>
        </w:rPr>
        <w:t>从这一角度看，取得阶段中行政机关参与产区范围划定、标准制定与主体筛选，并非偶发安排，而是地理标志运行所需组织化控制的体现。比较法上，专门制度路径同样通过统一规范和公共监管保障产地标准的稳定性，这进一步说明，在资格形成阶段，行政组织往往承担必要的整合作用。</w:t>
      </w:r>
      <w:r>
        <w:rPr>
          <w:rFonts w:hint="eastAsia" w:ascii="宋体" w:hAnsi="宋体" w:eastAsia="宋体" w:cs="Times New Roman"/>
          <w:color w:val="auto"/>
          <w:szCs w:val="21"/>
          <w:highlight w:val="none"/>
          <w:vertAlign w:val="superscript"/>
          <w:lang w:val="en-US" w:eastAsia="zh-CN"/>
        </w:rPr>
        <w:footnoteReference w:id="29"/>
      </w:r>
    </w:p>
    <w:p w14:paraId="60D012D1">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（二）风险治理取向</w:t>
      </w:r>
    </w:p>
    <w:p w14:paraId="3F1E08D5">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使用阶段，持续监管之所以成为地理标志运行的突出特征，根本原因在于地理标志所维护的并非单纯的标识秩序，而是品质稳定与声誉延续的整体关系。相关研究已指出，地理标志保护并不止于传统商标法意义上的混淆判断，而更强调对品质、声誉与产地关联的整体维护。在此背景下，行政执法与司法救济之间也形成了相对分工。</w:t>
      </w:r>
      <w:r>
        <w:rPr>
          <w:rFonts w:hint="eastAsia" w:ascii="宋体" w:hAnsi="宋体" w:eastAsia="宋体" w:cs="Times New Roman"/>
          <w:color w:val="auto"/>
          <w:szCs w:val="21"/>
          <w:highlight w:val="none"/>
          <w:vertAlign w:val="superscript"/>
          <w:lang w:val="en-US" w:eastAsia="zh-CN"/>
        </w:rPr>
        <w:footnoteReference w:id="30"/>
      </w:r>
      <w:r>
        <w:rPr>
          <w:rFonts w:hint="default" w:ascii="宋体" w:hAnsi="宋体" w:eastAsia="宋体" w:cs="Times New Roman"/>
          <w:color w:val="auto"/>
          <w:szCs w:val="21"/>
          <w:highlight w:val="none"/>
          <w:lang w:val="en-US" w:eastAsia="zh-CN"/>
        </w:rPr>
        <w:t>正因如此，抽检、备案、年检以及标准执行等机制才会被前置并常态化运行。它们的功能并不只是事后发现违法行为，而是将潜在的品质风险尽可能提前纳入可控程序，以维持区域品牌信誉</w:t>
      </w:r>
      <w:r>
        <w:rPr>
          <w:rFonts w:hint="eastAsia" w:ascii="宋体" w:hAnsi="宋体" w:eastAsia="宋体" w:cs="Times New Roman"/>
          <w:color w:val="auto"/>
          <w:szCs w:val="21"/>
          <w:highlight w:val="none"/>
          <w:lang w:val="en-US" w:eastAsia="zh-CN"/>
        </w:rPr>
        <w:t>与</w:t>
      </w:r>
      <w:r>
        <w:rPr>
          <w:rFonts w:hint="default" w:ascii="宋体" w:hAnsi="宋体" w:eastAsia="宋体" w:cs="Times New Roman"/>
          <w:color w:val="auto"/>
          <w:szCs w:val="21"/>
          <w:highlight w:val="none"/>
          <w:lang w:val="en-US" w:eastAsia="zh-CN"/>
        </w:rPr>
        <w:t>产品产地关联的稳定性。从这一意义上说，使用资格的附条件性并不意味着权利被削弱，而是地理标志制度为控制关联风险</w:t>
      </w:r>
      <w:r>
        <w:rPr>
          <w:rFonts w:hint="eastAsia" w:ascii="宋体" w:hAnsi="宋体" w:eastAsia="宋体" w:cs="Times New Roman"/>
          <w:color w:val="auto"/>
          <w:szCs w:val="21"/>
          <w:highlight w:val="none"/>
          <w:lang w:val="en-US" w:eastAsia="zh-CN"/>
        </w:rPr>
        <w:t>而</w:t>
      </w:r>
      <w:r>
        <w:rPr>
          <w:rFonts w:hint="default" w:ascii="宋体" w:hAnsi="宋体" w:eastAsia="宋体" w:cs="Times New Roman"/>
          <w:color w:val="auto"/>
          <w:szCs w:val="21"/>
          <w:highlight w:val="none"/>
          <w:lang w:val="en-US" w:eastAsia="zh-CN"/>
        </w:rPr>
        <w:t>设置的运行条件。</w:t>
      </w:r>
      <w:r>
        <w:rPr>
          <w:rStyle w:val="10"/>
          <w:rFonts w:hint="eastAsia" w:ascii="宋体" w:hAnsi="宋体" w:eastAsia="宋体" w:cs="Times New Roman"/>
          <w:color w:val="auto"/>
          <w:szCs w:val="21"/>
          <w:highlight w:val="none"/>
          <w:lang w:val="en-US" w:eastAsia="zh-CN"/>
        </w:rPr>
        <w:footnoteReference w:id="31"/>
      </w:r>
    </w:p>
    <w:p w14:paraId="1A8CFBC9">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（三）品牌秩序的行政保障</w:t>
      </w:r>
    </w:p>
    <w:p w14:paraId="7F0A8BE5">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资格调整与退出环节，行政参与之所以持续存在，一个重要原因在于地理标志已不再只是市场标识，也成为区域品牌治理与产业政策实施的工具。相关研究指出，随着全球竞争与区域品牌战略的发展，地理标志日益被纳入更明显的公共政策框架之中。</w:t>
      </w:r>
      <w:r>
        <w:rPr>
          <w:rFonts w:hint="eastAsia" w:ascii="宋体" w:hAnsi="宋体" w:eastAsia="宋体" w:cs="Times New Roman"/>
          <w:color w:val="auto"/>
          <w:szCs w:val="21"/>
          <w:highlight w:val="none"/>
          <w:vertAlign w:val="superscript"/>
          <w:lang w:val="en-US" w:eastAsia="zh-CN"/>
        </w:rPr>
        <w:footnoteReference w:id="32"/>
      </w:r>
      <w:r>
        <w:rPr>
          <w:rFonts w:hint="default" w:ascii="宋体" w:hAnsi="宋体" w:eastAsia="宋体" w:cs="Times New Roman"/>
          <w:color w:val="auto"/>
          <w:szCs w:val="21"/>
          <w:highlight w:val="none"/>
          <w:lang w:val="en-US" w:eastAsia="zh-CN"/>
        </w:rPr>
        <w:t>在这一背景下，资格评估、奖补分配与退出机制的意义，已不止于维持单个主体的用标合规，而在于通过行政评价重新塑造区域品牌资源的分配格局。行政机关借由考核、奖补与资格调整机制，不仅决定哪些主体可以继续处于品牌体系之内，也在事实上影响区域品牌秩序的形成。正因为如此，资格调整已不宜仅被理解为一般监管强化，而应被视为专用权运行结构本身的一部分。</w:t>
      </w:r>
    </w:p>
    <w:p w14:paraId="46362505">
      <w:pPr>
        <w:rPr>
          <w:rFonts w:hint="eastAsia" w:ascii="宋体" w:hAnsi="宋体" w:eastAsia="宋体" w:cs="Times New Roman"/>
          <w:color w:val="auto"/>
          <w:szCs w:val="21"/>
          <w:highlight w:val="none"/>
          <w:lang w:val="en-US" w:eastAsia="zh-CN"/>
        </w:rPr>
      </w:pPr>
    </w:p>
    <w:p w14:paraId="3895A629">
      <w:pPr>
        <w:rPr>
          <w:rFonts w:hint="default"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四、资格化运行结构的规范后果</w:t>
      </w:r>
    </w:p>
    <w:p w14:paraId="27D95485">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前文已说明，地理标志专用权的变化并不只是一般监管强化，而是行政程序已进入其形成、存续与退出的内部结构，从而使专用权呈现出资格化运行结构</w:t>
      </w:r>
      <w:r>
        <w:rPr>
          <w:rFonts w:hint="default" w:ascii="宋体" w:hAnsi="宋体" w:eastAsia="宋体" w:cs="Times New Roman"/>
          <w:color w:val="auto"/>
          <w:szCs w:val="21"/>
          <w:highlight w:val="none"/>
          <w:lang w:val="en-US" w:eastAsia="zh-CN"/>
        </w:rPr>
        <w:t>。由此，以下需要回答的问题便不再是地理标志是否仍具有排他性，而是当排他功能与资格结构并存时，法律应如何对其进行规范定位，并据此重构争议审查与制度分工。</w:t>
      </w:r>
    </w:p>
    <w:p w14:paraId="3161CEC5">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（一）排他功能与资格结构的并存</w:t>
      </w:r>
    </w:p>
    <w:p w14:paraId="042223BF">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所谓资格化运行结构，并不意味着地理标志专用权的排他功能完全消失，而是意味着其排他功能的实现方式发生了变化。与典型商标权以单一主体排他支配为核心不同，地理标志专用权的排他性更多表现为对不符合条件主体的外部排除，而非个体意义上的自由处分。</w:t>
      </w:r>
      <w:r>
        <w:rPr>
          <w:rFonts w:hint="eastAsia" w:ascii="宋体" w:hAnsi="宋体" w:eastAsia="宋体" w:cs="Times New Roman"/>
          <w:color w:val="auto"/>
          <w:szCs w:val="21"/>
          <w:highlight w:val="none"/>
          <w:vertAlign w:val="superscript"/>
          <w:lang w:val="en-US" w:eastAsia="zh-CN"/>
        </w:rPr>
        <w:footnoteReference w:id="33"/>
      </w:r>
      <w:r>
        <w:rPr>
          <w:rFonts w:hint="eastAsia" w:ascii="宋体" w:hAnsi="宋体" w:eastAsia="宋体" w:cs="Times New Roman"/>
          <w:color w:val="auto"/>
          <w:szCs w:val="21"/>
          <w:highlight w:val="none"/>
          <w:lang w:val="en-US" w:eastAsia="zh-CN"/>
        </w:rPr>
        <w:t>与此同时，行政机关在取得、使用与调整阶段的持续参与，使专用权的运行明显依赖资格审查、标准控制与持续评价。由此，地理标志专用权在规范层面仍保有知识产权的外观，在运行层面，已逐渐呈现出以准入、合规与资格维持为核心的结构特征。其变化并不意味着私权逻辑的终结，而是表明在特定治理场域中，知识产权可能同时承载市场排他、公共监管与区域治理等多重功能。</w:t>
      </w:r>
      <w:r>
        <w:rPr>
          <w:rFonts w:hint="eastAsia" w:ascii="宋体" w:hAnsi="宋体" w:eastAsia="宋体" w:cs="Times New Roman"/>
          <w:color w:val="auto"/>
          <w:szCs w:val="21"/>
          <w:highlight w:val="none"/>
          <w:vertAlign w:val="superscript"/>
          <w:lang w:val="en-US" w:eastAsia="zh-CN"/>
        </w:rPr>
        <w:footnoteReference w:id="34"/>
      </w:r>
      <w:r>
        <w:rPr>
          <w:rFonts w:hint="eastAsia" w:ascii="宋体" w:hAnsi="宋体" w:eastAsia="宋体" w:cs="Times New Roman"/>
          <w:color w:val="auto"/>
          <w:szCs w:val="21"/>
          <w:highlight w:val="none"/>
          <w:lang w:val="en-US" w:eastAsia="zh-CN"/>
        </w:rPr>
        <w:t>正因如此，对地理标志专用权的规范分析已不能停留在传统私权保护逻辑内部，而必须进一步回答两个问题：第一，围绕资格取得、维持与退出所产生的争议，应如何进行司法审查；第二，在资格运行主要依托行政程序的背景下，民事保护与行政程序应如何进行功能分工。</w:t>
      </w:r>
    </w:p>
    <w:p w14:paraId="1C918CDA">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（二）资格争议的司法审查路径</w:t>
      </w:r>
    </w:p>
    <w:p w14:paraId="350D4F8B">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在地理标志专用权呈现出资格化运行结构的背景下，相关争议的审查方式亦需相应调整。传统知识产权纠纷主要围绕侵权成立与否展开，其核心在于判断是否存在未经许可使用及是否造成混淆。然而，在资格化运行结构下，更为关键的争议类型转向用标资格的取得、维持与退出。因此，司法审查的对象已不宜仅限于侵权行为本身，而应延伸至行政确认与资格评价过程。具体而言，资格争议的司法审查至少应包括三个层面。首先，应审查程序合法性。资格决定直接影响主体能否进入或留存于地理标志使用体系中的地位，因此应首先审查行政机关是否履行告知义务、是否给予陈述申辩机会、是否遵循既定评价程序。程序保障在此并非附属性要求，而是资格判断正当性的基础。其次，应审查实体标准。在程序审查之外，还应审查相关主体是否符合地理标志所要求的产地范围、产品标准与质量规范。此种审查并非以司法判断完全取代行政专业判断，而是在合法性框架内对标准适用是否有据进行必要控制。最后，应审查裁量合理性。在标准适用与资格调整过程中，行政机关通常享有一定的裁量空间，但该裁量应受比例原则与平等原则约束，以避免因标准适用不一致或处罚措施失衡而损害制度公信力。因此，在资格化运行结构下，司法审查不宜仅沿用传统侵权法路径，而应在行政行为审查框架内，对资格取得与变动进行综合控制。其审查重心已由“是否侵权”转向“资格判断是否正当”。这也意味着，围绕地理标志的争议处理机制，需要在民事侵权审查之外，为资格争议提供更明确的行政审查路径。</w:t>
      </w:r>
    </w:p>
    <w:p w14:paraId="2984E879">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（三）民事保护与行政程序的功能分工</w:t>
      </w:r>
    </w:p>
    <w:p w14:paraId="355D99B8">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资格化运行结构下，地理标志专用权的实现路径呈现出行政程序与民事救济并行的特征。为避免制度适用中的功能重叠与评价冲突，有必要对二者作出相对清晰的分工。从功能定位看，行政程序主要承担“资格形成与资格维持”的前端功能。通过准入审查、标准制定、年度核查与资格调整等机制，行政机关决定哪些主体能够进入并持续留在地理标志使用体系之中。该过程具有明显的组织化与持续性特征，其核心在于维护产品标准与产地关联的稳定性。与此相对应，民事保护则主要承担“外部排除”的后端功能。对于未经许可使用地理标志标识、虚假标示产地来源或者攀附地理标志声誉的行为，仍应通过侵权责任规则予以规制。此类救济并不直接决定资格归属，而是对资格体系之外的不当使用行为实施排除。因而，二者之间的关系可以概括为：行政程序负责“谁可以用”，民事保护负责“谁不可以滥用”。若将二者混同，则可能导致两种后果：其一，过度依赖民事诉讼判断资格问题，从而弱化行政监管与标准执行体系；其二，行政决定缺乏有效司法控制，导致资格调整过度依赖行政裁量。因此，在制度设计上，应当明确：资格取得与变动原则上由行政程序决定，并接受行政诉讼审查；对于未进入资格体系的主体实施不当使用行为，则由民事侵权规则予以规制。通过这种分工，方能在维持制度稳定性的同时，保障地理标志专用权的外部排他保护功能。</w:t>
      </w:r>
    </w:p>
    <w:p w14:paraId="47A3A98A">
      <w:pPr>
        <w:rPr>
          <w:rFonts w:hint="eastAsia" w:ascii="宋体" w:hAnsi="宋体" w:eastAsia="宋体" w:cs="Times New Roman"/>
          <w:color w:val="auto"/>
          <w:szCs w:val="21"/>
          <w:highlight w:val="none"/>
          <w:lang w:val="en-US" w:eastAsia="zh-CN"/>
        </w:rPr>
      </w:pPr>
    </w:p>
    <w:p w14:paraId="49449E4A">
      <w:pPr>
        <w:rPr>
          <w:rFonts w:hint="eastAsia"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结论</w:t>
      </w:r>
    </w:p>
    <w:p w14:paraId="5496BE67">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通过对赤壁青砖茶地理标志保护实践的分析可以看到，地理标志专用权在用标资格的形成、后续维持以及变动过程中，均可以观察到持续性的制度化评价机制贯穿其中。这种运行方式并不主要围绕一次性确权后的自由行使展开，而是逐步围绕准入审查、持续合规以及后续评价与资格延续所形成的制度链条。由此，地理标志专用权在规范表达与实际运行之间形成了结构性差异。对外仍表现为排除不当使用的排他权利，对内则呈现出以资格维持为核心的运行形态。这种资格化运行结构并未消解地理标志专用权的私权属性，而是表明，在群体性资源治理与区域品牌竞争背景下，知识产权的运行方式会持续受到标准控制、行政程序与组织协调的塑造。在此意义上，地理标志专用权的演变表明，知识产权内部结构在特定治理场域中呈现出由“支配”向“资格”转移的趋势。因此，对地理标志专用权的法律分析不能仅停留在传统侵权保护逻辑之内，而应进一步将资格争议的司法审查以及民事保护与行政程序的功能分工纳入考察视野。这一变化也提示，在以地域性资源为基础的知识产权类型中，权利运行方式可能普遍呈现出由排他支配向资格控制转移的趋势。</w:t>
      </w: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华文仿宋">
    <w:panose1 w:val="02010600040101010101"/>
    <w:charset w:val="86"/>
    <w:family w:val="auto"/>
    <w:pitch w:val="default"/>
    <w:sig w:usb0="00000287" w:usb1="080F0000" w:usb2="00000000" w:usb3="00000000" w:csb0="0004009F" w:csb1="DFD7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华文楷体">
    <w:panose1 w:val="02010600040101010101"/>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0">
    <w:p>
      <w:r>
        <w:separator/>
      </w:r>
    </w:p>
  </w:footnote>
  <w:footnote w:type="continuationSeparator" w:id="71">
    <w:p>
      <w:r>
        <w:continuationSeparator/>
      </w:r>
    </w:p>
  </w:footnote>
  <w:footnote w:id="0">
    <w:p w14:paraId="3CAE8BBE">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参见《省茶产业链工作专班关于印发〈湖北省茶产业链建设行动方案（2022—2025年）〉的通知》，2022年10月8日发布，作者调研资料；参见《咸宁市茶产业发展领导小组办公室关于印发〈2022年全市茶产业工作要点〉的通知》，2022年2月25日发布，作者调研资料。</w:t>
      </w:r>
    </w:p>
  </w:footnote>
  <w:footnote w:id="1">
    <w:p w14:paraId="455F4DBB">
      <w:pPr>
        <w:ind w:firstLine="360" w:firstLineChars="200"/>
        <w:rPr>
          <w:rFonts w:hint="eastAsia" w:ascii="仿宋" w:hAnsi="仿宋" w:eastAsia="仿宋" w:cs="仿宋"/>
          <w:color w:val="auto"/>
          <w:kern w:val="2"/>
          <w:sz w:val="18"/>
          <w:szCs w:val="18"/>
          <w:lang w:val="en-US" w:eastAsia="zh-CN" w:bidi="ar-SA"/>
        </w:rPr>
      </w:pPr>
      <w:r>
        <w:rPr>
          <w:rFonts w:hint="eastAsia" w:ascii="仿宋" w:hAnsi="仿宋" w:eastAsia="仿宋" w:cs="仿宋"/>
          <w:color w:val="auto"/>
          <w:kern w:val="2"/>
          <w:sz w:val="18"/>
          <w:szCs w:val="18"/>
          <w:vertAlign w:val="superscript"/>
          <w:lang w:val="en-US" w:eastAsia="zh-CN" w:bidi="ar-SA"/>
        </w:rPr>
        <w:footnoteRef/>
      </w:r>
      <w:r>
        <w:rPr>
          <w:rFonts w:hint="eastAsia" w:ascii="仿宋" w:hAnsi="仿宋" w:eastAsia="仿宋" w:cs="仿宋"/>
          <w:color w:val="auto"/>
          <w:kern w:val="2"/>
          <w:sz w:val="18"/>
          <w:szCs w:val="18"/>
          <w:lang w:val="en-US" w:eastAsia="zh-CN" w:bidi="ar-SA"/>
        </w:rPr>
        <w:t xml:space="preserve"> </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《赤壁青砖茶》地理标志专用标志使用人信息，赤壁市茶叶协会提供申请表，2015年3月28日，</w:t>
      </w:r>
      <w:r>
        <w:rPr>
          <w:rFonts w:hint="eastAsia" w:ascii="仿宋" w:hAnsi="仿宋" w:eastAsia="仿宋" w:cs="仿宋"/>
          <w:color w:val="auto"/>
          <w:sz w:val="18"/>
          <w:szCs w:val="18"/>
          <w:lang w:val="en-US" w:eastAsia="zh-CN"/>
        </w:rPr>
        <w:t>作者调研资料</w:t>
      </w:r>
      <w:r>
        <w:rPr>
          <w:rFonts w:hint="eastAsia" w:ascii="仿宋" w:hAnsi="仿宋" w:eastAsia="仿宋" w:cs="仿宋"/>
          <w:color w:val="auto"/>
          <w:kern w:val="2"/>
          <w:sz w:val="18"/>
          <w:szCs w:val="18"/>
          <w:lang w:val="en-US" w:eastAsia="zh-CN" w:bidi="ar-SA"/>
        </w:rPr>
        <w:t>；</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《赤壁青砖茶》商标续展注册证明，国家知识产权局，续展有效期至2035年3月27日，</w:t>
      </w:r>
      <w:r>
        <w:rPr>
          <w:rFonts w:hint="eastAsia" w:ascii="仿宋" w:hAnsi="仿宋" w:eastAsia="仿宋" w:cs="仿宋"/>
          <w:color w:val="auto"/>
          <w:sz w:val="18"/>
          <w:szCs w:val="18"/>
          <w:lang w:val="en-US" w:eastAsia="zh-CN"/>
        </w:rPr>
        <w:t>未公开资料</w:t>
      </w:r>
      <w:r>
        <w:rPr>
          <w:rFonts w:hint="eastAsia" w:ascii="仿宋" w:hAnsi="仿宋" w:eastAsia="仿宋" w:cs="仿宋"/>
          <w:color w:val="auto"/>
          <w:kern w:val="2"/>
          <w:sz w:val="18"/>
          <w:szCs w:val="18"/>
          <w:lang w:val="en-US" w:eastAsia="zh-CN" w:bidi="ar-SA"/>
        </w:rPr>
        <w:t>。</w:t>
      </w:r>
    </w:p>
  </w:footnote>
  <w:footnote w:id="2">
    <w:p w14:paraId="042FD35A">
      <w:pPr>
        <w:keepNext w:val="0"/>
        <w:keepLines w:val="0"/>
        <w:pageBreakBefore w:val="0"/>
        <w:widowControl w:val="0"/>
        <w:kinsoku/>
        <w:wordWrap/>
        <w:overflowPunct/>
        <w:topLinePunct w:val="0"/>
        <w:bidi w:val="0"/>
        <w:adjustRightInd/>
        <w:snapToGrid/>
        <w:ind w:firstLine="360" w:firstLineChars="200"/>
        <w:textAlignment w:val="auto"/>
        <w:rPr>
          <w:rFonts w:hint="eastAsia" w:ascii="仿宋" w:hAnsi="仿宋" w:eastAsia="仿宋" w:cs="仿宋"/>
          <w:color w:val="auto"/>
          <w:kern w:val="2"/>
          <w:sz w:val="18"/>
          <w:szCs w:val="18"/>
          <w:lang w:val="en-US" w:eastAsia="zh-CN" w:bidi="ar-SA"/>
        </w:rPr>
      </w:pPr>
      <w:r>
        <w:rPr>
          <w:rFonts w:hint="eastAsia" w:ascii="仿宋" w:hAnsi="仿宋" w:eastAsia="仿宋" w:cs="仿宋"/>
          <w:color w:val="auto"/>
          <w:kern w:val="2"/>
          <w:sz w:val="18"/>
          <w:szCs w:val="18"/>
          <w:vertAlign w:val="superscript"/>
          <w:lang w:val="en-US" w:eastAsia="zh-CN" w:bidi="ar-SA"/>
        </w:rPr>
        <w:footnoteRef/>
      </w:r>
      <w:r>
        <w:rPr>
          <w:rFonts w:hint="eastAsia" w:ascii="仿宋" w:hAnsi="仿宋" w:eastAsia="仿宋" w:cs="仿宋"/>
          <w:color w:val="auto"/>
          <w:kern w:val="2"/>
          <w:sz w:val="18"/>
          <w:szCs w:val="18"/>
          <w:lang w:val="en-US" w:eastAsia="zh-CN" w:bidi="ar-SA"/>
        </w:rPr>
        <w:t xml:space="preserve"> </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《市人民政府办公室关于促进赤壁青砖茶产业绿色发展的实施意见》，咸政办发〔2022〕18号，2022年5月17日发布；</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《省茶产业链工作专班关于印发〈加快推进赤壁青砖茶产业高质量发展实施方案〉的通知》，2023年6月20日发布，</w:t>
      </w:r>
      <w:r>
        <w:rPr>
          <w:rFonts w:hint="eastAsia" w:ascii="仿宋" w:hAnsi="仿宋" w:eastAsia="仿宋" w:cs="仿宋"/>
          <w:color w:val="auto"/>
          <w:sz w:val="18"/>
          <w:szCs w:val="18"/>
          <w:lang w:val="en-US" w:eastAsia="zh-CN"/>
        </w:rPr>
        <w:t>作者调研资料</w:t>
      </w:r>
      <w:r>
        <w:rPr>
          <w:rFonts w:hint="eastAsia" w:ascii="仿宋" w:hAnsi="仿宋" w:eastAsia="仿宋" w:cs="仿宋"/>
          <w:color w:val="auto"/>
          <w:kern w:val="2"/>
          <w:sz w:val="18"/>
          <w:szCs w:val="18"/>
          <w:lang w:val="en-US" w:eastAsia="zh-CN" w:bidi="ar-SA"/>
        </w:rPr>
        <w:t>。</w:t>
      </w:r>
    </w:p>
  </w:footnote>
  <w:footnote w:id="3">
    <w:p w14:paraId="7D3B44DE">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张玉敏：《地理标志的性质和保护模式选择》，载《法学杂志》2007年第6期；王莲峰、黄泽雁：《地理标志保护模式之争与我国的立法选择》，载《华东政法学院学报》2006年第6期；王笑冰：《关联性要素与地理标志法的构造》，载《法学研究》2015年第3期。</w:t>
      </w:r>
    </w:p>
  </w:footnote>
  <w:footnote w:id="4">
    <w:p w14:paraId="3FF071FC">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王雪、尹玥：《“民法典”背景下我国地理标志保护制度的困境与发展》，载《贵州大学学报（社会科学版）》2022年第2期；钟莲：《我国地理标志保护规则困境及体系协调路径研究》，载《华中科技大学学报（社会科学版）》2020年第1期。</w:t>
      </w:r>
    </w:p>
  </w:footnote>
  <w:footnote w:id="5">
    <w:p w14:paraId="3E60031B">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孙远钊：《论地理标志的国际保护、争议与影响——兼论中欧、中美及相关地区协议》，载《知识产权》2022年第8期；胡常峰：《地理标志国际保护的嬗变——以里斯本协定日内瓦文本为考察对象》，载《甘肃政法学院学报》2019年第6期。</w:t>
      </w:r>
    </w:p>
  </w:footnote>
  <w:footnote w:id="6">
    <w:p w14:paraId="66BAFAB0">
      <w:pPr>
        <w:keepNext w:val="0"/>
        <w:keepLines w:val="0"/>
        <w:pageBreakBefore w:val="0"/>
        <w:widowControl/>
        <w:suppressLineNumbers w:val="0"/>
        <w:kinsoku/>
        <w:wordWrap w:val="0"/>
        <w:overflowPunct/>
        <w:topLinePunct w:val="0"/>
        <w:autoSpaceDE/>
        <w:autoSpaceDN/>
        <w:bidi w:val="0"/>
        <w:adjustRightInd/>
        <w:ind w:firstLine="360" w:firstLineChars="200"/>
        <w:jc w:val="left"/>
        <w:textAlignment w:val="auto"/>
        <w:rPr>
          <w:rFonts w:hint="eastAsia" w:ascii="仿宋" w:hAnsi="仿宋" w:eastAsia="仿宋" w:cs="仿宋"/>
          <w:color w:val="auto"/>
          <w:sz w:val="18"/>
          <w:szCs w:val="18"/>
          <w:lang w:val="en-US" w:eastAsia="zh-CN"/>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《与贸易有关的知识产权协定》（Agreement on Trade-Related Aspects of Intellectual Property Rights, TRIPS）第22条。</w:t>
      </w:r>
    </w:p>
  </w:footnote>
  <w:footnote w:id="7">
    <w:p w14:paraId="195C124E">
      <w:pPr>
        <w:pStyle w:val="2"/>
        <w:snapToGrid w:val="0"/>
        <w:ind w:firstLine="360" w:firstLineChars="200"/>
        <w:rPr>
          <w:rFonts w:hint="eastAsia" w:ascii="仿宋" w:hAnsi="仿宋" w:eastAsia="仿宋" w:cs="仿宋"/>
          <w:color w:val="auto"/>
          <w:sz w:val="18"/>
          <w:szCs w:val="18"/>
          <w:lang w:val="en-US"/>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 xml:space="preserve">Case C-75/15, </w:t>
      </w:r>
      <w:r>
        <w:rPr>
          <w:rFonts w:hint="eastAsia" w:ascii="仿宋" w:hAnsi="仿宋" w:eastAsia="仿宋" w:cs="仿宋"/>
          <w:i/>
          <w:iCs/>
          <w:color w:val="auto"/>
          <w:sz w:val="18"/>
          <w:szCs w:val="18"/>
          <w:u w:val="none"/>
          <w:lang w:val="en-US" w:eastAsia="zh-CN"/>
        </w:rPr>
        <w:t>Viiniverla Oy v.Sosiaali-ja terveysalan lupa-ja valvontavirasto</w:t>
      </w:r>
      <w:r>
        <w:rPr>
          <w:rFonts w:hint="eastAsia" w:ascii="仿宋" w:hAnsi="仿宋" w:eastAsia="仿宋" w:cs="仿宋"/>
          <w:color w:val="auto"/>
          <w:sz w:val="18"/>
          <w:szCs w:val="18"/>
          <w:lang w:val="en-US" w:eastAsia="zh-CN"/>
        </w:rPr>
        <w:t>, ECLI:EU:C:2016:35；参见</w:t>
      </w:r>
      <w:r>
        <w:rPr>
          <w:rFonts w:hint="eastAsia" w:ascii="仿宋" w:hAnsi="仿宋" w:eastAsia="仿宋" w:cs="仿宋"/>
          <w:b w:val="0"/>
          <w:bCs w:val="0"/>
          <w:i/>
          <w:iCs/>
          <w:color w:val="auto"/>
          <w:sz w:val="18"/>
          <w:szCs w:val="18"/>
          <w:lang w:val="en-US" w:eastAsia="zh-CN"/>
        </w:rPr>
        <w:t>Burea</w:t>
      </w:r>
      <w:r>
        <w:rPr>
          <w:rFonts w:hint="eastAsia" w:ascii="仿宋" w:hAnsi="仿宋" w:eastAsia="仿宋" w:cs="仿宋"/>
          <w:i/>
          <w:iCs/>
          <w:color w:val="auto"/>
          <w:sz w:val="18"/>
          <w:szCs w:val="18"/>
          <w:lang w:val="en-US" w:eastAsia="zh-CN"/>
        </w:rPr>
        <w:t>u national interprofessionnel du Cognac</w:t>
      </w:r>
      <w:r>
        <w:rPr>
          <w:rFonts w:hint="eastAsia" w:ascii="仿宋" w:hAnsi="仿宋" w:eastAsia="仿宋" w:cs="仿宋"/>
          <w:color w:val="auto"/>
          <w:sz w:val="18"/>
          <w:szCs w:val="18"/>
          <w:lang w:val="en-US" w:eastAsia="zh-CN"/>
        </w:rPr>
        <w:t>,C-4/10 and C-27/10, EU:C:2011:484, paragraph 56；参见</w:t>
      </w:r>
      <w:r>
        <w:rPr>
          <w:rFonts w:hint="eastAsia" w:ascii="仿宋" w:hAnsi="仿宋" w:eastAsia="仿宋" w:cs="仿宋"/>
          <w:i/>
          <w:iCs/>
          <w:color w:val="auto"/>
          <w:sz w:val="18"/>
          <w:szCs w:val="18"/>
          <w:lang w:val="en-US" w:eastAsia="zh-CN"/>
        </w:rPr>
        <w:t>Consorzio per la tutela del formaggio Gorgonzola</w:t>
      </w:r>
      <w:r>
        <w:rPr>
          <w:rFonts w:hint="eastAsia" w:ascii="仿宋" w:hAnsi="仿宋" w:eastAsia="仿宋" w:cs="仿宋"/>
          <w:color w:val="auto"/>
          <w:sz w:val="18"/>
          <w:szCs w:val="18"/>
          <w:lang w:val="en-US" w:eastAsia="zh-CN"/>
        </w:rPr>
        <w:t>,C-87/97, EU:C:1999:115, paragraph 25。</w:t>
      </w:r>
    </w:p>
  </w:footnote>
  <w:footnote w:id="8">
    <w:p w14:paraId="360192FF">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 xml:space="preserve">Dev Gangjee, </w:t>
      </w:r>
      <w:r>
        <w:rPr>
          <w:rFonts w:hint="eastAsia" w:ascii="仿宋" w:hAnsi="仿宋" w:eastAsia="仿宋" w:cs="仿宋"/>
          <w:i/>
          <w:iCs/>
          <w:color w:val="auto"/>
          <w:kern w:val="2"/>
          <w:sz w:val="18"/>
          <w:szCs w:val="18"/>
          <w:lang w:val="en-US" w:eastAsia="zh-CN" w:bidi="ar-SA"/>
        </w:rPr>
        <w:t>Relocating the Law of Geographical Indication</w:t>
      </w:r>
      <w:r>
        <w:rPr>
          <w:rFonts w:hint="eastAsia" w:ascii="仿宋" w:hAnsi="仿宋" w:eastAsia="仿宋" w:cs="仿宋"/>
          <w:color w:val="auto"/>
          <w:kern w:val="2"/>
          <w:sz w:val="18"/>
          <w:szCs w:val="18"/>
          <w:lang w:val="en-US" w:eastAsia="zh-CN" w:bidi="ar-SA"/>
        </w:rPr>
        <w:t>, Cambridge University Press, 2012。</w:t>
      </w:r>
    </w:p>
  </w:footnote>
  <w:footnote w:id="9">
    <w:p w14:paraId="03600F52">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参见《地理标志产品保护办法》，国家知识产权局令第80号，2024年1月2日公布，自2024年2月1日起施行。</w:t>
      </w:r>
    </w:p>
  </w:footnote>
  <w:footnote w:id="10">
    <w:p w14:paraId="2C3BA4D2">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b w:val="0"/>
          <w:bCs w:val="0"/>
          <w:color w:val="auto"/>
          <w:kern w:val="2"/>
          <w:sz w:val="18"/>
          <w:szCs w:val="18"/>
          <w:lang w:val="en-US" w:eastAsia="zh-CN" w:bidi="ar-SA"/>
        </w:rPr>
        <w:t>王笑冰，前引文。</w:t>
      </w:r>
    </w:p>
  </w:footnote>
  <w:footnote w:id="11">
    <w:p w14:paraId="0D387742">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赤壁市茶叶协会：</w:t>
      </w:r>
      <w:r>
        <w:rPr>
          <w:rFonts w:hint="eastAsia" w:ascii="仿宋" w:hAnsi="仿宋" w:eastAsia="仿宋" w:cs="仿宋"/>
          <w:color w:val="auto"/>
          <w:sz w:val="18"/>
          <w:szCs w:val="18"/>
          <w:lang w:val="en-US" w:eastAsia="zh-CN"/>
        </w:rPr>
        <w:t>《赤壁青（米）砖茶区域公用品牌管理办法》，</w:t>
      </w:r>
      <w:r>
        <w:rPr>
          <w:rFonts w:hint="eastAsia" w:ascii="仿宋" w:hAnsi="仿宋" w:eastAsia="仿宋" w:cs="仿宋"/>
          <w:color w:val="auto"/>
          <w:kern w:val="2"/>
          <w:sz w:val="18"/>
          <w:szCs w:val="18"/>
          <w:lang w:val="en-US" w:eastAsia="zh-CN" w:bidi="ar-SA"/>
        </w:rPr>
        <w:t>2025年，</w:t>
      </w:r>
      <w:r>
        <w:rPr>
          <w:rFonts w:hint="eastAsia" w:ascii="仿宋" w:hAnsi="仿宋" w:eastAsia="仿宋" w:cs="仿宋"/>
          <w:color w:val="auto"/>
          <w:sz w:val="18"/>
          <w:szCs w:val="18"/>
          <w:lang w:val="en-US" w:eastAsia="zh-CN"/>
        </w:rPr>
        <w:t>作者调研资料</w:t>
      </w:r>
      <w:r>
        <w:rPr>
          <w:rFonts w:hint="eastAsia" w:ascii="仿宋" w:hAnsi="仿宋" w:eastAsia="仿宋" w:cs="仿宋"/>
          <w:color w:val="auto"/>
          <w:kern w:val="2"/>
          <w:sz w:val="18"/>
          <w:szCs w:val="18"/>
          <w:lang w:val="en-US" w:eastAsia="zh-CN" w:bidi="ar-SA"/>
        </w:rPr>
        <w:t>。</w:t>
      </w:r>
    </w:p>
  </w:footnote>
  <w:footnote w:id="12">
    <w:p w14:paraId="02EC44B8">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kern w:val="2"/>
          <w:sz w:val="18"/>
          <w:szCs w:val="18"/>
          <w:lang w:val="en-US" w:eastAsia="zh-CN" w:bidi="ar-SA"/>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王笑冰，前引文。</w:t>
      </w:r>
    </w:p>
  </w:footnote>
  <w:footnote w:id="13">
    <w:p w14:paraId="6FC10629">
      <w:pPr>
        <w:keepNext w:val="0"/>
        <w:keepLines w:val="0"/>
        <w:pageBreakBefore w:val="0"/>
        <w:widowControl/>
        <w:suppressLineNumbers w:val="0"/>
        <w:kinsoku/>
        <w:wordWrap w:val="0"/>
        <w:overflowPunct/>
        <w:topLinePunct w:val="0"/>
        <w:autoSpaceDE/>
        <w:autoSpaceDN/>
        <w:bidi w:val="0"/>
        <w:adjustRightInd/>
        <w:ind w:firstLine="360" w:firstLineChars="200"/>
        <w:jc w:val="left"/>
        <w:textAlignment w:val="auto"/>
        <w:rPr>
          <w:rFonts w:hint="eastAsia" w:ascii="仿宋" w:hAnsi="仿宋" w:eastAsia="仿宋" w:cs="仿宋"/>
          <w:i w:val="0"/>
          <w:iCs w:val="0"/>
          <w:caps w:val="0"/>
          <w:color w:val="auto"/>
          <w:spacing w:val="0"/>
          <w:kern w:val="2"/>
          <w:sz w:val="18"/>
          <w:szCs w:val="18"/>
          <w:u w:val="none"/>
          <w:lang w:val="en-US" w:eastAsia="zh-CN" w:bidi="ar-SA"/>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参见《2024湖北商标品牌发展报告》，载湖北省知识产权局官网，2025年4月17日，</w:t>
      </w:r>
      <w:r>
        <w:rPr>
          <w:rFonts w:hint="eastAsia" w:ascii="仿宋" w:hAnsi="仿宋" w:eastAsia="仿宋" w:cs="仿宋"/>
          <w:color w:val="auto"/>
          <w:sz w:val="18"/>
          <w:szCs w:val="18"/>
          <w:lang w:val="en-US" w:eastAsia="zh-CN"/>
        </w:rPr>
        <w:fldChar w:fldCharType="begin"/>
      </w:r>
      <w:r>
        <w:rPr>
          <w:rFonts w:hint="eastAsia" w:ascii="仿宋" w:hAnsi="仿宋" w:eastAsia="仿宋" w:cs="仿宋"/>
          <w:color w:val="auto"/>
          <w:sz w:val="18"/>
          <w:szCs w:val="18"/>
          <w:lang w:val="en-US" w:eastAsia="zh-CN"/>
        </w:rPr>
        <w:instrText xml:space="preserve"> HYPERLINK "https://zscqj.hubei.gov.cn/bmdt/ztzl/2025zt/2025xcz/hdfb/202504/t20250417_5619011.shtml%EF%BC%88%E8%AE%BF%E9%97%AE%E6%97%A5%E6%9C%9F%EF%BC%9A2025%E5%B9%B410%E6%9C%881%E6%97%A5%EF%BC%89%E3%80%82" \t "/Users/liutianrui/Documents\\x/_new" </w:instrText>
      </w:r>
      <w:r>
        <w:rPr>
          <w:rFonts w:hint="eastAsia" w:ascii="仿宋" w:hAnsi="仿宋" w:eastAsia="仿宋" w:cs="仿宋"/>
          <w:color w:val="auto"/>
          <w:sz w:val="18"/>
          <w:szCs w:val="18"/>
          <w:lang w:val="en-US" w:eastAsia="zh-CN"/>
        </w:rPr>
        <w:fldChar w:fldCharType="separate"/>
      </w:r>
      <w:r>
        <w:rPr>
          <w:rFonts w:hint="eastAsia" w:ascii="仿宋" w:hAnsi="仿宋" w:eastAsia="仿宋" w:cs="仿宋"/>
          <w:color w:val="auto"/>
          <w:sz w:val="18"/>
          <w:szCs w:val="18"/>
          <w:lang w:val="en-US" w:eastAsia="zh-CN"/>
        </w:rPr>
        <w:t>https://zscqj.hubei.gov.cn/bmdt/ztzl/2025zt/2025xcz/hdfb/202504/t20250417_5619011.shtml</w:t>
      </w:r>
      <w:r>
        <w:rPr>
          <w:rFonts w:hint="eastAsia" w:ascii="仿宋" w:hAnsi="仿宋" w:eastAsia="仿宋" w:cs="仿宋"/>
          <w:color w:val="auto"/>
          <w:sz w:val="18"/>
          <w:szCs w:val="18"/>
          <w:lang w:val="en-US" w:eastAsia="zh-CN"/>
        </w:rPr>
        <w:fldChar w:fldCharType="end"/>
      </w:r>
      <w:r>
        <w:rPr>
          <w:rFonts w:hint="eastAsia" w:ascii="仿宋" w:hAnsi="仿宋" w:eastAsia="仿宋" w:cs="仿宋"/>
          <w:color w:val="auto"/>
          <w:sz w:val="18"/>
          <w:szCs w:val="18"/>
          <w:lang w:val="en-US" w:eastAsia="zh-CN"/>
        </w:rPr>
        <w:t>。</w:t>
      </w:r>
    </w:p>
  </w:footnote>
  <w:footnote w:id="14">
    <w:p w14:paraId="1429FBB0">
      <w:pPr>
        <w:keepNext w:val="0"/>
        <w:keepLines w:val="0"/>
        <w:pageBreakBefore w:val="0"/>
        <w:widowControl/>
        <w:suppressLineNumbers w:val="0"/>
        <w:kinsoku/>
        <w:wordWrap w:val="0"/>
        <w:overflowPunct/>
        <w:topLinePunct w:val="0"/>
        <w:autoSpaceDE/>
        <w:autoSpaceDN/>
        <w:bidi w:val="0"/>
        <w:adjustRightInd/>
        <w:ind w:firstLine="360" w:firstLineChars="200"/>
        <w:jc w:val="left"/>
        <w:textAlignment w:val="auto"/>
        <w:rPr>
          <w:rFonts w:hint="eastAsia" w:ascii="仿宋" w:hAnsi="仿宋" w:eastAsia="仿宋" w:cs="仿宋"/>
          <w:color w:val="auto"/>
          <w:sz w:val="18"/>
          <w:szCs w:val="18"/>
          <w:lang w:val="en-US" w:eastAsia="zh-CN"/>
        </w:rPr>
      </w:pPr>
      <w:r>
        <w:rPr>
          <w:rFonts w:hint="eastAsia" w:ascii="仿宋" w:hAnsi="仿宋" w:eastAsia="仿宋" w:cs="仿宋"/>
          <w:color w:val="auto"/>
          <w:sz w:val="18"/>
          <w:szCs w:val="18"/>
          <w:vertAlign w:val="superscript"/>
          <w:lang w:val="en-US" w:eastAsia="zh-CN"/>
        </w:rPr>
        <w:footnoteRef/>
      </w:r>
      <w:r>
        <w:rPr>
          <w:rFonts w:hint="eastAsia" w:ascii="仿宋" w:hAnsi="仿宋" w:eastAsia="仿宋" w:cs="仿宋"/>
          <w:color w:val="auto"/>
          <w:sz w:val="18"/>
          <w:szCs w:val="18"/>
          <w:lang w:val="en-US" w:eastAsia="zh-CN"/>
        </w:rPr>
        <w:t xml:space="preserve"> 参见《赤壁市茶叶协会章程》，载明赤壁市茶叶协会名称、业务范围、组织机构及公用品牌管理职责，未公开资料。</w:t>
      </w:r>
    </w:p>
  </w:footnote>
  <w:footnote w:id="15">
    <w:p w14:paraId="0569E44E">
      <w:pPr>
        <w:keepNext w:val="0"/>
        <w:keepLines w:val="0"/>
        <w:pageBreakBefore w:val="0"/>
        <w:widowControl/>
        <w:suppressLineNumbers w:val="0"/>
        <w:kinsoku/>
        <w:wordWrap w:val="0"/>
        <w:overflowPunct/>
        <w:topLinePunct w:val="0"/>
        <w:autoSpaceDE/>
        <w:autoSpaceDN/>
        <w:bidi w:val="0"/>
        <w:adjustRightInd/>
        <w:ind w:firstLine="360" w:firstLineChars="200"/>
        <w:jc w:val="left"/>
        <w:textAlignment w:val="auto"/>
        <w:rPr>
          <w:rFonts w:hint="eastAsia" w:ascii="仿宋" w:hAnsi="仿宋" w:eastAsia="仿宋" w:cs="仿宋"/>
          <w:color w:val="auto"/>
          <w:sz w:val="18"/>
          <w:szCs w:val="18"/>
          <w:lang w:val="en-US" w:eastAsia="zh-CN"/>
        </w:rPr>
      </w:pPr>
      <w:r>
        <w:rPr>
          <w:rFonts w:hint="eastAsia" w:ascii="仿宋" w:hAnsi="仿宋" w:eastAsia="仿宋" w:cs="仿宋"/>
          <w:color w:val="auto"/>
          <w:sz w:val="18"/>
          <w:szCs w:val="18"/>
          <w:vertAlign w:val="superscript"/>
          <w:lang w:val="en-US" w:eastAsia="zh-CN"/>
        </w:rPr>
        <w:footnoteRef/>
      </w:r>
      <w:r>
        <w:rPr>
          <w:rFonts w:hint="eastAsia" w:ascii="仿宋" w:hAnsi="仿宋" w:eastAsia="仿宋" w:cs="仿宋"/>
          <w:color w:val="auto"/>
          <w:sz w:val="18"/>
          <w:szCs w:val="18"/>
          <w:lang w:val="en-US" w:eastAsia="zh-CN"/>
        </w:rPr>
        <w:t xml:space="preserve"> 参见《标准体系汇编（完整版2021）》，载明地理标志产品相关国家标准、地方标准及技术规范体系，未公开资料；参见《青砖茶》（DB42/T 969—2014），湖北省地方标准，2014年4月28日发布，作者调研资料。</w:t>
      </w:r>
    </w:p>
  </w:footnote>
  <w:footnote w:id="16">
    <w:p w14:paraId="410D536C">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kern w:val="2"/>
          <w:sz w:val="18"/>
          <w:szCs w:val="18"/>
          <w:lang w:val="en-US" w:eastAsia="zh-CN" w:bidi="ar-SA"/>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孙远钊，前引文。</w:t>
      </w:r>
    </w:p>
  </w:footnote>
  <w:footnote w:id="17">
    <w:p w14:paraId="13FE3A94">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王笑冰，前引文。</w:t>
      </w:r>
    </w:p>
  </w:footnote>
  <w:footnote w:id="18">
    <w:p w14:paraId="5E726FF7">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赤壁市茶叶协会：《湖北省地理标志商标发放使用专用标志申请表》，2015年，作者调研资料；《青砖茶》（DB42/T 969—2014），湖北省地方标准，2014年4月28日发布，作者调研资料。</w:t>
      </w:r>
    </w:p>
  </w:footnote>
  <w:footnote w:id="19">
    <w:p w14:paraId="1D86BBF0">
      <w:pPr>
        <w:ind w:firstLine="360" w:firstLineChars="200"/>
        <w:rPr>
          <w:rFonts w:hint="eastAsia" w:ascii="仿宋" w:hAnsi="仿宋" w:eastAsia="仿宋" w:cs="仿宋"/>
          <w:color w:val="auto"/>
          <w:kern w:val="2"/>
          <w:sz w:val="18"/>
          <w:szCs w:val="18"/>
          <w:lang w:val="en-US" w:eastAsia="zh-CN" w:bidi="ar-SA"/>
        </w:rPr>
      </w:pPr>
      <w:r>
        <w:rPr>
          <w:rFonts w:hint="eastAsia" w:ascii="仿宋" w:hAnsi="仿宋" w:eastAsia="仿宋" w:cs="仿宋"/>
          <w:color w:val="auto"/>
          <w:kern w:val="2"/>
          <w:sz w:val="18"/>
          <w:szCs w:val="18"/>
          <w:vertAlign w:val="superscript"/>
          <w:lang w:val="en-US" w:eastAsia="zh-CN" w:bidi="ar-SA"/>
        </w:rPr>
        <w:footnoteRef/>
      </w:r>
      <w:r>
        <w:rPr>
          <w:rFonts w:hint="eastAsia" w:ascii="仿宋" w:hAnsi="仿宋" w:eastAsia="仿宋" w:cs="仿宋"/>
          <w:color w:val="auto"/>
          <w:kern w:val="2"/>
          <w:sz w:val="18"/>
          <w:szCs w:val="18"/>
          <w:lang w:val="en-US" w:eastAsia="zh-CN" w:bidi="ar-SA"/>
        </w:rPr>
        <w:t xml:space="preserve"> “赤壁青砖茶”地理标志专用标志使用人信息，载国家知识产权局地理标志专用标志使用企业检索系统，</w:t>
      </w:r>
      <w:r>
        <w:rPr>
          <w:rFonts w:hint="eastAsia" w:ascii="仿宋" w:hAnsi="仿宋" w:eastAsia="仿宋" w:cs="仿宋"/>
          <w:color w:val="auto"/>
          <w:kern w:val="2"/>
          <w:sz w:val="18"/>
          <w:szCs w:val="18"/>
          <w:lang w:val="en-US" w:eastAsia="zh-CN" w:bidi="ar-SA"/>
        </w:rPr>
        <w:fldChar w:fldCharType="begin"/>
      </w:r>
      <w:r>
        <w:rPr>
          <w:rFonts w:hint="eastAsia" w:ascii="仿宋" w:hAnsi="仿宋" w:eastAsia="仿宋" w:cs="仿宋"/>
          <w:color w:val="auto"/>
          <w:kern w:val="2"/>
          <w:sz w:val="18"/>
          <w:szCs w:val="18"/>
          <w:lang w:val="en-US" w:eastAsia="zh-CN" w:bidi="ar-SA"/>
        </w:rPr>
        <w:instrText xml:space="preserve"> HYPERLINK "https://ggfw.cnipa.gov.cn/dlbzsq/zybzqyQuery%EF%BC%8C2026%E5%B9%B44%E6%9C%8810%E6%97%A5%E8%AE%BF%E9%97%AE%E3%80%82" \t "/Users/liutianrui/Documents\\x/_new" </w:instrText>
      </w:r>
      <w:r>
        <w:rPr>
          <w:rFonts w:hint="eastAsia" w:ascii="仿宋" w:hAnsi="仿宋" w:eastAsia="仿宋" w:cs="仿宋"/>
          <w:color w:val="auto"/>
          <w:kern w:val="2"/>
          <w:sz w:val="18"/>
          <w:szCs w:val="18"/>
          <w:lang w:val="en-US" w:eastAsia="zh-CN" w:bidi="ar-SA"/>
        </w:rPr>
        <w:fldChar w:fldCharType="separate"/>
      </w:r>
      <w:r>
        <w:rPr>
          <w:rFonts w:hint="eastAsia" w:ascii="仿宋" w:hAnsi="仿宋" w:eastAsia="仿宋" w:cs="仿宋"/>
          <w:color w:val="auto"/>
          <w:kern w:val="2"/>
          <w:sz w:val="18"/>
          <w:szCs w:val="18"/>
          <w:lang w:val="en-US" w:eastAsia="zh-CN" w:bidi="ar-SA"/>
        </w:rPr>
        <w:t>https://ggfw.cnipa.gov.cn/dlbzsq/zybzqyQuery，2026年4月10日访问。</w:t>
      </w:r>
      <w:r>
        <w:rPr>
          <w:rFonts w:hint="eastAsia" w:ascii="仿宋" w:hAnsi="仿宋" w:eastAsia="仿宋" w:cs="仿宋"/>
          <w:color w:val="auto"/>
          <w:kern w:val="2"/>
          <w:sz w:val="18"/>
          <w:szCs w:val="18"/>
          <w:lang w:val="en-US" w:eastAsia="zh-CN" w:bidi="ar-SA"/>
        </w:rPr>
        <w:fldChar w:fldCharType="end"/>
      </w:r>
    </w:p>
  </w:footnote>
  <w:footnote w:id="20">
    <w:p w14:paraId="5AA6CCEA">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王笑冰：《国外地理标志保护的两大制度模式及国际发展》，载《中华商标》2018年第8期。</w:t>
      </w:r>
    </w:p>
  </w:footnote>
  <w:footnote w:id="21">
    <w:p w14:paraId="419B49CB">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kern w:val="2"/>
          <w:sz w:val="18"/>
          <w:szCs w:val="18"/>
          <w:lang w:val="en-US" w:eastAsia="zh-CN" w:bidi="ar-SA"/>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冯术杰：《论地理标志的法律性质、功能与侵权认定》，载《知识产权》2017年第8期。</w:t>
      </w:r>
    </w:p>
  </w:footnote>
  <w:footnote w:id="22">
    <w:p w14:paraId="5B94F582">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《赤壁市市场监督管理局2025年核查处置任务完成情况公示（十八）》，赤壁市市场监督管理局，2025年10月23日。</w:t>
      </w:r>
    </w:p>
  </w:footnote>
  <w:footnote w:id="23">
    <w:p w14:paraId="7D8D2A75">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《赤壁市市场监督管理局2026年核查处置任务完成情况公示（三）》，赤壁市市场监督管理局，2026年1月20日。</w:t>
      </w:r>
    </w:p>
  </w:footnote>
  <w:footnote w:id="24">
    <w:p w14:paraId="443579A6">
      <w:pPr>
        <w:keepNext w:val="0"/>
        <w:keepLines w:val="0"/>
        <w:widowControl/>
        <w:suppressLineNumbers w:val="0"/>
        <w:ind w:firstLine="360" w:firstLineChars="200"/>
        <w:jc w:val="left"/>
        <w:rPr>
          <w:rFonts w:hint="eastAsia" w:ascii="仿宋" w:hAnsi="仿宋" w:eastAsia="仿宋" w:cs="仿宋"/>
          <w:color w:val="auto"/>
          <w:sz w:val="18"/>
          <w:szCs w:val="18"/>
          <w:lang w:val="en-US" w:eastAsia="zh-CN"/>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陈敏、胡毅：《赤壁市市场监管局联合多部门召开青砖茶食品安全培训会》，载中国食品安全网，2025年11月22日，https://www.cfsn.cn/news/detail/635/320204.html。</w:t>
      </w:r>
    </w:p>
  </w:footnote>
  <w:footnote w:id="25">
    <w:p w14:paraId="045EE4A9">
      <w:pPr>
        <w:keepNext w:val="0"/>
        <w:keepLines w:val="0"/>
        <w:widowControl/>
        <w:suppressLineNumbers w:val="0"/>
        <w:ind w:firstLine="360" w:firstLineChars="200"/>
        <w:jc w:val="left"/>
        <w:rPr>
          <w:rFonts w:hint="eastAsia" w:ascii="仿宋" w:hAnsi="仿宋" w:eastAsia="仿宋" w:cs="仿宋"/>
          <w:color w:val="auto"/>
          <w:sz w:val="18"/>
          <w:szCs w:val="18"/>
          <w:lang w:val="en-US" w:eastAsia="zh-CN"/>
        </w:rPr>
      </w:pPr>
      <w:r>
        <w:rPr>
          <w:rFonts w:hint="eastAsia" w:ascii="仿宋" w:hAnsi="仿宋" w:eastAsia="仿宋" w:cs="仿宋"/>
          <w:color w:val="auto"/>
          <w:sz w:val="18"/>
          <w:szCs w:val="18"/>
          <w:vertAlign w:val="superscript"/>
          <w:lang w:val="en-US" w:eastAsia="zh-CN"/>
        </w:rPr>
        <w:footnoteRef/>
      </w:r>
      <w:r>
        <w:rPr>
          <w:rFonts w:hint="eastAsia" w:ascii="仿宋" w:hAnsi="仿宋" w:eastAsia="仿宋" w:cs="仿宋"/>
          <w:color w:val="auto"/>
          <w:sz w:val="18"/>
          <w:szCs w:val="18"/>
          <w:lang w:val="en-US" w:eastAsia="zh-CN"/>
        </w:rPr>
        <w:t xml:space="preserve"> 参见《“赤壁青砖茶”地理标志证明商标初步审定公告及使用管理规则》（第1437期），国家工商行政管理总局商标局，2014年9月3日，未公开资料。</w:t>
      </w:r>
    </w:p>
  </w:footnote>
  <w:footnote w:id="26">
    <w:p w14:paraId="3DAA89AD">
      <w:pPr>
        <w:keepNext w:val="0"/>
        <w:keepLines w:val="0"/>
        <w:pageBreakBefore w:val="0"/>
        <w:widowControl/>
        <w:suppressLineNumbers w:val="0"/>
        <w:kinsoku/>
        <w:wordWrap w:val="0"/>
        <w:overflowPunct/>
        <w:topLinePunct w:val="0"/>
        <w:autoSpaceDE/>
        <w:autoSpaceDN/>
        <w:bidi w:val="0"/>
        <w:adjustRightInd/>
        <w:snapToGrid/>
        <w:ind w:firstLine="360" w:firstLineChars="200"/>
        <w:jc w:val="left"/>
        <w:textAlignment w:val="auto"/>
        <w:rPr>
          <w:rFonts w:hint="eastAsia" w:ascii="仿宋" w:hAnsi="仿宋" w:eastAsia="仿宋" w:cs="仿宋"/>
          <w:color w:val="auto"/>
          <w:sz w:val="18"/>
          <w:szCs w:val="18"/>
          <w:lang w:val="en-US" w:eastAsia="zh-CN"/>
        </w:rPr>
      </w:pPr>
      <w:r>
        <w:rPr>
          <w:rFonts w:hint="eastAsia" w:ascii="仿宋" w:hAnsi="仿宋" w:eastAsia="仿宋" w:cs="仿宋"/>
          <w:color w:val="auto"/>
          <w:sz w:val="18"/>
          <w:szCs w:val="18"/>
          <w:vertAlign w:val="superscript"/>
          <w:lang w:val="en-US" w:eastAsia="zh-CN"/>
        </w:rPr>
        <w:footnoteRef/>
      </w:r>
      <w:r>
        <w:rPr>
          <w:rFonts w:hint="eastAsia" w:ascii="仿宋" w:hAnsi="仿宋" w:eastAsia="仿宋" w:cs="仿宋"/>
          <w:color w:val="auto"/>
          <w:sz w:val="18"/>
          <w:szCs w:val="18"/>
          <w:lang w:val="en-US" w:eastAsia="zh-CN"/>
        </w:rPr>
        <w:t xml:space="preserve"> 赤壁市市场监督管理局：《对赤壁市政协十届三次会议第68号提案的答复》，载赤壁市人民政府网，2024年12月2日，http://www.chibi.gov.cn/xxgk/xxgkml/qtzdgknr/jyta/2019jyta_39955/202412/t20241202_3827091.shtml。</w:t>
      </w:r>
    </w:p>
  </w:footnote>
  <w:footnote w:id="27">
    <w:p w14:paraId="6BF869BB">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 xml:space="preserve">Regulation (EU) No 1151/2012 of the European Parliament and of the Council on quality schemes for agricultural products and foodstuffs；Case C-490/19, </w:t>
      </w:r>
      <w:r>
        <w:rPr>
          <w:rFonts w:hint="eastAsia" w:ascii="仿宋" w:hAnsi="仿宋" w:eastAsia="仿宋" w:cs="仿宋"/>
          <w:i/>
          <w:iCs/>
          <w:color w:val="auto"/>
          <w:kern w:val="2"/>
          <w:sz w:val="18"/>
          <w:szCs w:val="18"/>
          <w:lang w:val="en-US" w:eastAsia="zh-CN" w:bidi="ar-SA"/>
        </w:rPr>
        <w:t>Sy</w:t>
      </w:r>
      <w:r>
        <w:rPr>
          <w:rFonts w:hint="eastAsia" w:ascii="仿宋" w:hAnsi="仿宋" w:eastAsia="仿宋" w:cs="仿宋"/>
          <w:b w:val="0"/>
          <w:bCs w:val="0"/>
          <w:i/>
          <w:iCs/>
          <w:color w:val="auto"/>
          <w:kern w:val="2"/>
          <w:sz w:val="18"/>
          <w:szCs w:val="18"/>
          <w:lang w:val="en-US" w:eastAsia="zh-CN" w:bidi="ar-SA"/>
        </w:rPr>
        <w:t>ndic</w:t>
      </w:r>
      <w:r>
        <w:rPr>
          <w:rFonts w:hint="eastAsia" w:ascii="仿宋" w:hAnsi="仿宋" w:eastAsia="仿宋" w:cs="仿宋"/>
          <w:i/>
          <w:iCs/>
          <w:color w:val="auto"/>
          <w:kern w:val="2"/>
          <w:sz w:val="18"/>
          <w:szCs w:val="18"/>
          <w:lang w:val="en-US" w:eastAsia="zh-CN" w:bidi="ar-SA"/>
        </w:rPr>
        <w:t>at interprofessionnel de défense du fromage Morbier v. Société Fromagère du Livradois SAS,</w:t>
      </w:r>
      <w:r>
        <w:rPr>
          <w:rFonts w:hint="eastAsia" w:ascii="仿宋" w:hAnsi="仿宋" w:eastAsia="仿宋" w:cs="仿宋"/>
          <w:color w:val="auto"/>
          <w:kern w:val="2"/>
          <w:sz w:val="18"/>
          <w:szCs w:val="18"/>
          <w:lang w:val="en-US" w:eastAsia="zh-CN" w:bidi="ar-SA"/>
        </w:rPr>
        <w:t xml:space="preserve"> ECLI:EU:C:2020:1043.</w:t>
      </w:r>
    </w:p>
  </w:footnote>
  <w:footnote w:id="28">
    <w:p w14:paraId="05F83CBC">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张玉敏，前引文；王莲峰、黄泽雁，前引文；何焕锋：《我国地理标志法律的体系化及其路径选择》，载《内蒙古农业大学学报（社会科学版）》2017年第6期。</w:t>
      </w:r>
    </w:p>
  </w:footnote>
  <w:footnote w:id="29">
    <w:p w14:paraId="2673C5CF">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 xml:space="preserve">Vadim Mantrov, </w:t>
      </w:r>
      <w:r>
        <w:rPr>
          <w:rFonts w:hint="eastAsia" w:ascii="仿宋" w:hAnsi="仿宋" w:eastAsia="仿宋" w:cs="仿宋"/>
          <w:i/>
          <w:iCs/>
          <w:color w:val="auto"/>
          <w:kern w:val="2"/>
          <w:sz w:val="18"/>
          <w:szCs w:val="18"/>
          <w:lang w:val="en-US" w:eastAsia="zh-CN" w:bidi="ar-SA"/>
        </w:rPr>
        <w:t>EU Law on Indications of Geographical Origin</w:t>
      </w:r>
      <w:r>
        <w:rPr>
          <w:rFonts w:hint="eastAsia" w:ascii="仿宋" w:hAnsi="仿宋" w:eastAsia="仿宋" w:cs="仿宋"/>
          <w:color w:val="auto"/>
          <w:kern w:val="2"/>
          <w:sz w:val="18"/>
          <w:szCs w:val="18"/>
          <w:lang w:val="en-US" w:eastAsia="zh-CN" w:bidi="ar-SA"/>
        </w:rPr>
        <w:t>, Springer, 2014。</w:t>
      </w:r>
    </w:p>
  </w:footnote>
  <w:footnote w:id="30">
    <w:p w14:paraId="763EC256">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钟莲，前引文；管育鹰：《我国地理标志保护中的疑难问题探讨》，载《知识产权》2022年第4期；郑悦迪：《从欧盟经验看地理标志与商标的冲突及解决》，载《电子知识产权》2021年第1期。</w:t>
      </w:r>
    </w:p>
  </w:footnote>
  <w:footnote w:id="31">
    <w:p w14:paraId="7195BDB0">
      <w:pPr>
        <w:keepNext w:val="0"/>
        <w:keepLines w:val="0"/>
        <w:widowControl/>
        <w:suppressLineNumbers w:val="0"/>
        <w:ind w:firstLine="360" w:firstLineChars="200"/>
        <w:jc w:val="left"/>
        <w:rPr>
          <w:rFonts w:hint="eastAsia" w:ascii="仿宋" w:hAnsi="仿宋" w:eastAsia="仿宋" w:cs="仿宋"/>
          <w:color w:val="auto"/>
          <w:sz w:val="18"/>
          <w:szCs w:val="18"/>
        </w:rPr>
      </w:pPr>
      <w:r>
        <w:rPr>
          <w:rFonts w:hint="eastAsia" w:ascii="仿宋" w:hAnsi="仿宋" w:eastAsia="仿宋" w:cs="仿宋"/>
          <w:color w:val="auto"/>
          <w:kern w:val="2"/>
          <w:sz w:val="18"/>
          <w:szCs w:val="18"/>
          <w:vertAlign w:val="superscript"/>
          <w:lang w:val="en-US" w:eastAsia="zh-CN" w:bidi="ar-SA"/>
        </w:rPr>
        <w:footnoteRef/>
      </w:r>
      <w:r>
        <w:rPr>
          <w:rFonts w:hint="eastAsia" w:ascii="仿宋" w:hAnsi="仿宋" w:eastAsia="仿宋" w:cs="仿宋"/>
          <w:color w:val="auto"/>
          <w:kern w:val="2"/>
          <w:sz w:val="18"/>
          <w:szCs w:val="18"/>
          <w:lang w:val="en-US" w:eastAsia="zh-CN" w:bidi="ar-SA"/>
        </w:rPr>
        <w:t xml:space="preserve"> </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《紧压茶 第9部分：青砖茶》（GB/T 9833.9—2013），国家标准，2013年7月19日发布，作者调研资料；</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《地理标志产品 羊楼洞砖茶》（DB42/T 835—2012），湖北省地方标准，2012年11月30日发布，作者调研资料；</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《青砖茶》（DB42/T 969—2014），湖北省地方标准，2014年4月28日发布，作者调研资料。</w:t>
      </w:r>
    </w:p>
  </w:footnote>
  <w:footnote w:id="32">
    <w:p w14:paraId="4F968DCA">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孙智：《地理标志保护全球化的历史变迁及启示》，载《国际经济法学刊》2021年第4期；杜颖：《知识产权国际保护制度的新发展及中国路径选择》，载《法学家》2016年第3期。</w:t>
      </w:r>
    </w:p>
  </w:footnote>
  <w:footnote w:id="33">
    <w:p w14:paraId="4F07BC28">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熊英：《论我国地理标志保护模式的单一制》，载《中华商标》2017年第1期。</w:t>
      </w:r>
    </w:p>
  </w:footnote>
  <w:footnote w:id="34">
    <w:p w14:paraId="52E0EA95">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 xml:space="preserve">孟祥娟、李晓波：《地理标志保护制度存在的问题及其解决》，载《知识产权》2014年第7期；Dev Gangjee, </w:t>
      </w:r>
      <w:r>
        <w:rPr>
          <w:rFonts w:hint="eastAsia" w:ascii="仿宋" w:hAnsi="仿宋" w:eastAsia="仿宋" w:cs="仿宋"/>
          <w:i/>
          <w:iCs/>
          <w:color w:val="auto"/>
          <w:kern w:val="2"/>
          <w:sz w:val="18"/>
          <w:szCs w:val="18"/>
          <w:lang w:val="en-US" w:eastAsia="zh-CN" w:bidi="ar-SA"/>
        </w:rPr>
        <w:t>Relocating the Law of Geographical Indication</w:t>
      </w:r>
      <w:r>
        <w:rPr>
          <w:rFonts w:hint="eastAsia" w:ascii="仿宋" w:hAnsi="仿宋" w:eastAsia="仿宋" w:cs="仿宋"/>
          <w:color w:val="auto"/>
          <w:kern w:val="2"/>
          <w:sz w:val="18"/>
          <w:szCs w:val="18"/>
          <w:lang w:val="en-US" w:eastAsia="zh-CN" w:bidi="ar-SA"/>
        </w:rPr>
        <w:t>, Cambridge University Press, 2012；杜颖，前引文。</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70"/>
    <w:footnote w:id="7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B999BA"/>
    <w:rsid w:val="01891FB8"/>
    <w:rsid w:val="01BA3B84"/>
    <w:rsid w:val="03FF7B2A"/>
    <w:rsid w:val="04A071A7"/>
    <w:rsid w:val="04EF1367"/>
    <w:rsid w:val="076EDD80"/>
    <w:rsid w:val="082F4DFA"/>
    <w:rsid w:val="08B44892"/>
    <w:rsid w:val="0952604C"/>
    <w:rsid w:val="0B053EB8"/>
    <w:rsid w:val="0E85759B"/>
    <w:rsid w:val="0FAFD72A"/>
    <w:rsid w:val="16E30500"/>
    <w:rsid w:val="17FF54DF"/>
    <w:rsid w:val="1995C07C"/>
    <w:rsid w:val="1B795776"/>
    <w:rsid w:val="1C831A57"/>
    <w:rsid w:val="1CFF2245"/>
    <w:rsid w:val="1E46104F"/>
    <w:rsid w:val="1E777908"/>
    <w:rsid w:val="1EFFBF96"/>
    <w:rsid w:val="1F015741"/>
    <w:rsid w:val="1F7CE042"/>
    <w:rsid w:val="22EBE118"/>
    <w:rsid w:val="231A09C1"/>
    <w:rsid w:val="249D4241"/>
    <w:rsid w:val="25FF14CF"/>
    <w:rsid w:val="26A07F4E"/>
    <w:rsid w:val="289B0427"/>
    <w:rsid w:val="28CE3E36"/>
    <w:rsid w:val="2C133ADC"/>
    <w:rsid w:val="2D7E17AC"/>
    <w:rsid w:val="2DFFEA9D"/>
    <w:rsid w:val="2E313C4C"/>
    <w:rsid w:val="2E3F3690"/>
    <w:rsid w:val="2FF7157A"/>
    <w:rsid w:val="314B68FF"/>
    <w:rsid w:val="347EB81F"/>
    <w:rsid w:val="38E23B9B"/>
    <w:rsid w:val="3BEB14F6"/>
    <w:rsid w:val="3CAB4589"/>
    <w:rsid w:val="3CDF69D9"/>
    <w:rsid w:val="3DBD1613"/>
    <w:rsid w:val="3DCE2BE2"/>
    <w:rsid w:val="3DF30E7C"/>
    <w:rsid w:val="3EDE7A66"/>
    <w:rsid w:val="3EEF1DF6"/>
    <w:rsid w:val="3EF2C48D"/>
    <w:rsid w:val="3F3A6ACA"/>
    <w:rsid w:val="3F4B258C"/>
    <w:rsid w:val="3F7F0D25"/>
    <w:rsid w:val="3F9F3680"/>
    <w:rsid w:val="3FCD2D32"/>
    <w:rsid w:val="3FCFF2EF"/>
    <w:rsid w:val="3FDFFCF9"/>
    <w:rsid w:val="3FF6F1BF"/>
    <w:rsid w:val="3FF863A2"/>
    <w:rsid w:val="3FFF4126"/>
    <w:rsid w:val="42F66C61"/>
    <w:rsid w:val="44754765"/>
    <w:rsid w:val="485667D0"/>
    <w:rsid w:val="4C8356D9"/>
    <w:rsid w:val="4E527666"/>
    <w:rsid w:val="4F89439E"/>
    <w:rsid w:val="4FB3CDCD"/>
    <w:rsid w:val="5026588C"/>
    <w:rsid w:val="521A1920"/>
    <w:rsid w:val="53F71F19"/>
    <w:rsid w:val="54E64B55"/>
    <w:rsid w:val="552B1BD1"/>
    <w:rsid w:val="56DB744F"/>
    <w:rsid w:val="58AF47E0"/>
    <w:rsid w:val="5A132EDD"/>
    <w:rsid w:val="5AF7F5E0"/>
    <w:rsid w:val="5AFB7AEC"/>
    <w:rsid w:val="5BFF2AED"/>
    <w:rsid w:val="5E2F0382"/>
    <w:rsid w:val="5E337FF2"/>
    <w:rsid w:val="5F33404C"/>
    <w:rsid w:val="5F3B46BD"/>
    <w:rsid w:val="5FB8E245"/>
    <w:rsid w:val="5FDF4931"/>
    <w:rsid w:val="5FF19624"/>
    <w:rsid w:val="63EF6854"/>
    <w:rsid w:val="653F83A2"/>
    <w:rsid w:val="664D45E3"/>
    <w:rsid w:val="6773EA1A"/>
    <w:rsid w:val="696C03D9"/>
    <w:rsid w:val="69F60125"/>
    <w:rsid w:val="6AF51A88"/>
    <w:rsid w:val="6AFBF4ED"/>
    <w:rsid w:val="6B1D6AAF"/>
    <w:rsid w:val="6B5D40BD"/>
    <w:rsid w:val="6BE62F50"/>
    <w:rsid w:val="6BF6F0DC"/>
    <w:rsid w:val="6C7E6D89"/>
    <w:rsid w:val="6D9E9517"/>
    <w:rsid w:val="6EEF5F75"/>
    <w:rsid w:val="6F570208"/>
    <w:rsid w:val="6FC5116E"/>
    <w:rsid w:val="6FDF6CBE"/>
    <w:rsid w:val="70024900"/>
    <w:rsid w:val="71779966"/>
    <w:rsid w:val="71FE78F2"/>
    <w:rsid w:val="733DD1DA"/>
    <w:rsid w:val="73EF5F44"/>
    <w:rsid w:val="73F755CA"/>
    <w:rsid w:val="747F4047"/>
    <w:rsid w:val="74BD133A"/>
    <w:rsid w:val="754D5AA2"/>
    <w:rsid w:val="75BB2403"/>
    <w:rsid w:val="75FD92E6"/>
    <w:rsid w:val="767E25E3"/>
    <w:rsid w:val="776F0047"/>
    <w:rsid w:val="77E7D98B"/>
    <w:rsid w:val="77E7DC16"/>
    <w:rsid w:val="797AC318"/>
    <w:rsid w:val="7ABBC969"/>
    <w:rsid w:val="7AFF637E"/>
    <w:rsid w:val="7BED4848"/>
    <w:rsid w:val="7BF521B2"/>
    <w:rsid w:val="7BFB8663"/>
    <w:rsid w:val="7CDF278B"/>
    <w:rsid w:val="7E121ECE"/>
    <w:rsid w:val="7EEF8BAA"/>
    <w:rsid w:val="7EFF4D81"/>
    <w:rsid w:val="7F6FCEBF"/>
    <w:rsid w:val="7F7FA9A4"/>
    <w:rsid w:val="7F9D4877"/>
    <w:rsid w:val="7F9DF5A2"/>
    <w:rsid w:val="7FBA5254"/>
    <w:rsid w:val="7FBBE53E"/>
    <w:rsid w:val="7FBF0D32"/>
    <w:rsid w:val="7FBFB780"/>
    <w:rsid w:val="7FD5FAC7"/>
    <w:rsid w:val="7FDD1F79"/>
    <w:rsid w:val="7FEF374F"/>
    <w:rsid w:val="7FEFA3FD"/>
    <w:rsid w:val="7FFF7D93"/>
    <w:rsid w:val="8DBA4B31"/>
    <w:rsid w:val="92DBE16C"/>
    <w:rsid w:val="95EF54C2"/>
    <w:rsid w:val="9BF69EEC"/>
    <w:rsid w:val="9BF75F77"/>
    <w:rsid w:val="9F566D5F"/>
    <w:rsid w:val="9FAB12F5"/>
    <w:rsid w:val="A77F257E"/>
    <w:rsid w:val="A97FBA62"/>
    <w:rsid w:val="AEFB7D2F"/>
    <w:rsid w:val="BAF717F8"/>
    <w:rsid w:val="BBFFB61F"/>
    <w:rsid w:val="BCBF4B93"/>
    <w:rsid w:val="BDDF33AD"/>
    <w:rsid w:val="BECD8043"/>
    <w:rsid w:val="BEF6BE54"/>
    <w:rsid w:val="BEFAC7F1"/>
    <w:rsid w:val="BFCF3D61"/>
    <w:rsid w:val="C57B7F77"/>
    <w:rsid w:val="C77B48FF"/>
    <w:rsid w:val="CA45FA50"/>
    <w:rsid w:val="D65BF290"/>
    <w:rsid w:val="D6B84947"/>
    <w:rsid w:val="D7FFE639"/>
    <w:rsid w:val="DAE5F084"/>
    <w:rsid w:val="DAFD5FB5"/>
    <w:rsid w:val="DB7F3889"/>
    <w:rsid w:val="DCFFA020"/>
    <w:rsid w:val="E36EA8A1"/>
    <w:rsid w:val="E3AF0CF9"/>
    <w:rsid w:val="E6DED35D"/>
    <w:rsid w:val="EEBBE91E"/>
    <w:rsid w:val="EF75915D"/>
    <w:rsid w:val="EFB999BA"/>
    <w:rsid w:val="EFBE295E"/>
    <w:rsid w:val="EFF3FF40"/>
    <w:rsid w:val="F37E25D8"/>
    <w:rsid w:val="F37FA70A"/>
    <w:rsid w:val="F3B3B8D1"/>
    <w:rsid w:val="F5DF26A0"/>
    <w:rsid w:val="F5FEED89"/>
    <w:rsid w:val="F73A13AD"/>
    <w:rsid w:val="F7763925"/>
    <w:rsid w:val="F78F2EA3"/>
    <w:rsid w:val="F7B69A13"/>
    <w:rsid w:val="F7BE4DCC"/>
    <w:rsid w:val="F7FD15DB"/>
    <w:rsid w:val="F9B5D561"/>
    <w:rsid w:val="F9FFABFE"/>
    <w:rsid w:val="FA77D041"/>
    <w:rsid w:val="FB468BF5"/>
    <w:rsid w:val="FC2FA7A2"/>
    <w:rsid w:val="FC7C7214"/>
    <w:rsid w:val="FD5D741C"/>
    <w:rsid w:val="FDE7C976"/>
    <w:rsid w:val="FDFF16A9"/>
    <w:rsid w:val="FE7F9929"/>
    <w:rsid w:val="FE92D7C5"/>
    <w:rsid w:val="FEBD6239"/>
    <w:rsid w:val="FF67602F"/>
    <w:rsid w:val="FF9BE911"/>
    <w:rsid w:val="FF9D9A85"/>
    <w:rsid w:val="FFBB9B6C"/>
    <w:rsid w:val="FFBF3AC7"/>
    <w:rsid w:val="FFDEB9DE"/>
    <w:rsid w:val="FFF7B17A"/>
    <w:rsid w:val="FFFCEE60"/>
    <w:rsid w:val="FFFE5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note text"/>
    <w:basedOn w:val="1"/>
    <w:uiPriority w:val="0"/>
    <w:pPr>
      <w:snapToGrid w:val="0"/>
      <w:jc w:val="left"/>
    </w:pPr>
    <w:rPr>
      <w:sz w:val="18"/>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 w:type="character" w:styleId="10">
    <w:name w:val="footnote reference"/>
    <w:basedOn w:val="6"/>
    <w:qFormat/>
    <w:uiPriority w:val="0"/>
    <w:rPr>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5970</Words>
  <Characters>6062</Characters>
  <Lines>0</Lines>
  <Paragraphs>0</Paragraphs>
  <TotalTime>18</TotalTime>
  <ScaleCrop>false</ScaleCrop>
  <LinksUpToDate>false</LinksUpToDate>
  <CharactersWithSpaces>6069</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2026-02-18T10:11:00Z</dcterms:created>
  <dc:creator>听涛团队</dc:creator>
  <cp:lastModifiedBy>听涛团队</cp:lastModifiedBy>
  <dcterms:modified xsi:type="dcterms:W3CDTF">2026-04-12T03:08:04Z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E093582FCA7B6C6E7055DA69ADAC2B21_43</vt:lpwstr>
  </property>
  <property fmtid="{D5CDD505-2E9C-101B-9397-08002B2CF9AE}" pid="4" name="KSOTemplateDocerSaveRecord">
    <vt:lpwstr>eyJoZGlkIjoiYWQ3MmJjMjA5YzE5ODRhYzZmNzg4MzJmMWNiMjJkMDUiLCJ1c2VySWQiOiIxNjI4NDM2NDc3In0=</vt:lpwstr>
  </property>
</Properties>
</file>