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F33DA">
      <w:pPr>
        <w:keepNext w:val="0"/>
        <w:keepLines w:val="0"/>
        <w:pageBreakBefore w:val="0"/>
        <w:kinsoku/>
        <w:wordWrap w:val="0"/>
        <w:overflowPunct/>
        <w:topLinePunct w:val="0"/>
        <w:autoSpaceDE/>
        <w:autoSpaceDN/>
        <w:bidi w:val="0"/>
        <w:adjustRightInd/>
        <w:snapToGrid/>
        <w:spacing w:beforeAutospacing="0" w:afterAutospacing="0" w:line="360" w:lineRule="auto"/>
        <w:jc w:val="center"/>
        <w:textAlignment w:val="auto"/>
        <w:rPr>
          <w:rStyle w:val="16"/>
          <w:rFonts w:hint="eastAsia" w:asciiTheme="majorEastAsia" w:hAnsiTheme="majorEastAsia" w:eastAsiaTheme="majorEastAsia" w:cstheme="majorEastAsia"/>
          <w:b/>
          <w:bCs/>
          <w:color w:val="auto"/>
          <w:sz w:val="28"/>
          <w:szCs w:val="28"/>
          <w:highlight w:val="none"/>
          <w:lang w:val="en-US" w:eastAsia="zh-CN"/>
        </w:rPr>
      </w:pPr>
      <w:r>
        <w:rPr>
          <w:rFonts w:hint="eastAsia" w:asciiTheme="majorEastAsia" w:hAnsiTheme="majorEastAsia" w:eastAsiaTheme="majorEastAsia" w:cstheme="majorEastAsia"/>
          <w:b/>
          <w:bCs/>
          <w:color w:val="auto"/>
          <w:sz w:val="28"/>
          <w:szCs w:val="28"/>
          <w:highlight w:val="none"/>
          <w:lang w:val="en-US" w:eastAsia="zh-CN"/>
        </w:rPr>
        <w:t>中欧数据要素市场化产权治理比较研究</w:t>
      </w:r>
      <w:r>
        <w:rPr>
          <w:rStyle w:val="16"/>
          <w:rFonts w:hint="eastAsia" w:asciiTheme="majorEastAsia" w:hAnsiTheme="majorEastAsia" w:eastAsiaTheme="majorEastAsia" w:cstheme="majorEastAsia"/>
          <w:b/>
          <w:bCs/>
          <w:color w:val="auto"/>
          <w:sz w:val="28"/>
          <w:szCs w:val="28"/>
          <w:highlight w:val="none"/>
          <w:lang w:val="en-US" w:eastAsia="zh-CN"/>
        </w:rPr>
        <w:t>[</w:t>
      </w:r>
      <w:r>
        <w:rPr>
          <w:rStyle w:val="16"/>
          <w:rFonts w:hint="eastAsia" w:asciiTheme="majorEastAsia" w:hAnsiTheme="majorEastAsia" w:eastAsiaTheme="majorEastAsia" w:cstheme="majorEastAsia"/>
          <w:b/>
          <w:bCs/>
          <w:color w:val="auto"/>
          <w:sz w:val="28"/>
          <w:szCs w:val="28"/>
          <w:highlight w:val="none"/>
          <w:lang w:val="en-US" w:eastAsia="zh-CN"/>
        </w:rPr>
        <w:footnoteReference w:id="0"/>
      </w:r>
      <w:r>
        <w:rPr>
          <w:rStyle w:val="16"/>
          <w:rFonts w:hint="eastAsia" w:asciiTheme="majorEastAsia" w:hAnsiTheme="majorEastAsia" w:eastAsiaTheme="majorEastAsia" w:cstheme="majorEastAsia"/>
          <w:b/>
          <w:bCs/>
          <w:color w:val="auto"/>
          <w:sz w:val="28"/>
          <w:szCs w:val="28"/>
          <w:highlight w:val="none"/>
          <w:lang w:val="en-US" w:eastAsia="zh-CN"/>
        </w:rPr>
        <w:t>]</w:t>
      </w:r>
    </w:p>
    <w:p w14:paraId="7F43C33C">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黑体" w:hAnsi="黑体" w:eastAsia="黑体" w:cs="黑体"/>
          <w:b w:val="0"/>
          <w:bCs w:val="0"/>
          <w:color w:val="auto"/>
          <w:sz w:val="24"/>
          <w:szCs w:val="24"/>
          <w:highlight w:val="none"/>
          <w:lang w:val="en-US" w:eastAsia="zh-CN"/>
        </w:rPr>
      </w:pPr>
      <w:r>
        <w:rPr>
          <w:rFonts w:hint="eastAsia" w:ascii="黑体" w:hAnsi="黑体" w:eastAsia="黑体" w:cs="黑体"/>
          <w:b w:val="0"/>
          <w:bCs w:val="0"/>
          <w:color w:val="auto"/>
          <w:sz w:val="24"/>
          <w:szCs w:val="24"/>
          <w:highlight w:val="none"/>
          <w:lang w:val="en-US" w:eastAsia="zh-CN"/>
        </w:rPr>
        <w:t>摘要：</w:t>
      </w:r>
      <w:r>
        <w:rPr>
          <w:rFonts w:hint="eastAsia" w:asciiTheme="minorEastAsia" w:hAnsiTheme="minorEastAsia" w:eastAsiaTheme="minorEastAsia" w:cstheme="minorEastAsia"/>
          <w:b w:val="0"/>
          <w:bCs w:val="0"/>
          <w:color w:val="auto"/>
          <w:sz w:val="24"/>
          <w:szCs w:val="24"/>
          <w:highlight w:val="none"/>
          <w:lang w:val="en-US" w:eastAsia="zh-CN"/>
        </w:rPr>
        <w:t>在数字经济背景下，数据要素市场化配置逐渐成为制度建设重点，但实践中存在将“数据确权”等同于“确定所有权”的认识误区，影响数据流通与利用效率。中国通过“三权分置”探索数据资源持有权、加工使用权与产品经营权的分层配置路径，而欧盟则以</w:t>
      </w:r>
      <w:r>
        <w:rPr>
          <w:rFonts w:hint="eastAsia" w:asciiTheme="minorEastAsia" w:hAnsiTheme="minorEastAsia" w:cstheme="minorEastAsia"/>
          <w:b w:val="0"/>
          <w:bCs w:val="0"/>
          <w:color w:val="auto"/>
          <w:sz w:val="24"/>
          <w:szCs w:val="24"/>
          <w:highlight w:val="none"/>
          <w:lang w:val="en-US" w:eastAsia="zh-CN"/>
        </w:rPr>
        <w:t>GDPR</w:t>
      </w:r>
      <w:r>
        <w:rPr>
          <w:rFonts w:hint="eastAsia" w:asciiTheme="minorEastAsia" w:hAnsiTheme="minorEastAsia" w:eastAsiaTheme="minorEastAsia" w:cstheme="minorEastAsia"/>
          <w:b w:val="0"/>
          <w:bCs w:val="0"/>
          <w:color w:val="auto"/>
          <w:sz w:val="24"/>
          <w:szCs w:val="24"/>
          <w:highlight w:val="none"/>
          <w:lang w:val="en-US" w:eastAsia="zh-CN"/>
        </w:rPr>
        <w:t>为核心，从基本权利保护出发对数据流通设定前置边界。通过比较可以发现，两种模式虽路径不同，但均强调在保护个人信息的前提下实现数据合理利用。本文认为，数据要素市场化的关键不在于确立排他性所有权，而在于在个人信息保护与数据安全等公法约束下，构建可流通、可追责的权能配置体系。在此基础上，提出完善我国数据产权治理规则的若干建议，以实现数据价值释放与权利保护之间的平衡。</w:t>
      </w:r>
    </w:p>
    <w:p w14:paraId="263DB109">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p>
    <w:p w14:paraId="0B14BBCF">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sz w:val="24"/>
          <w:szCs w:val="24"/>
          <w:highlight w:val="none"/>
        </w:rPr>
      </w:pPr>
      <w:r>
        <w:rPr>
          <w:rFonts w:hint="eastAsia" w:ascii="黑体" w:hAnsi="黑体" w:eastAsia="黑体" w:cs="黑体"/>
          <w:b w:val="0"/>
          <w:bCs w:val="0"/>
          <w:color w:val="auto"/>
          <w:sz w:val="24"/>
          <w:szCs w:val="24"/>
          <w:highlight w:val="none"/>
          <w:lang w:val="en-US" w:eastAsia="zh-CN"/>
        </w:rPr>
        <w:t>关键词：</w:t>
      </w:r>
      <w:r>
        <w:rPr>
          <w:rFonts w:hint="eastAsia" w:asciiTheme="minorEastAsia" w:hAnsiTheme="minorEastAsia" w:eastAsiaTheme="minorEastAsia" w:cstheme="minorEastAsia"/>
          <w:color w:val="auto"/>
          <w:sz w:val="24"/>
          <w:szCs w:val="24"/>
          <w:highlight w:val="none"/>
          <w:lang w:val="en-US" w:eastAsia="zh-CN"/>
        </w:rPr>
        <w:t>数据要素市场化</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kern w:val="0"/>
          <w:sz w:val="24"/>
          <w:szCs w:val="24"/>
          <w:highlight w:val="none"/>
          <w:lang w:val="en-US" w:eastAsia="zh-CN" w:bidi="ar"/>
        </w:rPr>
        <w:t>个人信息保护 ；通用数据保护条例  </w:t>
      </w:r>
    </w:p>
    <w:p w14:paraId="2F1A8131">
      <w:pPr>
        <w:pStyle w:val="23"/>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一、问题的提出：数据产权化的迷思</w:t>
      </w:r>
    </w:p>
    <w:p w14:paraId="3755A520">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数据确权通常被视为数字经济发展的制度起点。近年来，数据被纳入国家数据基础制度建设的重要内容，“数据二十条”等政策文件明确提出以促进数据合规高效流通为目标，围绕数据产权、流通交易、收益分配与安全治理构建制度体系，推动数据要素价值的释放</w:t>
      </w:r>
      <w:r>
        <w:rPr>
          <w:rStyle w:val="16"/>
          <w:rFonts w:hint="eastAsia" w:asciiTheme="minorEastAsia" w:hAnsiTheme="minorEastAsia" w:eastAsiaTheme="minorEastAsia" w:cstheme="minorEastAsia"/>
          <w:color w:val="auto"/>
          <w:sz w:val="24"/>
          <w:szCs w:val="24"/>
          <w:highlight w:val="none"/>
        </w:rPr>
        <w:t>[</w:t>
      </w:r>
      <w:r>
        <w:rPr>
          <w:rStyle w:val="16"/>
          <w:rFonts w:hint="eastAsia" w:asciiTheme="minorEastAsia" w:hAnsiTheme="minorEastAsia" w:eastAsiaTheme="minorEastAsia" w:cstheme="minorEastAsia"/>
          <w:color w:val="auto"/>
          <w:sz w:val="24"/>
          <w:szCs w:val="24"/>
          <w:highlight w:val="none"/>
        </w:rPr>
        <w:footnoteReference w:id="1"/>
      </w:r>
      <w:r>
        <w:rPr>
          <w:rStyle w:val="16"/>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w:t>
      </w:r>
    </w:p>
    <w:p w14:paraId="0A13F48F">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然而，在实践中，围绕数据要素市场化的讨论，往往陷入“产权化迷思”</w:t>
      </w:r>
      <w:r>
        <w:rPr>
          <w:rStyle w:val="16"/>
          <w:rFonts w:hint="eastAsia" w:asciiTheme="minorEastAsia" w:hAnsiTheme="minorEastAsia" w:eastAsiaTheme="minorEastAsia" w:cstheme="minorEastAsia"/>
          <w:color w:val="auto"/>
          <w:sz w:val="24"/>
          <w:szCs w:val="24"/>
          <w:highlight w:val="none"/>
        </w:rPr>
        <w:t>[</w:t>
      </w:r>
      <w:r>
        <w:rPr>
          <w:rStyle w:val="16"/>
          <w:rFonts w:hint="eastAsia" w:asciiTheme="minorEastAsia" w:hAnsiTheme="minorEastAsia" w:eastAsiaTheme="minorEastAsia" w:cstheme="minorEastAsia"/>
          <w:color w:val="auto"/>
          <w:sz w:val="24"/>
          <w:szCs w:val="24"/>
          <w:highlight w:val="none"/>
        </w:rPr>
        <w:footnoteReference w:id="2"/>
      </w:r>
      <w:r>
        <w:rPr>
          <w:rStyle w:val="16"/>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即将数据市场的形成简单理解为“数据归谁所有”的问题，似乎只要确立所有权归属，数据交易便可顺利展开。传统“一物一权”的确权模式在激励资源开发方面具有一定作用，但由于数据具有可复制性、非消耗性及多主体参与等特征，其并不适配以排他控制为核心的所有权结构。过强的排他性控制，反而可能抑制数据的流通与再利用，导致资源配置效率下降</w:t>
      </w:r>
      <w:r>
        <w:rPr>
          <w:rStyle w:val="16"/>
          <w:rFonts w:hint="eastAsia" w:asciiTheme="minorEastAsia" w:hAnsiTheme="minorEastAsia" w:eastAsiaTheme="minorEastAsia" w:cstheme="minorEastAsia"/>
          <w:color w:val="auto"/>
          <w:sz w:val="24"/>
          <w:szCs w:val="24"/>
          <w:highlight w:val="none"/>
          <w:lang w:eastAsia="zh-CN"/>
        </w:rPr>
        <w:t>[</w:t>
      </w:r>
      <w:r>
        <w:rPr>
          <w:rStyle w:val="16"/>
          <w:rFonts w:hint="eastAsia" w:asciiTheme="minorEastAsia" w:hAnsiTheme="minorEastAsia" w:eastAsiaTheme="minorEastAsia" w:cstheme="minorEastAsia"/>
          <w:color w:val="auto"/>
          <w:sz w:val="24"/>
          <w:szCs w:val="24"/>
          <w:highlight w:val="none"/>
          <w:lang w:eastAsia="zh-CN"/>
        </w:rPr>
        <w:footnoteReference w:id="3"/>
      </w:r>
      <w:r>
        <w:rPr>
          <w:rStyle w:val="16"/>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w:t>
      </w:r>
    </w:p>
    <w:p w14:paraId="0272D128">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需要注意的是，数据权能配置并不意味着对数据的自由处分。尤其在涉及自然人个人信息时，数据利用必须受到公法规范的严格约束。根据《中华人民共和国个人信息保护法》的基本要求，数据处理应当具备合法性基础，并遵循目的限定、最小必要等原则；同时，数据利用不得损害个人对其信息的知情、控制与救济权利，交易链条亦应嵌入明确的责任机制。</w:t>
      </w:r>
    </w:p>
    <w:p w14:paraId="436455C1">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由此可见，个人信息场景下的数据权能配置，已难以被简单理解为私法上的意思自治问题，而应被视为一个受公法规制前置约束的治理问题。在此意义上，个人信息保护并非数据市场化的外部限制，而是其得以运行的制度前提。基于此，本文以《中华人民共和国个人信息保护法》为切入点，分析个人信息保护规范在数据要素市场化中的边界设定作用，并在中欧制度比较的基础上探讨我国数据产权治理的优化路径。</w:t>
      </w:r>
    </w:p>
    <w:p w14:paraId="7A127652">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p>
    <w:p w14:paraId="63A9604B">
      <w:pPr>
        <w:pStyle w:val="23"/>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二、个人信息保护法对数据产权的边界设定</w:t>
      </w:r>
    </w:p>
    <w:p w14:paraId="4DF94E6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关于《个人信息保护法》对于数据产权的规定可按照</w:t>
      </w:r>
      <w:r>
        <w:rPr>
          <w:rFonts w:hint="eastAsia" w:asciiTheme="minorEastAsia" w:hAnsiTheme="minorEastAsia" w:cstheme="minorEastAsia"/>
          <w:color w:val="auto"/>
          <w:sz w:val="24"/>
          <w:szCs w:val="24"/>
          <w:highlight w:val="none"/>
          <w:lang w:val="en-US" w:eastAsia="zh-CN"/>
        </w:rPr>
        <w:t>对象</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条件</w:t>
      </w:r>
      <w:r>
        <w:rPr>
          <w:rFonts w:hint="eastAsia" w:asciiTheme="minorEastAsia" w:hAnsiTheme="minorEastAsia" w:eastAsiaTheme="minorEastAsia" w:cstheme="minorEastAsia"/>
          <w:color w:val="auto"/>
          <w:sz w:val="24"/>
          <w:szCs w:val="24"/>
          <w:highlight w:val="none"/>
          <w:lang w:val="en-US" w:eastAsia="zh-CN"/>
        </w:rPr>
        <w:t>、责任的</w:t>
      </w:r>
      <w:r>
        <w:rPr>
          <w:rFonts w:hint="eastAsia" w:asciiTheme="minorEastAsia" w:hAnsiTheme="minorEastAsia" w:cstheme="minorEastAsia"/>
          <w:color w:val="auto"/>
          <w:sz w:val="24"/>
          <w:szCs w:val="24"/>
          <w:highlight w:val="none"/>
          <w:lang w:val="en-US" w:eastAsia="zh-CN"/>
        </w:rPr>
        <w:t>阐释</w:t>
      </w:r>
      <w:r>
        <w:rPr>
          <w:rFonts w:hint="eastAsia" w:asciiTheme="minorEastAsia" w:hAnsiTheme="minorEastAsia" w:eastAsiaTheme="minorEastAsia" w:cstheme="minorEastAsia"/>
          <w:color w:val="auto"/>
          <w:sz w:val="24"/>
          <w:szCs w:val="24"/>
          <w:highlight w:val="none"/>
          <w:lang w:val="en-US" w:eastAsia="zh-CN"/>
        </w:rPr>
        <w:t>逻辑进行抽象阐诉：</w:t>
      </w:r>
    </w:p>
    <w:p w14:paraId="5413A259">
      <w:pPr>
        <w:pStyle w:val="26"/>
        <w:pageBreakBefore w:val="0"/>
        <w:kinsoku/>
        <w:overflowPunct/>
        <w:topLinePunct w:val="0"/>
        <w:autoSpaceDE/>
        <w:autoSpaceDN/>
        <w:bidi w:val="0"/>
        <w:adjustRightInd/>
        <w:snapToGrid/>
        <w:spacing w:line="360" w:lineRule="auto"/>
        <w:jc w:val="both"/>
        <w:textAlignment w:val="auto"/>
        <w:rPr>
          <w:rFonts w:hint="eastAsia" w:ascii="Songti SC" w:hAnsi="Songti SC" w:eastAsia="Songti SC" w:cs="Songti SC"/>
          <w:b w:val="0"/>
          <w:bCs w:val="0"/>
          <w:color w:val="auto"/>
          <w:highlight w:val="none"/>
        </w:rPr>
      </w:pPr>
      <w:r>
        <w:rPr>
          <w:rFonts w:hint="eastAsia" w:ascii="Songti SC" w:hAnsi="Songti SC" w:eastAsia="Songti SC" w:cs="Songti SC"/>
          <w:b w:val="0"/>
          <w:bCs w:val="0"/>
          <w:color w:val="auto"/>
          <w:highlight w:val="none"/>
        </w:rPr>
        <w:t>（一）对象边界：从“数据”到“个人信息”的分层限制</w:t>
      </w:r>
    </w:p>
    <w:p w14:paraId="1F288933">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在数据要素市场化过程中，首先需要在对象层面划定边界，并非所有数据均可无差别进入市场。只要数据能够单独或结合其他信息识别特定自然人，即构成个人信息，应纳入《个人信息保护法》的规制范围。此类数据的流通，已不再属于单纯的民事交易问题，而同时涉及人格权保护与市场秩序维护。</w:t>
      </w:r>
    </w:p>
    <w:p w14:paraId="3B9A6F21">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Style w:val="13"/>
          <w:rFonts w:hint="eastAsia" w:asciiTheme="minorEastAsia" w:hAnsiTheme="minorEastAsia" w:eastAsiaTheme="minorEastAsia" w:cstheme="minorEastAsia"/>
          <w:b w:val="0"/>
          <w:bCs w:val="0"/>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个人信息保护法》第4条明确以“可识别性”作为认定标准，强调不仅考察信息本身，还需判断其与其他信息结合后识别自然人的可能性，并区分匿名化与去标识化处理。基于此，数据对象应当按照风险程度进行分层：早期司法实践对个人信息的认定，曾较多依赖“是否包含姓名、身份证号等直接识别符”的表征性判断；但在《个人信息保护法》实施后，认定标准已逐步转向以“可识别性”为核心的规范判断，即不仅考察信息本身，还审查</w:t>
      </w:r>
      <w:r>
        <w:rPr>
          <w:rFonts w:hint="eastAsia" w:asciiTheme="minorEastAsia" w:hAnsiTheme="minorEastAsia" w:eastAsiaTheme="minorEastAsia" w:cstheme="minorEastAsia"/>
          <w:b w:val="0"/>
          <w:bCs w:val="0"/>
          <w:color w:val="auto"/>
          <w:kern w:val="0"/>
          <w:sz w:val="24"/>
          <w:szCs w:val="24"/>
          <w:highlight w:val="none"/>
          <w:lang w:val="en-US" w:eastAsia="zh-CN" w:bidi="ar"/>
        </w:rPr>
        <w:t>其与其他信息结合后识别自然人的合理可能性，并严格区分匿名化与去标识化。具体可见《个人信息法》第四条：“个人信息指以电子或者其他方式记录的、与已识别或可识别自然人有关的各种信息，</w:t>
      </w:r>
      <w:r>
        <w:rPr>
          <w:rStyle w:val="13"/>
          <w:rFonts w:hint="eastAsia" w:asciiTheme="minorEastAsia" w:hAnsiTheme="minorEastAsia" w:eastAsiaTheme="minorEastAsia" w:cstheme="minorEastAsia"/>
          <w:b w:val="0"/>
          <w:bCs w:val="0"/>
          <w:color w:val="auto"/>
          <w:kern w:val="0"/>
          <w:sz w:val="24"/>
          <w:szCs w:val="24"/>
          <w:highlight w:val="none"/>
          <w:lang w:val="en-US" w:eastAsia="zh-CN" w:bidi="ar"/>
        </w:rPr>
        <w:t>不包括匿名化处理后的信息”。</w:t>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t>[</w:t>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footnoteReference w:id="4"/>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t>]</w:t>
      </w:r>
    </w:p>
    <w:p w14:paraId="216A9659">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val="0"/>
          <w:bCs w:val="0"/>
          <w:color w:val="auto"/>
          <w:kern w:val="0"/>
          <w:sz w:val="24"/>
          <w:szCs w:val="24"/>
          <w:highlight w:val="none"/>
          <w:lang w:val="en-US" w:eastAsia="zh-CN" w:bidi="ar"/>
        </w:rPr>
        <w:t>因此，对象边界应当以</w:t>
      </w:r>
      <w:r>
        <w:rPr>
          <w:rStyle w:val="13"/>
          <w:rFonts w:hint="eastAsia" w:asciiTheme="minorEastAsia" w:hAnsiTheme="minorEastAsia" w:eastAsiaTheme="minorEastAsia" w:cstheme="minorEastAsia"/>
          <w:b w:val="0"/>
          <w:bCs w:val="0"/>
          <w:color w:val="auto"/>
          <w:kern w:val="0"/>
          <w:sz w:val="24"/>
          <w:szCs w:val="24"/>
          <w:highlight w:val="none"/>
          <w:lang w:val="en-US" w:eastAsia="zh-CN" w:bidi="ar"/>
        </w:rPr>
        <w:t>风险分层</w:t>
      </w:r>
      <w:r>
        <w:rPr>
          <w:rFonts w:hint="eastAsia" w:asciiTheme="minorEastAsia" w:hAnsiTheme="minorEastAsia" w:eastAsiaTheme="minorEastAsia" w:cstheme="minorEastAsia"/>
          <w:b w:val="0"/>
          <w:bCs w:val="0"/>
          <w:color w:val="auto"/>
          <w:kern w:val="0"/>
          <w:sz w:val="24"/>
          <w:szCs w:val="24"/>
          <w:highlight w:val="none"/>
          <w:lang w:val="en-US" w:eastAsia="zh-CN" w:bidi="ar"/>
        </w:rPr>
        <w:t>而非“有无产权”的二分来表达：</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1）</w:t>
      </w:r>
      <w:r>
        <w:rPr>
          <w:rStyle w:val="13"/>
          <w:rFonts w:hint="eastAsia" w:asciiTheme="minorEastAsia" w:hAnsiTheme="minorEastAsia" w:eastAsiaTheme="minorEastAsia" w:cstheme="minorEastAsia"/>
          <w:b/>
          <w:bCs/>
          <w:color w:val="auto"/>
          <w:kern w:val="0"/>
          <w:sz w:val="24"/>
          <w:szCs w:val="24"/>
          <w:highlight w:val="none"/>
          <w:lang w:val="en-US" w:eastAsia="zh-CN" w:bidi="ar"/>
        </w:rPr>
        <w:t>个人信息</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原则上可流通，但只能以目的、范围、期限受限的方式进入市场；</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2）</w:t>
      </w:r>
      <w:r>
        <w:rPr>
          <w:rStyle w:val="13"/>
          <w:rFonts w:hint="eastAsia" w:asciiTheme="minorEastAsia" w:hAnsiTheme="minorEastAsia" w:eastAsiaTheme="minorEastAsia" w:cstheme="minorEastAsia"/>
          <w:b/>
          <w:bCs/>
          <w:color w:val="auto"/>
          <w:kern w:val="0"/>
          <w:sz w:val="24"/>
          <w:szCs w:val="24"/>
          <w:highlight w:val="none"/>
          <w:lang w:val="en-US" w:eastAsia="zh-CN" w:bidi="ar"/>
        </w:rPr>
        <w:t>敏感个人信息</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一旦泄露或非法使用容易侵害人格尊严或危及人身、财产安全，只有在特定目的与充分必要性并采取严格措施时才可处理，并通常要求更高强度的同意与保障。</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3）</w:t>
      </w:r>
      <w:r>
        <w:rPr>
          <w:rStyle w:val="13"/>
          <w:rFonts w:hint="eastAsia" w:asciiTheme="minorEastAsia" w:hAnsiTheme="minorEastAsia" w:eastAsiaTheme="minorEastAsia" w:cstheme="minorEastAsia"/>
          <w:b/>
          <w:bCs/>
          <w:color w:val="auto"/>
          <w:kern w:val="0"/>
          <w:sz w:val="24"/>
          <w:szCs w:val="24"/>
          <w:highlight w:val="none"/>
          <w:lang w:val="en-US" w:eastAsia="zh-CN" w:bidi="ar"/>
        </w:rPr>
        <w:t>匿名化数据/难以回溯个人的数据</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充</w:t>
      </w:r>
      <w:r>
        <w:rPr>
          <w:rFonts w:hint="eastAsia" w:asciiTheme="minorEastAsia" w:hAnsiTheme="minorEastAsia" w:eastAsiaTheme="minorEastAsia" w:cstheme="minorEastAsia"/>
          <w:color w:val="auto"/>
          <w:kern w:val="0"/>
          <w:sz w:val="24"/>
          <w:szCs w:val="24"/>
          <w:highlight w:val="none"/>
          <w:lang w:val="en-US" w:eastAsia="zh-CN" w:bidi="ar"/>
        </w:rPr>
        <w:t>分匿名化且难以回溯到特定自然人的数据，其人格风险显著降低，制度上可为更高程度的要素化流通预留空间。</w:t>
      </w:r>
    </w:p>
    <w:p w14:paraId="30AC6FF3">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由此可见，个人信息保护法并非以“是否允许流通”为单一标准处理数据问题，而是通过对象分层，在数据市场中形成差异化的准入与控制机制：对人格风险较高的数据，强化限制与保障要求；对人格风险较低的数据，则为数据要素化利用预留制度空间。其制度功能在于，通过一定程度压缩数据流通空间，建立与不同风险相匹配的规则结构。</w:t>
      </w:r>
    </w:p>
    <w:p w14:paraId="03DAA270">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进一步而言，这种对象边界并不仅仅是对交易活动的外部限制，还会直接影响数据产权规则本身的构造方式。因为一旦交易标的进入“个人信息”范畴，交易所涉及的就不再只是资源配置效率问题，而是同时关涉个人尊严、</w:t>
      </w:r>
      <w:r>
        <w:rPr>
          <w:rFonts w:hint="eastAsia" w:asciiTheme="minorEastAsia" w:hAnsiTheme="minorEastAsia" w:cstheme="minorEastAsia"/>
          <w:color w:val="auto"/>
          <w:kern w:val="0"/>
          <w:sz w:val="24"/>
          <w:szCs w:val="24"/>
          <w:highlight w:val="none"/>
          <w:lang w:val="en-US" w:eastAsia="zh-CN" w:bidi="ar"/>
        </w:rPr>
        <w:t>信息自决权</w:t>
      </w:r>
      <w:r>
        <w:rPr>
          <w:rFonts w:hint="eastAsia" w:asciiTheme="minorEastAsia" w:hAnsiTheme="minorEastAsia" w:eastAsiaTheme="minorEastAsia" w:cstheme="minorEastAsia"/>
          <w:color w:val="auto"/>
          <w:kern w:val="0"/>
          <w:sz w:val="24"/>
          <w:szCs w:val="24"/>
          <w:highlight w:val="none"/>
          <w:lang w:val="en-US" w:eastAsia="zh-CN" w:bidi="ar"/>
        </w:rPr>
        <w:t>与人格</w:t>
      </w:r>
      <w:r>
        <w:rPr>
          <w:rFonts w:hint="eastAsia" w:asciiTheme="minorEastAsia" w:hAnsiTheme="minorEastAsia" w:cstheme="minorEastAsia"/>
          <w:color w:val="auto"/>
          <w:kern w:val="0"/>
          <w:sz w:val="24"/>
          <w:szCs w:val="24"/>
          <w:highlight w:val="none"/>
          <w:lang w:val="en-US" w:eastAsia="zh-CN" w:bidi="ar"/>
        </w:rPr>
        <w:t>权利益</w:t>
      </w:r>
      <w:r>
        <w:rPr>
          <w:rFonts w:hint="eastAsia" w:asciiTheme="minorEastAsia" w:hAnsiTheme="minorEastAsia" w:eastAsiaTheme="minorEastAsia" w:cstheme="minorEastAsia"/>
          <w:color w:val="auto"/>
          <w:kern w:val="0"/>
          <w:sz w:val="24"/>
          <w:szCs w:val="24"/>
          <w:highlight w:val="none"/>
          <w:lang w:val="en-US" w:eastAsia="zh-CN" w:bidi="ar"/>
        </w:rPr>
        <w:t>保护的问题。正因如此，个人信息语境中的“交易”</w:t>
      </w:r>
      <w:r>
        <w:rPr>
          <w:rFonts w:hint="eastAsia" w:asciiTheme="minorEastAsia" w:hAnsiTheme="minorEastAsia" w:cstheme="minorEastAsia"/>
          <w:color w:val="auto"/>
          <w:kern w:val="0"/>
          <w:sz w:val="24"/>
          <w:szCs w:val="24"/>
          <w:highlight w:val="none"/>
          <w:lang w:val="en-US" w:eastAsia="zh-CN" w:bidi="ar"/>
        </w:rPr>
        <w:t>不可</w:t>
      </w:r>
      <w:r>
        <w:rPr>
          <w:rFonts w:hint="eastAsia" w:asciiTheme="minorEastAsia" w:hAnsiTheme="minorEastAsia" w:eastAsiaTheme="minorEastAsia" w:cstheme="minorEastAsia"/>
          <w:color w:val="auto"/>
          <w:kern w:val="0"/>
          <w:sz w:val="24"/>
          <w:szCs w:val="24"/>
          <w:highlight w:val="none"/>
          <w:lang w:val="en-US" w:eastAsia="zh-CN" w:bidi="ar"/>
        </w:rPr>
        <w:t>被理解为一次性、不可逆的完整交付，而更应被</w:t>
      </w:r>
      <w:r>
        <w:rPr>
          <w:rFonts w:hint="eastAsia" w:asciiTheme="minorEastAsia" w:hAnsiTheme="minorEastAsia" w:cstheme="minorEastAsia"/>
          <w:color w:val="auto"/>
          <w:kern w:val="0"/>
          <w:sz w:val="24"/>
          <w:szCs w:val="24"/>
          <w:highlight w:val="none"/>
          <w:lang w:val="en-US" w:eastAsia="zh-CN" w:bidi="ar"/>
        </w:rPr>
        <w:t>认定为</w:t>
      </w:r>
      <w:r>
        <w:rPr>
          <w:rFonts w:hint="eastAsia" w:asciiTheme="minorEastAsia" w:hAnsiTheme="minorEastAsia" w:eastAsiaTheme="minorEastAsia" w:cstheme="minorEastAsia"/>
          <w:color w:val="auto"/>
          <w:kern w:val="0"/>
          <w:sz w:val="24"/>
          <w:szCs w:val="24"/>
          <w:highlight w:val="none"/>
          <w:lang w:val="en-US" w:eastAsia="zh-CN" w:bidi="ar"/>
        </w:rPr>
        <w:t>在特定目的、范围和期限内进行的有限性</w:t>
      </w:r>
      <w:r>
        <w:rPr>
          <w:rFonts w:hint="eastAsia" w:asciiTheme="minorEastAsia" w:hAnsiTheme="minorEastAsia" w:cstheme="minorEastAsia"/>
          <w:color w:val="auto"/>
          <w:kern w:val="0"/>
          <w:sz w:val="24"/>
          <w:szCs w:val="24"/>
          <w:highlight w:val="none"/>
          <w:lang w:val="en-US" w:eastAsia="zh-CN" w:bidi="ar"/>
        </w:rPr>
        <w:t>的</w:t>
      </w:r>
      <w:r>
        <w:rPr>
          <w:rFonts w:hint="eastAsia" w:asciiTheme="minorEastAsia" w:hAnsiTheme="minorEastAsia" w:eastAsiaTheme="minorEastAsia" w:cstheme="minorEastAsia"/>
          <w:color w:val="auto"/>
          <w:kern w:val="0"/>
          <w:sz w:val="24"/>
          <w:szCs w:val="24"/>
          <w:highlight w:val="none"/>
          <w:lang w:val="en-US" w:eastAsia="zh-CN" w:bidi="ar"/>
        </w:rPr>
        <w:t>使用、访问或条件化利用许可。</w:t>
      </w:r>
    </w:p>
    <w:p w14:paraId="366F0089">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kern w:val="0"/>
          <w:sz w:val="24"/>
          <w:szCs w:val="24"/>
          <w:highlight w:val="none"/>
          <w:lang w:val="en-US" w:eastAsia="zh-CN" w:bidi="ar"/>
        </w:rPr>
        <w:t>从这一意义上说，对象边界的核心作用，在于推动数据产权规则从“</w:t>
      </w:r>
      <w:r>
        <w:rPr>
          <w:rFonts w:hint="eastAsia" w:asciiTheme="minorEastAsia" w:hAnsiTheme="minorEastAsia" w:cstheme="minorEastAsia"/>
          <w:color w:val="auto"/>
          <w:kern w:val="0"/>
          <w:sz w:val="24"/>
          <w:szCs w:val="24"/>
          <w:highlight w:val="none"/>
          <w:lang w:val="en-US" w:eastAsia="zh-CN" w:bidi="ar"/>
        </w:rPr>
        <w:t>绝对</w:t>
      </w:r>
      <w:r>
        <w:rPr>
          <w:rFonts w:hint="eastAsia" w:asciiTheme="minorEastAsia" w:hAnsiTheme="minorEastAsia" w:eastAsiaTheme="minorEastAsia" w:cstheme="minorEastAsia"/>
          <w:color w:val="auto"/>
          <w:kern w:val="0"/>
          <w:sz w:val="24"/>
          <w:szCs w:val="24"/>
          <w:highlight w:val="none"/>
          <w:lang w:val="en-US" w:eastAsia="zh-CN" w:bidi="ar"/>
        </w:rPr>
        <w:t>所有权式转让”转向“受限式流通”。市场中可以被交易的，是经法律和合规程序限定后数据，而不是对个人信息所承载人格利益的整体物化与完全处分，这就与私法中的“绝对性所有权”彻底区分开来。</w:t>
      </w:r>
    </w:p>
    <w:p w14:paraId="2B89E3D7">
      <w:pPr>
        <w:pStyle w:val="4"/>
        <w:keepNext w:val="0"/>
        <w:keepLines w:val="0"/>
        <w:pageBreakBefore w:val="0"/>
        <w:widowControl/>
        <w:numPr>
          <w:ilvl w:val="0"/>
          <w:numId w:val="1"/>
        </w:numPr>
        <w:suppressLineNumbers w:val="0"/>
        <w:kinsoku/>
        <w:wordWrap w:val="0"/>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条件边界：合规义务将个人信息交易“前置门槛化”</w:t>
      </w:r>
    </w:p>
    <w:p w14:paraId="5B636039">
      <w:pPr>
        <w:numPr>
          <w:numId w:val="0"/>
        </w:numPr>
        <w:rPr>
          <w:rFonts w:hint="eastAsia"/>
        </w:rPr>
      </w:pPr>
    </w:p>
    <w:p w14:paraId="1E9D6EB3">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在对象边界确定后，数据进入市场还必须满足一系列前置条件。《个人信息保护法》通过合法性基础、目的限定、最小必要与透明告知等规则，将个人信息处理活动纳入可追溯的合规框架，使数据交易不再仅依赖当事人合意，而需以法定条件为前提。具体而言：</w:t>
      </w:r>
    </w:p>
    <w:p w14:paraId="02B11B5F">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①目的限定</w:t>
      </w:r>
      <w:r>
        <w:rPr>
          <w:rFonts w:hint="eastAsia" w:asciiTheme="minorEastAsia" w:hAnsiTheme="minorEastAsia" w:eastAsiaTheme="minorEastAsia" w:cstheme="minorEastAsia"/>
          <w:b w:val="0"/>
          <w:bCs w:val="0"/>
          <w:color w:val="auto"/>
          <w:sz w:val="24"/>
          <w:szCs w:val="24"/>
          <w:highlight w:val="none"/>
          <w:lang w:eastAsia="zh-CN"/>
        </w:rPr>
        <w:t>。</w:t>
      </w:r>
      <w:r>
        <w:rPr>
          <w:rFonts w:hint="eastAsia" w:asciiTheme="minorEastAsia" w:hAnsiTheme="minorEastAsia" w:eastAsiaTheme="minorEastAsia" w:cstheme="minorEastAsia"/>
          <w:b w:val="0"/>
          <w:bCs w:val="0"/>
          <w:color w:val="auto"/>
          <w:sz w:val="24"/>
          <w:szCs w:val="24"/>
          <w:highlight w:val="none"/>
          <w:lang w:val="en-US" w:eastAsia="zh-CN"/>
        </w:rPr>
        <w:t>个人信息主体</w:t>
      </w:r>
      <w:r>
        <w:rPr>
          <w:rFonts w:hint="eastAsia" w:asciiTheme="minorEastAsia" w:hAnsiTheme="minorEastAsia" w:eastAsiaTheme="minorEastAsia" w:cstheme="minorEastAsia"/>
          <w:b w:val="0"/>
          <w:bCs w:val="0"/>
          <w:color w:val="auto"/>
          <w:sz w:val="24"/>
          <w:szCs w:val="24"/>
          <w:highlight w:val="none"/>
        </w:rPr>
        <w:t>关于个人信息是否被搜集、以何种方式收集、如何被处理以及处理目的条款的具体</w:t>
      </w:r>
      <w:r>
        <w:rPr>
          <w:rFonts w:hint="eastAsia" w:asciiTheme="minorEastAsia" w:hAnsiTheme="minorEastAsia" w:eastAsiaTheme="minorEastAsia" w:cstheme="minorEastAsia"/>
          <w:b w:val="0"/>
          <w:bCs w:val="0"/>
          <w:color w:val="auto"/>
          <w:sz w:val="24"/>
          <w:szCs w:val="24"/>
          <w:highlight w:val="none"/>
          <w:lang w:val="en-US" w:eastAsia="zh-CN"/>
        </w:rPr>
        <w:t>预见性确认</w:t>
      </w:r>
      <w:r>
        <w:rPr>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footnoteReference w:id="5"/>
      </w:r>
      <w:r>
        <w:rPr>
          <w:rStyle w:val="16"/>
          <w:rFonts w:hint="eastAsia" w:asciiTheme="minorEastAsia" w:hAnsiTheme="minorEastAsia" w:eastAsiaTheme="minorEastAsia" w:cstheme="minorEastAsia"/>
          <w:b w:val="0"/>
          <w:bCs w:val="0"/>
          <w:color w:val="auto"/>
          <w:sz w:val="24"/>
          <w:szCs w:val="24"/>
          <w:highlight w:val="none"/>
        </w:rPr>
        <w:t>]</w:t>
      </w:r>
      <w:r>
        <w:rPr>
          <w:rFonts w:hint="eastAsia" w:asciiTheme="minorEastAsia" w:hAnsiTheme="minorEastAsia" w:eastAsiaTheme="minorEastAsia" w:cstheme="minorEastAsia"/>
          <w:b w:val="0"/>
          <w:bCs w:val="0"/>
          <w:color w:val="auto"/>
          <w:sz w:val="24"/>
          <w:szCs w:val="24"/>
          <w:highlight w:val="none"/>
        </w:rPr>
        <w:t>目的限定的规范意义在于：个人信息处理者不得以笼统、抽象、概括性的用途表述替代具体处理目的，更不得在初始目的之外任意扩张使用范围。</w:t>
      </w:r>
    </w:p>
    <w:p w14:paraId="37BBC205">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lang w:val="en-US" w:eastAsia="zh-CN"/>
        </w:rPr>
      </w:pPr>
      <w:r>
        <w:rPr>
          <w:rFonts w:hint="eastAsia" w:asciiTheme="minorEastAsia" w:hAnsiTheme="minorEastAsia" w:eastAsiaTheme="minorEastAsia" w:cstheme="minorEastAsia"/>
          <w:b w:val="0"/>
          <w:bCs w:val="0"/>
          <w:color w:val="auto"/>
          <w:sz w:val="24"/>
          <w:szCs w:val="24"/>
          <w:highlight w:val="none"/>
        </w:rPr>
        <w:t>②最小必要</w:t>
      </w:r>
      <w:r>
        <w:rPr>
          <w:rFonts w:hint="eastAsia" w:asciiTheme="minorEastAsia" w:hAnsiTheme="minorEastAsia" w:eastAsiaTheme="minorEastAsia" w:cstheme="minorEastAsia"/>
          <w:b w:val="0"/>
          <w:bCs w:val="0"/>
          <w:color w:val="auto"/>
          <w:sz w:val="24"/>
          <w:szCs w:val="24"/>
          <w:highlight w:val="none"/>
          <w:lang w:eastAsia="zh-CN"/>
        </w:rPr>
        <w:t>。</w:t>
      </w:r>
      <w:r>
        <w:rPr>
          <w:rFonts w:hint="eastAsia" w:asciiTheme="minorEastAsia" w:hAnsiTheme="minorEastAsia" w:eastAsiaTheme="minorEastAsia" w:cstheme="minorEastAsia"/>
          <w:b w:val="0"/>
          <w:bCs w:val="0"/>
          <w:color w:val="auto"/>
          <w:sz w:val="24"/>
          <w:szCs w:val="24"/>
          <w:highlight w:val="none"/>
        </w:rPr>
        <w:t>“最小必要”是最小化原则的核心要件之一，要求信息处理者仅收集和处理实现业务目的所需的最小范围的个人信息。个人信息处理应当与处理目的具有直接关联，并限于实现该目的的最小范围。</w:t>
      </w:r>
      <w:r>
        <w:rPr>
          <w:rStyle w:val="16"/>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footnoteReference w:id="6"/>
      </w:r>
      <w:r>
        <w:rPr>
          <w:rStyle w:val="16"/>
          <w:rFonts w:hint="eastAsia" w:asciiTheme="minorEastAsia" w:hAnsiTheme="minorEastAsia" w:eastAsiaTheme="minorEastAsia" w:cstheme="minorEastAsia"/>
          <w:b w:val="0"/>
          <w:bCs w:val="0"/>
          <w:color w:val="auto"/>
          <w:sz w:val="24"/>
          <w:szCs w:val="24"/>
          <w:highlight w:val="none"/>
        </w:rPr>
        <w:t>]</w:t>
      </w:r>
      <w:r>
        <w:rPr>
          <w:rFonts w:hint="eastAsia" w:asciiTheme="minorEastAsia" w:hAnsiTheme="minorEastAsia" w:eastAsiaTheme="minorEastAsia" w:cstheme="minorEastAsia"/>
          <w:b w:val="0"/>
          <w:bCs w:val="0"/>
          <w:color w:val="auto"/>
          <w:sz w:val="24"/>
          <w:szCs w:val="24"/>
          <w:highlight w:val="none"/>
        </w:rPr>
        <w:t>该要求直接矫正了数据市场化实践中“先尽可能多收集、再寻找使用场景”的扩张倾向。</w:t>
      </w:r>
      <w:r>
        <w:rPr>
          <w:rFonts w:hint="eastAsia" w:asciiTheme="minorEastAsia" w:hAnsiTheme="minorEastAsia" w:eastAsiaTheme="minorEastAsia" w:cstheme="minorEastAsia"/>
          <w:b w:val="0"/>
          <w:bCs w:val="0"/>
          <w:color w:val="auto"/>
          <w:sz w:val="24"/>
          <w:szCs w:val="24"/>
          <w:highlight w:val="none"/>
          <w:lang w:val="en-US" w:eastAsia="zh-CN"/>
        </w:rPr>
        <w:t>要求数据规模的扩大必须具备正当性基础，而不能仅以提升商业价值为理由。</w:t>
      </w:r>
    </w:p>
    <w:p w14:paraId="0F42304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③</w:t>
      </w:r>
      <w:r>
        <w:rPr>
          <w:rFonts w:hint="eastAsia" w:asciiTheme="minorEastAsia" w:hAnsiTheme="minorEastAsia" w:eastAsiaTheme="minorEastAsia" w:cstheme="minorEastAsia"/>
          <w:b w:val="0"/>
          <w:bCs w:val="0"/>
          <w:color w:val="auto"/>
          <w:sz w:val="24"/>
          <w:szCs w:val="24"/>
          <w:highlight w:val="none"/>
          <w:lang w:val="en-US" w:eastAsia="zh-CN"/>
        </w:rPr>
        <w:t>透明告知与可理解性。透明规则的规范目的在于保障个人信息主体的知情权与自我决定权，</w:t>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vertAlign w:val="superscript"/>
          <w:lang w:val="en-US" w:eastAsia="zh-CN"/>
        </w:rPr>
        <w:footnoteReference w:id="7"/>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lang w:val="en-US" w:eastAsia="zh-CN"/>
        </w:rPr>
        <w:t>公开透明是实现信息自决权的前提，因为不透明便无自由意志可言。</w:t>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vertAlign w:val="superscript"/>
          <w:lang w:val="en-US" w:eastAsia="zh-CN"/>
        </w:rPr>
        <w:footnoteReference w:id="8"/>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cstheme="minorEastAsia"/>
          <w:b w:val="0"/>
          <w:bCs w:val="0"/>
          <w:color w:val="auto"/>
          <w:sz w:val="24"/>
          <w:szCs w:val="24"/>
          <w:highlight w:val="none"/>
          <w:lang w:val="en-US" w:eastAsia="zh-CN"/>
        </w:rPr>
        <w:t>然而，</w:t>
      </w:r>
      <w:r>
        <w:rPr>
          <w:rFonts w:hint="eastAsia" w:asciiTheme="minorEastAsia" w:hAnsiTheme="minorEastAsia" w:eastAsiaTheme="minorEastAsia" w:cstheme="minorEastAsia"/>
          <w:b w:val="0"/>
          <w:bCs w:val="0"/>
          <w:color w:val="auto"/>
          <w:sz w:val="24"/>
          <w:szCs w:val="24"/>
          <w:highlight w:val="none"/>
          <w:lang w:val="en-US" w:eastAsia="zh-CN"/>
        </w:rPr>
        <w:t>在人工智能系统算法黑箱的技术掩盖之下,个人信息主体对个人信息的控制力明显被大大削弱，在实践中，应通过简化表达、突出关键内容等方式，提高告知的可理解性，避免“形式同意”与“实质知情”的分离。</w:t>
      </w:r>
    </w:p>
    <w:p w14:paraId="2CFFC53F">
      <w:pPr>
        <w:pStyle w:val="4"/>
        <w:keepNext w:val="0"/>
        <w:keepLines w:val="0"/>
        <w:pageBreakBefore w:val="0"/>
        <w:widowControl/>
        <w:numPr>
          <w:ilvl w:val="0"/>
          <w:numId w:val="2"/>
        </w:numPr>
        <w:suppressLineNumbers w:val="0"/>
        <w:kinsoku/>
        <w:wordWrap w:val="0"/>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lang w:val="en-US" w:eastAsia="zh-CN"/>
        </w:rPr>
      </w:pPr>
      <w:r>
        <w:rPr>
          <w:rFonts w:hint="eastAsia" w:asciiTheme="minorEastAsia" w:hAnsiTheme="minorEastAsia" w:eastAsiaTheme="minorEastAsia" w:cstheme="minorEastAsia"/>
          <w:b w:val="0"/>
          <w:bCs w:val="0"/>
          <w:color w:val="auto"/>
          <w:sz w:val="24"/>
          <w:szCs w:val="24"/>
          <w:highlight w:val="none"/>
        </w:rPr>
        <w:t>责任边界：</w:t>
      </w:r>
      <w:r>
        <w:rPr>
          <w:rFonts w:hint="eastAsia" w:asciiTheme="minorEastAsia" w:hAnsiTheme="minorEastAsia" w:eastAsiaTheme="minorEastAsia" w:cstheme="minorEastAsia"/>
          <w:b w:val="0"/>
          <w:bCs w:val="0"/>
          <w:color w:val="auto"/>
          <w:sz w:val="24"/>
          <w:szCs w:val="24"/>
          <w:highlight w:val="none"/>
          <w:lang w:val="en-US" w:eastAsia="zh-CN"/>
        </w:rPr>
        <w:t>数据处理者在处理个人信息所承担的义务责任</w:t>
      </w:r>
    </w:p>
    <w:p w14:paraId="45A97866">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在责任层面，《个人信息保护法》通过确立以个人信息处理者为中心的义务体系，将数据利用活动纳入持续性的责任约束之中。处理者不仅是数据价值实现的重要参与者，同时也是风险控制与责任承担的核心主体。</w:t>
      </w:r>
    </w:p>
    <w:p w14:paraId="3F10E509">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从制度结构来看，相关义务可概括为三类：</w:t>
      </w:r>
    </w:p>
    <w:p w14:paraId="22C560C5">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前置性合法义务</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处理活动须具备合法性基础，并在启动前完成告知与同意等要求。该类义务构成数据利用的准入条件，未履行则处理行为不具备合法性。 </w:t>
      </w:r>
    </w:p>
    <w:p w14:paraId="4CD5206E">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持续性配合义务</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在处理过程中，个人持续享有查阅、更正、删除、撤回同意等权利，处理者需提供便捷实现机制。这表明数据关系并非一次性授权，而是一种持续受约束的动态关系。 </w:t>
      </w:r>
    </w:p>
    <w:p w14:paraId="0F90EC18">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治理性合规义务及责任后果</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处理者需建立内部合规体系、采取安全措施，并在高风险场景中履行更高标准的义务。一旦违反，不仅可能承担民事责任，还将面临行政处罚乃至刑事追责。 </w:t>
      </w:r>
    </w:p>
    <w:p w14:paraId="2BABA4A7">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Style w:val="16"/>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综合</w:t>
      </w:r>
      <w:r>
        <w:rPr>
          <w:rFonts w:hint="eastAsia" w:asciiTheme="minorEastAsia" w:hAnsiTheme="minorEastAsia" w:cstheme="minorEastAsia"/>
          <w:color w:val="auto"/>
          <w:sz w:val="24"/>
          <w:szCs w:val="24"/>
          <w:highlight w:val="none"/>
          <w:lang w:val="en-US" w:eastAsia="zh-CN"/>
        </w:rPr>
        <w:t>上述</w:t>
      </w:r>
      <w:r>
        <w:rPr>
          <w:rFonts w:hint="eastAsia" w:asciiTheme="minorEastAsia" w:hAnsiTheme="minorEastAsia" w:eastAsiaTheme="minorEastAsia" w:cstheme="minorEastAsia"/>
          <w:color w:val="auto"/>
          <w:sz w:val="24"/>
          <w:szCs w:val="24"/>
          <w:highlight w:val="none"/>
          <w:lang w:val="en-US" w:eastAsia="zh-CN"/>
        </w:rPr>
        <w:t>三项义务的</w:t>
      </w:r>
      <w:r>
        <w:rPr>
          <w:rFonts w:hint="eastAsia" w:asciiTheme="minorEastAsia" w:hAnsiTheme="minorEastAsia" w:cstheme="minorEastAsia"/>
          <w:color w:val="auto"/>
          <w:sz w:val="24"/>
          <w:szCs w:val="24"/>
          <w:highlight w:val="none"/>
          <w:lang w:val="en-US" w:eastAsia="zh-CN"/>
        </w:rPr>
        <w:t>阐释</w:t>
      </w:r>
      <w:r>
        <w:rPr>
          <w:rFonts w:hint="eastAsia" w:asciiTheme="minorEastAsia" w:hAnsiTheme="minorEastAsia" w:eastAsiaTheme="minorEastAsia" w:cstheme="minorEastAsia"/>
          <w:color w:val="auto"/>
          <w:sz w:val="24"/>
          <w:szCs w:val="24"/>
          <w:highlight w:val="none"/>
          <w:lang w:val="en-US" w:eastAsia="zh-CN"/>
        </w:rPr>
        <w:t>可得出，个人信息保护法所建构的，并不是“先赋予处理者完整数据产权，再由权利人通过救济手段进行外部限制”的传统财产权逻辑，而是一种兼具公法与私法色彩的权能配置结构：</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9"/>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它以信息主体人格权益为价值内核，以处理者前置性</w:t>
      </w:r>
      <w:r>
        <w:rPr>
          <w:rFonts w:hint="eastAsia" w:asciiTheme="minorEastAsia" w:hAnsiTheme="minorEastAsia" w:cstheme="minorEastAsia"/>
          <w:color w:val="auto"/>
          <w:sz w:val="24"/>
          <w:szCs w:val="24"/>
          <w:highlight w:val="none"/>
          <w:lang w:val="en-US" w:eastAsia="zh-CN"/>
        </w:rPr>
        <w:t>、持续性的</w:t>
      </w:r>
      <w:r>
        <w:rPr>
          <w:rFonts w:hint="eastAsia" w:asciiTheme="minorEastAsia" w:hAnsiTheme="minorEastAsia" w:eastAsiaTheme="minorEastAsia" w:cstheme="minorEastAsia"/>
          <w:color w:val="auto"/>
          <w:sz w:val="24"/>
          <w:szCs w:val="24"/>
          <w:highlight w:val="none"/>
          <w:lang w:val="en-US" w:eastAsia="zh-CN"/>
        </w:rPr>
        <w:t>合规义务</w:t>
      </w:r>
      <w:r>
        <w:rPr>
          <w:rFonts w:hint="eastAsia" w:asciiTheme="minorEastAsia" w:hAnsiTheme="minorEastAsia" w:cstheme="minorEastAsia"/>
          <w:color w:val="auto"/>
          <w:sz w:val="24"/>
          <w:szCs w:val="24"/>
          <w:highlight w:val="none"/>
          <w:lang w:val="en-US" w:eastAsia="zh-CN"/>
        </w:rPr>
        <w:t>来建立运行</w:t>
      </w:r>
      <w:r>
        <w:rPr>
          <w:rFonts w:hint="eastAsia" w:asciiTheme="minorEastAsia" w:hAnsiTheme="minorEastAsia" w:eastAsiaTheme="minorEastAsia" w:cstheme="minorEastAsia"/>
          <w:color w:val="auto"/>
          <w:sz w:val="24"/>
          <w:szCs w:val="24"/>
          <w:highlight w:val="none"/>
          <w:lang w:val="en-US" w:eastAsia="zh-CN"/>
        </w:rPr>
        <w:t>骨架，在权利与权力、私法自治与公法规制之间形成了</w:t>
      </w:r>
      <w:r>
        <w:rPr>
          <w:rFonts w:hint="eastAsia" w:asciiTheme="minorEastAsia" w:hAnsiTheme="minorEastAsia" w:cstheme="minorEastAsia"/>
          <w:color w:val="auto"/>
          <w:sz w:val="24"/>
          <w:szCs w:val="24"/>
          <w:highlight w:val="none"/>
          <w:lang w:val="en-US" w:eastAsia="zh-CN"/>
        </w:rPr>
        <w:t>个人信息保护的全面性</w:t>
      </w:r>
      <w:r>
        <w:rPr>
          <w:rFonts w:hint="eastAsia" w:asciiTheme="minorEastAsia" w:hAnsiTheme="minorEastAsia" w:eastAsiaTheme="minorEastAsia" w:cstheme="minorEastAsia"/>
          <w:color w:val="auto"/>
          <w:sz w:val="24"/>
          <w:szCs w:val="24"/>
          <w:highlight w:val="none"/>
          <w:lang w:val="en-US" w:eastAsia="zh-CN"/>
        </w:rPr>
        <w:t>法律保障。</w:t>
      </w:r>
    </w:p>
    <w:p w14:paraId="2DEB133E">
      <w:pPr>
        <w:pStyle w:val="26"/>
        <w:keepNext w:val="0"/>
        <w:keepLines w:val="0"/>
        <w:pageBreakBefore w:val="0"/>
        <w:numPr>
          <w:ilvl w:val="0"/>
          <w:numId w:val="4"/>
        </w:numPr>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t>“三权分置”模式对数据权能分置的改造</w:t>
      </w:r>
    </w:p>
    <w:p w14:paraId="336BBE60">
      <w:pPr>
        <w:pStyle w:val="26"/>
        <w:pageBreakBefore w:val="0"/>
        <w:kinsoku/>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color w:val="auto"/>
          <w:kern w:val="0"/>
          <w:sz w:val="24"/>
          <w:szCs w:val="24"/>
          <w:highlight w:val="none"/>
          <w:lang w:val="en-US" w:eastAsia="zh-CN" w:bidi="ar"/>
        </w:rPr>
      </w:pPr>
      <w:r>
        <w:rPr>
          <w:rFonts w:hint="eastAsia"/>
          <w:color w:val="auto"/>
          <w:highlight w:val="none"/>
          <w:lang w:val="en-US" w:eastAsia="zh-CN"/>
        </w:rPr>
        <w:t>（一）</w:t>
      </w:r>
      <w:r>
        <w:rPr>
          <w:color w:val="auto"/>
          <w:highlight w:val="none"/>
          <w:lang w:val="en-US" w:eastAsia="zh-CN"/>
        </w:rPr>
        <w:t>数据 “三权分置” 的规范基础与理论前提</w:t>
      </w:r>
    </w:p>
    <w:p w14:paraId="1E14F0A5">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我国数据要素产权治理并未采取以“数据所有权”为中心的单一确权路径，</w:t>
      </w:r>
      <w:r>
        <w:rPr>
          <w:rFonts w:hint="eastAsia" w:asciiTheme="minorEastAsia" w:hAnsiTheme="minorEastAsia" w:cstheme="minorEastAsia"/>
          <w:color w:val="auto"/>
          <w:kern w:val="0"/>
          <w:sz w:val="24"/>
          <w:szCs w:val="24"/>
          <w:highlight w:val="none"/>
          <w:lang w:val="en-US" w:eastAsia="zh-CN" w:bidi="ar"/>
        </w:rPr>
        <w:t>而是</w:t>
      </w:r>
      <w:r>
        <w:rPr>
          <w:rFonts w:hint="eastAsia" w:asciiTheme="minorEastAsia" w:hAnsiTheme="minorEastAsia" w:eastAsiaTheme="minorEastAsia" w:cstheme="minorEastAsia"/>
          <w:color w:val="auto"/>
          <w:kern w:val="0"/>
          <w:sz w:val="24"/>
          <w:szCs w:val="24"/>
          <w:highlight w:val="none"/>
          <w:lang w:val="en-US" w:eastAsia="zh-CN" w:bidi="ar"/>
        </w:rPr>
        <w:t>创新性借鉴了农村土地产权改革中的“三权分置”制度，形成了目前《数据二十条》，中“建立数据资源持有权、数据加工使用权、数据产品经营权的“三权分置”的产权运行机制”。</w:t>
      </w:r>
      <w:r>
        <w:rPr>
          <w:rStyle w:val="16"/>
          <w:rFonts w:hint="eastAsia" w:asciiTheme="minorEastAsia" w:hAnsiTheme="minorEastAsia" w:eastAsiaTheme="minorEastAsia" w:cstheme="minorEastAsia"/>
          <w:color w:val="auto"/>
          <w:kern w:val="0"/>
          <w:sz w:val="24"/>
          <w:szCs w:val="24"/>
          <w:highlight w:val="none"/>
          <w:lang w:val="en-US" w:eastAsia="zh-CN" w:bidi="ar"/>
        </w:rPr>
        <w:t>[</w:t>
      </w:r>
      <w:r>
        <w:rPr>
          <w:rStyle w:val="16"/>
          <w:rFonts w:hint="eastAsia" w:asciiTheme="minorEastAsia" w:hAnsiTheme="minorEastAsia" w:eastAsiaTheme="minorEastAsia" w:cstheme="minorEastAsia"/>
          <w:color w:val="auto"/>
          <w:kern w:val="0"/>
          <w:sz w:val="24"/>
          <w:szCs w:val="24"/>
          <w:highlight w:val="none"/>
          <w:lang w:val="en-US" w:eastAsia="zh-CN" w:bidi="ar"/>
        </w:rPr>
        <w:footnoteReference w:id="10"/>
      </w:r>
      <w:r>
        <w:rPr>
          <w:rStyle w:val="16"/>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eastAsiaTheme="minorEastAsia" w:cstheme="minorEastAsia"/>
          <w:color w:val="auto"/>
          <w:kern w:val="0"/>
          <w:sz w:val="24"/>
          <w:szCs w:val="24"/>
          <w:highlight w:val="none"/>
          <w:lang w:val="en-US" w:eastAsia="zh-CN" w:bidi="ar"/>
        </w:rPr>
        <w:t>这一规定的出台体现了我国对于数据确权的中国特色开创性探索，其为数字经济的发展奠定了重要基调，不再抽象追问“数据归谁所有”，而围绕数据生成、加工、流通、经营的不同环节，对不同主体可行使的权能进行分层配置。</w:t>
      </w:r>
    </w:p>
    <w:p w14:paraId="6E1D9999">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Theme="minorEastAsia" w:hAnsiTheme="minorEastAsia" w:cstheme="minorEastAsia"/>
          <w:color w:val="auto"/>
          <w:kern w:val="0"/>
          <w:sz w:val="24"/>
          <w:szCs w:val="24"/>
          <w:highlight w:val="none"/>
          <w:lang w:val="en-US" w:eastAsia="zh-CN" w:bidi="ar"/>
        </w:rPr>
        <w:t>有学者指出，农地“三权分置”所形成的新型权利架构，因其复杂性而超出大陆法系传统民法经验，在英美财产法历史上亦属少见。</w:t>
      </w:r>
      <w:r>
        <w:rPr>
          <w:rFonts w:hint="eastAsia" w:asciiTheme="minorEastAsia" w:hAnsiTheme="minorEastAsia" w:cstheme="minorEastAsia"/>
          <w:color w:val="auto"/>
          <w:kern w:val="0"/>
          <w:sz w:val="24"/>
          <w:szCs w:val="24"/>
          <w:highlight w:val="none"/>
          <w:vertAlign w:val="superscript"/>
          <w:lang w:val="en-US" w:eastAsia="zh-CN" w:bidi="ar"/>
        </w:rPr>
        <w:t>[</w:t>
      </w:r>
      <w:r>
        <w:rPr>
          <w:rFonts w:hint="eastAsia" w:asciiTheme="minorEastAsia" w:hAnsiTheme="minorEastAsia" w:cstheme="minorEastAsia"/>
          <w:color w:val="auto"/>
          <w:kern w:val="0"/>
          <w:sz w:val="24"/>
          <w:szCs w:val="24"/>
          <w:highlight w:val="none"/>
          <w:vertAlign w:val="superscript"/>
          <w:lang w:val="en-US" w:eastAsia="zh-CN" w:bidi="ar"/>
        </w:rPr>
        <w:footnoteReference w:id="11"/>
      </w:r>
      <w:r>
        <w:rPr>
          <w:rFonts w:hint="eastAsia" w:asciiTheme="minorEastAsia" w:hAnsiTheme="minorEastAsia" w:cstheme="minorEastAsia"/>
          <w:color w:val="auto"/>
          <w:kern w:val="0"/>
          <w:sz w:val="24"/>
          <w:szCs w:val="24"/>
          <w:highlight w:val="none"/>
          <w:vertAlign w:val="superscript"/>
          <w:lang w:val="en-US" w:eastAsia="zh-CN" w:bidi="ar"/>
        </w:rPr>
        <w:t>]</w:t>
      </w:r>
      <w:r>
        <w:rPr>
          <w:rFonts w:hint="eastAsia" w:asciiTheme="minorEastAsia" w:hAnsiTheme="minorEastAsia" w:cstheme="minorEastAsia"/>
          <w:color w:val="auto"/>
          <w:kern w:val="0"/>
          <w:sz w:val="24"/>
          <w:szCs w:val="24"/>
          <w:highlight w:val="none"/>
          <w:lang w:val="en-US" w:eastAsia="zh-CN" w:bidi="ar"/>
        </w:rPr>
        <w:t>与之相似，数据领域的“三权分置”改革同样面临理论供给不足、制度经验匮乏的双重困境。在既有的物权体系与财产权理论中，难以找到完全匹配的数据权利结构范本，学界与立法层面只能在实践中逐步探索、逐步定型。正如习近平总书记在“第</w:t>
      </w:r>
      <w:r>
        <w:rPr>
          <w:rFonts w:ascii="宋体" w:hAnsi="宋体" w:eastAsia="宋体" w:cs="宋体"/>
          <w:color w:val="auto"/>
          <w:kern w:val="0"/>
          <w:sz w:val="24"/>
          <w:szCs w:val="24"/>
          <w:highlight w:val="none"/>
          <w:lang w:val="en-US" w:eastAsia="zh-CN" w:bidi="ar"/>
        </w:rPr>
        <w:t>十八届中央政治局第二次集体学习时的讲话</w:t>
      </w:r>
      <w:r>
        <w:rPr>
          <w:rFonts w:hint="eastAsia" w:ascii="宋体" w:hAnsi="宋体" w:eastAsia="宋体" w:cs="宋体"/>
          <w:color w:val="auto"/>
          <w:kern w:val="0"/>
          <w:sz w:val="24"/>
          <w:szCs w:val="24"/>
          <w:highlight w:val="none"/>
          <w:lang w:val="en-US" w:eastAsia="zh-CN" w:bidi="ar"/>
        </w:rPr>
        <w:t>”中所提到的：改革开放是前无古人的崭新事业，必须坚持正确的方法论，在不断实践探索中推进。摸着石头过河，是富有中国特色、符合中国国情的改革方法。摸着石头过河就是摸规律，从实践中获得真知。”</w:t>
      </w:r>
      <w:r>
        <w:rPr>
          <w:rStyle w:val="16"/>
          <w:rFonts w:hint="eastAsia" w:ascii="宋体" w:hAnsi="宋体" w:eastAsia="宋体" w:cs="宋体"/>
          <w:color w:val="auto"/>
          <w:kern w:val="0"/>
          <w:sz w:val="24"/>
          <w:szCs w:val="24"/>
          <w:highlight w:val="none"/>
          <w:lang w:val="en-US" w:eastAsia="zh-CN" w:bidi="ar"/>
        </w:rPr>
        <w:t>[</w:t>
      </w:r>
      <w:r>
        <w:rPr>
          <w:rStyle w:val="16"/>
          <w:rFonts w:hint="eastAsia" w:ascii="宋体" w:hAnsi="宋体" w:eastAsia="宋体" w:cs="宋体"/>
          <w:color w:val="auto"/>
          <w:kern w:val="0"/>
          <w:sz w:val="24"/>
          <w:szCs w:val="24"/>
          <w:highlight w:val="none"/>
          <w:lang w:val="en-US" w:eastAsia="zh-CN" w:bidi="ar"/>
        </w:rPr>
        <w:footnoteReference w:id="12"/>
      </w:r>
      <w:r>
        <w:rPr>
          <w:rStyle w:val="16"/>
          <w:rFonts w:hint="eastAsia" w:ascii="宋体" w:hAnsi="宋体" w:eastAsia="宋体"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同样的，我国对于数据领域权能分置创造性提出的“三权分置”无异于摸着石头过河，在2025最新发布的《全球数字经济发展指数2025》报告显示，即使是在全球经济复苏乏力的大背景下，中国数字经济继续展现出强劲韧性与活力，中国的数字经济综合实力稳居全球第二，在全球发展的震荡态势中，保持着增长定力。</w:t>
      </w:r>
      <w:r>
        <w:rPr>
          <w:rStyle w:val="16"/>
          <w:rFonts w:hint="eastAsia" w:ascii="宋体" w:hAnsi="宋体" w:eastAsia="宋体" w:cs="宋体"/>
          <w:color w:val="auto"/>
          <w:kern w:val="0"/>
          <w:sz w:val="24"/>
          <w:szCs w:val="24"/>
          <w:highlight w:val="none"/>
          <w:lang w:val="en-US" w:eastAsia="zh-CN" w:bidi="ar"/>
        </w:rPr>
        <w:t>[</w:t>
      </w:r>
      <w:r>
        <w:rPr>
          <w:rStyle w:val="16"/>
          <w:rFonts w:hint="eastAsia" w:ascii="宋体" w:hAnsi="宋体" w:eastAsia="宋体" w:cs="宋体"/>
          <w:color w:val="auto"/>
          <w:kern w:val="0"/>
          <w:sz w:val="24"/>
          <w:szCs w:val="24"/>
          <w:highlight w:val="none"/>
          <w:lang w:val="en-US" w:eastAsia="zh-CN" w:bidi="ar"/>
        </w:rPr>
        <w:footnoteReference w:id="13"/>
      </w:r>
      <w:r>
        <w:rPr>
          <w:rStyle w:val="16"/>
          <w:rFonts w:hint="eastAsia" w:ascii="宋体" w:hAnsi="宋体" w:eastAsia="宋体"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这也从侧面反映我国数字经济有着极强的落地前景，可持续发展潜力。</w:t>
      </w:r>
    </w:p>
    <w:p w14:paraId="3E4EE3D8">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进一步说，国家政策对于”三权分置“的选择，是与数据要素市场化配置的现实需求高度契合的回应。“三权分置”的规范基础在于其回应了数据作为新型生产要素，与土地、房屋等典型有体物不同，数据具有非排他性、可复制性、非消耗性与多主体协同生成等属性。这些属性决定了数据权利的运行模型选择，一方面，过强的排他控制会抬高数据流通成本，形成数据壁垒，抑制数据复用与价值释放；另一方面，过于粗疏的“归属化”表达又会掩盖数据处理链条中实际存在的多元利益和责任分配问题，进而在个人信息、平台治理、数据安全这三者之间放大合规风险。</w:t>
      </w:r>
    </w:p>
    <w:p w14:paraId="7269DC35">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因此，“数据二十条”围绕坚持促进数据合规高效流通使用、赋能实体经济这一主线，兼顾数据经济价值和人格利益承载客体的特性，即没有仅以私法上的交易与合意逻辑理解数据流通，又避免忽视个人信息保护、公平竞争、公共安全等公法价值。也就是说，“三权分置”理论的意义不在于强化某一主体的绝对支配地位，而在于通过权能拆分，为多元利益在同一数据链条中的并存与协调提供结构化表达。</w:t>
      </w:r>
    </w:p>
    <w:p w14:paraId="76B9FB99">
      <w:pPr>
        <w:pStyle w:val="26"/>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（二）数据要素配置改革的分层结构</w:t>
      </w:r>
    </w:p>
    <w:p w14:paraId="6597602B">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我国数据要素基础制度采用横向分类、纵向分权的双层结构：横向按照数据主体与来源划分为个人数据、企业数据、公共数据三类，纵向</w:t>
      </w:r>
      <w:r>
        <w:rPr>
          <w:rFonts w:hint="eastAsia" w:asciiTheme="minorEastAsia" w:hAnsiTheme="minorEastAsia" w:cstheme="minorEastAsia"/>
          <w:color w:val="auto"/>
          <w:sz w:val="24"/>
          <w:szCs w:val="24"/>
          <w:highlight w:val="none"/>
          <w:lang w:val="en-US" w:eastAsia="zh-CN"/>
        </w:rPr>
        <w:t>分权依据</w:t>
      </w:r>
      <w:r>
        <w:rPr>
          <w:rFonts w:hint="eastAsia" w:asciiTheme="minorEastAsia" w:hAnsiTheme="minorEastAsia" w:eastAsiaTheme="minorEastAsia" w:cstheme="minorEastAsia"/>
          <w:color w:val="auto"/>
          <w:sz w:val="24"/>
          <w:szCs w:val="24"/>
          <w:highlight w:val="none"/>
          <w:lang w:val="en-US" w:eastAsia="zh-CN"/>
        </w:rPr>
        <w:t>数据流转与利用环节</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实行数据资源持有权、数据加工使用权、数据产品经营权的</w:t>
      </w:r>
      <w:r>
        <w:rPr>
          <w:rFonts w:hint="eastAsia" w:asciiTheme="minorEastAsia" w:hAnsiTheme="minorEastAsia" w:cstheme="minorEastAsia"/>
          <w:color w:val="auto"/>
          <w:sz w:val="24"/>
          <w:szCs w:val="24"/>
          <w:highlight w:val="none"/>
          <w:lang w:val="en-US" w:eastAsia="zh-CN"/>
        </w:rPr>
        <w:t>数据</w:t>
      </w:r>
      <w:r>
        <w:rPr>
          <w:rFonts w:hint="eastAsia" w:asciiTheme="minorEastAsia" w:hAnsiTheme="minorEastAsia" w:eastAsiaTheme="minorEastAsia" w:cstheme="minorEastAsia"/>
          <w:color w:val="auto"/>
          <w:sz w:val="24"/>
          <w:szCs w:val="24"/>
          <w:highlight w:val="none"/>
          <w:lang w:val="en-US" w:eastAsia="zh-CN"/>
        </w:rPr>
        <w:t>产权</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4"/>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结构性分置，共同构成数据要素市场化配置的核心制度框架。</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5"/>
      </w:r>
      <w:r>
        <w:rPr>
          <w:rStyle w:val="16"/>
          <w:rFonts w:hint="eastAsia" w:asciiTheme="minorEastAsia" w:hAnsiTheme="minorEastAsia" w:eastAsiaTheme="minorEastAsia" w:cstheme="minorEastAsia"/>
          <w:color w:val="auto"/>
          <w:sz w:val="24"/>
          <w:szCs w:val="24"/>
          <w:highlight w:val="none"/>
          <w:lang w:val="en-US" w:eastAsia="zh-CN"/>
        </w:rPr>
        <w:t>]</w:t>
      </w:r>
    </w:p>
    <w:p w14:paraId="01AAAC1C">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从技术与治理实践看，数据确权大致可区分为“整体确权”与“进程确权”两种模式。</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6"/>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前者试图通过集中论证完成概括性的权利确认，后者则侧重在数据运行过程中通过技术性标记、留痕与追溯实现阶段性、局部性的权利识别。相较之下，进程确权”更能回应数据可复制、多主体参与、链条式流通等特性。就我国当前制度实践而言，无论是“三权分置”的权能分层配置思路，还是对数据流通全过程合规留痕、责任可追溯的强调，均显示出与“进程确权”逻辑更为契合的制度取向。</w:t>
      </w:r>
    </w:p>
    <w:p w14:paraId="7CA8072C">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就市场化功能而言，</w:t>
      </w:r>
      <w:r>
        <w:rPr>
          <w:rFonts w:hint="eastAsia" w:asciiTheme="minorEastAsia" w:hAnsiTheme="minorEastAsia" w:cstheme="minorEastAsia"/>
          <w:color w:val="auto"/>
          <w:sz w:val="24"/>
          <w:szCs w:val="24"/>
          <w:highlight w:val="none"/>
          <w:lang w:val="en-US" w:eastAsia="zh-CN"/>
        </w:rPr>
        <w:t>纵向</w:t>
      </w:r>
      <w:r>
        <w:rPr>
          <w:rFonts w:hint="eastAsia" w:asciiTheme="minorEastAsia" w:hAnsiTheme="minorEastAsia" w:eastAsiaTheme="minorEastAsia" w:cstheme="minorEastAsia"/>
          <w:color w:val="auto"/>
          <w:sz w:val="24"/>
          <w:szCs w:val="24"/>
          <w:highlight w:val="none"/>
          <w:lang w:val="en-US" w:eastAsia="zh-CN"/>
        </w:rPr>
        <w:t>三项权能分别承担不同制度角色。其一，数据资源持有权</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主要回应数据资源合法持有、组织管理与稳定控制的需求，它是指权利人自行持有或委托他人代为持有合法获取的数据的权利，旨在防范他人非法违规窃取、篡改、泄露或者破坏持有权人持有的数据。</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7"/>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w:t>
      </w:r>
      <w:r>
        <w:rPr>
          <w:rFonts w:hint="eastAsia" w:asciiTheme="minorEastAsia" w:hAnsiTheme="minorEastAsia" w:cstheme="minorEastAsia"/>
          <w:color w:val="auto"/>
          <w:sz w:val="24"/>
          <w:szCs w:val="24"/>
          <w:highlight w:val="none"/>
          <w:lang w:val="en-US" w:eastAsia="zh-CN"/>
        </w:rPr>
        <w:t>是</w:t>
      </w:r>
      <w:r>
        <w:rPr>
          <w:rFonts w:hint="eastAsia" w:asciiTheme="minorEastAsia" w:hAnsiTheme="minorEastAsia" w:eastAsiaTheme="minorEastAsia" w:cstheme="minorEastAsia"/>
          <w:color w:val="auto"/>
          <w:sz w:val="24"/>
          <w:szCs w:val="24"/>
          <w:highlight w:val="none"/>
          <w:lang w:val="en-US" w:eastAsia="zh-CN"/>
        </w:rPr>
        <w:t>确认主体对原始数据或基础数据资源的合法掌控</w:t>
      </w:r>
      <w:r>
        <w:rPr>
          <w:rFonts w:hint="eastAsia" w:asciiTheme="minorEastAsia" w:hAnsiTheme="minorEastAsia" w:cstheme="minorEastAsia"/>
          <w:color w:val="auto"/>
          <w:sz w:val="24"/>
          <w:szCs w:val="24"/>
          <w:highlight w:val="none"/>
          <w:lang w:val="en-US" w:eastAsia="zh-CN"/>
        </w:rPr>
        <w:t>权</w:t>
      </w:r>
      <w:r>
        <w:rPr>
          <w:rFonts w:hint="eastAsia" w:asciiTheme="minorEastAsia" w:hAnsiTheme="minorEastAsia" w:eastAsiaTheme="minorEastAsia" w:cstheme="minorEastAsia"/>
          <w:color w:val="auto"/>
          <w:sz w:val="24"/>
          <w:szCs w:val="24"/>
          <w:highlight w:val="none"/>
          <w:lang w:val="en-US" w:eastAsia="zh-CN"/>
        </w:rPr>
        <w:t>，相当于为数据进入市场流通和开发利用打开第一道“入口</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没有这项权能，数据就缺乏合法、稳定的“身份”与归属基础，后续利用和交易都无从谈起。其二，数据加工使用权</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主要对应数据清洗、分析、建模、开发等价值创造环节，保障数据处理者在合法来源和合规用途前提下开展持续利用</w:t>
      </w:r>
      <w:r>
        <w:rPr>
          <w:rFonts w:hint="eastAsia" w:asciiTheme="minorEastAsia" w:hAnsiTheme="minorEastAsia" w:cstheme="minorEastAsia"/>
          <w:color w:val="auto"/>
          <w:sz w:val="24"/>
          <w:szCs w:val="24"/>
          <w:highlight w:val="none"/>
          <w:lang w:val="en-US" w:eastAsia="zh-CN"/>
        </w:rPr>
        <w:t>，具体是指权利人通过加工、聚合、分析等方式，将数据用于优化生产经营、形成衍生数据等的权利。一般来说，权利人不对外提供，仅供自身内部使用。</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18"/>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其三，数据经营权，是指权利人通过转让、许可、出资或者设立担保等有偿或无偿的方式对外提供数据的权利</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9"/>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其主要</w:t>
      </w:r>
      <w:r>
        <w:rPr>
          <w:rFonts w:hint="eastAsia" w:asciiTheme="minorEastAsia" w:hAnsiTheme="minorEastAsia" w:eastAsiaTheme="minorEastAsia" w:cstheme="minorEastAsia"/>
          <w:color w:val="auto"/>
          <w:sz w:val="24"/>
          <w:szCs w:val="24"/>
          <w:highlight w:val="none"/>
          <w:lang w:val="en-US" w:eastAsia="zh-CN"/>
        </w:rPr>
        <w:t>承担数据价值外化、市场交易组织与收益分配实现的功能，是数据要素市场化配置的最终落地环节。</w:t>
      </w:r>
    </w:p>
    <w:p w14:paraId="399304C0">
      <w:pPr>
        <w:pStyle w:val="26"/>
        <w:numPr>
          <w:numId w:val="0"/>
        </w:numPr>
        <w:bidi w:val="0"/>
        <w:ind w:leftChars="0"/>
        <w:rPr>
          <w:rFonts w:hint="eastAsia"/>
          <w:color w:val="auto"/>
          <w:highlight w:val="none"/>
          <w:lang w:val="en-US" w:eastAsia="zh-CN"/>
        </w:rPr>
      </w:pPr>
      <w:r>
        <w:rPr>
          <w:rFonts w:hint="eastAsia"/>
          <w:color w:val="auto"/>
          <w:highlight w:val="none"/>
          <w:lang w:val="en-US" w:eastAsia="zh-CN"/>
        </w:rPr>
        <w:t>（三）“三权分置”的运行边界</w:t>
      </w:r>
    </w:p>
    <w:p w14:paraId="5E4CD0BE">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三权分置”的制度价值，并不在于将数据塑造成一种可以脱离约束自由流转的绝对财产权，而在于在承认数据多主体贡献、多环节生成和多场景利用的基础上，通过权能分置实现市场化配置，并以公法规范划定其运行边界。黑格尔在《法哲学原理》中说过“无权利即无义务，无义务即无权利”</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0"/>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即</w:t>
      </w:r>
      <w:r>
        <w:rPr>
          <w:rFonts w:hint="eastAsia" w:asciiTheme="minorEastAsia" w:hAnsiTheme="minorEastAsia" w:eastAsiaTheme="minorEastAsia" w:cstheme="minorEastAsia"/>
          <w:color w:val="auto"/>
          <w:sz w:val="24"/>
          <w:szCs w:val="24"/>
          <w:highlight w:val="none"/>
          <w:lang w:val="en-US" w:eastAsia="zh-CN"/>
        </w:rPr>
        <w:t>数据产权治理的重点并非</w:t>
      </w:r>
      <w:r>
        <w:rPr>
          <w:rFonts w:hint="eastAsia" w:asciiTheme="minorEastAsia" w:hAnsiTheme="minorEastAsia" w:cstheme="minorEastAsia"/>
          <w:color w:val="auto"/>
          <w:sz w:val="24"/>
          <w:szCs w:val="24"/>
          <w:highlight w:val="none"/>
          <w:lang w:val="en-US" w:eastAsia="zh-CN"/>
        </w:rPr>
        <w:t>只需</w:t>
      </w:r>
      <w:r>
        <w:rPr>
          <w:rFonts w:hint="eastAsia" w:asciiTheme="minorEastAsia" w:hAnsiTheme="minorEastAsia" w:eastAsiaTheme="minorEastAsia" w:cstheme="minorEastAsia"/>
          <w:color w:val="auto"/>
          <w:sz w:val="24"/>
          <w:szCs w:val="24"/>
          <w:highlight w:val="none"/>
          <w:lang w:val="en-US" w:eastAsia="zh-CN"/>
        </w:rPr>
        <w:t>回答“谁是唯一权利人”，而是</w:t>
      </w:r>
      <w:r>
        <w:rPr>
          <w:rFonts w:hint="eastAsia" w:asciiTheme="minorEastAsia" w:hAnsiTheme="minorEastAsia" w:cstheme="minorEastAsia"/>
          <w:color w:val="auto"/>
          <w:sz w:val="24"/>
          <w:szCs w:val="24"/>
          <w:highlight w:val="none"/>
          <w:lang w:val="en-US" w:eastAsia="zh-CN"/>
        </w:rPr>
        <w:t>更应该</w:t>
      </w:r>
      <w:r>
        <w:rPr>
          <w:rFonts w:hint="eastAsia" w:asciiTheme="minorEastAsia" w:hAnsiTheme="minorEastAsia" w:eastAsiaTheme="minorEastAsia" w:cstheme="minorEastAsia"/>
          <w:color w:val="auto"/>
          <w:sz w:val="24"/>
          <w:szCs w:val="24"/>
          <w:highlight w:val="none"/>
          <w:lang w:val="en-US" w:eastAsia="zh-CN"/>
        </w:rPr>
        <w:t>回答“谁在何种环节、基于何种贡献享有何种权能，并承担何种义务”。这一点，是“三权分置”具有解释力与制度可操作性的关键。</w:t>
      </w:r>
    </w:p>
    <w:p w14:paraId="5D82F9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color w:val="auto"/>
          <w:kern w:val="0"/>
          <w:sz w:val="24"/>
          <w:szCs w:val="24"/>
          <w:highlight w:val="none"/>
          <w:lang w:val="en-US" w:eastAsia="zh-CN" w:bidi="ar"/>
        </w:rPr>
      </w:pPr>
      <w:r>
        <w:rPr>
          <w:rFonts w:hint="eastAsia" w:asciiTheme="minorEastAsia" w:hAnsiTheme="minorEastAsia" w:eastAsiaTheme="minorEastAsia" w:cstheme="minorEastAsia"/>
          <w:color w:val="auto"/>
          <w:sz w:val="24"/>
          <w:szCs w:val="24"/>
          <w:highlight w:val="none"/>
          <w:lang w:val="en-US" w:eastAsia="zh-CN"/>
        </w:rPr>
        <w:t>首先，个人信息保护构成数据权能运行的人格权边界。数据是数字经济运行的基础性资源，数据非生产性资源，其天然来自于个人，企业和国家依赖于个人以收集有关数据</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1"/>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数据处理能力</w:t>
      </w:r>
      <w:r>
        <w:rPr>
          <w:rFonts w:hint="eastAsia" w:asciiTheme="minorEastAsia" w:hAnsiTheme="minorEastAsia" w:cstheme="minorEastAsia"/>
          <w:color w:val="auto"/>
          <w:sz w:val="24"/>
          <w:szCs w:val="24"/>
          <w:highlight w:val="none"/>
          <w:lang w:val="en-US" w:eastAsia="zh-CN"/>
        </w:rPr>
        <w:t>长期</w:t>
      </w:r>
      <w:r>
        <w:rPr>
          <w:rFonts w:hint="eastAsia" w:asciiTheme="minorEastAsia" w:hAnsiTheme="minorEastAsia" w:eastAsiaTheme="minorEastAsia" w:cstheme="minorEastAsia"/>
          <w:color w:val="auto"/>
          <w:sz w:val="24"/>
          <w:szCs w:val="24"/>
          <w:highlight w:val="none"/>
          <w:lang w:val="en-US" w:eastAsia="zh-CN"/>
        </w:rPr>
        <w:t>在国家机关、平台企业及其他信息中介之间高度集中，个人作为数据原生来源却在知情、同意、救济与议价能力方面相对弱势。</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2"/>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宋体" w:hAnsi="宋体" w:eastAsia="宋体" w:cs="宋体"/>
          <w:color w:val="auto"/>
          <w:kern w:val="0"/>
          <w:sz w:val="24"/>
          <w:szCs w:val="24"/>
          <w:highlight w:val="none"/>
          <w:lang w:val="en-US" w:eastAsia="zh-CN" w:bidi="ar"/>
        </w:rPr>
        <w:t>因此，在</w:t>
      </w:r>
      <w:r>
        <w:rPr>
          <w:rFonts w:ascii="宋体" w:hAnsi="宋体" w:eastAsia="宋体" w:cs="宋体"/>
          <w:color w:val="auto"/>
          <w:kern w:val="0"/>
          <w:sz w:val="24"/>
          <w:szCs w:val="24"/>
          <w:highlight w:val="none"/>
          <w:lang w:val="en-US" w:eastAsia="zh-CN" w:bidi="ar"/>
        </w:rPr>
        <w:t>涉及个人信息的数据处理场景中，数据资源持有权、数据加工使用权、数据产品经营权的行使，均不得突破个人信息保护法所确立的人格权益底线。个人信息处理并非因“市场化利用”目的而当然合法，而必须以法定处理条件为前提，并遵守目的限制、最小必要、公开透明等规则。</w:t>
      </w:r>
    </w:p>
    <w:p w14:paraId="0203B2C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color w:val="auto"/>
          <w:kern w:val="0"/>
          <w:sz w:val="24"/>
          <w:szCs w:val="24"/>
          <w:highlight w:val="none"/>
          <w:lang w:val="en-US" w:eastAsia="zh-CN" w:bidi="ar"/>
        </w:rPr>
      </w:pPr>
      <w:r>
        <w:rPr>
          <w:rFonts w:ascii="宋体" w:hAnsi="宋体" w:eastAsia="宋体" w:cs="宋体"/>
          <w:color w:val="auto"/>
          <w:kern w:val="0"/>
          <w:sz w:val="24"/>
          <w:szCs w:val="24"/>
          <w:highlight w:val="none"/>
          <w:lang w:val="en-US" w:eastAsia="zh-CN" w:bidi="ar"/>
        </w:rPr>
        <w:t>这意味着，“三权分置”所分置的是数据市场化利用中的功能性权能，而非对个人信息人格权益底线的处分权限。即便企业或平台基于投入形成了加工和经营能力，其权能行使仍须受个人信息主体权利约束，不能以数据产品经营或交易安排为由消解个人的知情、决定、查询、更正、删除等法定权益。个人信息保护法同时确立了处理者的安全保障义务与责任原则，要求处理者对个人信息处理活动负责，并采取必要措施保障所处理个人信息的安全</w:t>
      </w:r>
    </w:p>
    <w:p w14:paraId="6C779CFB">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次，传统政府治理模式下的行政法以公共利益为导向，秉持着数据工具主义的理念，过大扩充了数据政务的范围，将政务数据视为国有财产,忽视市场主体获取利益和参与公平竞争的需要，这导致了数据管理的封闭性和逐利性，各利益主体之间冲突明显。</w:t>
      </w:r>
      <w:r>
        <w:rPr>
          <w:rFonts w:hint="eastAsia" w:asciiTheme="minorEastAsia" w:hAnsi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vertAlign w:val="superscript"/>
          <w:lang w:val="en-US" w:eastAsia="zh-CN"/>
        </w:rPr>
        <w:footnoteReference w:id="23"/>
      </w:r>
      <w:r>
        <w:rPr>
          <w:rFonts w:hint="eastAsia" w:asciiTheme="minorEastAsia" w:hAnsi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lang w:val="en-US" w:eastAsia="zh-CN"/>
        </w:rPr>
        <w:t>此外数据</w:t>
      </w:r>
      <w:r>
        <w:rPr>
          <w:rFonts w:hint="eastAsia" w:asciiTheme="minorEastAsia" w:hAnsiTheme="minorEastAsia" w:eastAsiaTheme="minorEastAsia" w:cstheme="minorEastAsia"/>
          <w:color w:val="auto"/>
          <w:sz w:val="24"/>
          <w:szCs w:val="24"/>
          <w:highlight w:val="none"/>
          <w:lang w:val="en-US" w:eastAsia="zh-CN"/>
        </w:rPr>
        <w:t>处理权力</w:t>
      </w:r>
      <w:r>
        <w:rPr>
          <w:rFonts w:hint="eastAsia" w:asciiTheme="minorEastAsia" w:hAnsiTheme="minorEastAsia" w:cstheme="minorEastAsia"/>
          <w:color w:val="auto"/>
          <w:sz w:val="24"/>
          <w:szCs w:val="24"/>
          <w:highlight w:val="none"/>
          <w:lang w:val="en-US" w:eastAsia="zh-CN"/>
        </w:rPr>
        <w:t>还</w:t>
      </w:r>
      <w:r>
        <w:rPr>
          <w:rFonts w:hint="eastAsia" w:asciiTheme="minorEastAsia" w:hAnsiTheme="minorEastAsia" w:eastAsiaTheme="minorEastAsia" w:cstheme="minorEastAsia"/>
          <w:color w:val="auto"/>
          <w:sz w:val="24"/>
          <w:szCs w:val="24"/>
          <w:highlight w:val="none"/>
          <w:lang w:val="en-US" w:eastAsia="zh-CN"/>
        </w:rPr>
        <w:t>存在过于分散的问题，其直接导致了数据针对性的滥用，正如迈克尔在社会权力的来源中所提到的，权力通过影响与被影响、支配与被支配来彰显其价值。</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4"/>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而这种权力过于膨胀导致其侵害社会公众利益，这是我们不愿意看到，也是绝对不允许的。</w:t>
      </w:r>
      <w:r>
        <w:rPr>
          <w:rFonts w:hint="eastAsia" w:asciiTheme="minorEastAsia" w:hAnsiTheme="minorEastAsia" w:cstheme="minorEastAsia"/>
          <w:color w:val="auto"/>
          <w:sz w:val="24"/>
          <w:szCs w:val="24"/>
          <w:highlight w:val="none"/>
          <w:lang w:val="en-US" w:eastAsia="zh-CN"/>
        </w:rPr>
        <w:t>数据安全要求构成数据权能运行的系统安全边界。数据要素市场化并不只是交易规则问题，转变政府职能是行政体制改革的永恒主题，依法转变政府职能是法治建设尤其是法治政府建设的必然要求与题中之义。在“互联网 + ”时代，政府治理模式创新的步伐会加快，网络化治理模式会逐步定型并发挥巨大功用。而政府治理模式创新必须置于法治轨道上，因为“法治是国家治理体系和治理能力的重要依托。</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25"/>
      </w:r>
      <w:r>
        <w:rPr>
          <w:rStyle w:val="16"/>
          <w:rFonts w:hint="eastAsia" w:asciiTheme="minorEastAsia" w:hAnsiTheme="minorEastAsia" w:cstheme="minorEastAsia"/>
          <w:color w:val="auto"/>
          <w:sz w:val="24"/>
          <w:szCs w:val="24"/>
          <w:highlight w:val="none"/>
          <w:lang w:val="en-US" w:eastAsia="zh-CN"/>
        </w:rPr>
        <w:t>]</w:t>
      </w:r>
    </w:p>
    <w:p w14:paraId="0A7C0F7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再次，</w:t>
      </w:r>
      <w:r>
        <w:rPr>
          <w:rFonts w:hint="eastAsia" w:asciiTheme="minorEastAsia" w:hAnsiTheme="minorEastAsia" w:cstheme="minorEastAsia"/>
          <w:i w:val="0"/>
          <w:iCs w:val="0"/>
          <w:caps w:val="0"/>
          <w:color w:val="auto"/>
          <w:spacing w:val="0"/>
          <w:sz w:val="24"/>
          <w:szCs w:val="24"/>
          <w:highlight w:val="none"/>
          <w:u w:val="none"/>
          <w:lang w:val="en-US" w:eastAsia="zh-CN"/>
        </w:rPr>
        <w:t>企业数据带来的</w:t>
      </w:r>
      <w:r>
        <w:rPr>
          <w:rFonts w:hint="eastAsia" w:asciiTheme="minorEastAsia" w:hAnsiTheme="minorEastAsia" w:eastAsiaTheme="minorEastAsia" w:cstheme="minorEastAsia"/>
          <w:i w:val="0"/>
          <w:iCs w:val="0"/>
          <w:caps w:val="0"/>
          <w:color w:val="auto"/>
          <w:spacing w:val="0"/>
          <w:sz w:val="24"/>
          <w:szCs w:val="24"/>
          <w:highlight w:val="none"/>
          <w:u w:val="none"/>
        </w:rPr>
        <w:t>系统性风险体现为大型平台在技术、资源与算法优势的驱动下，能够对用户实现深度画像、精准操控甚至潜在歧视性定价，使得“数据越集中，权力越集中”的趋势不断强化。其次，隐蔽性风险表现为数据处理链条冗长复杂，用户往往难以察知自身数据在被何种主体、基于何种目的、经由何种路径使用，导致同意被异化为形式化、一次性授权。再次，数据滥用的外部性效应显著，某一企业的违规行为可能导致数以千万计用户的信息泄露或滥用，其社会成本远大于企业自身的违法收益，这也解释了为何滴滴案被视为我国数据治理强化的重要节点事件。</w:t>
      </w:r>
      <w:r>
        <w:rPr>
          <w:rFonts w:hint="eastAsia" w:asciiTheme="minorEastAsia" w:hAnsiTheme="minorEastAsia" w:cstheme="minorEastAsia"/>
          <w:i w:val="0"/>
          <w:iCs w:val="0"/>
          <w:caps w:val="0"/>
          <w:color w:val="auto"/>
          <w:spacing w:val="0"/>
          <w:sz w:val="24"/>
          <w:szCs w:val="24"/>
          <w:highlight w:val="none"/>
          <w:u w:val="none"/>
          <w:lang w:val="en-US" w:eastAsia="zh-CN"/>
        </w:rPr>
        <w:t>针对以上风险，我国采取了“在公法边界内推进市场化”，通过赋权与监管并行，促使企业数据能力在可审计、可追责、可纠偏的框架内运行的边界原则。</w:t>
      </w:r>
    </w:p>
    <w:p w14:paraId="4BCC7405">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heme="minorEastAsia" w:hAnsiTheme="minorEastAsia" w:eastAsiaTheme="minorEastAsia" w:cstheme="minorEastAsia"/>
          <w:i w:val="0"/>
          <w:iCs w:val="0"/>
          <w:caps w:val="0"/>
          <w:color w:val="auto"/>
          <w:spacing w:val="0"/>
          <w:sz w:val="24"/>
          <w:szCs w:val="24"/>
          <w:highlight w:val="none"/>
          <w:u w:val="none"/>
        </w:rPr>
      </w:pPr>
      <w:r>
        <w:rPr>
          <w:rFonts w:hint="eastAsia" w:asciiTheme="minorEastAsia" w:hAnsiTheme="minorEastAsia" w:eastAsiaTheme="minorEastAsia" w:cstheme="minorEastAsia"/>
          <w:i w:val="0"/>
          <w:iCs w:val="0"/>
          <w:caps w:val="0"/>
          <w:color w:val="auto"/>
          <w:spacing w:val="0"/>
          <w:sz w:val="24"/>
          <w:szCs w:val="24"/>
          <w:highlight w:val="none"/>
          <w:u w:val="none"/>
        </w:rPr>
        <w:t>因此，在数据成为国家战略性生产要素的时代，仅仅依靠传统行政监管或道德约束，已经难以有效回应数据要素规模化流通背景下的复杂治理需求。相反，国家必须通过制度重构，明确数据权利边界，形成可问责、可审计、可追溯的治理框架，使得数据在可控可管的前提下实现社会化利用与经济价值释放。</w:t>
      </w:r>
    </w:p>
    <w:p w14:paraId="3EB7E9D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eastAsia="zh-CN"/>
        </w:rPr>
      </w:pPr>
      <w:bookmarkStart w:id="0" w:name="_GoBack"/>
      <w:r>
        <w:rPr>
          <w:rFonts w:hint="eastAsia" w:asciiTheme="minorEastAsia" w:hAnsiTheme="minorEastAsia" w:eastAsiaTheme="minorEastAsia" w:cstheme="minorEastAsia"/>
          <w:i w:val="0"/>
          <w:iCs w:val="0"/>
          <w:caps w:val="0"/>
          <w:color w:val="auto"/>
          <w:spacing w:val="0"/>
          <w:sz w:val="24"/>
          <w:szCs w:val="24"/>
          <w:highlight w:val="none"/>
          <w:u w:val="none"/>
        </w:rPr>
        <w:t>正是在这一背景下，我国推动数据要素市场化改革的制度逻辑逐渐明晰</w:t>
      </w:r>
      <w:r>
        <w:rPr>
          <w:rFonts w:hint="eastAsia" w:asciiTheme="minorEastAsia" w:hAnsiTheme="minorEastAsia" w:eastAsiaTheme="minorEastAsia" w:cstheme="minorEastAsia"/>
          <w:color w:val="auto"/>
          <w:sz w:val="24"/>
          <w:szCs w:val="24"/>
          <w:highlight w:val="none"/>
        </w:rPr>
        <w:t>在前文明确数据要素市场化不能简化为“数据归谁所有”的静态确权问题，而应转向受公法边界约束的权能配置之后，进一步的问题是：在中国制度语境下，数据市场化究竟应当通过何种制度组合推进。结合我国近年的政策实践与制度探索，较为清晰的中国方案并非单一制度突破</w:t>
      </w:r>
      <w:r>
        <w:rPr>
          <w:rFonts w:hint="eastAsia" w:asciiTheme="minorEastAsia" w:hAnsiTheme="minorEastAsia" w:cstheme="minorEastAsia"/>
          <w:color w:val="auto"/>
          <w:sz w:val="24"/>
          <w:szCs w:val="24"/>
          <w:highlight w:val="none"/>
          <w:lang w:eastAsia="zh-CN"/>
        </w:rPr>
        <w:t>。</w:t>
      </w:r>
    </w:p>
    <w:bookmarkEnd w:id="0"/>
    <w:p w14:paraId="632196FF">
      <w:pPr>
        <w:pStyle w:val="3"/>
        <w:keepNext w:val="0"/>
        <w:keepLines w:val="0"/>
        <w:pageBreakBefore w:val="0"/>
        <w:widowControl/>
        <w:numPr>
          <w:ilvl w:val="0"/>
          <w:numId w:val="4"/>
        </w:numPr>
        <w:suppressLineNumbers w:val="0"/>
        <w:kinsoku/>
        <w:wordWrap w:val="0"/>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eastAsia"/>
          <w:color w:val="auto"/>
          <w:sz w:val="28"/>
          <w:szCs w:val="28"/>
          <w:highlight w:val="none"/>
        </w:rPr>
      </w:pPr>
      <w:r>
        <w:rPr>
          <w:rFonts w:hint="eastAsia" w:asciiTheme="minorEastAsia" w:hAnsiTheme="minorEastAsia" w:eastAsiaTheme="minorEastAsia" w:cstheme="minorEastAsia"/>
          <w:color w:val="auto"/>
          <w:sz w:val="28"/>
          <w:szCs w:val="28"/>
          <w:highlight w:val="none"/>
        </w:rPr>
        <w:t>欧盟模式</w:t>
      </w:r>
      <w:r>
        <w:rPr>
          <w:rFonts w:hint="eastAsia" w:asciiTheme="minorEastAsia" w:hAnsiTheme="minorEastAsia" w:eastAsiaTheme="minorEastAsia" w:cstheme="minorEastAsia"/>
          <w:color w:val="auto"/>
          <w:sz w:val="28"/>
          <w:szCs w:val="28"/>
          <w:highlight w:val="none"/>
          <w:lang w:val="en-US" w:eastAsia="zh-CN"/>
        </w:rPr>
        <w:t>对我国数据要素市场化路径探索</w:t>
      </w:r>
      <w:r>
        <w:rPr>
          <w:rFonts w:hint="eastAsia" w:asciiTheme="minorEastAsia" w:hAnsiTheme="minorEastAsia" w:eastAsiaTheme="minorEastAsia" w:cstheme="minorEastAsia"/>
          <w:color w:val="auto"/>
          <w:sz w:val="28"/>
          <w:szCs w:val="28"/>
          <w:highlight w:val="none"/>
        </w:rPr>
        <w:t>的借鉴</w:t>
      </w:r>
    </w:p>
    <w:p w14:paraId="1FA2AA96">
      <w:pPr>
        <w:pStyle w:val="26"/>
        <w:pageBreakBefore w:val="0"/>
        <w:kinsoku/>
        <w:overflowPunct/>
        <w:topLinePunct w:val="0"/>
        <w:autoSpaceDE/>
        <w:autoSpaceDN/>
        <w:bidi w:val="0"/>
        <w:adjustRightInd/>
        <w:snapToGrid/>
        <w:spacing w:line="360" w:lineRule="auto"/>
        <w:jc w:val="both"/>
        <w:textAlignment w:val="auto"/>
        <w:rPr>
          <w:rFonts w:hint="default"/>
          <w:color w:val="auto"/>
          <w:highlight w:val="none"/>
          <w:lang w:val="en-US" w:eastAsia="zh-CN"/>
        </w:rPr>
      </w:pPr>
      <w:r>
        <w:rPr>
          <w:rFonts w:hint="eastAsia"/>
          <w:color w:val="auto"/>
          <w:highlight w:val="none"/>
          <w:lang w:val="en-US" w:eastAsia="zh-CN"/>
        </w:rPr>
        <w:t>（一）欧洲数据权利保护传统的起源</w:t>
      </w:r>
    </w:p>
    <w:p w14:paraId="497EFC3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欧洲作为全球数据治理规范的先行者，其民众对个人信息保护的高度意识，有着深厚的历史积淀。自启蒙运动以来，欧洲便一直是人权运动的核心阵地，康德“人是目的，而非手段”的哲学理念深刻塑造了其法律传统。</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6"/>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而在数字时代的全新课题下，这份对基本人权的坚守与捍卫，自然延伸并演化成了对数据权利的强力保护。</w:t>
      </w:r>
    </w:p>
    <w:p w14:paraId="7578535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这一理论根基在实在法层面得到了明确确认。《欧盟基本权利宪章》第8条将“个人数据保护”确立为一项独立的基本权利，与隐私权并列。</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7"/>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这意味着，在欧盟的法律逻辑中，个人数据并非纯粹的财产或商品，而是人格的外延与基本权利的载体</w:t>
      </w:r>
      <w:r>
        <w:rPr>
          <w:rFonts w:hint="eastAsia" w:asciiTheme="minorEastAsia" w:hAnsiTheme="minorEastAsia" w:cstheme="minorEastAsia"/>
          <w:color w:val="auto"/>
          <w:sz w:val="24"/>
          <w:szCs w:val="24"/>
          <w:highlight w:val="none"/>
          <w:lang w:val="en-US" w:eastAsia="zh-CN"/>
        </w:rPr>
        <w:t>，个人数据保护立法以保障本国数据主体权利不受侵害为立法目标。</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28"/>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这一底层逻辑决定了任何关于数据“产权化</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市场化”的讨论，</w:t>
      </w:r>
      <w:r>
        <w:rPr>
          <w:rFonts w:hint="eastAsia" w:asciiTheme="minorEastAsia" w:hAnsiTheme="minorEastAsia" w:cstheme="minorEastAsia"/>
          <w:color w:val="auto"/>
          <w:sz w:val="24"/>
          <w:szCs w:val="24"/>
          <w:highlight w:val="none"/>
          <w:lang w:val="en-US" w:eastAsia="zh-CN"/>
        </w:rPr>
        <w:t>都</w:t>
      </w:r>
      <w:r>
        <w:rPr>
          <w:rFonts w:hint="eastAsia" w:asciiTheme="minorEastAsia" w:hAnsiTheme="minorEastAsia" w:eastAsiaTheme="minorEastAsia" w:cstheme="minorEastAsia"/>
          <w:color w:val="auto"/>
          <w:sz w:val="24"/>
          <w:szCs w:val="24"/>
          <w:highlight w:val="none"/>
          <w:lang w:val="en-US" w:eastAsia="zh-CN"/>
        </w:rPr>
        <w:t>必须以不侵犯人格尊严为前提。</w:t>
      </w:r>
    </w:p>
    <w:p w14:paraId="435545E8">
      <w:pPr>
        <w:pStyle w:val="26"/>
        <w:pageBreakBefore w:val="0"/>
        <w:kinsoku/>
        <w:overflowPunct/>
        <w:topLinePunct w:val="0"/>
        <w:autoSpaceDE/>
        <w:autoSpaceDN/>
        <w:bidi w:val="0"/>
        <w:adjustRightInd/>
        <w:snapToGrid/>
        <w:spacing w:line="360" w:lineRule="auto"/>
        <w:jc w:val="both"/>
        <w:textAlignment w:val="auto"/>
        <w:rPr>
          <w:rFonts w:hint="default"/>
          <w:color w:val="auto"/>
          <w:highlight w:val="none"/>
          <w:lang w:val="en-US" w:eastAsia="zh-CN"/>
        </w:rPr>
      </w:pPr>
      <w:r>
        <w:rPr>
          <w:rFonts w:hint="eastAsia"/>
          <w:color w:val="auto"/>
          <w:highlight w:val="none"/>
          <w:lang w:val="en-US" w:eastAsia="zh-CN"/>
        </w:rPr>
        <w:t>（二）中欧数据市场化所设定的法律构造比较</w:t>
      </w:r>
    </w:p>
    <w:p w14:paraId="6B1ABA5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eastAsiaTheme="minorEastAsia" w:cstheme="minorEastAsia"/>
          <w:color w:val="auto"/>
          <w:sz w:val="24"/>
          <w:szCs w:val="24"/>
          <w:highlight w:val="none"/>
          <w:vertAlign w:val="baseline"/>
          <w:lang w:val="en-US" w:eastAsia="zh-CN"/>
        </w:rPr>
      </w:pPr>
      <w:r>
        <w:rPr>
          <w:rFonts w:hint="eastAsia" w:asciiTheme="minorEastAsia" w:hAnsiTheme="minorEastAsia" w:eastAsiaTheme="minorEastAsia" w:cstheme="minorEastAsia"/>
          <w:color w:val="auto"/>
          <w:sz w:val="24"/>
          <w:szCs w:val="24"/>
          <w:highlight w:val="none"/>
          <w:lang w:val="en-US" w:eastAsia="zh-CN"/>
        </w:rPr>
        <w:t>根据欧洲监管中心发布的报告指出，“欧盟与中国对于数据监管的思路趋同之处多于分歧</w:t>
      </w:r>
      <w:r>
        <w:rPr>
          <w:rFonts w:hint="default"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9"/>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vertAlign w:val="superscript"/>
          <w:lang w:val="en-US" w:eastAsia="zh-CN"/>
        </w:rPr>
        <w:t xml:space="preserve"> </w:t>
      </w:r>
      <w:r>
        <w:rPr>
          <w:rFonts w:hint="eastAsia" w:asciiTheme="minorEastAsia" w:hAnsiTheme="minorEastAsia" w:cstheme="minorEastAsia"/>
          <w:color w:val="auto"/>
          <w:sz w:val="24"/>
          <w:szCs w:val="24"/>
          <w:highlight w:val="none"/>
          <w:vertAlign w:val="baseline"/>
          <w:lang w:val="en-US" w:eastAsia="zh-CN"/>
        </w:rPr>
        <w:t>这一判断为中欧数据治理制度比较提供了重要前提：两者虽在制度背景、市场结构与治理目标上存在差异，但在以法律规则回应数据流通、数据利用与权利保护之间张力的问题意识上，具有相当程度的共通性。</w:t>
      </w:r>
    </w:p>
    <w:p w14:paraId="0C79B5F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从立法体系来看，</w:t>
      </w:r>
      <w:r>
        <w:rPr>
          <w:rFonts w:hint="eastAsia" w:asciiTheme="minorEastAsia" w:hAnsiTheme="minorEastAsia" w:eastAsiaTheme="minorEastAsia" w:cstheme="minorEastAsia"/>
          <w:color w:val="auto"/>
          <w:sz w:val="24"/>
          <w:szCs w:val="24"/>
          <w:highlight w:val="none"/>
          <w:lang w:val="en-US" w:eastAsia="zh-CN"/>
        </w:rPr>
        <w:t>我国针对数据治理采取了“一元二级多层次”的立法模式。</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30"/>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“一元”即法权源头统一</w:t>
      </w:r>
      <w:r>
        <w:rPr>
          <w:rFonts w:hint="default" w:asciiTheme="minorEastAsia" w:hAnsiTheme="minorEastAsia" w:eastAsiaTheme="minorEastAsia" w:cstheme="minorEastAsia"/>
          <w:color w:val="auto"/>
          <w:sz w:val="24"/>
          <w:szCs w:val="24"/>
          <w:highlight w:val="none"/>
          <w:lang w:val="en-US" w:eastAsia="zh-CN"/>
        </w:rPr>
        <w:t>：全国只有一部宪法，立法权最终统一于中央，由中央统一领导</w:t>
      </w:r>
      <w:r>
        <w:rPr>
          <w:rFonts w:hint="eastAsia" w:asciiTheme="minorEastAsia" w:hAnsiTheme="minorEastAsia" w:cstheme="minorEastAsia"/>
          <w:color w:val="auto"/>
          <w:sz w:val="24"/>
          <w:szCs w:val="24"/>
          <w:highlight w:val="none"/>
          <w:lang w:val="en-US" w:eastAsia="zh-CN"/>
        </w:rPr>
        <w:t>，所有地方数据立法、部门规章，都不能跟宪法、国家层面的数据法律冲突，全国大规则是一盘棋。“二级”即立法权分中央和地方两级行使，中央在数据领域建立了以《数据安全法》《网络安全法》《个人信息保护法》为首的“3+X”三足鼎立的基础数据规范体系，地方创制性的对中央层面的立法进行了细化和补充，如全国首部数据领域综合性立法《深圳经济特区数据条例》《广州市数据条例》《北京市数字经济促进条例》等。“多层次”即在中央、地方内部，又分为不同效力等级的文件，形成有序的治理配套体系。</w:t>
      </w:r>
    </w:p>
    <w:p w14:paraId="7E3FF47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与之相对，欧盟数据治理体系可概括为“1+N”结构：以《通用数据保护条例》（GDPR）为核心，统一确立个人数据处理的基本原则、数据主体权利与处理者义务，构成各类数据处理活动的底线规范；在此基础上，再由《数据治理法》（DGA）、《数据法》（Data Act）、执法领域数据保护指令（LED）、《开放数据指令》以及数字市场与平台规制规则（如 DMA、DSA）等配套制度，分别面向数据共享、数据流通、公共部门数据再利用、平台秩序与竞争等具体场景作出补充安排，呈现出“以基本权利保护为核心、以流通与市场治理规则为外延”的层级化体系。</w:t>
      </w:r>
    </w:p>
    <w:p w14:paraId="40C00D21">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Style w:val="16"/>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在个人信息基本概念层面，</w:t>
      </w:r>
      <w:r>
        <w:rPr>
          <w:rFonts w:ascii="宋体" w:hAnsi="宋体" w:eastAsia="宋体" w:cs="宋体"/>
          <w:color w:val="auto"/>
          <w:kern w:val="0"/>
          <w:sz w:val="24"/>
          <w:szCs w:val="24"/>
          <w:highlight w:val="none"/>
          <w:lang w:val="en-US" w:eastAsia="zh-CN" w:bidi="ar"/>
        </w:rPr>
        <w:t>中欧制度呈现出高度相似的结构逻辑。GDPR</w:t>
      </w:r>
      <w:r>
        <w:rPr>
          <w:rFonts w:hint="default" w:asciiTheme="minorEastAsia" w:hAnsiTheme="minorEastAsia" w:cstheme="minorEastAsia"/>
          <w:color w:val="auto"/>
          <w:sz w:val="24"/>
          <w:szCs w:val="24"/>
          <w:highlight w:val="none"/>
          <w:lang w:val="en-US" w:eastAsia="zh-CN"/>
        </w:rPr>
        <w:t>将个人数据定义为“与已识别或可识别的自然人相关的任何信息”。</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1"/>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个人数据的收集与处理</w:t>
      </w:r>
      <w:r>
        <w:rPr>
          <w:rFonts w:hint="eastAsia" w:asciiTheme="minorEastAsia" w:hAnsiTheme="minorEastAsia" w:cstheme="minorEastAsia"/>
          <w:color w:val="auto"/>
          <w:sz w:val="24"/>
          <w:szCs w:val="24"/>
          <w:highlight w:val="none"/>
          <w:lang w:val="en-US" w:eastAsia="zh-CN"/>
        </w:rPr>
        <w:t>想要</w:t>
      </w:r>
      <w:r>
        <w:rPr>
          <w:rFonts w:hint="default" w:asciiTheme="minorEastAsia" w:hAnsiTheme="minorEastAsia" w:cstheme="minorEastAsia"/>
          <w:color w:val="auto"/>
          <w:sz w:val="24"/>
          <w:szCs w:val="24"/>
          <w:highlight w:val="none"/>
          <w:lang w:val="en-US" w:eastAsia="zh-CN"/>
        </w:rPr>
        <w:t>具备合法性，必须以该条例第6条列明的一项或多项合法依据为前提</w:t>
      </w:r>
      <w:r>
        <w:rPr>
          <w:rFonts w:hint="eastAsia" w:asciiTheme="minorEastAsia" w:hAnsiTheme="minorEastAsia" w:cstheme="minorEastAsia"/>
          <w:color w:val="auto"/>
          <w:sz w:val="24"/>
          <w:szCs w:val="24"/>
          <w:highlight w:val="none"/>
          <w:lang w:val="en-US" w:eastAsia="zh-CN"/>
        </w:rPr>
        <w:t>，具体</w:t>
      </w:r>
      <w:r>
        <w:rPr>
          <w:rFonts w:hint="default" w:asciiTheme="minorEastAsia" w:hAnsiTheme="minorEastAsia" w:cstheme="minorEastAsia"/>
          <w:color w:val="auto"/>
          <w:sz w:val="24"/>
          <w:szCs w:val="24"/>
          <w:highlight w:val="none"/>
          <w:lang w:val="en-US" w:eastAsia="zh-CN"/>
        </w:rPr>
        <w:t>包括：数据主体的同意；</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2"/>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为履行数据主体作为缔约方的合同所必需；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3"/>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为履行数据控制者的法定义务所必需；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4"/>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为保护自然人的生命利益所必需；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5"/>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为履行公共利益任务或行使公权力所必需；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6"/>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为实现数据控制者或第三方的合法利益所必需（但若该利益被数据主体的利益或基本权利与自由所超越，则除外）。</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7"/>
      </w:r>
      <w:r>
        <w:rPr>
          <w:rStyle w:val="16"/>
          <w:rFonts w:hint="default" w:asciiTheme="minorEastAsia" w:hAnsiTheme="minorEastAsia" w:cstheme="minorEastAsia"/>
          <w:color w:val="auto"/>
          <w:sz w:val="24"/>
          <w:szCs w:val="24"/>
          <w:highlight w:val="none"/>
          <w:lang w:val="en-US" w:eastAsia="zh-CN"/>
        </w:rPr>
        <w:t>]</w:t>
      </w:r>
    </w:p>
    <w:p w14:paraId="52981A4E">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中国《个人信息保护法》第4条同样采取“已识别或可识别自然人 + 各种信息”的定义结构，并明确排除“匿名化处理后的信息”</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8"/>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。同时，第4条还列举了“处理”包括收集、存储、使用、加工、传输、提供、公开、删除等</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39"/>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 xml:space="preserve"> 由此可见，在概念定义与处理行为覆盖范围方面，中欧制度具有较强的可比性。</w:t>
      </w:r>
    </w:p>
    <w:p w14:paraId="7A8EA11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除此之外，通过进一步对比可以发现，我国对于个人信息实际采取了更加严格谨慎的态度，我国</w:t>
      </w:r>
      <w:r>
        <w:rPr>
          <w:rFonts w:hint="default" w:asciiTheme="minorEastAsia" w:hAnsiTheme="minorEastAsia" w:cstheme="minorEastAsia"/>
          <w:color w:val="auto"/>
          <w:sz w:val="24"/>
          <w:szCs w:val="24"/>
          <w:highlight w:val="none"/>
          <w:lang w:val="en-US" w:eastAsia="zh-CN"/>
        </w:rPr>
        <w:t>《个人信息保护法》</w:t>
      </w:r>
      <w:r>
        <w:rPr>
          <w:rFonts w:hint="eastAsia" w:asciiTheme="minorEastAsia" w:hAnsiTheme="minorEastAsia" w:cstheme="minorEastAsia"/>
          <w:color w:val="auto"/>
          <w:sz w:val="24"/>
          <w:szCs w:val="24"/>
          <w:highlight w:val="none"/>
          <w:lang w:val="en-US" w:eastAsia="zh-CN"/>
        </w:rPr>
        <w:t>第28条</w:t>
      </w:r>
      <w:r>
        <w:rPr>
          <w:rFonts w:hint="default" w:asciiTheme="minorEastAsia" w:hAnsiTheme="minorEastAsia" w:cstheme="minorEastAsia"/>
          <w:color w:val="auto"/>
          <w:sz w:val="24"/>
          <w:szCs w:val="24"/>
          <w:highlight w:val="none"/>
          <w:lang w:val="en-US" w:eastAsia="zh-CN"/>
        </w:rPr>
        <w:t>单独界定了敏感个人信息，</w:t>
      </w:r>
      <w:r>
        <w:rPr>
          <w:rFonts w:hint="eastAsia" w:asciiTheme="minorEastAsia" w:hAnsiTheme="minorEastAsia" w:cstheme="minorEastAsia"/>
          <w:color w:val="auto"/>
          <w:sz w:val="24"/>
          <w:szCs w:val="24"/>
          <w:highlight w:val="none"/>
          <w:lang w:val="en-US" w:eastAsia="zh-CN"/>
        </w:rPr>
        <w:t>即</w:t>
      </w:r>
      <w:r>
        <w:rPr>
          <w:rFonts w:hint="default" w:asciiTheme="minorEastAsia" w:hAnsiTheme="minorEastAsia" w:cstheme="minorEastAsia"/>
          <w:color w:val="auto"/>
          <w:sz w:val="24"/>
          <w:szCs w:val="24"/>
          <w:highlight w:val="none"/>
          <w:lang w:val="en-US" w:eastAsia="zh-CN"/>
        </w:rPr>
        <w:t>“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0"/>
      </w:r>
      <w:r>
        <w:rPr>
          <w:rStyle w:val="16"/>
          <w:rFonts w:hint="eastAsia"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这一界定与欧盟条例中的 “特殊类别数据” 高度相似，</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41"/>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均涵盖与特定个人相关的事实信息和推断信息，但中国《个人信息保护法》的界定范围更广，且采用开放式列举而非穷尽式列举。</w:t>
      </w:r>
    </w:p>
    <w:p w14:paraId="616A5E0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Style w:val="16"/>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值得注意的是，中国近年来在生物识别信息治理方面已进一步形成专项规则，体现出“总则法+场景化特别规制”的制度演进趋势。由国家网信办联合公安部在2025年6月1日颁布落地实施的《人脸识别技术应用安全管理办法》，作为中国“3+X”数据治理体系的重要专项规则，聚焦生物识别信息这一敏感数据的特殊保护需求。其核心内容围绕人脸识别技术进行科学监管：明确“单独同意”“最小必要”等核心原则，禁止公共场景无感采集以及超范围使用等行为，规范数据存储的脱敏要求与安全评估机制，同时赋予数据主体查询、更正、删除等权利，填补了全球范围内人脸识别技术专项规制的空白，成为技术应用安全与权利保护的标杆性立法；</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2"/>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对比</w:t>
      </w:r>
      <w:r>
        <w:rPr>
          <w:rFonts w:hint="default" w:asciiTheme="minorEastAsia" w:hAnsiTheme="minorEastAsia" w:cstheme="minorEastAsia"/>
          <w:color w:val="auto"/>
          <w:sz w:val="24"/>
          <w:szCs w:val="24"/>
          <w:highlight w:val="none"/>
          <w:lang w:val="en-US" w:eastAsia="zh-CN"/>
        </w:rPr>
        <w:t>欧洲以 GDPR 为核心的规制体系，仅将生物识别数据纳入“特殊类别个人信息”作出原则性规定，未针对人脸识别的技术特性与应用场景制定专门规则。</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43"/>
      </w:r>
      <w:r>
        <w:rPr>
          <w:rStyle w:val="16"/>
          <w:rFonts w:hint="default" w:asciiTheme="minorEastAsia" w:hAnsiTheme="minorEastAsia" w:cstheme="minorEastAsia"/>
          <w:color w:val="auto"/>
          <w:sz w:val="24"/>
          <w:szCs w:val="24"/>
          <w:highlight w:val="none"/>
          <w:lang w:val="en-US" w:eastAsia="zh-CN"/>
        </w:rPr>
        <w:t>]</w:t>
      </w:r>
    </w:p>
    <w:p w14:paraId="367D974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制度生成逻辑来看，中欧差异与各自的技术应用生态密切相关。中国人脸识别技术应用于移动支付、门禁通行、商业零售、公共服务等场景的普及程度较高，实践规模大、应用频率高、社会风险显性化程度强，因而更易形成对“专门化、场景化、操作性规则”的现实需求。《人脸识别技术应用安全管理办法》对商业消费、公共空间、私密空间等高频场景中的具体风险作出回应，体现出一种从技术应用扩张到规制工具细化的制度演进路径。相较而言，欧盟成员国在支付习惯、场景渗透与市场接受度方面存在显著差异，对人脸识别商业化应用的统一专项立法规制需求相对较弱，因此更多依赖一般性数据保护规则、消费者保护法及成员国层面的补充规范进行调整。</w:t>
      </w:r>
    </w:p>
    <w:p w14:paraId="578CC27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我国在互联网发展初期，采取的是“先发展、后治理</w:t>
      </w:r>
      <w:r>
        <w:rPr>
          <w:rFonts w:hint="default"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的模式，追求效率和红利，随着我国在数字经济发展领域逐渐成熟，我们的发展重点由高速度转向高质量，欧盟的“风险预防”原则对我国《个人信息保护法》为首的“3+X”的数据治理体系建立起了重要的借鉴价值。欧盟在执法过程中积累的”场景化“经验，以及欧洲法院作出的一系列判决，为我国提供了如何将抽象原则落到具体场景提供了重要参考。例如：我国《人脸识别技术应用安全管理办法》中关于私密空间不得安装人脸识别设备、以及应提供非生物识别替代方式等规定，</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4"/>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便可视为对“必要性”“比例性”等一般原则的具体化表达。换言之，欧盟在长期执法与司法实践中积累的原则适用方法，为我国在新技术场景下推进数据场景化应用的规范转化提供了有益参照。</w:t>
      </w:r>
    </w:p>
    <w:p w14:paraId="2B8C1467">
      <w:pPr>
        <w:pStyle w:val="26"/>
        <w:bidi w:val="0"/>
        <w:jc w:val="both"/>
        <w:rPr>
          <w:rFonts w:hint="default"/>
          <w:color w:val="auto"/>
          <w:highlight w:val="none"/>
          <w:lang w:val="en-US" w:eastAsia="zh-CN"/>
        </w:rPr>
      </w:pPr>
      <w:r>
        <w:rPr>
          <w:rFonts w:hint="eastAsia"/>
          <w:color w:val="auto"/>
          <w:highlight w:val="none"/>
          <w:lang w:val="en-US" w:eastAsia="zh-CN"/>
        </w:rPr>
        <w:t>（三）欧盟数据治理模式扩张下的中国思考</w:t>
      </w:r>
    </w:p>
    <w:p w14:paraId="464190A5">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hint="eastAsia" w:ascii="宋体" w:hAnsi="宋体" w:eastAsia="宋体" w:cs="宋体"/>
          <w:color w:val="auto"/>
          <w:kern w:val="0"/>
          <w:sz w:val="24"/>
          <w:szCs w:val="24"/>
          <w:highlight w:val="none"/>
          <w:lang w:val="en-US" w:eastAsia="zh-CN" w:bidi="ar"/>
        </w:rPr>
        <w:t>在全球数据治理格局中，欧盟通过其高标准数据保护规则，逐步形成了以市场机制推动规则外溢的“布鲁塞尔效应”。所谓“布鲁塞尔效应”，是指欧盟依托其庞大的内部市场规模与较强的监管能力，通过提高市场准入门槛与合规要求，促使跨国企业在全球范围内主动对齐欧盟标准，从而推动其规则在域外扩散并趋于事实上的国际标准。</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5"/>
      </w:r>
      <w:r>
        <w:rPr>
          <w:rStyle w:val="16"/>
          <w:rFonts w:hint="eastAsia" w:asciiTheme="minorEastAsia" w:hAnsiTheme="minorEastAsia" w:cstheme="minorEastAsia"/>
          <w:color w:val="auto"/>
          <w:sz w:val="24"/>
          <w:szCs w:val="24"/>
          <w:highlight w:val="none"/>
          <w:lang w:val="en-US" w:eastAsia="zh-CN"/>
        </w:rPr>
        <w:t>]</w:t>
      </w:r>
    </w:p>
    <w:p w14:paraId="1F9730F3">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ascii="宋体" w:hAnsi="宋体" w:eastAsia="宋体" w:cs="宋体"/>
          <w:color w:val="auto"/>
          <w:kern w:val="0"/>
          <w:sz w:val="24"/>
          <w:szCs w:val="24"/>
          <w:highlight w:val="none"/>
          <w:lang w:val="en-US" w:eastAsia="zh-CN" w:bidi="ar"/>
        </w:rPr>
        <w:t>就其发生机制而言，布鲁塞尔效应的触发通常需要若干结构性条件：其一，欧盟具有足够庞大的内部市场，使跨国企业难以选择退出；其二，欧盟具备较强的监管能力与执法资源，能够将规则要求转化为稳定预期；其三，相关规制对象具有较低弹性，企业难以通过简单调整市场布局规避监管；其四，欧盟规则本身具有较高强度与明确性，能够形成可识别的合规基准；其五，技术、产品或制度安排在实践中具有较强不可分割性，促使企业出于成本与管理效率考虑，将欧盟标准外溢适用于其他法域。</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6"/>
      </w:r>
      <w:r>
        <w:rPr>
          <w:rStyle w:val="16"/>
          <w:rFonts w:hint="eastAsia" w:asciiTheme="minorEastAsia" w:hAnsiTheme="minorEastAsia" w:cstheme="minorEastAsia"/>
          <w:color w:val="auto"/>
          <w:sz w:val="24"/>
          <w:szCs w:val="24"/>
          <w:highlight w:val="none"/>
          <w:lang w:val="en-US" w:eastAsia="zh-CN"/>
        </w:rPr>
        <w:t>]</w:t>
      </w:r>
    </w:p>
    <w:p w14:paraId="54450209">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从现实表现看，欧盟正在通过规则输出、政策示范与制度扩散等方式影响全球个人数据立法进程。已有研究指出，欧盟数据治理模式的外溢已成为全球数字治理秩序演进的重要变量。</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7"/>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欧洲议会研究处亦指出，欧盟数字规则除直接适用于面向欧盟市场的企业外，还可能通过“布鲁塞尔效应”影响全球企业实践和各国立法选择。</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8"/>
      </w:r>
      <w:r>
        <w:rPr>
          <w:rStyle w:val="16"/>
          <w:rFonts w:hint="eastAsia" w:asciiTheme="minorEastAsia" w:hAnsiTheme="minorEastAsia" w:cstheme="minorEastAsia"/>
          <w:color w:val="auto"/>
          <w:sz w:val="24"/>
          <w:szCs w:val="24"/>
          <w:highlight w:val="none"/>
          <w:lang w:val="en-US" w:eastAsia="zh-CN"/>
        </w:rPr>
        <w:t>]</w:t>
      </w:r>
    </w:p>
    <w:p w14:paraId="00643F1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面对这一态势，我国既需正视其在全球数字治理中的既有影响力，更应立足自身数字经济发展实践与数据治理制度优势，以开放包容的思维主动融入全球数据治理体系。2026年3月30日，世界数据组织（WDO）的成立为我国参与并引领全球数据规则构建提供了重要制度平台，可在积极对接国际通行规则的同时，加快塑造兼具中国特色与国际认可度的数字治理范式，稳步提升我国在全球数据治理领域的制度性话语权，具体可从三方面推进：</w:t>
      </w:r>
    </w:p>
    <w:p w14:paraId="50FC595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其一，锚定本土实践，依托 WDO 夯实制度输出根基。依托我国数字经济规模优势与人脸识别、扫码支付等场景化应用的全球领先实践，深化 “3+X” 数据治理体系落地实施，持续完善多层级数据治理制度供给。以场景化规制经验为切入点，提炼数据保护与数字发展平衡、技术应用与安全监管协同的中国治理逻辑，并通过世界数据组织这一全球性平台进行系统化梳理与机制化展示，形成可复制、可推广的制度样本，为全球数字治理提供基于真实应用场景的实践参考，将国内治理优势转化为国际规则供给能力。</w:t>
      </w:r>
    </w:p>
    <w:p w14:paraId="0A785FF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其二，坚持开放对接，借助 WDO 推动规则双向融通。秉持共商共建共享的全球治理观，以 WDO 为重要对话载体，在数据跨境流动、个人信息保护等核心领域，积极与欧盟等主要法域开展规则对接与协商对话，寻求制度共识与利益契合点，缓释 “布鲁塞尔效应” 带来的规则排他性影响。同时依托 “一带一路” 数字经济国际合作，通过 WDO 推动我国数据治理规则与实践经验的国际传播，利用双边及多边合作机制促进不同治理模式交流互鉴，打破单一规则体系的全球垄断，推动构建多元共治、兼容并蓄的全球数据治理格局。</w:t>
      </w:r>
    </w:p>
    <w:p w14:paraId="2A8F31E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其三，强化主动塑造，以 WDO 为抓手提升制度性话语权。将世界数据组织作为参与全球数字治理规则制定的关键平台，积极依托该机制在联合国、G20 等既有多边框架下协同推进数字治理议题协商，主动提出中国方案、贡献中国智慧。围绕数字主权、数据安全、人工智能治理等前沿领域，加快形成具有国际影响力的理论研究与标准体系，并通过 WDO 推动我国自主制定的数字治理标准成为国际通行选项。与此同时，培育兼具国际视野与本土经验的数字治理专业人才，支持国内企业、智库借助 WDO 参与全球治理交流，持续增强中国在全球数据治理进程中的制度性话语权。</w:t>
      </w:r>
    </w:p>
    <w:p w14:paraId="1C7A5EFB">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p>
    <w:p w14:paraId="31C0CF15">
      <w:pPr>
        <w:pStyle w:val="26"/>
        <w:bidi w:val="0"/>
        <w:rPr>
          <w:rFonts w:hint="eastAsia"/>
          <w:color w:val="auto"/>
          <w:highlight w:val="none"/>
          <w:lang w:val="en-US" w:eastAsia="zh-CN"/>
        </w:rPr>
      </w:pPr>
      <w:r>
        <w:rPr>
          <w:rFonts w:hint="eastAsia"/>
          <w:color w:val="auto"/>
          <w:highlight w:val="none"/>
          <w:lang w:val="en-US" w:eastAsia="zh-CN"/>
        </w:rPr>
        <w:t>( 四 ）数据监管机构的法律保障</w:t>
      </w:r>
    </w:p>
    <w:p w14:paraId="5FB13DB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权利规则的有效运行，有赖于相应监管机制的制度保障。在跨国合规方面，欧洲建立了独立的数据监管机构，如法国的CNIL、德国各州的数据保护专员，在欧盟框架下形成了以独立监管为核心的制度体系。根据《通用数据保护条例》（GDPR）的要求，各成员国均需设立独立的数据保护机构，负责监督规则实施并行使调查、纠正及处罚等权力。此类机构在组织与职能上强调独立性，以避免受到政府或市场主体干预，从而增强监管的权威性与公信力。</w:t>
      </w:r>
    </w:p>
    <w:p w14:paraId="46D6FE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在跨境数据治理方面，欧盟通过“一站式”机制与一致性机制，对多成员国之间的监管关系进行协调。在该框架下，跨国企业通常由其“主要营业地”所在国的监管机构作为牵头主体，同时其他相关国家监管机构通过协作机制参与处理，从而在降低多头监管成本的同时，实现规则适用的相对统一。例如，在具体实践中，若跨国企业将其欧盟主要营业地设于爱尔兰，则通常由爱尔兰数据保护机构作为牵头监管者；其他成员国监管机构则通过协作程序参与投诉处理与执法决策。这一机制体现了欧盟通过集中监管与跨国协同相结合，以提升执法效率并减少监管冲突。</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9"/>
      </w:r>
      <w:r>
        <w:rPr>
          <w:rStyle w:val="16"/>
          <w:rFonts w:hint="eastAsia" w:asciiTheme="minorEastAsia" w:hAnsiTheme="minorEastAsia" w:cstheme="minorEastAsia"/>
          <w:color w:val="auto"/>
          <w:sz w:val="24"/>
          <w:szCs w:val="24"/>
          <w:highlight w:val="none"/>
          <w:lang w:val="en-US" w:eastAsia="zh-CN"/>
        </w:rPr>
        <w:t>]</w:t>
      </w:r>
    </w:p>
    <w:p w14:paraId="71A4E19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相较之下，我国在个人信息保护监管体制上，并未采取单一独立监管机构模式，而是形成了以统筹协调为核心、分业监管为补充的制度结构。《中华人民共和国个人信息保护法》第60条确立了以国家网信部门为核心的统筹机制，同时由相关行业主管部门在各自领域内具体实施监管。</w:t>
      </w:r>
    </w:p>
    <w:p w14:paraId="5A35A2E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运行逻辑看，该模式通过中央层面的统筹协调，在一定程度上缓解了多部门监管可能产生的冲突，同时依托行业监管的专业优势，提高规则执行的覆盖面与针对性。与欧盟模式相比，我国更强调在复杂治理环境下的协同效率与实际执行能力。</w:t>
      </w:r>
    </w:p>
    <w:p w14:paraId="1C9243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同时也应看到，在跨区域与跨部门协同方面，我国现行监管模式在一定程度上仍依赖行政协调与实践经验。相较于欧盟以程序规则为基础构建的协同机制，我国在统一协调规则与标准化运行方面仍有进一步完善空间。未来可在保持分业监管优势的基础上，探索构建更加稳定、明确的跨区域协同机制，以提升监管的一致性与可预期性。</w:t>
      </w:r>
    </w:p>
    <w:p w14:paraId="0AC0EC7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由此可见，不同法域在数据监管机构设置上的差异，体现了各自制度环境与治理需求的不同侧重：欧盟通过独立机构强化规则约束力，而我国则通过统筹与分工结合实现治理效能。两种路径在目标上均服务于数据利用与权益保护之间的平衡，但在制度实现路径上呈现出明显差异。</w:t>
      </w:r>
    </w:p>
    <w:p w14:paraId="45A2EB3C">
      <w:pPr>
        <w:keepNext w:val="0"/>
        <w:keepLines w:val="0"/>
        <w:pageBreakBefore w:val="0"/>
        <w:numPr>
          <w:ilvl w:val="0"/>
          <w:numId w:val="5"/>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cstheme="minorEastAsia"/>
          <w:b/>
          <w:bCs/>
          <w:color w:val="auto"/>
          <w:sz w:val="24"/>
          <w:szCs w:val="24"/>
          <w:highlight w:val="none"/>
          <w:lang w:val="en-US" w:eastAsia="zh-CN"/>
        </w:rPr>
      </w:pPr>
      <w:r>
        <w:rPr>
          <w:rFonts w:hint="eastAsia" w:asciiTheme="minorEastAsia" w:hAnsiTheme="minorEastAsia" w:cstheme="minorEastAsia"/>
          <w:b/>
          <w:bCs/>
          <w:color w:val="auto"/>
          <w:sz w:val="24"/>
          <w:szCs w:val="24"/>
          <w:highlight w:val="none"/>
          <w:lang w:val="en-US" w:eastAsia="zh-CN"/>
        </w:rPr>
        <w:t>小结</w:t>
      </w:r>
    </w:p>
    <w:p w14:paraId="36E4E98B">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在数字经济背景下，数据要素市场化配置并非单纯的私法确权问题，而是一个深受公法规范约束的制度建构过程。本文通过对中国与欧盟数据治理路径的比较分析发现，两者虽在制度起点与实现路径上存在差异，但均未将数据简单纳入传统所有权框架，而是通过不同方式对数据利用设置结构性约束：欧盟以基本权利保护为核心，通过GDPR构建前置性合规边界；中国则以“三权分置”为制度载体，在权能分层基础上推进数据要素的市场化配置。</w:t>
      </w:r>
    </w:p>
    <w:p w14:paraId="44DC4522">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比较来看，欧盟模式强调以人格权保障为出发点，通过高标准规则塑造数据流通秩序；中国模式则更加注重在发展与安全之间寻求动态平衡，通过权能拆分实现多主体参与下的数据价值释放。两种路径在目标层面具有一致性，即在保障个人信息权益与维护数据安全的前提下，促进数据的合理流通与高效利用。</w:t>
      </w:r>
    </w:p>
    <w:p w14:paraId="4B2EA61F">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基于上述分析，数据要素市场化的制度关键不在于确立排他性的数据所有权，而在于构建以公法边界为前提、以权能分置为核心、以责任可追溯为保障的治理体系。未来我国可在完善“三权分置”制度内涵的同时，加强与国际规则的对接与互动，在保持制度自主性的基础上提升数据治理规则的可兼容性与国际影响力，从而在全球数据治理格局中形成更加稳定且具有解释力的中国方案。</w:t>
      </w:r>
    </w:p>
    <w:p w14:paraId="0817D361">
      <w:pPr>
        <w:keepNext w:val="0"/>
        <w:keepLines w:val="0"/>
        <w:pageBreakBefore w:val="0"/>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heme="minorEastAsia" w:hAnsiTheme="minorEastAsia" w:cstheme="minorEastAsia"/>
          <w:color w:val="auto"/>
          <w:sz w:val="24"/>
          <w:szCs w:val="24"/>
          <w:highlight w:val="none"/>
          <w:lang w:val="en-US" w:eastAsia="zh-CN"/>
        </w:rPr>
      </w:pPr>
    </w:p>
    <w:p w14:paraId="0103BC52">
      <w:pPr>
        <w:rPr>
          <w:rFonts w:hint="default"/>
          <w:b/>
          <w:bCs/>
          <w:lang w:val="en-US" w:eastAsia="zh-CN"/>
        </w:rPr>
      </w:pPr>
    </w:p>
    <w:p w14:paraId="0653E72C">
      <w:pPr>
        <w:pStyle w:val="2"/>
        <w:rPr>
          <w:rFonts w:hint="eastAsia" w:eastAsia="黑体"/>
          <w:color w:val="auto"/>
          <w:highlight w:val="none"/>
          <w:lang w:eastAsia="zh-CN"/>
        </w:rPr>
      </w:pPr>
      <w:r>
        <w:rPr>
          <w:color w:val="auto"/>
          <w:highlight w:val="none"/>
        </w:rPr>
        <w:t>参考文献</w:t>
      </w:r>
      <w:r>
        <w:rPr>
          <w:rFonts w:hint="eastAsia"/>
          <w:color w:val="auto"/>
          <w:highlight w:val="none"/>
          <w:lang w:eastAsia="zh-CN"/>
        </w:rPr>
        <w:t>：</w:t>
      </w:r>
    </w:p>
    <w:p w14:paraId="0404CCD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[1] 中共中央、国务院:《关于构建数据基础制度更好发挥数据要素作用的意见》，2022 年 12 月 2 日发布[EB/OL]. 载国家互联网信息办公室官网，https://www.nia.gov.cn/n794014/n1050181/n1050479/c1562809/content.html，最后访问日期:2026 年 2月20日。</w:t>
      </w:r>
    </w:p>
    <w:p w14:paraId="73C78F5F">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 国家数据局:《“数据要素 ×” 三年行动计划（2024—2026 年）（征求意见稿）》，2023 年 12 月 15 日发布[EB/OL]. 载国家发展和改革委员会官网，https://www.ndrc.gov.cn/hdjl/yjzq/202312/P020231215685140119139.pdf，最后访问日期:2026 年 2 月 20 日。</w:t>
      </w:r>
    </w:p>
    <w:p w14:paraId="4047699C">
      <w:pPr>
        <w:spacing w:after="40"/>
        <w:rPr>
          <w:color w:val="auto"/>
          <w:highlight w:val="none"/>
        </w:rPr>
      </w:pPr>
      <w:r>
        <w:rPr>
          <w:color w:val="auto"/>
          <w:highlight w:val="none"/>
        </w:rPr>
        <w:t>[3] [以] 约拉姆·巴泽尔: 《产权的经济分析》 (第 2 版), 费方域、 段毅才、钱敏译, 格致出版社2017 年版, 第 3 页。</w:t>
      </w:r>
    </w:p>
    <w:p w14:paraId="69F7C2EA">
      <w:pPr>
        <w:spacing w:after="40"/>
        <w:rPr>
          <w:color w:val="auto"/>
          <w:highlight w:val="none"/>
        </w:rPr>
      </w:pPr>
      <w:r>
        <w:rPr>
          <w:color w:val="auto"/>
          <w:highlight w:val="none"/>
        </w:rPr>
        <w:t>[4] 国家发展和改革委员会:《构建数据基础制度 更好发挥数据要素作用 —— 国家发展改革委负责同志答记者问》，2022 年 12 月 20 日发布[EB/OL]. 载国家发展和改革委员会官网，https://www.ndrc.gov.cn/xxgk/jd/jd/202212/t20221219_1343696_ext.html，最后访问日期:2026 年 2 月 20 日。</w:t>
      </w:r>
    </w:p>
    <w:p w14:paraId="6393026C">
      <w:pPr>
        <w:spacing w:after="40"/>
        <w:rPr>
          <w:color w:val="auto"/>
          <w:highlight w:val="none"/>
        </w:rPr>
      </w:pPr>
      <w:r>
        <w:rPr>
          <w:color w:val="auto"/>
          <w:highlight w:val="none"/>
        </w:rPr>
        <w:t>[5] Jones CI, Tonetti C. Nonrivalry and the Economics of Data.[J]. American Economic Review, 2020, 110(9): 2819-2858.</w:t>
      </w:r>
    </w:p>
    <w:p w14:paraId="5CDAE15B">
      <w:pPr>
        <w:spacing w:after="40"/>
        <w:rPr>
          <w:color w:val="auto"/>
          <w:highlight w:val="none"/>
        </w:rPr>
      </w:pPr>
      <w:r>
        <w:rPr>
          <w:color w:val="auto"/>
          <w:highlight w:val="none"/>
        </w:rPr>
        <w:t>[6] 卡尔·波兰尼:《大转型——我们时代的政治与经济起源》，冯钢译，生活·读书·新知三联书店2007年版，第49页</w:t>
      </w:r>
    </w:p>
    <w:p w14:paraId="423C4759">
      <w:pPr>
        <w:spacing w:after="40"/>
        <w:rPr>
          <w:color w:val="auto"/>
          <w:highlight w:val="none"/>
        </w:rPr>
      </w:pPr>
      <w:r>
        <w:rPr>
          <w:color w:val="auto"/>
          <w:highlight w:val="none"/>
        </w:rPr>
        <w:t>[7] 康宁.数据确权的技术路径、模式选择与规范建构[J].清华法学,2023,17(03):第164-166页。</w:t>
      </w:r>
    </w:p>
    <w:p w14:paraId="5CDE3761">
      <w:pPr>
        <w:spacing w:after="40"/>
        <w:rPr>
          <w:color w:val="auto"/>
          <w:highlight w:val="none"/>
        </w:rPr>
      </w:pPr>
      <w:r>
        <w:rPr>
          <w:color w:val="auto"/>
          <w:highlight w:val="none"/>
        </w:rPr>
        <w:t>[8] 王泽鉴: 《民法概要》, 中国政法大学出版社 2003 年版, 第 104 页。</w:t>
      </w:r>
    </w:p>
    <w:p w14:paraId="5A310B01">
      <w:pPr>
        <w:spacing w:after="40"/>
        <w:rPr>
          <w:color w:val="auto"/>
          <w:highlight w:val="none"/>
        </w:rPr>
      </w:pPr>
      <w:r>
        <w:rPr>
          <w:color w:val="auto"/>
          <w:highlight w:val="none"/>
        </w:rPr>
        <w:t>[9] 纪海龙.数据的私法定位与保护[J].法学研究,2018,40(06):第77页。</w:t>
      </w:r>
    </w:p>
    <w:p w14:paraId="485200A3">
      <w:pPr>
        <w:spacing w:after="40"/>
        <w:rPr>
          <w:color w:val="auto"/>
          <w:highlight w:val="none"/>
        </w:rPr>
      </w:pPr>
      <w:r>
        <w:rPr>
          <w:color w:val="auto"/>
          <w:highlight w:val="none"/>
        </w:rPr>
        <w:t>[10] 张素华:《数据产权结构性分置的法律实现》，载《东方法学》2023年第2期，第78页。</w:t>
      </w:r>
    </w:p>
    <w:p w14:paraId="6F9ED8A0">
      <w:pPr>
        <w:spacing w:after="40"/>
        <w:rPr>
          <w:color w:val="auto"/>
          <w:highlight w:val="none"/>
        </w:rPr>
      </w:pPr>
      <w:r>
        <w:rPr>
          <w:color w:val="auto"/>
          <w:highlight w:val="none"/>
        </w:rPr>
        <w:t>[11] 石佑启,陈可翔.论互联网公共领域的软法治理[J].行政法学研究,2018,(04):第51页。</w:t>
      </w:r>
    </w:p>
    <w:p w14:paraId="05720EB1">
      <w:pPr>
        <w:spacing w:after="40"/>
        <w:rPr>
          <w:color w:val="auto"/>
          <w:highlight w:val="none"/>
        </w:rPr>
      </w:pPr>
      <w:r>
        <w:rPr>
          <w:color w:val="auto"/>
          <w:highlight w:val="none"/>
        </w:rPr>
        <w:t>[12] 《中华人民共和国个人信息保护法》第 4 条。</w:t>
      </w:r>
    </w:p>
    <w:p w14:paraId="7D0F8077">
      <w:pPr>
        <w:spacing w:after="40"/>
        <w:rPr>
          <w:color w:val="auto"/>
          <w:highlight w:val="none"/>
        </w:rPr>
      </w:pPr>
      <w:r>
        <w:rPr>
          <w:color w:val="auto"/>
          <w:highlight w:val="none"/>
        </w:rPr>
        <w:t>[13] 王锡锌:《政务数据汇集的风险及其法律控制》,载《华东政法大学学报》2024 年第 3 期,第 25 页。</w:t>
      </w:r>
    </w:p>
    <w:p w14:paraId="1122E8DD">
      <w:pPr>
        <w:spacing w:after="40"/>
        <w:rPr>
          <w:color w:val="auto"/>
          <w:highlight w:val="none"/>
        </w:rPr>
      </w:pPr>
      <w:r>
        <w:rPr>
          <w:color w:val="auto"/>
          <w:highlight w:val="none"/>
        </w:rPr>
        <w:t>[14] 王贵松:《 论行政裁量理由的说明》,载《 现代法学》2016 年第 5 期,第 38 页。</w:t>
      </w:r>
    </w:p>
    <w:p w14:paraId="2E433AEA">
      <w:pPr>
        <w:spacing w:after="40"/>
        <w:rPr>
          <w:color w:val="auto"/>
          <w:highlight w:val="none"/>
        </w:rPr>
      </w:pPr>
      <w:r>
        <w:rPr>
          <w:color w:val="auto"/>
          <w:highlight w:val="none"/>
        </w:rPr>
        <w:t>[15] 林镇阳,陈荣源,林拥军,等.数据要素市场建设背景下个人数据的价值化路径和实现机制[J].电子政务,2024,(05):88-100.DOI:10.16582/j.cnki.dzzw.2024.05.009.第98页。</w:t>
      </w:r>
    </w:p>
    <w:p w14:paraId="6B5F957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[16] C.Kuner,L.Bygrave,C.Docksey,et al.,The EU General Data Protection Regulation(GDPR):A Commentary,Oxford:Oxford University Press,2020,pp.250-255.</w:t>
      </w:r>
    </w:p>
    <w:p w14:paraId="53F6F051">
      <w:pPr>
        <w:spacing w:after="40"/>
        <w:rPr>
          <w:color w:val="auto"/>
          <w:highlight w:val="none"/>
        </w:rPr>
      </w:pPr>
      <w:r>
        <w:rPr>
          <w:color w:val="auto"/>
          <w:highlight w:val="none"/>
        </w:rPr>
        <w:t>[17] 宋亚辉.个人信息的私法保护模式研究——《民法总则》第111条的解释论[J].比较法研究,2019,(02):第89页。</w:t>
      </w:r>
    </w:p>
    <w:p w14:paraId="006CE205">
      <w:pPr>
        <w:spacing w:after="40"/>
        <w:rPr>
          <w:color w:val="auto"/>
          <w:highlight w:val="none"/>
        </w:rPr>
      </w:pPr>
      <w:r>
        <w:rPr>
          <w:color w:val="auto"/>
          <w:highlight w:val="none"/>
        </w:rPr>
        <w:t>[18] 刘文杰.何以透明，以何透明:人工智能法透明度规则之构建[J].比较法研究,2024,(02):第122页。</w:t>
      </w:r>
    </w:p>
    <w:p w14:paraId="22A9909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[20] 刘艳红.智能平权:通过数字开源的人工智能立法实现[J/OL].中外法学,1-17[2026-02-23].https://link.cnki.net/urlid/11.2447.D.20260127.1548.004.第9-10页。</w:t>
      </w:r>
    </w:p>
    <w:p w14:paraId="074514FD">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[21] Lilian Edwards &amp; Michael Veale, Slave to the Algorithm? Why a“Right to an Explanation” Is Probably Not the Remedy You Are Looking For, 16(1) Duke Law &amp; Technology Review 18 (2017).第66页。</w:t>
      </w:r>
    </w:p>
    <w:p w14:paraId="0F45CF11">
      <w:pPr>
        <w:spacing w:after="40"/>
        <w:rPr>
          <w:color w:val="auto"/>
          <w:highlight w:val="none"/>
        </w:rPr>
      </w:pPr>
      <w:r>
        <w:rPr>
          <w:color w:val="auto"/>
          <w:highlight w:val="none"/>
        </w:rPr>
        <w:t>[22] 张文显主编:《法理学》（第六版），高等教育出版社 2019 年版，第 102 页。</w:t>
      </w:r>
    </w:p>
    <w:p w14:paraId="5DB667D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[23] 程啸.论个人信息权益的行使与救济机制[J].中国应用法学,2022,(06):第130页。</w:t>
      </w:r>
    </w:p>
    <w:p w14:paraId="7D75758A">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[24] 王年.个人信息权益与数据产权的关系释论[J].法学家,2026,(01):30-45+191.DOI:10.16094/j.cnki.1005-0221.2026.01.007.</w:t>
      </w:r>
    </w:p>
    <w:p w14:paraId="09F342AA">
      <w:pPr>
        <w:keepNext w:val="0"/>
        <w:keepLines w:val="0"/>
        <w:pageBreakBefore w:val="0"/>
        <w:widowControl w:val="0"/>
        <w:kinsoku/>
        <w:wordWrap w:val="0"/>
        <w:overflowPunct/>
        <w:topLinePunct w:val="0"/>
        <w:autoSpaceDE/>
        <w:autoSpaceDN/>
        <w:bidi w:val="0"/>
        <w:adjustRightInd/>
        <w:snapToGrid/>
        <w:spacing w:after="40"/>
        <w:textAlignment w:val="auto"/>
        <w:rPr>
          <w:rFonts w:hint="default"/>
          <w:color w:val="auto"/>
          <w:highlight w:val="none"/>
        </w:rPr>
      </w:pPr>
      <w:r>
        <w:rPr>
          <w:rFonts w:hint="default"/>
          <w:color w:val="auto"/>
          <w:highlight w:val="none"/>
        </w:rPr>
        <w:t>[25]</w:t>
      </w:r>
      <w:r>
        <w:rPr>
          <w:rFonts w:hint="default"/>
          <w:color w:val="auto"/>
          <w:highlight w:val="none"/>
          <w:lang w:val="en-US" w:eastAsia="zh-CN"/>
        </w:rPr>
        <w:t>Helen Nissenbaum, Privacy in Context: Technology, Policy, and the Integrity of Social Life, Stanford University Press, 2009, pp. 140–160.</w:t>
      </w:r>
    </w:p>
    <w:p w14:paraId="22D70548">
      <w:pPr>
        <w:spacing w:after="40"/>
        <w:rPr>
          <w:color w:val="auto"/>
          <w:highlight w:val="none"/>
        </w:rPr>
      </w:pPr>
      <w:r>
        <w:rPr>
          <w:color w:val="auto"/>
          <w:highlight w:val="none"/>
        </w:rPr>
        <w:t>[27] 崔国斌.大数据有限排他权的基础理论[J].法学研究,2019,41(05):第九页</w:t>
      </w:r>
    </w:p>
    <w:p w14:paraId="427725F4">
      <w:pPr>
        <w:spacing w:after="40"/>
        <w:rPr>
          <w:color w:val="auto"/>
          <w:highlight w:val="none"/>
        </w:rPr>
      </w:pPr>
      <w:r>
        <w:rPr>
          <w:color w:val="auto"/>
          <w:highlight w:val="none"/>
        </w:rPr>
        <w:t>[28] 任颖.医疗数据使用权的私法保障与边界厘定[J].政法论丛,2023,(06):99-110.第10</w:t>
      </w:r>
    </w:p>
    <w:p w14:paraId="2E181106">
      <w:pPr>
        <w:spacing w:after="40"/>
        <w:rPr>
          <w:color w:val="auto"/>
          <w:highlight w:val="none"/>
        </w:rPr>
      </w:pPr>
      <w:r>
        <w:rPr>
          <w:color w:val="auto"/>
          <w:highlight w:val="none"/>
        </w:rPr>
        <w:t>[29] 王利明. 论个人信息权的法律保护——以个人信息权与隐私权的界分为中心[J]. 现代法学,2013,35(4):62-72. DOI:10.3969/j.issn.1001-2397.2013.04.08.第68页。</w:t>
      </w:r>
    </w:p>
    <w:p w14:paraId="055B7C57">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[31] 张翔.个人信息权的宪法(学)证成——基于对区分保护论和支配权论的反思[J].环球法律评论,2022,44(01):第67页。</w:t>
      </w:r>
    </w:p>
    <w:p w14:paraId="3517E778">
      <w:pPr>
        <w:keepNext w:val="0"/>
        <w:keepLines w:val="0"/>
        <w:pageBreakBefore w:val="0"/>
        <w:widowControl w:val="0"/>
        <w:kinsoku/>
        <w:wordWrap w:val="0"/>
        <w:overflowPunct/>
        <w:topLinePunct w:val="0"/>
        <w:autoSpaceDE/>
        <w:autoSpaceDN/>
        <w:bidi w:val="0"/>
        <w:adjustRightInd/>
        <w:snapToGrid/>
        <w:spacing w:after="40"/>
        <w:jc w:val="both"/>
        <w:textAlignment w:val="auto"/>
        <w:rPr>
          <w:color w:val="auto"/>
          <w:highlight w:val="none"/>
        </w:rPr>
      </w:pPr>
      <w:r>
        <w:rPr>
          <w:color w:val="auto"/>
          <w:highlight w:val="none"/>
        </w:rPr>
        <w:t>[32] 申卫星.论数据产权制度的层级性:“三三制”数据确权法[J].中国法学,2023,(04):26-48.DOI:10.14111/j.cnki.zgfx.2023.04.001.第38页。</w:t>
      </w:r>
    </w:p>
    <w:p w14:paraId="111A7140">
      <w:pPr>
        <w:spacing w:after="40"/>
        <w:rPr>
          <w:color w:val="auto"/>
          <w:highlight w:val="none"/>
        </w:rPr>
      </w:pPr>
      <w:r>
        <w:rPr>
          <w:color w:val="auto"/>
          <w:highlight w:val="none"/>
        </w:rPr>
        <w:t>[33] 龙卫球.民法典物权编“三权分置”的体制抉择与物权协同架构模式——基于新型协同财产权理论的分析视角[J]. 东方法学, 2020(4): 第96页。</w:t>
      </w:r>
    </w:p>
    <w:p w14:paraId="306E0BC4">
      <w:pPr>
        <w:spacing w:after="40"/>
        <w:rPr>
          <w:color w:val="auto"/>
          <w:highlight w:val="none"/>
        </w:rPr>
      </w:pPr>
      <w:r>
        <w:rPr>
          <w:color w:val="auto"/>
          <w:highlight w:val="none"/>
        </w:rPr>
        <w:t>[34] 习近平:《在十八届中央政治局第二次集体学习时的讲话》（2012年12月31日），载《习近平谈治国理政》第一卷，外文出版社 2018 年版，第68页。</w:t>
      </w:r>
    </w:p>
    <w:p w14:paraId="6F0040B2">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[35] 人民邮电报:《中国数字经济综合实力稳居全球第二 正逐渐成为全球数字经济发展引领者》，数字中国网，2025 年10月21日，https://www.digitalchina.gov.cn/2025/xwzx/qwfb/202510/t20251021_5220439.htm，2026年１月13日访问。</w:t>
      </w:r>
    </w:p>
    <w:p w14:paraId="5561A177">
      <w:pPr>
        <w:spacing w:after="40"/>
        <w:rPr>
          <w:color w:val="auto"/>
          <w:highlight w:val="none"/>
        </w:rPr>
      </w:pPr>
      <w:r>
        <w:rPr>
          <w:color w:val="auto"/>
          <w:highlight w:val="none"/>
        </w:rPr>
        <w:t>[36] 根据国家数据局发布的《数据领域常用名词解释（第二批）中，数据产权，是指权利人对特定数据享有的财产性权利，包括数据持有权、数据使用权、数据经营权等。</w:t>
      </w:r>
    </w:p>
    <w:p w14:paraId="6A17F14E">
      <w:pPr>
        <w:spacing w:after="40"/>
        <w:rPr>
          <w:color w:val="auto"/>
          <w:highlight w:val="none"/>
        </w:rPr>
      </w:pPr>
      <w:r>
        <w:rPr>
          <w:color w:val="auto"/>
          <w:highlight w:val="none"/>
        </w:rPr>
        <w:t>[37] 中共中央，国务院。关于构建数据基础制度更好发挥数要素作用的意见 [EB/OL]. (2022-12-19). https://www.gov.cn/zhengce/2022-12/19/content_5732695.htm中国政府网。2026年１月13日访问。</w:t>
      </w:r>
    </w:p>
    <w:p w14:paraId="3CA74EA0">
      <w:pPr>
        <w:spacing w:after="40"/>
        <w:rPr>
          <w:color w:val="auto"/>
          <w:highlight w:val="none"/>
        </w:rPr>
      </w:pPr>
      <w:r>
        <w:rPr>
          <w:color w:val="auto"/>
          <w:highlight w:val="none"/>
        </w:rPr>
        <w:t>[39] 根据国家数据局发布的《数据领域常用名词解释（第二批）中，数据持有权，是指权利人自行持有或委托他人代为持有合法获取的数据的权利，旨在防范他人非法违规窃取、篡改、泄露或者破坏持有权人持有的数据。</w:t>
      </w:r>
    </w:p>
    <w:p w14:paraId="33541A0B">
      <w:pPr>
        <w:spacing w:after="40"/>
        <w:rPr>
          <w:color w:val="auto"/>
          <w:highlight w:val="none"/>
        </w:rPr>
      </w:pPr>
      <w:r>
        <w:rPr>
          <w:color w:val="auto"/>
          <w:highlight w:val="none"/>
        </w:rPr>
        <w:t>[40] 据国家数据局发布的《数据领域常用名词解释（第二批）中，数据使用权，是指权利人通过加工、聚合、分析等方式，将数据用于优化生产经营、形成衍生数据等的权利。一般来说，使用权是权利人在不对外提供数据的前提下，将数据用于内部使用的权利。</w:t>
      </w:r>
    </w:p>
    <w:p w14:paraId="27F12565">
      <w:pPr>
        <w:spacing w:after="40"/>
        <w:rPr>
          <w:color w:val="auto"/>
          <w:highlight w:val="none"/>
        </w:rPr>
      </w:pPr>
      <w:r>
        <w:rPr>
          <w:color w:val="auto"/>
          <w:highlight w:val="none"/>
        </w:rPr>
        <w:t>[41] 据国家数据局发布的《数据领域常用名词解释（第二批）中，数据经营权，是指权利人通过转让、许可、出资或设立担保等有偿或无偿的方式对外提供数据的权利。</w:t>
      </w:r>
    </w:p>
    <w:p w14:paraId="5F18B1E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[42] [德] 黑格尔:《法哲学原理》，范扬、张企泰译，商务印书馆 1961 年版，第261页。（第 155 节）。</w:t>
      </w:r>
    </w:p>
    <w:p w14:paraId="02B0457B">
      <w:pPr>
        <w:spacing w:after="40"/>
        <w:rPr>
          <w:color w:val="auto"/>
          <w:highlight w:val="none"/>
        </w:rPr>
      </w:pPr>
      <w:r>
        <w:rPr>
          <w:color w:val="auto"/>
          <w:highlight w:val="none"/>
        </w:rPr>
        <w:t>[43] 马更新,王焕悟.电商平台数据权益保护的理论反思与制度创新[J].行政管理改革,2025,(09):45-54.DOI:10.14150/j.cnki.1674-7453.2025.09.006.</w:t>
      </w:r>
    </w:p>
    <w:p w14:paraId="256D70C8">
      <w:pPr>
        <w:spacing w:after="40"/>
        <w:rPr>
          <w:color w:val="auto"/>
          <w:highlight w:val="none"/>
        </w:rPr>
      </w:pPr>
      <w:r>
        <w:rPr>
          <w:color w:val="auto"/>
          <w:highlight w:val="none"/>
        </w:rPr>
        <w:t>[45] 陈可翔.数字时代公共服务行政法构建的法理及进路[J].中外法学,2024,36(03):第55页。</w:t>
      </w:r>
    </w:p>
    <w:p w14:paraId="5F02AB56">
      <w:pPr>
        <w:spacing w:after="40"/>
        <w:rPr>
          <w:color w:val="auto"/>
          <w:highlight w:val="none"/>
        </w:rPr>
      </w:pPr>
      <w:r>
        <w:rPr>
          <w:color w:val="auto"/>
          <w:highlight w:val="none"/>
        </w:rPr>
        <w:t>[46] 迈克尔·曼.社会权力的来源:第四卷[M].郭忠华等，译.上海:上海人民出版社，2015.</w:t>
      </w:r>
    </w:p>
    <w:p w14:paraId="5A3334C1">
      <w:pPr>
        <w:spacing w:after="40"/>
        <w:rPr>
          <w:color w:val="auto"/>
          <w:highlight w:val="none"/>
        </w:rPr>
      </w:pPr>
      <w:r>
        <w:rPr>
          <w:color w:val="auto"/>
          <w:highlight w:val="none"/>
        </w:rPr>
        <w:t>[47] 杨桦.“互联网+”时代政府治理结构变革及法治回应[J].江海学刊,2020,(04):第156-157页。[德] 伊曼努尔・康德:《道德形而上学的奠基》，杨云飞译，人民出版社 2013 年版，第 45 页。</w:t>
      </w:r>
    </w:p>
    <w:p w14:paraId="5F331FFF">
      <w:pPr>
        <w:spacing w:after="40"/>
        <w:rPr>
          <w:color w:val="auto"/>
          <w:highlight w:val="none"/>
        </w:rPr>
      </w:pPr>
      <w:r>
        <w:rPr>
          <w:color w:val="auto"/>
          <w:highlight w:val="none"/>
        </w:rPr>
        <w:t>[49] 欧洲联盟:《欧盟基本权利宪章》，OJ C 83,2010/C 83/02，CELEX:12010P，第 8 条，https://eur-lex.europa.eu/legal-content/EN/TXT/HTML/?uri=CELEX:12010P。最后访问日期:2026年1月25日。</w:t>
      </w:r>
    </w:p>
    <w:p w14:paraId="14E51DB9">
      <w:pPr>
        <w:spacing w:after="40"/>
        <w:rPr>
          <w:color w:val="auto"/>
          <w:highlight w:val="none"/>
        </w:rPr>
      </w:pPr>
      <w:r>
        <w:rPr>
          <w:color w:val="auto"/>
          <w:highlight w:val="none"/>
        </w:rPr>
        <w:t>[50] 王燕.数据法域外适用及其冲突与应对——以欧盟《通用数据保护条例》与美国《澄清域外合法使用数据法》为例[J].比较法研究,2023,(01):第189页。</w:t>
      </w:r>
    </w:p>
    <w:p w14:paraId="5EFF46E1">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[51] CHANDER A, et al. Convergence and Divergence in Global Data Privacy Law: Comparing the GDPR, PIPL and CCPA[C]//LAMY P, LIEBHABERG B (eds). Global Governance for the Digital Ecosystems. Brussels: CERRE, 2022:78-97[2024-03-02].https://cerre.eu/publications/global-governance-for-the-digital ecosystems/.) 最后访问日期:2026年1月20日。</w:t>
      </w:r>
    </w:p>
    <w:p w14:paraId="522EF3E0">
      <w:pPr>
        <w:spacing w:after="40"/>
        <w:rPr>
          <w:color w:val="auto"/>
          <w:highlight w:val="none"/>
        </w:rPr>
      </w:pPr>
      <w:r>
        <w:rPr>
          <w:color w:val="auto"/>
          <w:highlight w:val="none"/>
        </w:rPr>
        <w:t>[52] 魏治勋,许欣雨.中国数据治理规范体系的完善——基于对欧盟数据治理规范体系现状的考察[J].上海法学研究,2025,13(01):第424页。</w:t>
      </w:r>
    </w:p>
    <w:p w14:paraId="39A3C478">
      <w:pPr>
        <w:keepNext w:val="0"/>
        <w:keepLines w:val="0"/>
        <w:pageBreakBefore w:val="0"/>
        <w:widowControl w:val="0"/>
        <w:kinsoku/>
        <w:wordWrap w:val="0"/>
        <w:overflowPunct/>
        <w:topLinePunct w:val="0"/>
        <w:autoSpaceDE/>
        <w:autoSpaceDN/>
        <w:bidi w:val="0"/>
        <w:adjustRightInd/>
        <w:snapToGrid/>
        <w:spacing w:after="40"/>
        <w:jc w:val="both"/>
        <w:textAlignment w:val="auto"/>
        <w:rPr>
          <w:color w:val="auto"/>
          <w:highlight w:val="none"/>
        </w:rPr>
      </w:pPr>
      <w:r>
        <w:rPr>
          <w:color w:val="auto"/>
          <w:highlight w:val="none"/>
        </w:rPr>
        <w:t>[53] REGULATION (EU) 2016/679 OF THE EUROPEAN PARLIAMENT AND OF THE COUNCIL of 27 April 2016 on the protection of natural persons with regard to the processing of personal data and on the free movement of such data, and repealing Directive 95/46/EC (General Data Protection Regulation), article</w:t>
      </w:r>
      <w:r>
        <w:rPr>
          <w:rFonts w:hint="eastAsia"/>
          <w:color w:val="auto"/>
          <w:highlight w:val="none"/>
          <w:lang w:val="en-US" w:eastAsia="zh-CN"/>
        </w:rPr>
        <w:t xml:space="preserve"> </w:t>
      </w:r>
      <w:r>
        <w:rPr>
          <w:color w:val="auto"/>
          <w:highlight w:val="none"/>
        </w:rPr>
        <w:t>4. Full</w:t>
      </w:r>
      <w:r>
        <w:rPr>
          <w:rFonts w:hint="eastAsia"/>
          <w:color w:val="auto"/>
          <w:highlight w:val="none"/>
          <w:lang w:val="en-US" w:eastAsia="zh-CN"/>
        </w:rPr>
        <w:t xml:space="preserve"> </w:t>
      </w:r>
      <w:r>
        <w:rPr>
          <w:color w:val="auto"/>
          <w:highlight w:val="none"/>
        </w:rPr>
        <w:t>text &lt;https://gdpr-info.eu/&gt; accessed 25 January 2026.</w:t>
      </w:r>
    </w:p>
    <w:p w14:paraId="30CA889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[63] GDPR article 9. Prohibits the processing of personal data revealing racial or ethnic origin, political opinions, religious or philosophical beliefs, or trade union membership, as well as genetic/biometric data and data concerning a natural person’sex life or sexual orientation. Article 9 also provides for listed exceptions to this general prohibition.</w:t>
      </w:r>
    </w:p>
    <w:p w14:paraId="0333C567">
      <w:pPr>
        <w:spacing w:after="40"/>
        <w:rPr>
          <w:color w:val="auto"/>
          <w:highlight w:val="none"/>
        </w:rPr>
      </w:pPr>
      <w:r>
        <w:rPr>
          <w:color w:val="auto"/>
          <w:highlight w:val="none"/>
        </w:rPr>
        <w:t>[</w:t>
      </w:r>
      <w:r>
        <w:rPr>
          <w:rFonts w:hint="eastAsia"/>
          <w:color w:val="auto"/>
          <w:highlight w:val="none"/>
          <w:lang w:val="en-US" w:eastAsia="zh-CN"/>
        </w:rPr>
        <w:t>5</w:t>
      </w:r>
      <w:r>
        <w:rPr>
          <w:color w:val="auto"/>
          <w:highlight w:val="none"/>
        </w:rPr>
        <w:t>4] 国家互联网信息办公室。人脸识别技术应用安全管理办法解读 [EB/OL]. (2023-10-24) https://www.cac.gov.cn/2023-10/24/c_1697398389330453.htm.最后访问日期:2026 年 2 月 12日。</w:t>
      </w:r>
    </w:p>
    <w:p w14:paraId="776E3C5F">
      <w:pPr>
        <w:spacing w:after="40"/>
        <w:rPr>
          <w:color w:val="auto"/>
          <w:highlight w:val="none"/>
        </w:rPr>
      </w:pPr>
      <w:r>
        <w:rPr>
          <w:color w:val="auto"/>
          <w:highlight w:val="none"/>
        </w:rPr>
        <w:t>[</w:t>
      </w:r>
      <w:r>
        <w:rPr>
          <w:rFonts w:hint="eastAsia"/>
          <w:color w:val="auto"/>
          <w:highlight w:val="none"/>
          <w:lang w:val="en-US" w:eastAsia="zh-CN"/>
        </w:rPr>
        <w:t>55</w:t>
      </w:r>
      <w:r>
        <w:rPr>
          <w:color w:val="auto"/>
          <w:highlight w:val="none"/>
        </w:rPr>
        <w:t>] NEWMAN, Abraham L. European Data Privacy Regulation on a Global Stage: “Export or Experimentalism?”[M]//ZEITLIN, Jonathan (ed.). Extending Experimentalist Governance? The European Union and Transnational Regulation. Oxford: Oxford University Press, 2015: 第227页。</w:t>
      </w:r>
    </w:p>
    <w:p w14:paraId="1CF703B5">
      <w:pPr>
        <w:spacing w:after="40"/>
        <w:rPr>
          <w:color w:val="auto"/>
          <w:highlight w:val="none"/>
        </w:rPr>
      </w:pPr>
      <w:r>
        <w:rPr>
          <w:color w:val="auto"/>
          <w:highlight w:val="none"/>
        </w:rPr>
        <w:t>[68] Anu Bradford, The Brussels Effect: How the European Union Rules the World, Oxford University Press, 2020, 第32-35页。</w:t>
      </w:r>
    </w:p>
    <w:p w14:paraId="1878B757">
      <w:pPr>
        <w:spacing w:after="40"/>
        <w:rPr>
          <w:color w:val="auto"/>
          <w:highlight w:val="none"/>
        </w:rPr>
      </w:pPr>
      <w:r>
        <w:rPr>
          <w:color w:val="auto"/>
          <w:highlight w:val="none"/>
        </w:rPr>
        <w:t>[</w:t>
      </w:r>
      <w:r>
        <w:rPr>
          <w:rFonts w:hint="eastAsia"/>
          <w:color w:val="auto"/>
          <w:highlight w:val="none"/>
          <w:lang w:val="en-US" w:eastAsia="zh-CN"/>
        </w:rPr>
        <w:t>56</w:t>
      </w:r>
      <w:r>
        <w:rPr>
          <w:color w:val="auto"/>
          <w:highlight w:val="none"/>
        </w:rPr>
        <w:t>] 武长海,黄静怡.欧盟数据治理模式扩张与中国因应[J].科技与法律(中英文),2024,(06):34-43.DOI:10.19685/j.cnki.cn11-2922/n.2024.06.004.第40页。</w:t>
      </w:r>
    </w:p>
    <w:p w14:paraId="69087247">
      <w:pPr>
        <w:spacing w:after="40"/>
        <w:rPr>
          <w:color w:val="auto"/>
          <w:highlight w:val="none"/>
        </w:rPr>
      </w:pPr>
      <w:r>
        <w:rPr>
          <w:color w:val="auto"/>
          <w:highlight w:val="none"/>
        </w:rPr>
        <w:t>[</w:t>
      </w:r>
      <w:r>
        <w:rPr>
          <w:rFonts w:hint="eastAsia"/>
          <w:color w:val="auto"/>
          <w:highlight w:val="none"/>
          <w:lang w:val="en-US" w:eastAsia="zh-CN"/>
        </w:rPr>
        <w:t>57</w:t>
      </w:r>
      <w:r>
        <w:rPr>
          <w:color w:val="auto"/>
          <w:highlight w:val="none"/>
        </w:rPr>
        <w:t>]https://www.europarl.europa.eu/RegData/etudes/BRIE/2024/757632/EPRS_BRI(2024)757632_EN.pdf 最后</w:t>
      </w:r>
      <w:r>
        <w:rPr>
          <w:rFonts w:hint="eastAsia"/>
          <w:color w:val="auto"/>
          <w:highlight w:val="none"/>
          <w:lang w:val="en-US" w:eastAsia="zh-CN"/>
        </w:rPr>
        <w:t>访问</w:t>
      </w:r>
      <w:r>
        <w:rPr>
          <w:color w:val="auto"/>
          <w:highlight w:val="none"/>
        </w:rPr>
        <w:t>日期:2025年12月24日。</w:t>
      </w:r>
    </w:p>
    <w:p w14:paraId="4AC63EA0">
      <w:pPr>
        <w:spacing w:after="40"/>
        <w:rPr>
          <w:color w:val="auto"/>
          <w:highlight w:val="none"/>
        </w:rPr>
      </w:pPr>
      <w:r>
        <w:rPr>
          <w:color w:val="auto"/>
          <w:highlight w:val="none"/>
        </w:rPr>
        <w:t>[</w:t>
      </w:r>
      <w:r>
        <w:rPr>
          <w:rFonts w:hint="eastAsia"/>
          <w:color w:val="auto"/>
          <w:highlight w:val="none"/>
          <w:lang w:val="en-US" w:eastAsia="zh-CN"/>
        </w:rPr>
        <w:t>58</w:t>
      </w:r>
      <w:r>
        <w:rPr>
          <w:color w:val="auto"/>
          <w:highlight w:val="none"/>
        </w:rPr>
        <w:t>] 赵海乐.欧盟数字市场治理规则“布鲁塞尔效应”的限度与我国因应[J].德国研究,2023,38(6):第95页。</w:t>
      </w:r>
    </w:p>
    <w:p w14:paraId="0301C894">
      <w:pPr>
        <w:keepNext w:val="0"/>
        <w:keepLines w:val="0"/>
        <w:pageBreakBefore w:val="0"/>
        <w:widowControl w:val="0"/>
        <w:kinsoku/>
        <w:wordWrap w:val="0"/>
        <w:overflowPunct/>
        <w:topLinePunct w:val="0"/>
        <w:autoSpaceDE/>
        <w:autoSpaceDN/>
        <w:bidi w:val="0"/>
        <w:adjustRightInd/>
        <w:snapToGrid/>
        <w:spacing w:after="40"/>
        <w:textAlignment w:val="auto"/>
        <w:rPr>
          <w:rFonts w:hint="eastAsia"/>
          <w:color w:val="auto"/>
          <w:highlight w:val="none"/>
        </w:rPr>
      </w:pPr>
      <w:r>
        <w:rPr>
          <w:color w:val="auto"/>
          <w:highlight w:val="none"/>
        </w:rPr>
        <w:t>[</w:t>
      </w:r>
      <w:r>
        <w:rPr>
          <w:rFonts w:hint="eastAsia"/>
          <w:color w:val="auto"/>
          <w:highlight w:val="none"/>
          <w:lang w:val="en-US" w:eastAsia="zh-CN"/>
        </w:rPr>
        <w:t>59</w:t>
      </w:r>
      <w:r>
        <w:rPr>
          <w:color w:val="auto"/>
          <w:highlight w:val="none"/>
        </w:rPr>
        <w:t xml:space="preserve">] </w:t>
      </w:r>
      <w:r>
        <w:rPr>
          <w:rFonts w:hint="eastAsia"/>
          <w:color w:val="auto"/>
          <w:highlight w:val="none"/>
        </w:rPr>
        <w:t>European Data Protection Board (EDPB). Data Protection Authority &amp; you. European Data Protection Board, n.d. Online. Available from: https://www.edpb.europa.eu/node/5443_da?f_link_type=f_linkinlinenote&amp;flow_extra=eyJkb2NfaWQiOiI5NGNhMTkxZGZjYWY2ZTU4LWE5OTIwZGQyNzU4YTVhNjkiLCJpbmxpbmVfZGlzcGxheV9wb3NpdGlvbiI6MCwiZG9jX3Bvc2l0aW9uIjowfQ%3D%3D 最后访问时间:2026年2月25日。</w:t>
      </w:r>
    </w:p>
    <w:p w14:paraId="45640547">
      <w:pPr>
        <w:keepNext w:val="0"/>
        <w:keepLines w:val="0"/>
        <w:pageBreakBefore w:val="0"/>
        <w:widowControl w:val="0"/>
        <w:kinsoku/>
        <w:wordWrap w:val="0"/>
        <w:overflowPunct/>
        <w:topLinePunct w:val="0"/>
        <w:autoSpaceDE/>
        <w:autoSpaceDN/>
        <w:bidi w:val="0"/>
        <w:adjustRightInd/>
        <w:snapToGrid/>
        <w:spacing w:after="40"/>
        <w:textAlignment w:val="auto"/>
        <w:rPr>
          <w:rFonts w:hint="eastAsia" w:asciiTheme="minorEastAsia" w:hAnsiTheme="minorEastAsia" w:cstheme="minorEastAsia"/>
          <w:color w:val="auto"/>
          <w:sz w:val="24"/>
          <w:szCs w:val="24"/>
          <w:highlight w:val="none"/>
          <w:lang w:val="en-US" w:eastAsia="zh-CN"/>
        </w:rPr>
      </w:pPr>
      <w:r>
        <w:rPr>
          <w:color w:val="auto"/>
          <w:highlight w:val="none"/>
        </w:rPr>
        <w:t>[</w:t>
      </w:r>
      <w:r>
        <w:rPr>
          <w:rFonts w:hint="default"/>
          <w:color w:val="auto"/>
          <w:highlight w:val="none"/>
          <w:lang w:val="en-US"/>
        </w:rPr>
        <w:t>60</w:t>
      </w:r>
      <w:r>
        <w:rPr>
          <w:color w:val="auto"/>
          <w:highlight w:val="none"/>
        </w:rPr>
        <w:t>]</w:t>
      </w:r>
      <w:r>
        <w:rPr>
          <w:rFonts w:hint="eastAsia"/>
          <w:color w:val="auto"/>
          <w:highlight w:val="none"/>
          <w:lang w:val="en-US" w:eastAsia="zh-CN"/>
        </w:rPr>
        <w:t xml:space="preserve"> </w:t>
      </w:r>
      <w:r>
        <w:rPr>
          <w:color w:val="auto"/>
          <w:highlight w:val="none"/>
        </w:rPr>
        <w:t>Irish Data Protection Commission. Case Studies 2018–2023 (Cross-border Complaints / Article 60 Procedure)[R]. Dublin: Irish Data Protection Commission,2023. https://www.dataprotection.ie/sites/default/files/uploads/2023-09/DPC_CS_2023_EN_Final.pdf.2026-03-01.最后访问时间:2026年2月25日。</w:t>
      </w:r>
    </w:p>
    <w:p w14:paraId="5D846B6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p>
    <w:p w14:paraId="5EAA01E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 xml:space="preserve"> Marketization of Data Elements: A Comparative Law Perspective on China and the EU</w:t>
      </w:r>
    </w:p>
    <w:p w14:paraId="1628CF3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val="0"/>
          <w:bCs w:val="0"/>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Abstract：</w:t>
      </w:r>
      <w:r>
        <w:rPr>
          <w:rFonts w:hint="default" w:ascii="Times New Roman Regular" w:hAnsi="Times New Roman Regular" w:cs="Times New Roman Regular"/>
          <w:b w:val="0"/>
          <w:bCs w:val="0"/>
          <w:color w:val="auto"/>
          <w:sz w:val="24"/>
          <w:szCs w:val="24"/>
          <w:highlight w:val="none"/>
          <w:lang w:val="en-US" w:eastAsia="zh-CN"/>
        </w:rPr>
        <w:t>In the context of the digital economy, the market-oriented allocation of data as a factor of production has become a central issue in institutional development. However, in practice, data rights clarification is often misconstrued as the establishment of exclusive ownership, thereby hindering the efficient circulation and utilization of data. China has explored a layered allocation framework through the “separation of three rights”, distinguishing between the right to hold data resources, the right to process and use data, and the right to operate data products. In contrast, the European Union, centered on the General Data Protection Regulation (GDPR), establishes ex ante constraints on data circulation from the perspective of fundamental rights protection. A comparative analysis shows that, despite their differing approaches, both models emphasize the rational use of data on the premise of personal information protection. This paper argues that the marketization of data factors should move beyond an ownership-based paradigm toward a governance framework that enables tradability and accountability under public law constraints, particularly those concerning personal data protection and data security. On this basis, the paper proposes several recommendations for improving China’s data governance regime, aiming to balance the realization of data value with the protection of individual rights.</w:t>
      </w:r>
    </w:p>
    <w:p w14:paraId="0FA9269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Keywords：data factor marketization;personal information protection; General Data Protection Regulation (GDPR)</w:t>
      </w:r>
    </w:p>
    <w:p w14:paraId="2A8C073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p w14:paraId="562FCD7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p w14:paraId="07F4CB8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eastAsia" w:ascii="Times New Roman Regular" w:hAnsi="Times New Roman Regular" w:cs="Times New Roman Regular"/>
          <w:b/>
          <w:bCs/>
          <w:color w:val="auto"/>
          <w:sz w:val="24"/>
          <w:szCs w:val="24"/>
          <w:highlight w:val="none"/>
          <w:lang w:val="en-US" w:eastAsia="zh-CN"/>
        </w:rPr>
      </w:pPr>
    </w:p>
    <w:p w14:paraId="3202FC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sectPr>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7A"/>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MS Mincho">
    <w:panose1 w:val="02020609040205080304"/>
    <w:charset w:val="80"/>
    <w:family w:val="auto"/>
    <w:pitch w:val="default"/>
    <w:sig w:usb0="A00002BF" w:usb1="68C7FCFB" w:usb2="00000010" w:usb3="00000000" w:csb0="4002009F" w:csb1="DFD70000"/>
  </w:font>
  <w:font w:name="ArnoPro-Regular">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蘋果儷中黑">
    <w:panose1 w:val="00000000000000000000"/>
    <w:charset w:val="00"/>
    <w:family w:val="auto"/>
    <w:pitch w:val="default"/>
    <w:sig w:usb0="800000E3" w:usb1="30C97878" w:usb2="00000016" w:usb3="00000000" w:csb0="00000001" w:csb1="00000000"/>
  </w:font>
  <w:font w:name="HanziPen SC Regular">
    <w:panose1 w:val="03000300000000000000"/>
    <w:charset w:val="86"/>
    <w:family w:val="auto"/>
    <w:pitch w:val="default"/>
    <w:sig w:usb0="A00002FF" w:usb1="7ACF7CFB" w:usb2="00000016" w:usb3="00000000" w:csb0="00040001" w:csb1="00000000"/>
  </w:font>
  <w:font w:name="Arima Madurai Regular">
    <w:panose1 w:val="00000500000000000000"/>
    <w:charset w:val="00"/>
    <w:family w:val="auto"/>
    <w:pitch w:val="default"/>
    <w:sig w:usb0="20100007" w:usb1="00000001" w:usb2="00000000" w:usb3="00000000" w:csb0="20000193" w:csb1="00000000"/>
  </w:font>
  <w:font w:name="Bodoni Ornaments">
    <w:panose1 w:val="00000400000000000000"/>
    <w:charset w:val="00"/>
    <w:family w:val="auto"/>
    <w:pitch w:val="default"/>
    <w:sig w:usb0="80000083" w:usb1="08000048" w:usb2="14000000" w:usb3="00000000" w:csb0="00000001" w:csb1="00000000"/>
  </w:font>
  <w:font w:name="Helvetica Regular">
    <w:panose1 w:val="00000000000000000000"/>
    <w:charset w:val="00"/>
    <w:family w:val="auto"/>
    <w:pitch w:val="default"/>
    <w:sig w:usb0="E00002FF" w:usb1="5000785B" w:usb2="00000000" w:usb3="00000000" w:csb0="2000019F" w:csb1="4F010000"/>
  </w:font>
  <w:font w:name="Nanum Myeongjo Regular">
    <w:panose1 w:val="02020603020101020101"/>
    <w:charset w:val="81"/>
    <w:family w:val="auto"/>
    <w:pitch w:val="default"/>
    <w:sig w:usb0="800002A7" w:usb1="01D7FCFB" w:usb2="00000010" w:usb3="00000000" w:csb0="00080001" w:csb1="00000000"/>
  </w:font>
  <w:font w:name="Mukta Vaani Regular">
    <w:panose1 w:val="020B0000000000000000"/>
    <w:charset w:val="00"/>
    <w:family w:val="auto"/>
    <w:pitch w:val="default"/>
    <w:sig w:usb0="A004002F" w:usb1="4000204B" w:usb2="00000000" w:usb3="00000000" w:csb0="20000093" w:csb1="00000000"/>
  </w:font>
  <w:font w:name="Muna Regular">
    <w:panose1 w:val="000004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Nadeem">
    <w:panose1 w:val="00000400000000000000"/>
    <w:charset w:val="00"/>
    <w:family w:val="auto"/>
    <w:pitch w:val="default"/>
    <w:sig w:usb0="80002003" w:usb1="80000000" w:usb2="00000008" w:usb3="00000000" w:csb0="00000000" w:csb1="20000000"/>
  </w:font>
  <w:font w:name="Noto Sans Oriya Regular">
    <w:panose1 w:val="020B0502040504020204"/>
    <w:charset w:val="00"/>
    <w:family w:val="auto"/>
    <w:pitch w:val="default"/>
    <w:sig w:usb0="00080000" w:usb1="00000000" w:usb2="00000000" w:usb3="00000000" w:csb0="00000001" w:csb1="00000000"/>
  </w:font>
  <w:font w:name="Noto Serif Kannada Regular">
    <w:panose1 w:val="02020502060505020204"/>
    <w:charset w:val="00"/>
    <w:family w:val="auto"/>
    <w:pitch w:val="default"/>
    <w:sig w:usb0="80408003" w:usb1="00002042" w:usb2="00000000" w:usb3="00000000" w:csb0="00000001" w:csb1="00000000"/>
  </w:font>
  <w:font w:name="Niramit Regular">
    <w:panose1 w:val="00000500000000000000"/>
    <w:charset w:val="00"/>
    <w:family w:val="auto"/>
    <w:pitch w:val="default"/>
    <w:sig w:usb0="21000007" w:usb1="00000001" w:usb2="00000000" w:usb3="00000000" w:csb0="20010193" w:csb1="00000000"/>
  </w:font>
  <w:font w:name="New Peninim MT Regular">
    <w:panose1 w:val="00000000000000000000"/>
    <w:charset w:val="00"/>
    <w:family w:val="auto"/>
    <w:pitch w:val="default"/>
    <w:sig w:usb0="80000843" w:usb1="40000002" w:usb2="00000000" w:usb3="00000000" w:csb0="00000001" w:csb1="00000000"/>
  </w:font>
  <w:font w:name="Luminari">
    <w:panose1 w:val="02000505000000020004"/>
    <w:charset w:val="00"/>
    <w:family w:val="auto"/>
    <w:pitch w:val="default"/>
    <w:sig w:usb0="A00002EF" w:usb1="5000204A" w:usb2="00000000" w:usb3="00000000" w:csb0="2000019F" w:csb1="00000000"/>
  </w:font>
  <w:font w:name="Wingdings">
    <w:panose1 w:val="05000000000000000000"/>
    <w:charset w:val="00"/>
    <w:family w:val="auto"/>
    <w:pitch w:val="default"/>
    <w:sig w:usb0="00000000" w:usb1="00000000" w:usb2="00000000" w:usb3="00000000" w:csb0="80000000" w:csb1="00000000"/>
  </w:font>
  <w:font w:name="Hiragino Sans GB W3">
    <w:panose1 w:val="020B0300000000000000"/>
    <w:charset w:val="86"/>
    <w:family w:val="auto"/>
    <w:pitch w:val="default"/>
    <w:sig w:usb0="A00002BF" w:usb1="1ACF7CFA" w:usb2="00000016" w:usb3="00000000" w:csb0="00060007" w:csb1="00000000"/>
  </w:font>
  <w:font w:name="Gurmukhi MN Regular">
    <w:panose1 w:val="02020600050405020304"/>
    <w:charset w:val="00"/>
    <w:family w:val="auto"/>
    <w:pitch w:val="default"/>
    <w:sig w:usb0="80100003" w:usb1="00002000" w:usb2="00000000" w:usb3="00000000" w:csb0="00000001" w:csb1="00000000"/>
  </w:font>
  <w:font w:name="Krungthep">
    <w:panose1 w:val="02000400000000000000"/>
    <w:charset w:val="00"/>
    <w:family w:val="auto"/>
    <w:pitch w:val="default"/>
    <w:sig w:usb0="810000FF" w:usb1="5000204A" w:usb2="00000020" w:usb3="00000000" w:csb0="20000193" w:csb1="4D000000"/>
  </w:font>
  <w:font w:name="Mukta Regular">
    <w:panose1 w:val="020B0000000000000000"/>
    <w:charset w:val="00"/>
    <w:family w:val="auto"/>
    <w:pitch w:val="default"/>
    <w:sig w:usb0="A000802F" w:usb1="4000204B" w:usb2="00000000" w:usb3="00000000" w:csb0="20000093" w:csb1="00000000"/>
  </w:font>
  <w:font w:name="Nanum Brush Script">
    <w:panose1 w:val="03060600000000000000"/>
    <w:charset w:val="81"/>
    <w:family w:val="auto"/>
    <w:pitch w:val="default"/>
    <w:sig w:usb0="800002A7" w:usb1="01D7FCFB" w:usb2="00000010" w:usb3="00000000" w:csb0="00080001" w:csb1="00000000"/>
  </w:font>
  <w:font w:name="Nanum Gothic Regular">
    <w:panose1 w:val="020D0604000000000000"/>
    <w:charset w:val="81"/>
    <w:family w:val="auto"/>
    <w:pitch w:val="default"/>
    <w:sig w:usb0="900002A7" w:usb1="29D7FCFB" w:usb2="00000010" w:usb3="00000000" w:csb0="00080001" w:csb1="00000000"/>
  </w:font>
  <w:font w:name="Noteworthy Light">
    <w:panose1 w:val="02000400000000000000"/>
    <w:charset w:val="00"/>
    <w:family w:val="auto"/>
    <w:pitch w:val="default"/>
    <w:sig w:usb0="8000006F" w:usb1="08000048" w:usb2="14600000" w:usb3="00000000" w:csb0="20000111" w:csb1="00000000"/>
  </w:font>
  <w:font w:name="Noto Nastaliq Urdu Regular">
    <w:panose1 w:val="020B0502040504020204"/>
    <w:charset w:val="00"/>
    <w:family w:val="auto"/>
    <w:pitch w:val="default"/>
    <w:sig w:usb0="80002003" w:usb1="80002040" w:usb2="00000000" w:usb3="00000000" w:csb0="00000041" w:csb1="00000000"/>
  </w:font>
  <w:font w:name="Noto Sans Batak">
    <w:panose1 w:val="020B0502040504020204"/>
    <w:charset w:val="00"/>
    <w:family w:val="auto"/>
    <w:pitch w:val="default"/>
    <w:sig w:usb0="8000000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994E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803C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15803C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0">
    <w:p>
      <w:r>
        <w:separator/>
      </w:r>
    </w:p>
  </w:footnote>
  <w:footnote w:type="continuationSeparator" w:id="101">
    <w:p>
      <w:r>
        <w:continuationSeparator/>
      </w:r>
    </w:p>
  </w:footnote>
  <w:footnote w:id="0">
    <w:p w14:paraId="0B44D10C">
      <w:pPr>
        <w:keepNext w:val="0"/>
        <w:keepLines w:val="0"/>
        <w:widowControl/>
        <w:suppressLineNumbers w:val="0"/>
        <w:jc w:val="left"/>
        <w:rPr>
          <w:rFonts w:hint="eastAsia" w:asciiTheme="minorHAnsi" w:hAnsiTheme="minorHAnsi" w:eastAsiaTheme="minorEastAsia" w:cstheme="minorBidi"/>
          <w:kern w:val="2"/>
          <w:sz w:val="18"/>
          <w:szCs w:val="24"/>
          <w:lang w:val="en-US" w:eastAsia="zh-CN" w:bidi="ar-SA"/>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w:t>
      </w:r>
      <w:r>
        <w:rPr>
          <w:rStyle w:val="16"/>
          <w:rFonts w:hint="eastAsia" w:ascii="Times New Roman" w:hAnsi="Times New Roman" w:eastAsia="宋体" w:cs="Times New Roman"/>
          <w:kern w:val="2"/>
          <w:sz w:val="18"/>
          <w:szCs w:val="24"/>
          <w:vertAlign w:val="baseline"/>
          <w:lang w:val="en-US" w:eastAsia="zh-CN" w:bidi="ar-SA"/>
        </w:rPr>
        <w:t xml:space="preserve"> </w:t>
      </w:r>
      <w:r>
        <w:rPr>
          <w:rFonts w:hint="eastAsia" w:asciiTheme="minorHAnsi" w:hAnsiTheme="minorHAnsi" w:eastAsiaTheme="minorEastAsia" w:cstheme="minorBidi"/>
          <w:kern w:val="2"/>
          <w:sz w:val="18"/>
          <w:szCs w:val="24"/>
          <w:lang w:val="en-US" w:eastAsia="zh-CN" w:bidi="ar-SA"/>
        </w:rPr>
        <w:t>江思唯；广东外语外贸大学；2024级法硕研究生；导师：杨桦；联系方式：18688426645；</w:t>
      </w:r>
    </w:p>
  </w:footnote>
  <w:footnote w:id="1">
    <w:p w14:paraId="68007BF8">
      <w:pPr>
        <w:pStyle w:val="9"/>
        <w:keepNext w:val="0"/>
        <w:keepLines w:val="0"/>
        <w:pageBreakBefore w:val="0"/>
        <w:widowControl w:val="0"/>
        <w:kinsoku/>
        <w:wordWrap w:val="0"/>
        <w:overflowPunct/>
        <w:topLinePunct w:val="0"/>
        <w:bidi w:val="0"/>
        <w:adjustRightInd/>
        <w:snapToGrid w:val="0"/>
        <w:textAlignment w:val="auto"/>
        <w:rPr>
          <w:rFonts w:hint="eastAsia" w:eastAsiaTheme="minorEastAsia"/>
          <w:lang w:eastAsia="zh-CN"/>
        </w:rPr>
      </w:pPr>
      <w:r>
        <w:rPr>
          <w:rStyle w:val="16"/>
          <w:rFonts w:ascii="Times New Roman" w:hAnsi="Times New Roman" w:eastAsia="宋体" w:cs="Times New Roman"/>
          <w:kern w:val="2"/>
          <w:sz w:val="18"/>
          <w:szCs w:val="24"/>
          <w:vertAlign w:val="baseline"/>
          <w:lang w:val="en-US" w:eastAsia="zh-CN" w:bidi="ar-SA"/>
        </w:rPr>
        <w:t>[</w:t>
      </w:r>
      <w:r>
        <w:rPr>
          <w:rStyle w:val="16"/>
          <w:rFonts w:hint="eastAsia" w:ascii="Times New Roman" w:hAnsi="Times New Roman" w:eastAsia="宋体" w:cs="Times New Roman"/>
          <w:kern w:val="2"/>
          <w:sz w:val="18"/>
          <w:szCs w:val="24"/>
          <w:vertAlign w:val="baseline"/>
          <w:lang w:val="en-US" w:eastAsia="zh-CN" w:bidi="ar-SA"/>
        </w:rPr>
        <w:t>2</w:t>
      </w:r>
      <w:r>
        <w:rPr>
          <w:rStyle w:val="16"/>
          <w:rFonts w:ascii="Times New Roman" w:hAnsi="Times New Roman" w:eastAsia="宋体" w:cs="Times New Roman"/>
          <w:kern w:val="2"/>
          <w:sz w:val="18"/>
          <w:szCs w:val="24"/>
          <w:vertAlign w:val="baseline"/>
          <w:lang w:val="en-US" w:eastAsia="zh-CN" w:bidi="ar-SA"/>
        </w:rPr>
        <w:t xml:space="preserve">] </w:t>
      </w:r>
      <w:r>
        <w:rPr>
          <w:rFonts w:hint="eastAsia"/>
          <w:lang w:val="en-US" w:eastAsia="zh-CN"/>
        </w:rPr>
        <w:t>参见</w:t>
      </w:r>
      <w:r>
        <w:rPr>
          <w:rFonts w:hint="eastAsia"/>
        </w:rPr>
        <w:t>中共中央、国务院：《关于构建数据基础制度更好发挥数据要素作用的意见》，2022 年 12月2日发布，载国家互联网信息办公室官网，https://www.nia.gov.cn/n794014/n1050181/n1050479/c1562809/content.html，最后访问日期：2026年2月20日</w:t>
      </w:r>
      <w:r>
        <w:rPr>
          <w:rFonts w:hint="eastAsia"/>
          <w:lang w:eastAsia="zh-CN"/>
        </w:rPr>
        <w:t>。</w:t>
      </w:r>
    </w:p>
  </w:footnote>
  <w:footnote w:id="2">
    <w:p w14:paraId="1A4D0432">
      <w:pPr>
        <w:pStyle w:val="9"/>
        <w:keepNext w:val="0"/>
        <w:keepLines w:val="0"/>
        <w:pageBreakBefore w:val="0"/>
        <w:widowControl w:val="0"/>
        <w:kinsoku/>
        <w:wordWrap w:val="0"/>
        <w:overflowPunct/>
        <w:topLinePunct w:val="0"/>
        <w:bidi w:val="0"/>
        <w:adjustRightInd/>
        <w:snapToGrid w:val="0"/>
        <w:textAlignment w:val="auto"/>
        <w:rPr>
          <w:rFonts w:hint="eastAsia"/>
          <w:vertAlign w:val="baseline"/>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 xml:space="preserve">] </w:t>
      </w:r>
      <w:r>
        <w:rPr>
          <w:rFonts w:hint="eastAsia"/>
          <w:vertAlign w:val="baseline"/>
        </w:rPr>
        <w:t>参见 [以] 约拉姆·巴泽尔: 《产权的经济分析》 (第 2 版), 费方域、 段毅才、 钱敏译, 格致出版社</w:t>
      </w:r>
    </w:p>
    <w:p w14:paraId="367D95B0">
      <w:pPr>
        <w:pStyle w:val="9"/>
        <w:keepNext w:val="0"/>
        <w:keepLines w:val="0"/>
        <w:pageBreakBefore w:val="0"/>
        <w:widowControl w:val="0"/>
        <w:kinsoku/>
        <w:wordWrap w:val="0"/>
        <w:overflowPunct/>
        <w:topLinePunct w:val="0"/>
        <w:bidi w:val="0"/>
        <w:adjustRightInd/>
        <w:snapToGrid w:val="0"/>
        <w:textAlignment w:val="auto"/>
        <w:rPr>
          <w:vertAlign w:val="baseline"/>
        </w:rPr>
      </w:pPr>
      <w:r>
        <w:rPr>
          <w:rFonts w:hint="eastAsia"/>
          <w:vertAlign w:val="baseline"/>
        </w:rPr>
        <w:t>2017 年版, 第 3 页。</w:t>
      </w:r>
    </w:p>
  </w:footnote>
  <w:footnote w:id="3">
    <w:p w14:paraId="51CEC50B">
      <w:pPr>
        <w:pStyle w:val="9"/>
        <w:keepNext w:val="0"/>
        <w:keepLines w:val="0"/>
        <w:pageBreakBefore w:val="0"/>
        <w:widowControl w:val="0"/>
        <w:kinsoku/>
        <w:wordWrap w:val="0"/>
        <w:overflowPunct/>
        <w:topLinePunct/>
        <w:bidi w:val="0"/>
        <w:adjustRightInd/>
        <w:snapToGrid w:val="0"/>
        <w:textAlignment w:val="auto"/>
        <w:rPr>
          <w:rFonts w:hint="eastAsia" w:eastAsiaTheme="minorEastAsia"/>
          <w:vertAlign w:val="baseline"/>
          <w:lang w:eastAsia="zh-CN"/>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w:t>
      </w:r>
      <w:r>
        <w:rPr>
          <w:vertAlign w:val="baseline"/>
        </w:rPr>
        <w:t xml:space="preserve"> </w:t>
      </w:r>
      <w:r>
        <w:rPr>
          <w:rFonts w:hint="eastAsia"/>
          <w:vertAlign w:val="baseline"/>
          <w:lang w:val="en-US" w:eastAsia="zh-CN"/>
        </w:rPr>
        <w:t>参见</w:t>
      </w:r>
      <w:r>
        <w:rPr>
          <w:rFonts w:hint="eastAsia"/>
          <w:vertAlign w:val="baseline"/>
        </w:rPr>
        <w:t>国家发展和改革委员会：《构建数据基础制度 更好发挥数据要素作用 —— 国家发展改革委负责同志答记者问》，2022 年 12 月 20 日发布，载国家发展和改革委员会官网，https://www.ndrc.gov.cn/xxgk/jd/jd/202212/t20221219_1343696_ext.html，最后访问日期：2026 年 2 月 20 日。</w:t>
      </w:r>
    </w:p>
  </w:footnote>
  <w:footnote w:id="4">
    <w:p w14:paraId="40F0F62F">
      <w:pPr>
        <w:pStyle w:val="9"/>
        <w:snapToGrid w:val="0"/>
        <w:rPr>
          <w:rFonts w:hint="eastAsia"/>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《中华人民共和国个人信息保护法》第 4 条。</w:t>
      </w:r>
    </w:p>
    <w:p w14:paraId="24097A1F">
      <w:pPr>
        <w:pStyle w:val="9"/>
        <w:snapToGrid w:val="0"/>
      </w:pPr>
    </w:p>
  </w:footnote>
  <w:footnote w:id="5">
    <w:p w14:paraId="114860AB">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参见王锡锌:《政务数据汇集的风险及其法律控制》,载《华东政法大学学报》2024 年第 3 期,第 25 页。</w:t>
      </w:r>
    </w:p>
  </w:footnote>
  <w:footnote w:id="6">
    <w:p w14:paraId="3F7EE79F">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vertAlign w:val="baseline"/>
        </w:rPr>
        <w:t xml:space="preserve"> </w:t>
      </w:r>
      <w:r>
        <w:rPr>
          <w:rFonts w:hint="eastAsia"/>
          <w:vertAlign w:val="baseline"/>
        </w:rPr>
        <w:t xml:space="preserve">C.Kuner,L.Bygrave,C.Docksey,et al.,The EU General Data Protection Regulation(GDPR):A Commentary,Oxford:Oxford University Press,2020,pp.250-255. </w:t>
      </w:r>
    </w:p>
  </w:footnote>
  <w:footnote w:id="7">
    <w:p w14:paraId="579D987F">
      <w:pPr>
        <w:pStyle w:val="9"/>
        <w:snapToGrid w:val="0"/>
        <w:rPr>
          <w:rFonts w:hint="eastAsia" w:eastAsiaTheme="minorEastAsia"/>
          <w:vertAlign w:val="baseline"/>
          <w:lang w:eastAsia="zh-CN"/>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刘文杰.何以透明，以何透明：人工智能法透明度规则之构建[J].比较法研究,2024,(02):</w:t>
      </w:r>
      <w:r>
        <w:rPr>
          <w:rFonts w:hint="eastAsia"/>
          <w:vertAlign w:val="baseline"/>
          <w:lang w:val="en-US" w:eastAsia="zh-CN"/>
        </w:rPr>
        <w:t>第122页。</w:t>
      </w:r>
    </w:p>
  </w:footnote>
  <w:footnote w:id="8">
    <w:p w14:paraId="3AC79825">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前注〔1〕，宋亚辉文，第 9</w:t>
      </w:r>
      <w:r>
        <w:rPr>
          <w:rFonts w:hint="eastAsia"/>
          <w:vertAlign w:val="baseline"/>
          <w:lang w:val="en-US" w:eastAsia="zh-CN"/>
        </w:rPr>
        <w:t>7</w:t>
      </w:r>
      <w:r>
        <w:rPr>
          <w:rFonts w:hint="eastAsia"/>
          <w:vertAlign w:val="baseline"/>
        </w:rPr>
        <w:t xml:space="preserve"> 页。</w:t>
      </w:r>
    </w:p>
  </w:footnote>
  <w:footnote w:id="9">
    <w:p w14:paraId="0319DB0C">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rPr>
        <w:t>张翔.个人信息权的宪法(学)证成——基于对区分保护论和支配权论的反思[J].环球法律评论,2022,44(01):</w:t>
      </w:r>
      <w:r>
        <w:rPr>
          <w:rFonts w:hint="eastAsia"/>
          <w:vertAlign w:val="baseline"/>
          <w:lang w:val="en-US" w:eastAsia="zh-CN"/>
        </w:rPr>
        <w:t>第67页。</w:t>
      </w:r>
    </w:p>
  </w:footnote>
  <w:footnote w:id="10">
    <w:p w14:paraId="36E6F431">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申卫星.论数据产权制度的层级性：“三三制”数据确权法[J].中国法学,2023,(04):26-48.DOI:10.14111/j.cnki.zgfx.2023.04.001.</w:t>
      </w:r>
      <w:r>
        <w:rPr>
          <w:rFonts w:hint="eastAsia"/>
          <w:vertAlign w:val="baseline"/>
          <w:lang w:val="en-US" w:eastAsia="zh-CN"/>
        </w:rPr>
        <w:t>第38页。</w:t>
      </w:r>
    </w:p>
  </w:footnote>
  <w:footnote w:id="11">
    <w:p w14:paraId="6137B8F0">
      <w:pPr>
        <w:pStyle w:val="9"/>
        <w:keepNext w:val="0"/>
        <w:keepLines w:val="0"/>
        <w:pageBreakBefore w:val="0"/>
        <w:widowControl w:val="0"/>
        <w:kinsoku/>
        <w:wordWrap w:val="0"/>
        <w:overflowPunct/>
        <w:topLinePunct w:val="0"/>
        <w:bidi w:val="0"/>
        <w:adjustRightInd/>
        <w:snapToGrid w:val="0"/>
        <w:textAlignment w:val="auto"/>
        <w:rPr>
          <w:rStyle w:val="16"/>
          <w:rFonts w:hint="default" w:ascii="Times New Roman" w:hAnsi="Times New Roman" w:eastAsia="宋体" w:cs="Times New Roman"/>
          <w:vertAlign w:val="baseline"/>
          <w:lang w:val="en-US"/>
        </w:rPr>
      </w:pPr>
      <w:r>
        <w:rPr>
          <w:rStyle w:val="16"/>
          <w:rFonts w:hint="default" w:ascii="Times New Roman Regular" w:hAnsi="Times New Roman Regular" w:eastAsia="宋体" w:cs="Times New Roman Regular"/>
          <w:vertAlign w:val="baseline"/>
        </w:rPr>
        <w:t>[</w:t>
      </w:r>
      <w:r>
        <w:rPr>
          <w:rStyle w:val="16"/>
          <w:rFonts w:hint="default" w:ascii="Times New Roman Regular" w:hAnsi="Times New Roman Regular" w:eastAsia="宋体" w:cs="Times New Roman Regular"/>
          <w:vertAlign w:val="baseline"/>
        </w:rPr>
        <w:footnoteRef/>
      </w:r>
      <w:r>
        <w:rPr>
          <w:rStyle w:val="16"/>
          <w:rFonts w:hint="default" w:ascii="Times New Roman Regular" w:hAnsi="Times New Roman Regular" w:eastAsia="宋体" w:cs="Times New Roman Regular"/>
          <w:vertAlign w:val="baseline"/>
        </w:rPr>
        <w:t>]</w:t>
      </w:r>
      <w:r>
        <w:rPr>
          <w:rStyle w:val="16"/>
          <w:rFonts w:hint="eastAsia" w:ascii="Times New Roman" w:hAnsi="Times New Roman" w:eastAsia="宋体" w:cs="Times New Roman"/>
          <w:vertAlign w:val="baseline"/>
          <w:lang w:val="en-US" w:eastAsia="zh-CN"/>
        </w:rPr>
        <w:t>参见</w:t>
      </w:r>
      <w:r>
        <w:rPr>
          <w:rStyle w:val="16"/>
          <w:rFonts w:ascii="Times New Roman" w:hAnsi="Times New Roman" w:eastAsia="宋体" w:cs="Times New Roman"/>
          <w:vertAlign w:val="baseline"/>
          <w:lang w:val="en-US" w:eastAsia="zh-CN"/>
        </w:rPr>
        <w:t>龙卫球</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民法典物权编</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三权分置</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的体制抉择与物权协同架构模式</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基于新型协同财产权理论的分析视角</w:t>
      </w:r>
      <w:r>
        <w:rPr>
          <w:rStyle w:val="16"/>
          <w:rFonts w:hint="default" w:ascii="Times New Roman" w:hAnsi="Times New Roman" w:eastAsia="宋体" w:cs="Times New Roman"/>
          <w:vertAlign w:val="baseline"/>
          <w:lang w:val="en-US" w:eastAsia="zh-CN"/>
        </w:rPr>
        <w:t xml:space="preserve">[J]. </w:t>
      </w:r>
      <w:r>
        <w:rPr>
          <w:rStyle w:val="16"/>
          <w:rFonts w:hint="eastAsia" w:ascii="Times New Roman" w:hAnsi="Times New Roman" w:eastAsia="宋体" w:cs="Times New Roman"/>
          <w:vertAlign w:val="baseline"/>
          <w:lang w:val="en-US" w:eastAsia="zh-CN"/>
        </w:rPr>
        <w:t>东方法学</w:t>
      </w:r>
      <w:r>
        <w:rPr>
          <w:rStyle w:val="16"/>
          <w:rFonts w:hint="default" w:ascii="Times New Roman" w:hAnsi="Times New Roman" w:eastAsia="宋体" w:cs="Times New Roman"/>
          <w:vertAlign w:val="baseline"/>
          <w:lang w:val="en-US" w:eastAsia="zh-CN"/>
        </w:rPr>
        <w:t xml:space="preserve">, 2020(4): </w:t>
      </w:r>
      <w:r>
        <w:rPr>
          <w:rStyle w:val="16"/>
          <w:rFonts w:hint="eastAsia" w:ascii="Times New Roman" w:hAnsi="Times New Roman" w:eastAsia="宋体" w:cs="Times New Roman"/>
          <w:vertAlign w:val="baseline"/>
          <w:lang w:val="en-US" w:eastAsia="zh-CN"/>
        </w:rPr>
        <w:t>第96页。</w:t>
      </w:r>
    </w:p>
  </w:footnote>
  <w:footnote w:id="12">
    <w:p w14:paraId="15E4856C">
      <w:pPr>
        <w:pStyle w:val="9"/>
        <w:keepNext w:val="0"/>
        <w:keepLines w:val="0"/>
        <w:pageBreakBefore w:val="0"/>
        <w:widowControl w:val="0"/>
        <w:kinsoku/>
        <w:wordWrap w:val="0"/>
        <w:overflowPunct/>
        <w:topLinePunct w:val="0"/>
        <w:bidi w:val="0"/>
        <w:adjustRightInd/>
        <w:snapToGrid w:val="0"/>
        <w:textAlignment w:val="auto"/>
        <w:rPr>
          <w:rFonts w:hint="eastAsia" w:eastAsiaTheme="minorEastAsia"/>
          <w:lang w:eastAsia="zh-CN"/>
        </w:rPr>
      </w:pPr>
      <w:r>
        <w:rPr>
          <w:rStyle w:val="16"/>
          <w:rFonts w:hint="default" w:ascii="Times New Roman Regular" w:hAnsi="Times New Roman Regular" w:eastAsia="宋体" w:cs="Times New Roman Regular"/>
          <w:vertAlign w:val="baseline"/>
        </w:rPr>
        <w:t>[</w:t>
      </w:r>
      <w:r>
        <w:rPr>
          <w:rStyle w:val="16"/>
          <w:rFonts w:hint="default" w:ascii="Times New Roman Regular" w:hAnsi="Times New Roman Regular" w:eastAsia="宋体" w:cs="Times New Roman Regular"/>
          <w:vertAlign w:val="baseline"/>
        </w:rPr>
        <w:footnoteRef/>
      </w:r>
      <w:r>
        <w:rPr>
          <w:rStyle w:val="16"/>
          <w:rFonts w:hint="default" w:ascii="Times New Roman Regular" w:hAnsi="Times New Roman Regular" w:eastAsia="宋体" w:cs="Times New Roman Regular"/>
          <w:vertAlign w:val="baseline"/>
        </w:rPr>
        <w:t>]</w:t>
      </w:r>
      <w:r>
        <w:rPr>
          <w:rStyle w:val="16"/>
          <w:rFonts w:hint="eastAsia" w:ascii="Times New Roman" w:hAnsi="Times New Roman" w:eastAsia="宋体" w:cs="Times New Roman"/>
          <w:vertAlign w:val="baseline"/>
          <w:lang w:val="en-US" w:eastAsia="zh-CN"/>
        </w:rPr>
        <w:t>参见习近平</w:t>
      </w:r>
      <w:r>
        <w:rPr>
          <w:rFonts w:hint="eastAsia"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《在十八届中央政治局第二次集体学习时的讲话》（2012年12月3</w:t>
      </w:r>
      <w:r>
        <w:rPr>
          <w:rFonts w:hint="eastAsia" w:ascii="Times New Roman" w:hAnsi="Times New Roman" w:eastAsia="宋体" w:cs="Times New Roman"/>
          <w:vertAlign w:val="baseline"/>
          <w:lang w:val="en-US" w:eastAsia="zh-CN"/>
        </w:rPr>
        <w:t>1</w:t>
      </w:r>
      <w:r>
        <w:rPr>
          <w:rStyle w:val="16"/>
          <w:rFonts w:hint="eastAsia" w:ascii="Times New Roman" w:hAnsi="Times New Roman" w:eastAsia="宋体" w:cs="Times New Roman"/>
          <w:vertAlign w:val="baseline"/>
          <w:lang w:val="en-US" w:eastAsia="zh-CN"/>
        </w:rPr>
        <w:t>日），载《习近平谈治国理政》第一卷，外文出版社 2018 年版</w:t>
      </w:r>
      <w:r>
        <w:rPr>
          <w:rFonts w:hint="eastAsia"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第68页。</w:t>
      </w:r>
    </w:p>
  </w:footnote>
  <w:footnote w:id="13">
    <w:p w14:paraId="021370F1">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人民邮电报</w:t>
      </w:r>
      <w:r>
        <w:rPr>
          <w:rFonts w:hint="eastAsia"/>
          <w:vertAlign w:val="baseline"/>
          <w:lang w:val="en-US" w:eastAsia="zh-CN"/>
        </w:rPr>
        <w:t>：</w:t>
      </w:r>
      <w:r>
        <w:rPr>
          <w:vertAlign w:val="baseline"/>
          <w:lang w:val="en-US" w:eastAsia="zh-CN"/>
        </w:rPr>
        <w:t>《中国数字经济综合实力稳居全球第二 正逐渐成为全球数字经济发展引领者》，数字中国网，2025 年</w:t>
      </w:r>
      <w:r>
        <w:rPr>
          <w:rFonts w:hint="eastAsia"/>
          <w:vertAlign w:val="baseline"/>
          <w:lang w:val="en-US" w:eastAsia="zh-CN"/>
        </w:rPr>
        <w:t>10</w:t>
      </w:r>
      <w:r>
        <w:rPr>
          <w:vertAlign w:val="baseline"/>
          <w:lang w:val="en-US" w:eastAsia="zh-CN"/>
        </w:rPr>
        <w:t>月</w:t>
      </w:r>
      <w:r>
        <w:rPr>
          <w:rFonts w:hint="eastAsia"/>
          <w:vertAlign w:val="baseline"/>
          <w:lang w:val="en-US" w:eastAsia="zh-CN"/>
        </w:rPr>
        <w:t>21</w:t>
      </w:r>
      <w:r>
        <w:rPr>
          <w:vertAlign w:val="baseline"/>
          <w:lang w:val="en-US" w:eastAsia="zh-CN"/>
        </w:rPr>
        <w:t>日，</w:t>
      </w:r>
      <w:r>
        <w:rPr>
          <w:vertAlign w:val="baseline"/>
          <w:lang w:val="en-US" w:eastAsia="zh-CN"/>
        </w:rPr>
        <w:fldChar w:fldCharType="begin"/>
      </w:r>
      <w:r>
        <w:rPr>
          <w:vertAlign w:val="baseline"/>
          <w:lang w:val="en-US" w:eastAsia="zh-CN"/>
        </w:rPr>
        <w:instrText xml:space="preserve"> HYPERLINK "https://www.digitalchina.gov.cn/2025/xwzx/qwfb/202510/t20251021_5220439.htm" \t "/Users/vivian/Documents\\x/_blank" </w:instrText>
      </w:r>
      <w:r>
        <w:rPr>
          <w:vertAlign w:val="baseline"/>
          <w:lang w:val="en-US" w:eastAsia="zh-CN"/>
        </w:rPr>
        <w:fldChar w:fldCharType="separate"/>
      </w:r>
      <w:r>
        <w:rPr>
          <w:vertAlign w:val="baseline"/>
        </w:rPr>
        <w:t>https://www.digitalchina.gov.cn/2025/xwzx/qwfb/202510/t20251021_5220439.htm</w:t>
      </w:r>
      <w:r>
        <w:rPr>
          <w:vertAlign w:val="baseline"/>
          <w:lang w:val="en-US" w:eastAsia="zh-CN"/>
        </w:rPr>
        <w:fldChar w:fldCharType="end"/>
      </w:r>
      <w:r>
        <w:rPr>
          <w:vertAlign w:val="baseline"/>
          <w:lang w:val="en-US" w:eastAsia="zh-CN"/>
        </w:rPr>
        <w:t>，202</w:t>
      </w:r>
      <w:r>
        <w:rPr>
          <w:rFonts w:hint="eastAsia"/>
          <w:vertAlign w:val="baseline"/>
          <w:lang w:val="en-US" w:eastAsia="zh-CN"/>
        </w:rPr>
        <w:t>6</w:t>
      </w:r>
      <w:r>
        <w:rPr>
          <w:vertAlign w:val="baseline"/>
          <w:lang w:val="en-US" w:eastAsia="zh-CN"/>
        </w:rPr>
        <w:t>年</w:t>
      </w:r>
      <w:r>
        <w:rPr>
          <w:rFonts w:hint="eastAsia" w:eastAsia="MS Mincho"/>
          <w:vertAlign w:val="baseline"/>
          <w:lang w:val="en-US" w:eastAsia="ja-JP"/>
        </w:rPr>
        <w:t>１</w:t>
      </w:r>
      <w:r>
        <w:rPr>
          <w:vertAlign w:val="baseline"/>
          <w:lang w:val="en-US" w:eastAsia="zh-CN"/>
        </w:rPr>
        <w:t>月</w:t>
      </w:r>
      <w:r>
        <w:rPr>
          <w:rFonts w:hint="eastAsia"/>
          <w:vertAlign w:val="baseline"/>
          <w:lang w:val="en-US" w:eastAsia="zh-CN"/>
        </w:rPr>
        <w:t>13</w:t>
      </w:r>
      <w:r>
        <w:rPr>
          <w:vertAlign w:val="baseline"/>
          <w:lang w:val="en-US" w:eastAsia="zh-CN"/>
        </w:rPr>
        <w:t>日访问。</w:t>
      </w:r>
    </w:p>
  </w:footnote>
  <w:footnote w:id="14">
    <w:p w14:paraId="2C929578">
      <w:pPr>
        <w:pStyle w:val="9"/>
        <w:snapToGrid w:val="0"/>
        <w:rPr>
          <w:rFonts w:hint="default" w:eastAsiaTheme="minor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根据国家数据局发布的《数据领域常用名词解释（第二批）中，数据产权，是指权利人对特定数据享有的财产性权利，包括数据持有权、数据使用权、数据经营权等。</w:t>
      </w:r>
    </w:p>
  </w:footnote>
  <w:footnote w:id="15">
    <w:p w14:paraId="1D873386">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 xml:space="preserve">中共中央，国务院。关于构建数据基础制度更好发挥数要素作用的意见 [EB/OL]. (2022-12-19). </w:t>
      </w:r>
      <w:r>
        <w:rPr>
          <w:vertAlign w:val="baseline"/>
          <w:lang w:val="en-US" w:eastAsia="zh-CN"/>
        </w:rPr>
        <w:fldChar w:fldCharType="begin"/>
      </w:r>
      <w:r>
        <w:rPr>
          <w:vertAlign w:val="baseline"/>
          <w:lang w:val="en-US" w:eastAsia="zh-CN"/>
        </w:rPr>
        <w:instrText xml:space="preserve"> HYPERLINK "https://www.gov.cn/zhengce/2022-12/19/content_5732695.htm" \t "/Users/vivian/Documents\\x/_blank" </w:instrText>
      </w:r>
      <w:r>
        <w:rPr>
          <w:vertAlign w:val="baseline"/>
          <w:lang w:val="en-US" w:eastAsia="zh-CN"/>
        </w:rPr>
        <w:fldChar w:fldCharType="separate"/>
      </w:r>
      <w:r>
        <w:rPr>
          <w:vertAlign w:val="baseline"/>
        </w:rPr>
        <w:t>https://www.gov.cn/zhengce/2022-12/19/content_5732695.htm</w:t>
      </w:r>
      <w:r>
        <w:rPr>
          <w:vertAlign w:val="baseline"/>
          <w:lang w:val="en-US" w:eastAsia="zh-CN"/>
        </w:rPr>
        <w:fldChar w:fldCharType="end"/>
      </w:r>
      <w:r>
        <w:rPr>
          <w:vertAlign w:val="baseline"/>
          <w:lang w:val="en-US" w:eastAsia="zh-CN"/>
        </w:rPr>
        <w:t>中国政府网</w:t>
      </w:r>
      <w:r>
        <w:rPr>
          <w:rFonts w:hint="eastAsia"/>
          <w:vertAlign w:val="baseline"/>
          <w:lang w:val="en-US" w:eastAsia="zh-CN"/>
        </w:rPr>
        <w:t>。</w:t>
      </w:r>
      <w:r>
        <w:rPr>
          <w:vertAlign w:val="baseline"/>
          <w:lang w:val="en-US" w:eastAsia="zh-CN"/>
        </w:rPr>
        <w:t>202</w:t>
      </w:r>
      <w:r>
        <w:rPr>
          <w:rFonts w:hint="eastAsia"/>
          <w:vertAlign w:val="baseline"/>
          <w:lang w:val="en-US" w:eastAsia="zh-CN"/>
        </w:rPr>
        <w:t>6</w:t>
      </w:r>
      <w:r>
        <w:rPr>
          <w:vertAlign w:val="baseline"/>
          <w:lang w:val="en-US" w:eastAsia="zh-CN"/>
        </w:rPr>
        <w:t>年</w:t>
      </w:r>
      <w:r>
        <w:rPr>
          <w:rFonts w:hint="eastAsia"/>
          <w:vertAlign w:val="baseline"/>
          <w:lang w:val="en-US" w:eastAsia="zh-CN"/>
        </w:rPr>
        <w:t>１</w:t>
      </w:r>
      <w:r>
        <w:rPr>
          <w:vertAlign w:val="baseline"/>
          <w:lang w:val="en-US" w:eastAsia="zh-CN"/>
        </w:rPr>
        <w:t>月</w:t>
      </w:r>
      <w:r>
        <w:rPr>
          <w:rFonts w:hint="eastAsia"/>
          <w:vertAlign w:val="baseline"/>
          <w:lang w:val="en-US" w:eastAsia="zh-CN"/>
        </w:rPr>
        <w:t>13</w:t>
      </w:r>
      <w:r>
        <w:rPr>
          <w:vertAlign w:val="baseline"/>
          <w:lang w:val="en-US" w:eastAsia="zh-CN"/>
        </w:rPr>
        <w:t>日访问。</w:t>
      </w:r>
    </w:p>
  </w:footnote>
  <w:footnote w:id="16">
    <w:p w14:paraId="14963BE5">
      <w:pPr>
        <w:pStyle w:val="9"/>
        <w:keepNext w:val="0"/>
        <w:keepLines w:val="0"/>
        <w:pageBreakBefore w:val="0"/>
        <w:widowControl w:val="0"/>
        <w:kinsoku/>
        <w:wordWrap w:val="0"/>
        <w:overflowPunct/>
        <w:topLinePunct w:val="0"/>
        <w:bidi w:val="0"/>
        <w:adjustRightInd/>
        <w:snapToGrid w:val="0"/>
        <w:textAlignment w:val="auto"/>
        <w:rPr>
          <w:rFonts w:hint="default" w:eastAsiaTheme="minor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参见前注[7]，第158页。</w:t>
      </w:r>
    </w:p>
  </w:footnote>
  <w:footnote w:id="17">
    <w:p w14:paraId="19DFDB5C">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根据国家数据局发布的《数据领域常用名词解释（第二批）中，数据持有权，是指权利人自行持有或委托他人代为持有合法获取的数据的权利，旨在防范他人非法违规窃取、篡改、泄露或者破坏持有权人持有的数据。</w:t>
      </w:r>
    </w:p>
  </w:footnote>
  <w:footnote w:id="18">
    <w:p w14:paraId="138D5599">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据国家数据局发布的《数据领域常用名词解释（第二批）中，</w:t>
      </w:r>
      <w:r>
        <w:rPr>
          <w:vertAlign w:val="baseline"/>
          <w:lang w:val="en-US" w:eastAsia="zh-CN"/>
        </w:rPr>
        <w:t>数据使用权，</w:t>
      </w:r>
      <w:r>
        <w:rPr>
          <w:rFonts w:hint="eastAsia"/>
          <w:vertAlign w:val="baseline"/>
          <w:lang w:val="en-US" w:eastAsia="zh-CN"/>
        </w:rPr>
        <w:t>是指权利人通过加工、聚合、分析等方式，将数据用于优化生产经营、形成衍生数据等的权利。一般来说，使用权是权利人在不对外提供数据的前提下，将数据用于内部使用的权利。</w:t>
      </w:r>
    </w:p>
  </w:footnote>
  <w:footnote w:id="19">
    <w:p w14:paraId="2693D0D0">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据国家数据局发布的《数据领域常用名词解释（第二批）中，</w:t>
      </w:r>
      <w:r>
        <w:rPr>
          <w:vertAlign w:val="baseline"/>
          <w:lang w:val="en-US" w:eastAsia="zh-CN"/>
        </w:rPr>
        <w:t>数据经营权，</w:t>
      </w:r>
      <w:r>
        <w:rPr>
          <w:rFonts w:hint="eastAsia"/>
          <w:vertAlign w:val="baseline"/>
          <w:lang w:val="en-US" w:eastAsia="zh-CN"/>
        </w:rPr>
        <w:t>是指权利人通过转让、许可、出资或设立担保等有偿或无偿的方式对外提供数据的权利。</w:t>
      </w:r>
    </w:p>
  </w:footnote>
  <w:footnote w:id="20">
    <w:p w14:paraId="1FEE2617">
      <w:pPr>
        <w:pStyle w:val="9"/>
        <w:keepNext w:val="0"/>
        <w:keepLines w:val="0"/>
        <w:pageBreakBefore w:val="0"/>
        <w:widowControl w:val="0"/>
        <w:kinsoku/>
        <w:wordWrap w:val="0"/>
        <w:overflowPunct/>
        <w:topLinePunct w:val="0"/>
        <w:bidi w:val="0"/>
        <w:adjustRightInd/>
        <w:snapToGrid w:val="0"/>
        <w:textAlignment w:val="auto"/>
        <w:rPr>
          <w:rFonts w:hint="eastAsia"/>
          <w:vertAlign w:val="baseline"/>
        </w:rPr>
      </w:pPr>
      <w:r>
        <w:rPr>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footnoteRef/>
      </w:r>
      <w:r>
        <w:rPr>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 xml:space="preserve"> </w:t>
      </w:r>
      <w:r>
        <w:rPr>
          <w:rFonts w:hint="eastAsia"/>
          <w:vertAlign w:val="baseline"/>
          <w:lang w:val="en-US" w:eastAsia="zh-CN"/>
        </w:rPr>
        <w:t>[德] 黑格尔：《法哲学原理》，范扬、张企泰译，商务印书馆 1961 年版，第261页。（第 155 节）。</w:t>
      </w:r>
    </w:p>
  </w:footnote>
  <w:footnote w:id="21">
    <w:p w14:paraId="30244C4C">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rPr>
        <w:t>马更新,王焕悟.电商平台数据权益保护的理论反思与制度创新[J].行政管理改革,2025,(09):45-54.DOI:10.14150/j.cnki.1674-7453.2025.09.006.</w:t>
      </w:r>
    </w:p>
  </w:footnote>
  <w:footnote w:id="22">
    <w:p w14:paraId="21CA45A8">
      <w:pPr>
        <w:pStyle w:val="9"/>
        <w:keepNext w:val="0"/>
        <w:keepLines w:val="0"/>
        <w:pageBreakBefore w:val="0"/>
        <w:widowControl w:val="0"/>
        <w:kinsoku/>
        <w:wordWrap w:val="0"/>
        <w:overflowPunct/>
        <w:topLinePunct w:val="0"/>
        <w:bidi w:val="0"/>
        <w:adjustRightInd/>
        <w:snapToGrid w:val="0"/>
        <w:textAlignment w:val="auto"/>
        <w:rPr>
          <w:rFonts w:hint="default" w:eastAsiaTheme="minorEastAsia"/>
          <w:vertAlign w:val="baseline"/>
          <w:lang w:val="en-US" w:eastAsia="zh-CN"/>
        </w:rPr>
      </w:pPr>
      <w:r>
        <w:rPr>
          <w:rFonts w:hint="default" w:ascii="Times New Roman Regular" w:hAnsi="Times New Roman Regular" w:cs="Times New Roman Regular"/>
          <w:sz w:val="21"/>
          <w:vertAlign w:val="baseline"/>
        </w:rPr>
        <w:t>[</w:t>
      </w:r>
      <w:r>
        <w:rPr>
          <w:rFonts w:hint="default" w:ascii="Times New Roman Regular" w:hAnsi="Times New Roman Regular" w:cs="Times New Roman Regular"/>
          <w:sz w:val="21"/>
          <w:vertAlign w:val="baseline"/>
        </w:rPr>
        <w:footnoteRef/>
      </w:r>
      <w:r>
        <w:rPr>
          <w:rFonts w:hint="default" w:ascii="Times New Roman Regular" w:hAnsi="Times New Roman Regular" w:cs="Times New Roman Regular"/>
          <w:sz w:val="21"/>
          <w:vertAlign w:val="baseline"/>
        </w:rPr>
        <w:t>]</w:t>
      </w:r>
      <w:r>
        <w:rPr>
          <w:rFonts w:hint="eastAsia"/>
          <w:vertAlign w:val="baseline"/>
          <w:lang w:val="en-US" w:eastAsia="zh-CN"/>
        </w:rPr>
        <w:t>同前注[21]，第9页。</w:t>
      </w:r>
    </w:p>
  </w:footnote>
  <w:footnote w:id="23">
    <w:p w14:paraId="49AE814B">
      <w:pPr>
        <w:pStyle w:val="9"/>
        <w:snapToGrid w:val="0"/>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rFonts w:hint="eastAsia"/>
          <w:vertAlign w:val="baseline"/>
        </w:rPr>
        <w:t>陈可翔.数字时代公共服务行政法构建的法理及进路[J].中外法学,2024,36(03):</w:t>
      </w:r>
      <w:r>
        <w:rPr>
          <w:rFonts w:hint="eastAsia"/>
          <w:vertAlign w:val="baseline"/>
          <w:lang w:val="en-US" w:eastAsia="zh-CN"/>
        </w:rPr>
        <w:t>第55页。</w:t>
      </w:r>
    </w:p>
  </w:footnote>
  <w:footnote w:id="24">
    <w:p w14:paraId="73E51EE6">
      <w:pPr>
        <w:pStyle w:val="9"/>
        <w:snapToGrid w:val="0"/>
        <w:rPr>
          <w:rFonts w:hint="eastAsia"/>
          <w:vertAlign w:val="baseline"/>
        </w:rPr>
      </w:pPr>
      <w:r>
        <w:rPr>
          <w:rFonts w:hint="default" w:ascii="Times New Roman Regular" w:hAnsi="Times New Roman Regular" w:cs="Times New Roman Regular"/>
          <w:sz w:val="21"/>
          <w:vertAlign w:val="baseline"/>
        </w:rPr>
        <w:t>[</w:t>
      </w:r>
      <w:r>
        <w:rPr>
          <w:rFonts w:hint="default" w:ascii="Times New Roman Regular" w:hAnsi="Times New Roman Regular" w:cs="Times New Roman Regular"/>
          <w:sz w:val="21"/>
          <w:vertAlign w:val="baseline"/>
        </w:rPr>
        <w:footnoteRef/>
      </w:r>
      <w:r>
        <w:rPr>
          <w:rFonts w:hint="default" w:ascii="Times New Roman Regular" w:hAnsi="Times New Roman Regular" w:cs="Times New Roman Regular"/>
          <w:sz w:val="21"/>
          <w:vertAlign w:val="baseline"/>
        </w:rPr>
        <w:t>]</w:t>
      </w:r>
      <w:r>
        <w:rPr>
          <w:rFonts w:hint="eastAsia"/>
          <w:vertAlign w:val="baseline"/>
          <w:lang w:val="en-US" w:eastAsia="zh-CN"/>
        </w:rPr>
        <w:t>参见</w:t>
      </w:r>
      <w:r>
        <w:rPr>
          <w:rFonts w:hint="eastAsia"/>
          <w:vertAlign w:val="baseline"/>
        </w:rPr>
        <w:t xml:space="preserve">迈克尔·曼.社会权力的来源：第四卷[M].郭忠华等，译.上海：上海人民出版社，2015. </w:t>
      </w:r>
    </w:p>
    <w:p w14:paraId="49F1F4C3">
      <w:pPr>
        <w:pStyle w:val="9"/>
        <w:snapToGrid w:val="0"/>
      </w:pPr>
    </w:p>
  </w:footnote>
  <w:footnote w:id="25">
    <w:p w14:paraId="6879A521">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杨桦.“互联网+”时代政府治理结构变革及法治回应[J].江海学刊,2020,(04):</w:t>
      </w:r>
      <w:r>
        <w:rPr>
          <w:rFonts w:hint="eastAsia"/>
          <w:vertAlign w:val="baseline"/>
          <w:lang w:val="en-US" w:eastAsia="zh-CN"/>
        </w:rPr>
        <w:t>第156-157页。</w:t>
      </w:r>
    </w:p>
  </w:footnote>
  <w:footnote w:id="26">
    <w:p w14:paraId="41EE9728">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vertAlign w:val="baseline"/>
          <w:lang w:val="en-US" w:eastAsia="zh-CN"/>
        </w:rPr>
        <w:t>[德] 伊曼努尔・康德：《道德形而上学的奠基》，杨云飞译，人民出版社 2013 年版，第 45 页。</w:t>
      </w:r>
    </w:p>
  </w:footnote>
  <w:footnote w:id="27">
    <w:p w14:paraId="16CAB31B">
      <w:pPr>
        <w:pStyle w:val="9"/>
        <w:snapToGrid w:val="0"/>
        <w:rPr>
          <w:rFonts w:hint="default"/>
          <w:vertAlign w:val="baseline"/>
          <w:lang w:val="en-US"/>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欧洲联盟：《欧盟基本权利宪章》，OJ C 83,2010/C 83/02，CELEX:12010P，第 8 条，</w:t>
      </w:r>
      <w:r>
        <w:rPr>
          <w:vertAlign w:val="baseline"/>
          <w:lang w:val="en-US" w:eastAsia="zh-CN"/>
        </w:rPr>
        <w:fldChar w:fldCharType="begin"/>
      </w:r>
      <w:r>
        <w:rPr>
          <w:vertAlign w:val="baseline"/>
          <w:lang w:val="en-US" w:eastAsia="zh-CN"/>
        </w:rPr>
        <w:instrText xml:space="preserve"> HYPERLINK "https://eur-lex.europa.eu/legal-content/EN/TXT/HTML/?uri=CELEX:12010P" \t "/Users/vivian/Documents\\x/_blank" </w:instrText>
      </w:r>
      <w:r>
        <w:rPr>
          <w:vertAlign w:val="baseline"/>
          <w:lang w:val="en-US" w:eastAsia="zh-CN"/>
        </w:rPr>
        <w:fldChar w:fldCharType="separate"/>
      </w:r>
      <w:r>
        <w:rPr>
          <w:vertAlign w:val="baseline"/>
        </w:rPr>
        <w:t>https://eur-lex.europa.eu/legal-content/EN/TXT/HTML/?uri=CELEX:12010P</w:t>
      </w:r>
      <w:r>
        <w:rPr>
          <w:vertAlign w:val="baseline"/>
          <w:lang w:val="en-US" w:eastAsia="zh-CN"/>
        </w:rPr>
        <w:fldChar w:fldCharType="end"/>
      </w:r>
      <w:r>
        <w:rPr>
          <w:vertAlign w:val="baseline"/>
          <w:lang w:val="en-US" w:eastAsia="zh-CN"/>
        </w:rPr>
        <w:t>。</w:t>
      </w:r>
      <w:r>
        <w:rPr>
          <w:rFonts w:hint="eastAsia"/>
          <w:vertAlign w:val="baseline"/>
          <w:lang w:val="en-US" w:eastAsia="zh-CN"/>
        </w:rPr>
        <w:t>最后访问日期：2026年1月25日。</w:t>
      </w:r>
    </w:p>
  </w:footnote>
  <w:footnote w:id="28">
    <w:p w14:paraId="6243694C">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王燕.数据法域外适用及其冲突与应对——以欧盟《通用数据保护条例》与美国《澄清域外合法使用数据法》为例[J].比较法研究,2023,(01):</w:t>
      </w:r>
      <w:r>
        <w:rPr>
          <w:rFonts w:hint="eastAsia"/>
          <w:vertAlign w:val="baseline"/>
          <w:lang w:val="en-US" w:eastAsia="zh-CN"/>
        </w:rPr>
        <w:t>第189页。</w:t>
      </w:r>
    </w:p>
  </w:footnote>
  <w:footnote w:id="29">
    <w:p w14:paraId="53E9C3FB">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CHANDER A, et al. Convergence and Divergence in Global Data Privacy Law: Comparing the GDPR, PIPL and CCPA[C]//LAMY P, LIEBHABERG B (eds). Global Governance for the Digital Ecosystems. Brussels: CERRE, 2022:78-97[2024-03-02].</w:t>
      </w:r>
      <w:r>
        <w:rPr>
          <w:vertAlign w:val="baseline"/>
          <w:lang w:val="en-US" w:eastAsia="zh-CN"/>
        </w:rPr>
        <w:fldChar w:fldCharType="begin"/>
      </w:r>
      <w:r>
        <w:rPr>
          <w:vertAlign w:val="baseline"/>
          <w:lang w:val="en-US" w:eastAsia="zh-CN"/>
        </w:rPr>
        <w:instrText xml:space="preserve"> HYPERLINK "https://cerre.eu/publications/global-governance-for-the-digital-ecosystems/" \t "/Users/vivian/Documents\\x/_blank" </w:instrText>
      </w:r>
      <w:r>
        <w:rPr>
          <w:vertAlign w:val="baseline"/>
          <w:lang w:val="en-US" w:eastAsia="zh-CN"/>
        </w:rPr>
        <w:fldChar w:fldCharType="separate"/>
      </w:r>
      <w:r>
        <w:rPr>
          <w:vertAlign w:val="baseline"/>
        </w:rPr>
        <w:t>https://cerre.eu/publications/global-governance-for-the-digital</w:t>
      </w:r>
      <w:r>
        <w:rPr>
          <w:rFonts w:hint="eastAsia"/>
          <w:vertAlign w:val="baseline"/>
          <w:lang w:val="en-US" w:eastAsia="zh-CN"/>
        </w:rPr>
        <w:t xml:space="preserve"> </w:t>
      </w:r>
      <w:r>
        <w:rPr>
          <w:vertAlign w:val="baseline"/>
        </w:rPr>
        <w:t>ecosystems/</w:t>
      </w:r>
      <w:r>
        <w:rPr>
          <w:vertAlign w:val="baseline"/>
          <w:lang w:val="en-US" w:eastAsia="zh-CN"/>
        </w:rPr>
        <w:fldChar w:fldCharType="end"/>
      </w:r>
      <w:r>
        <w:rPr>
          <w:vertAlign w:val="baseline"/>
          <w:lang w:val="en-US" w:eastAsia="zh-CN"/>
        </w:rPr>
        <w:t>.)</w:t>
      </w:r>
      <w:r>
        <w:rPr>
          <w:rFonts w:hint="eastAsia"/>
          <w:vertAlign w:val="baseline"/>
          <w:lang w:val="en-US" w:eastAsia="zh-CN"/>
        </w:rPr>
        <w:t xml:space="preserve"> 最后访问日期：2026年1月20日。</w:t>
      </w:r>
    </w:p>
  </w:footnote>
  <w:footnote w:id="30">
    <w:p w14:paraId="7C49EC7E">
      <w:pPr>
        <w:pStyle w:val="9"/>
        <w:snapToGrid w:val="0"/>
        <w:rPr>
          <w:rFonts w:hint="default"/>
          <w:vertAlign w:val="baseline"/>
          <w:lang w:val="en-US"/>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魏治勋,许欣雨.中国数据治理规范体系的完善——基于对欧盟数据治理规范体系现状的考察[J].上海法学研究,2025,13(01):</w:t>
      </w:r>
      <w:r>
        <w:rPr>
          <w:rFonts w:hint="eastAsia"/>
          <w:vertAlign w:val="baseline"/>
          <w:lang w:val="en-US" w:eastAsia="zh-CN"/>
        </w:rPr>
        <w:t>第424页。</w:t>
      </w:r>
    </w:p>
    <w:p w14:paraId="3994F059">
      <w:pPr>
        <w:pStyle w:val="9"/>
        <w:snapToGrid w:val="0"/>
      </w:pPr>
    </w:p>
  </w:footnote>
  <w:footnote w:id="31">
    <w:p w14:paraId="15FBFD0E">
      <w:pPr>
        <w:pStyle w:val="9"/>
        <w:snapToGrid w:val="0"/>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vertAlign w:val="baseline"/>
          <w:lang w:val="en-US" w:eastAsia="zh-CN"/>
        </w:rPr>
        <w:t xml:space="preserve">REGULATION (EU) 2016/679 OF THE EUROPEAN PARLIAMENT AND OF THE COUNCIL of 27 April 2016 on </w:t>
      </w:r>
      <w:r>
        <w:rPr>
          <w:rFonts w:hint="default"/>
          <w:vertAlign w:val="baseline"/>
          <w:lang w:val="en-US" w:eastAsia="zh-CN"/>
        </w:rPr>
        <w:t>the protection of natural persons with regard to the processing of personal data and on the free movement of such data, and repealing Directive 95/46/EC (General Data Protection Regulation), article 4. Full text &lt;https://gdpr-info.eu/&gt; accessed 25</w:t>
      </w:r>
      <w:r>
        <w:rPr>
          <w:rFonts w:hint="eastAsia"/>
          <w:vertAlign w:val="baseline"/>
          <w:lang w:val="en-US" w:eastAsia="zh-CN"/>
        </w:rPr>
        <w:t xml:space="preserve"> January</w:t>
      </w:r>
      <w:r>
        <w:rPr>
          <w:rFonts w:hint="default"/>
          <w:vertAlign w:val="baseline"/>
          <w:lang w:val="en-US" w:eastAsia="zh-CN"/>
        </w:rPr>
        <w:t xml:space="preserve"> 202</w:t>
      </w:r>
      <w:r>
        <w:rPr>
          <w:rFonts w:hint="eastAsia"/>
          <w:vertAlign w:val="baseline"/>
          <w:lang w:val="en-US" w:eastAsia="zh-CN"/>
        </w:rPr>
        <w:t>6</w:t>
      </w:r>
      <w:r>
        <w:rPr>
          <w:rFonts w:hint="default"/>
          <w:vertAlign w:val="baseline"/>
          <w:lang w:val="en-US" w:eastAsia="zh-CN"/>
        </w:rPr>
        <w:t>.</w:t>
      </w:r>
    </w:p>
  </w:footnote>
  <w:footnote w:id="32">
    <w:p w14:paraId="41AF4D4C">
      <w:pPr>
        <w:pStyle w:val="9"/>
        <w:snapToGrid w:val="0"/>
        <w:rPr>
          <w:rFonts w:hint="default" w:eastAsiaTheme="minorEastAsia"/>
          <w:vertAlign w:val="baseline"/>
          <w:lang w:val="en-US" w:eastAsia="zh-CN"/>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同[53]所注，第6条(1)(a).</w:t>
      </w:r>
    </w:p>
  </w:footnote>
  <w:footnote w:id="33">
    <w:p w14:paraId="1A55286D">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同[53]所注，第6条(1)(b).</w:t>
      </w:r>
    </w:p>
  </w:footnote>
  <w:footnote w:id="34">
    <w:p w14:paraId="055EF7DF">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同[53]所注，第6条(1)(c).</w:t>
      </w:r>
    </w:p>
  </w:footnote>
  <w:footnote w:id="35">
    <w:p w14:paraId="604F9CF5">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同[53]所注，第6条(1)(d).</w:t>
      </w:r>
    </w:p>
  </w:footnote>
  <w:footnote w:id="36">
    <w:p w14:paraId="3528227E">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同[53]所注，第6条(1)(e).</w:t>
      </w:r>
    </w:p>
  </w:footnote>
  <w:footnote w:id="37">
    <w:p w14:paraId="4CF8E9F3">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w:t>
      </w:r>
      <w:r>
        <w:rPr>
          <w:vertAlign w:val="baseline"/>
          <w:lang w:val="en-US" w:eastAsia="zh-CN"/>
        </w:rPr>
        <w:t>，第6条第1款(f)项。</w:t>
      </w:r>
      <w:r>
        <w:rPr>
          <w:rFonts w:hint="eastAsia"/>
          <w:vertAlign w:val="baseline"/>
          <w:lang w:val="en-US" w:eastAsia="zh-CN"/>
        </w:rPr>
        <w:t>但是</w:t>
      </w:r>
      <w:r>
        <w:rPr>
          <w:rFonts w:hint="default"/>
          <w:vertAlign w:val="baseline"/>
          <w:lang w:val="en-US" w:eastAsia="zh-CN"/>
        </w:rPr>
        <w:t>，</w:t>
      </w:r>
      <w:r>
        <w:rPr>
          <w:rFonts w:hint="eastAsia"/>
          <w:vertAlign w:val="baseline"/>
          <w:lang w:val="en-US" w:eastAsia="zh-CN"/>
        </w:rPr>
        <w:t>该</w:t>
      </w:r>
      <w:r>
        <w:rPr>
          <w:rFonts w:hint="default"/>
          <w:vertAlign w:val="baseline"/>
          <w:lang w:val="en-US" w:eastAsia="zh-CN"/>
        </w:rPr>
        <w:t>第6条第1款</w:t>
      </w:r>
      <w:r>
        <w:rPr>
          <w:rFonts w:hint="eastAsia"/>
          <w:vertAlign w:val="baseline"/>
          <w:lang w:val="en-US" w:eastAsia="zh-CN"/>
        </w:rPr>
        <w:t>同时</w:t>
      </w:r>
      <w:r>
        <w:rPr>
          <w:rFonts w:hint="default"/>
          <w:vertAlign w:val="baseline"/>
          <w:lang w:val="en-US" w:eastAsia="zh-CN"/>
        </w:rPr>
        <w:t>规定，第一分段中的(f)项不适用于公共机构为执行其任务而进行的数据处理。</w:t>
      </w:r>
    </w:p>
  </w:footnote>
  <w:footnote w:id="38">
    <w:p w14:paraId="7312D181">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4</w:t>
      </w:r>
      <w:r>
        <w:rPr>
          <w:vertAlign w:val="baseline"/>
          <w:lang w:val="en-US" w:eastAsia="zh-CN"/>
        </w:rPr>
        <w:t>条第一款</w:t>
      </w:r>
      <w:r>
        <w:rPr>
          <w:rFonts w:hint="eastAsia"/>
          <w:vertAlign w:val="baseline"/>
          <w:lang w:val="en-US" w:eastAsia="zh-CN"/>
        </w:rPr>
        <w:t>。</w:t>
      </w:r>
    </w:p>
  </w:footnote>
  <w:footnote w:id="39">
    <w:p w14:paraId="70278BF9">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4</w:t>
      </w:r>
      <w:r>
        <w:rPr>
          <w:vertAlign w:val="baseline"/>
          <w:lang w:val="en-US" w:eastAsia="zh-CN"/>
        </w:rPr>
        <w:t>条第</w:t>
      </w:r>
      <w:r>
        <w:rPr>
          <w:rFonts w:hint="eastAsia"/>
          <w:vertAlign w:val="baseline"/>
          <w:lang w:val="en-US" w:eastAsia="zh-CN"/>
        </w:rPr>
        <w:t>二</w:t>
      </w:r>
      <w:r>
        <w:rPr>
          <w:vertAlign w:val="baseline"/>
          <w:lang w:val="en-US" w:eastAsia="zh-CN"/>
        </w:rPr>
        <w:t>款</w:t>
      </w:r>
      <w:r>
        <w:rPr>
          <w:rFonts w:hint="eastAsia"/>
          <w:vertAlign w:val="baseline"/>
          <w:lang w:val="en-US" w:eastAsia="zh-CN"/>
        </w:rPr>
        <w:t>。</w:t>
      </w:r>
    </w:p>
    <w:p w14:paraId="51F52BC1">
      <w:pPr>
        <w:pStyle w:val="9"/>
        <w:snapToGrid w:val="0"/>
      </w:pPr>
    </w:p>
  </w:footnote>
  <w:footnote w:id="40">
    <w:p w14:paraId="378B00F0">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28</w:t>
      </w:r>
      <w:r>
        <w:rPr>
          <w:vertAlign w:val="baseline"/>
          <w:lang w:val="en-US" w:eastAsia="zh-CN"/>
        </w:rPr>
        <w:t>条第</w:t>
      </w:r>
      <w:r>
        <w:rPr>
          <w:rFonts w:hint="eastAsia"/>
          <w:vertAlign w:val="baseline"/>
          <w:lang w:val="en-US" w:eastAsia="zh-CN"/>
        </w:rPr>
        <w:t>二</w:t>
      </w:r>
      <w:r>
        <w:rPr>
          <w:vertAlign w:val="baseline"/>
          <w:lang w:val="en-US" w:eastAsia="zh-CN"/>
        </w:rPr>
        <w:t>款</w:t>
      </w:r>
      <w:r>
        <w:rPr>
          <w:rFonts w:hint="eastAsia"/>
          <w:vertAlign w:val="baseline"/>
          <w:lang w:val="en-US" w:eastAsia="zh-CN"/>
        </w:rPr>
        <w:t>。</w:t>
      </w:r>
    </w:p>
  </w:footnote>
  <w:footnote w:id="41">
    <w:p w14:paraId="782BB5BC">
      <w:pPr>
        <w:keepNext w:val="0"/>
        <w:keepLines w:val="0"/>
        <w:widowControl/>
        <w:suppressLineNumbers w:val="0"/>
        <w:jc w:val="left"/>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rFonts w:ascii="ArnoPro-Regular" w:hAnsi="ArnoPro-Regular" w:eastAsia="ArnoPro-Regular" w:cs="ArnoPro-Regular"/>
          <w:color w:val="231F20"/>
          <w:kern w:val="0"/>
          <w:sz w:val="15"/>
          <w:szCs w:val="15"/>
          <w:vertAlign w:val="baseline"/>
          <w:lang w:val="en-US" w:eastAsia="zh-CN" w:bidi="ar"/>
        </w:rPr>
        <w:t xml:space="preserve">GDPR article 9. Prohibits the processing of personal data revealing racial or ethnic origin, political opinions, religious or </w:t>
      </w:r>
      <w:r>
        <w:rPr>
          <w:rFonts w:hint="default" w:ascii="ArnoPro-Regular" w:hAnsi="ArnoPro-Regular" w:eastAsia="ArnoPro-Regular" w:cs="ArnoPro-Regular"/>
          <w:color w:val="231F20"/>
          <w:kern w:val="0"/>
          <w:sz w:val="15"/>
          <w:szCs w:val="15"/>
          <w:vertAlign w:val="baseline"/>
          <w:lang w:val="en-US" w:eastAsia="zh-CN" w:bidi="ar"/>
        </w:rPr>
        <w:t xml:space="preserve">philosophical beliefs, or trade union membership, as well as genetic/biometric data and data concerning a natural person’s sex life or sexual orientation. Article 9 also provides for listed exceptions to this general prohibition. </w:t>
      </w:r>
    </w:p>
  </w:footnote>
  <w:footnote w:id="42">
    <w:p w14:paraId="149B41B4">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t xml:space="preserve"> </w:t>
      </w:r>
      <w:r>
        <w:rPr>
          <w:vertAlign w:val="baseline"/>
          <w:lang w:val="en-US" w:eastAsia="zh-CN"/>
        </w:rPr>
        <w:t xml:space="preserve">国家互联网信息办公室。人脸识别技术应用安全管理办法解读 [EB/OL]. (2023-10-24) </w:t>
      </w:r>
      <w:r>
        <w:rPr>
          <w:vertAlign w:val="baseline"/>
          <w:lang w:val="en-US" w:eastAsia="zh-CN"/>
        </w:rPr>
        <w:fldChar w:fldCharType="begin"/>
      </w:r>
      <w:r>
        <w:rPr>
          <w:vertAlign w:val="baseline"/>
          <w:lang w:val="en-US" w:eastAsia="zh-CN"/>
        </w:rPr>
        <w:instrText xml:space="preserve"> HYPERLINK "https://www.cac.gov.cn/2023-10/24/c_1697398389330453.htm" \t "/Users/vivian/Documents\\x/_blank" </w:instrText>
      </w:r>
      <w:r>
        <w:rPr>
          <w:vertAlign w:val="baseline"/>
          <w:lang w:val="en-US" w:eastAsia="zh-CN"/>
        </w:rPr>
        <w:fldChar w:fldCharType="separate"/>
      </w:r>
      <w:r>
        <w:rPr>
          <w:vertAlign w:val="baseline"/>
        </w:rPr>
        <w:t>https://www.cac.gov.cn/2023-10/24/c_1697398389330453.htm</w:t>
      </w:r>
      <w:r>
        <w:rPr>
          <w:vertAlign w:val="baseline"/>
          <w:lang w:val="en-US" w:eastAsia="zh-CN"/>
        </w:rPr>
        <w:fldChar w:fldCharType="end"/>
      </w:r>
      <w:r>
        <w:rPr>
          <w:vertAlign w:val="baseline"/>
          <w:lang w:val="en-US" w:eastAsia="zh-CN"/>
        </w:rPr>
        <w:t>.</w:t>
      </w:r>
      <w:r>
        <w:rPr>
          <w:rFonts w:hint="eastAsia"/>
          <w:vertAlign w:val="baseline"/>
        </w:rPr>
        <w:t xml:space="preserve">最后访问日期：2026 年 2 月 </w:t>
      </w:r>
      <w:r>
        <w:rPr>
          <w:rFonts w:hint="eastAsia"/>
          <w:vertAlign w:val="baseline"/>
          <w:lang w:val="en-US" w:eastAsia="zh-CN"/>
        </w:rPr>
        <w:t>12</w:t>
      </w:r>
      <w:r>
        <w:rPr>
          <w:rFonts w:hint="eastAsia"/>
          <w:vertAlign w:val="baseline"/>
        </w:rPr>
        <w:t>日。</w:t>
      </w:r>
    </w:p>
  </w:footnote>
  <w:footnote w:id="43">
    <w:p w14:paraId="2A68F095">
      <w:pPr>
        <w:pStyle w:val="9"/>
        <w:snapToGrid w:val="0"/>
        <w:rPr>
          <w:rFonts w:hint="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rFonts w:hint="eastAsia"/>
          <w:vertAlign w:val="baseline"/>
          <w:lang w:val="en-US" w:eastAsia="zh-CN"/>
        </w:rPr>
        <w:t>同同[48]所注，第9条。</w:t>
      </w:r>
    </w:p>
    <w:p w14:paraId="5C41122E">
      <w:pPr>
        <w:pStyle w:val="9"/>
        <w:snapToGrid w:val="0"/>
        <w:rPr>
          <w:rFonts w:hint="eastAsia" w:eastAsiaTheme="minorEastAsia"/>
          <w:lang w:val="en-US" w:eastAsia="zh-CN"/>
        </w:rPr>
      </w:pPr>
    </w:p>
  </w:footnote>
  <w:footnote w:id="44">
    <w:p w14:paraId="10F7231A">
      <w:pPr>
        <w:pStyle w:val="9"/>
        <w:snapToGrid w:val="0"/>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w:t>
      </w:r>
      <w:r>
        <w:rPr>
          <w:vertAlign w:val="baseline"/>
          <w:lang w:val="en-US" w:eastAsia="zh-CN"/>
        </w:rPr>
        <w:t>见《人脸识别技术应用安全管理办法》第 10 条、第 13 条。</w:t>
      </w:r>
    </w:p>
  </w:footnote>
  <w:footnote w:id="45">
    <w:p w14:paraId="38A8C4B3">
      <w:pPr>
        <w:keepNext w:val="0"/>
        <w:keepLines w:val="0"/>
        <w:widowControl/>
        <w:suppressLineNumbers w:val="0"/>
        <w:jc w:val="both"/>
        <w:rPr>
          <w:rFonts w:hint="eastAsia" w:asciiTheme="minorEastAsia" w:hAnsiTheme="minorEastAsia" w:eastAsiaTheme="minorEastAsia" w:cstheme="minorEastAsia"/>
          <w:sz w:val="18"/>
          <w:szCs w:val="18"/>
          <w:vertAlign w:val="baseline"/>
        </w:rPr>
      </w:pPr>
      <w:r>
        <w:rPr>
          <w:rStyle w:val="16"/>
          <w:rFonts w:hint="default" w:ascii="Times New Roman Regular" w:hAnsi="Times New Roman Regular" w:eastAsia="黑体" w:cs="Times New Roman Regular"/>
          <w:sz w:val="18"/>
          <w:szCs w:val="18"/>
          <w:vertAlign w:val="baseline"/>
        </w:rPr>
        <w:t>[</w:t>
      </w:r>
      <w:r>
        <w:rPr>
          <w:rStyle w:val="16"/>
          <w:rFonts w:hint="default" w:ascii="Times New Roman Regular" w:hAnsi="Times New Roman Regular" w:eastAsia="黑体" w:cs="Times New Roman Regular"/>
          <w:sz w:val="18"/>
          <w:szCs w:val="18"/>
          <w:vertAlign w:val="baseline"/>
        </w:rPr>
        <w:footnoteRef/>
      </w:r>
      <w:r>
        <w:rPr>
          <w:rStyle w:val="16"/>
          <w:rFonts w:hint="default" w:ascii="Times New Roman Regular" w:hAnsi="Times New Roman Regular" w:eastAsia="黑体" w:cs="Times New Roman Regular"/>
          <w:sz w:val="18"/>
          <w:szCs w:val="18"/>
          <w:vertAlign w:val="baseline"/>
        </w:rPr>
        <w:t>]</w:t>
      </w:r>
      <w:r>
        <w:rPr>
          <w:rFonts w:hint="eastAsia" w:asciiTheme="minorEastAsia" w:hAnsiTheme="minorEastAsia" w:eastAsiaTheme="minorEastAsia" w:cstheme="minorEastAsia"/>
          <w:kern w:val="2"/>
          <w:sz w:val="18"/>
          <w:szCs w:val="18"/>
          <w:vertAlign w:val="baseline"/>
          <w:lang w:val="en-US" w:eastAsia="zh-CN" w:bidi="ar-SA"/>
        </w:rPr>
        <w:t xml:space="preserve"> NEWMAN, Abraham L. European Data Privacy Regulation on a Global Stage: “Export or Experimentalism?”[M]//ZEITLIN, Jonathan (ed.). Extending Experimentalist Governance? The European Union and Transnational Regulation. Oxford: Oxford University Press, 2015: 第227页。</w:t>
      </w:r>
    </w:p>
  </w:footnote>
  <w:footnote w:id="46">
    <w:p w14:paraId="76D6FE47">
      <w:pPr>
        <w:pStyle w:val="9"/>
        <w:snapToGrid w:val="0"/>
        <w:jc w:val="both"/>
        <w:rPr>
          <w:rFonts w:hint="eastAsia" w:asciiTheme="minorEastAsia" w:hAnsiTheme="minorEastAsia" w:eastAsiaTheme="minorEastAsia" w:cstheme="minorEastAsia"/>
          <w:kern w:val="2"/>
          <w:sz w:val="18"/>
          <w:szCs w:val="18"/>
          <w:vertAlign w:val="baseline"/>
          <w:lang w:val="en-US" w:eastAsia="zh-CN" w:bidi="ar-SA"/>
        </w:rPr>
      </w:pPr>
      <w:r>
        <w:rPr>
          <w:rStyle w:val="16"/>
          <w:rFonts w:hint="default" w:ascii="Times New Roman Regular" w:hAnsi="Times New Roman Regular" w:cs="Times New Roman Regular" w:eastAsiaTheme="minorEastAsia"/>
          <w:sz w:val="18"/>
          <w:szCs w:val="18"/>
          <w:vertAlign w:val="baseline"/>
        </w:rPr>
        <w:t>[</w:t>
      </w:r>
      <w:r>
        <w:rPr>
          <w:rStyle w:val="16"/>
          <w:rFonts w:hint="default" w:ascii="Times New Roman Regular" w:hAnsi="Times New Roman Regular" w:cs="Times New Roman Regular" w:eastAsiaTheme="minorEastAsia"/>
          <w:sz w:val="18"/>
          <w:szCs w:val="18"/>
          <w:vertAlign w:val="baseline"/>
        </w:rPr>
        <w:footnoteRef/>
      </w:r>
      <w:r>
        <w:rPr>
          <w:rStyle w:val="16"/>
          <w:rFonts w:hint="default" w:ascii="Times New Roman Regular" w:hAnsi="Times New Roman Regular" w:cs="Times New Roman Regular" w:eastAsiaTheme="minorEastAsia"/>
          <w:sz w:val="18"/>
          <w:szCs w:val="18"/>
          <w:vertAlign w:val="baseline"/>
        </w:rPr>
        <w:t>]</w:t>
      </w:r>
      <w:r>
        <w:rPr>
          <w:rFonts w:hint="default" w:ascii="Times New Roman Regular" w:hAnsi="Times New Roman Regular" w:cs="Times New Roman Regular" w:eastAsiaTheme="minorEastAsia"/>
          <w:sz w:val="18"/>
          <w:szCs w:val="18"/>
          <w:vertAlign w:val="baseline"/>
        </w:rPr>
        <w:t xml:space="preserve"> </w:t>
      </w:r>
      <w:r>
        <w:rPr>
          <w:rFonts w:hint="eastAsia" w:asciiTheme="minorEastAsia" w:hAnsiTheme="minorEastAsia" w:eastAsiaTheme="minorEastAsia" w:cstheme="minorEastAsia"/>
          <w:sz w:val="18"/>
          <w:szCs w:val="18"/>
          <w:vertAlign w:val="baseline"/>
          <w:lang w:val="en-US" w:eastAsia="zh-CN"/>
        </w:rPr>
        <w:t>Anu Bradford, The Brussels Effect: How the European Union Rules the World, Oxford University Press, 2020, 第32-35页。</w:t>
      </w:r>
    </w:p>
  </w:footnote>
  <w:footnote w:id="47">
    <w:p w14:paraId="035E3E1E">
      <w:pPr>
        <w:pStyle w:val="9"/>
        <w:keepNext w:val="0"/>
        <w:keepLines w:val="0"/>
        <w:pageBreakBefore w:val="0"/>
        <w:widowControl w:val="0"/>
        <w:kinsoku/>
        <w:wordWrap w:val="0"/>
        <w:overflowPunct/>
        <w:topLinePunct w:val="0"/>
        <w:bidi w:val="0"/>
        <w:adjustRightInd/>
        <w:snapToGrid w:val="0"/>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default" w:ascii="Times New Roman Regular" w:hAnsi="Times New Roman Regular" w:cs="Times New Roman Regular" w:eastAsiaTheme="minorEastAsia"/>
          <w:kern w:val="2"/>
          <w:sz w:val="18"/>
          <w:szCs w:val="18"/>
          <w:vertAlign w:val="baseline"/>
          <w:lang w:val="en-US" w:eastAsia="zh-CN" w:bidi="ar-SA"/>
        </w:rPr>
        <w:t>[</w:t>
      </w:r>
      <w:r>
        <w:rPr>
          <w:rFonts w:hint="default" w:ascii="Times New Roman Regular" w:hAnsi="Times New Roman Regular" w:cs="Times New Roman Regular" w:eastAsiaTheme="minorEastAsia"/>
          <w:kern w:val="2"/>
          <w:sz w:val="18"/>
          <w:szCs w:val="18"/>
          <w:vertAlign w:val="baseline"/>
          <w:lang w:val="en-US" w:eastAsia="zh-CN" w:bidi="ar-SA"/>
        </w:rPr>
        <w:footnoteRef/>
      </w:r>
      <w:r>
        <w:rPr>
          <w:rFonts w:hint="default" w:ascii="Times New Roman Regular" w:hAnsi="Times New Roman Regular" w:cs="Times New Roman Regular" w:eastAsiaTheme="minorEastAsia"/>
          <w:kern w:val="2"/>
          <w:sz w:val="18"/>
          <w:szCs w:val="18"/>
          <w:vertAlign w:val="baseline"/>
          <w:lang w:val="en-US" w:eastAsia="zh-CN" w:bidi="ar-SA"/>
        </w:rPr>
        <w:t>]</w:t>
      </w:r>
      <w:r>
        <w:rPr>
          <w:rFonts w:hint="eastAsia" w:asciiTheme="minorEastAsia" w:hAnsiTheme="minorEastAsia" w:eastAsiaTheme="minorEastAsia" w:cstheme="minorEastAsia"/>
          <w:kern w:val="2"/>
          <w:sz w:val="18"/>
          <w:szCs w:val="18"/>
          <w:vertAlign w:val="baseline"/>
          <w:lang w:val="en-US" w:eastAsia="zh-CN" w:bidi="ar-SA"/>
        </w:rPr>
        <w:t>参见武长海,黄静怡.欧盟数据治理模式扩张与中国因应[J].科技与法律(中英文),2024,(06):34-43.DOI:10.19685/j.cnki.cn11-2922/n.2024.06.004.</w:t>
      </w:r>
      <w:r>
        <w:rPr>
          <w:rFonts w:hint="eastAsia" w:asciiTheme="minorEastAsia" w:hAnsiTheme="minorEastAsia" w:cstheme="minorEastAsia"/>
          <w:kern w:val="2"/>
          <w:sz w:val="18"/>
          <w:szCs w:val="18"/>
          <w:vertAlign w:val="baseline"/>
          <w:lang w:val="en-US" w:eastAsia="zh-CN" w:bidi="ar-SA"/>
        </w:rPr>
        <w:t>第40页。</w:t>
      </w:r>
    </w:p>
  </w:footnote>
  <w:footnote w:id="48">
    <w:p w14:paraId="23FDD5D5">
      <w:pPr>
        <w:pStyle w:val="9"/>
        <w:keepNext w:val="0"/>
        <w:keepLines w:val="0"/>
        <w:pageBreakBefore w:val="0"/>
        <w:widowControl w:val="0"/>
        <w:kinsoku/>
        <w:wordWrap w:val="0"/>
        <w:overflowPunct/>
        <w:topLinePunct w:val="0"/>
        <w:bidi w:val="0"/>
        <w:adjustRightInd/>
        <w:snapToGrid w:val="0"/>
        <w:textAlignment w:val="auto"/>
      </w:pPr>
      <w:r>
        <w:rPr>
          <w:rFonts w:hint="default" w:ascii="Times New Roman Regular" w:hAnsi="Times New Roman Regular" w:cs="Times New Roman Regular" w:eastAsiaTheme="minorEastAsia"/>
          <w:kern w:val="2"/>
          <w:sz w:val="18"/>
          <w:szCs w:val="18"/>
          <w:vertAlign w:val="baseline"/>
          <w:lang w:val="en-US" w:eastAsia="zh-CN" w:bidi="ar-SA"/>
        </w:rPr>
        <w:t>[</w:t>
      </w:r>
      <w:r>
        <w:rPr>
          <w:rFonts w:hint="default" w:ascii="Times New Roman Regular" w:hAnsi="Times New Roman Regular" w:cs="Times New Roman Regular" w:eastAsiaTheme="minorEastAsia"/>
          <w:kern w:val="2"/>
          <w:sz w:val="18"/>
          <w:szCs w:val="18"/>
          <w:vertAlign w:val="baseline"/>
          <w:lang w:val="en-US" w:eastAsia="zh-CN" w:bidi="ar-SA"/>
        </w:rPr>
        <w:footnoteRef/>
      </w:r>
      <w:r>
        <w:rPr>
          <w:rFonts w:hint="default" w:ascii="Times New Roman Regular" w:hAnsi="Times New Roman Regular" w:cs="Times New Roman Regular" w:eastAsiaTheme="minorEastAsia"/>
          <w:kern w:val="2"/>
          <w:sz w:val="18"/>
          <w:szCs w:val="18"/>
          <w:vertAlign w:val="baseline"/>
          <w:lang w:val="en-US" w:eastAsia="zh-CN" w:bidi="ar-SA"/>
        </w:rPr>
        <w:t>]</w:t>
      </w:r>
      <w:r>
        <w:rPr>
          <w:rFonts w:hint="eastAsia" w:asciiTheme="minorEastAsia" w:hAnsiTheme="minorEastAsia" w:eastAsiaTheme="minorEastAsia" w:cstheme="minorEastAsia"/>
          <w:kern w:val="2"/>
          <w:sz w:val="18"/>
          <w:szCs w:val="18"/>
          <w:vertAlign w:val="baseline"/>
          <w:lang w:val="en-US" w:eastAsia="zh-CN" w:bidi="ar-SA"/>
        </w:rPr>
        <w:t>参见</w:t>
      </w:r>
      <w:r>
        <w:rPr>
          <w:rFonts w:hint="eastAsia" w:asciiTheme="minorEastAsia" w:hAnsiTheme="minorEastAsia" w:eastAsiaTheme="minorEastAsia" w:cstheme="minorEastAsia"/>
          <w:kern w:val="2"/>
          <w:sz w:val="18"/>
          <w:szCs w:val="18"/>
          <w:vertAlign w:val="baseline"/>
          <w:lang w:val="en-US" w:eastAsia="zh-CN" w:bidi="ar-SA"/>
        </w:rPr>
        <w:fldChar w:fldCharType="begin"/>
      </w:r>
      <w:r>
        <w:rPr>
          <w:rFonts w:hint="eastAsia" w:asciiTheme="minorEastAsia" w:hAnsiTheme="minorEastAsia" w:eastAsiaTheme="minorEastAsia" w:cstheme="minorEastAsia"/>
          <w:kern w:val="2"/>
          <w:sz w:val="18"/>
          <w:szCs w:val="18"/>
          <w:vertAlign w:val="baseline"/>
          <w:lang w:val="en-US" w:eastAsia="zh-CN" w:bidi="ar-SA"/>
        </w:rPr>
        <w:instrText xml:space="preserve"> HYPERLINK "https://www.europarl.europa.eu/RegData/etudes/BRIE/2024/757632/EPRS_BRI(2024)757632_EN.pdf" \t "/Users/vivian/Documents\\x/_blank" </w:instrText>
      </w:r>
      <w:r>
        <w:rPr>
          <w:rFonts w:hint="eastAsia" w:asciiTheme="minorEastAsia" w:hAnsiTheme="minorEastAsia" w:eastAsiaTheme="minorEastAsia" w:cstheme="minorEastAsia"/>
          <w:kern w:val="2"/>
          <w:sz w:val="18"/>
          <w:szCs w:val="18"/>
          <w:vertAlign w:val="baseline"/>
          <w:lang w:val="en-US" w:eastAsia="zh-CN" w:bidi="ar-SA"/>
        </w:rPr>
        <w:fldChar w:fldCharType="separate"/>
      </w:r>
      <w:r>
        <w:rPr>
          <w:rFonts w:hint="eastAsia" w:asciiTheme="minorEastAsia" w:hAnsiTheme="minorEastAsia" w:eastAsiaTheme="minorEastAsia" w:cstheme="minorEastAsia"/>
          <w:kern w:val="2"/>
          <w:sz w:val="18"/>
          <w:szCs w:val="18"/>
          <w:vertAlign w:val="baseline"/>
          <w:lang w:val="en-US" w:eastAsia="zh-CN" w:bidi="ar-SA"/>
        </w:rPr>
        <w:t>https://www.europarl.europa.eu/RegData/etudes/BRIE/2024/757632/EPRS_BRI(2024)757632_EN.pdf</w:t>
      </w:r>
      <w:r>
        <w:rPr>
          <w:rFonts w:hint="eastAsia" w:asciiTheme="minorEastAsia" w:hAnsiTheme="minorEastAsia" w:eastAsiaTheme="minorEastAsia" w:cstheme="minorEastAsia"/>
          <w:kern w:val="2"/>
          <w:sz w:val="18"/>
          <w:szCs w:val="18"/>
          <w:vertAlign w:val="baseline"/>
          <w:lang w:val="en-US" w:eastAsia="zh-CN" w:bidi="ar-SA"/>
        </w:rPr>
        <w:fldChar w:fldCharType="end"/>
      </w:r>
      <w:r>
        <w:rPr>
          <w:rFonts w:hint="eastAsia" w:asciiTheme="minorEastAsia" w:hAnsiTheme="minorEastAsia" w:eastAsiaTheme="minorEastAsia" w:cstheme="minorEastAsia"/>
          <w:kern w:val="2"/>
          <w:sz w:val="18"/>
          <w:szCs w:val="18"/>
          <w:vertAlign w:val="baseline"/>
          <w:lang w:val="en-US" w:eastAsia="zh-CN" w:bidi="ar-SA"/>
        </w:rPr>
        <w:t xml:space="preserve"> 最后范围日期：2025年12月24日。</w:t>
      </w:r>
    </w:p>
  </w:footnote>
  <w:footnote w:id="49">
    <w:p w14:paraId="417CD8CD">
      <w:pPr>
        <w:pStyle w:val="9"/>
        <w:snapToGrid w:val="0"/>
        <w:rPr/>
      </w:pPr>
      <w:r>
        <w:rPr>
          <w:rStyle w:val="16"/>
          <w:vertAlign w:val="baseline"/>
        </w:rPr>
        <w:t>[</w:t>
      </w:r>
      <w:r>
        <w:rPr>
          <w:rStyle w:val="16"/>
          <w:vertAlign w:val="baseline"/>
        </w:rPr>
        <w:footnoteRef/>
      </w:r>
      <w:r>
        <w:rPr>
          <w:rStyle w:val="16"/>
          <w:vertAlign w:val="baseline"/>
        </w:rPr>
        <w:t>]</w:t>
      </w:r>
      <w:r>
        <w:t xml:space="preserve"> </w:t>
      </w:r>
      <w:r>
        <w:rPr>
          <w:lang w:val="en-US" w:eastAsia="zh-CN"/>
        </w:rPr>
        <w:t>参见 Regulation (EU) 2016/679 (General Data Protection Regulation), Article 56, Article 60.</w:t>
      </w:r>
    </w:p>
    <w:p w14:paraId="62E6CAE8">
      <w:pPr>
        <w:pStyle w:val="9"/>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D7C2C7"/>
    <w:multiLevelType w:val="singleLevel"/>
    <w:tmpl w:val="D9D7C2C7"/>
    <w:lvl w:ilvl="0" w:tentative="0">
      <w:start w:val="5"/>
      <w:numFmt w:val="chineseCounting"/>
      <w:suff w:val="nothing"/>
      <w:lvlText w:val="%1．"/>
      <w:lvlJc w:val="left"/>
      <w:rPr>
        <w:rFonts w:hint="eastAsia"/>
      </w:rPr>
    </w:lvl>
  </w:abstractNum>
  <w:abstractNum w:abstractNumId="1">
    <w:nsid w:val="F4F758F2"/>
    <w:multiLevelType w:val="singleLevel"/>
    <w:tmpl w:val="F4F758F2"/>
    <w:lvl w:ilvl="0" w:tentative="0">
      <w:start w:val="3"/>
      <w:numFmt w:val="chineseCounting"/>
      <w:suff w:val="nothing"/>
      <w:lvlText w:val="（%1）"/>
      <w:lvlJc w:val="left"/>
      <w:rPr>
        <w:rFonts w:hint="eastAsia"/>
      </w:rPr>
    </w:lvl>
  </w:abstractNum>
  <w:abstractNum w:abstractNumId="2">
    <w:nsid w:val="FDDEC263"/>
    <w:multiLevelType w:val="singleLevel"/>
    <w:tmpl w:val="FDDEC263"/>
    <w:lvl w:ilvl="0" w:tentative="0">
      <w:start w:val="3"/>
      <w:numFmt w:val="chineseCounting"/>
      <w:suff w:val="nothing"/>
      <w:lvlText w:val="%1、"/>
      <w:lvlJc w:val="left"/>
      <w:rPr>
        <w:rFonts w:hint="eastAsia"/>
      </w:rPr>
    </w:lvl>
  </w:abstractNum>
  <w:abstractNum w:abstractNumId="3">
    <w:nsid w:val="FFCB5EEF"/>
    <w:multiLevelType w:val="singleLevel"/>
    <w:tmpl w:val="FFCB5EEF"/>
    <w:lvl w:ilvl="0" w:tentative="0">
      <w:start w:val="2"/>
      <w:numFmt w:val="chineseCounting"/>
      <w:suff w:val="nothing"/>
      <w:lvlText w:val="（%1）"/>
      <w:lvlJc w:val="left"/>
      <w:rPr>
        <w:rFonts w:hint="eastAsia"/>
      </w:rPr>
    </w:lvl>
  </w:abstractNum>
  <w:abstractNum w:abstractNumId="4">
    <w:nsid w:val="78FE0235"/>
    <w:multiLevelType w:val="singleLevel"/>
    <w:tmpl w:val="78FE0235"/>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00"/>
    <w:footnote w:id="10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EBCEC7"/>
    <w:rsid w:val="17DA45F2"/>
    <w:rsid w:val="2F1F5C42"/>
    <w:rsid w:val="363B8F97"/>
    <w:rsid w:val="36C6F85B"/>
    <w:rsid w:val="3A274569"/>
    <w:rsid w:val="3F86E379"/>
    <w:rsid w:val="4DFF8B72"/>
    <w:rsid w:val="4FF54972"/>
    <w:rsid w:val="57EDD159"/>
    <w:rsid w:val="5A2E6A90"/>
    <w:rsid w:val="5A9DF3A3"/>
    <w:rsid w:val="5FAB56A7"/>
    <w:rsid w:val="5FFA5592"/>
    <w:rsid w:val="5FFDBAD6"/>
    <w:rsid w:val="62FD4311"/>
    <w:rsid w:val="67FF7DC4"/>
    <w:rsid w:val="6BFFFB06"/>
    <w:rsid w:val="6DF93283"/>
    <w:rsid w:val="6FFD3DFF"/>
    <w:rsid w:val="73EFF397"/>
    <w:rsid w:val="7778D53B"/>
    <w:rsid w:val="77AD72E8"/>
    <w:rsid w:val="77BA5507"/>
    <w:rsid w:val="793B8512"/>
    <w:rsid w:val="7B91BEFB"/>
    <w:rsid w:val="7BBF9663"/>
    <w:rsid w:val="7DB3E416"/>
    <w:rsid w:val="7EFF800B"/>
    <w:rsid w:val="7F57D4E6"/>
    <w:rsid w:val="7FAB55CE"/>
    <w:rsid w:val="7FE77A6F"/>
    <w:rsid w:val="7FFE0231"/>
    <w:rsid w:val="7FFF9DB2"/>
    <w:rsid w:val="84560D2B"/>
    <w:rsid w:val="85FB7373"/>
    <w:rsid w:val="8EFEE16C"/>
    <w:rsid w:val="8FEDE210"/>
    <w:rsid w:val="97BFC187"/>
    <w:rsid w:val="97D9824D"/>
    <w:rsid w:val="AEFB6C4E"/>
    <w:rsid w:val="AFB9AB79"/>
    <w:rsid w:val="B1BBD914"/>
    <w:rsid w:val="BBEBCEC7"/>
    <w:rsid w:val="BBFEB0DA"/>
    <w:rsid w:val="BC6FED5A"/>
    <w:rsid w:val="BD7F7775"/>
    <w:rsid w:val="BF130E83"/>
    <w:rsid w:val="BFCFD2D9"/>
    <w:rsid w:val="BFDE706B"/>
    <w:rsid w:val="D4B7BC89"/>
    <w:rsid w:val="D7D75C92"/>
    <w:rsid w:val="DA7BF27F"/>
    <w:rsid w:val="DAFFA04B"/>
    <w:rsid w:val="DFF6AA58"/>
    <w:rsid w:val="E3A36C5D"/>
    <w:rsid w:val="E3FA61AA"/>
    <w:rsid w:val="E6FBFE27"/>
    <w:rsid w:val="E7EA0A7D"/>
    <w:rsid w:val="EC5505EB"/>
    <w:rsid w:val="ED1DB89E"/>
    <w:rsid w:val="ED776FA4"/>
    <w:rsid w:val="EFFE7688"/>
    <w:rsid w:val="EFFF931D"/>
    <w:rsid w:val="F1FF0266"/>
    <w:rsid w:val="F739506F"/>
    <w:rsid w:val="F7ED3C0E"/>
    <w:rsid w:val="F7F3C440"/>
    <w:rsid w:val="F7FFD9BC"/>
    <w:rsid w:val="FAFB117A"/>
    <w:rsid w:val="FB76EDD7"/>
    <w:rsid w:val="FBBFCE4A"/>
    <w:rsid w:val="FBDDF1EF"/>
    <w:rsid w:val="FC8A7A9D"/>
    <w:rsid w:val="FCC93015"/>
    <w:rsid w:val="FCE99258"/>
    <w:rsid w:val="FE7A0798"/>
    <w:rsid w:val="FEBFE3EF"/>
    <w:rsid w:val="FF3BF1AA"/>
    <w:rsid w:val="FF7EB8C2"/>
    <w:rsid w:val="FF9F384F"/>
    <w:rsid w:val="FFB3C4E6"/>
    <w:rsid w:val="FFB7AB78"/>
    <w:rsid w:val="FFDE03DA"/>
    <w:rsid w:val="FFED15B4"/>
    <w:rsid w:val="FFF94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0" w:beforeLines="0" w:beforeAutospacing="0" w:after="0" w:afterLines="0" w:afterAutospacing="0" w:line="560" w:lineRule="exact"/>
      <w:ind w:firstLine="0" w:firstLineChars="0"/>
      <w:outlineLvl w:val="0"/>
    </w:pPr>
    <w:rPr>
      <w:rFonts w:ascii="Calibri" w:hAnsi="Calibri" w:eastAsia="黑体" w:cs="Times New Roman"/>
      <w:b/>
      <w:kern w:val="44"/>
      <w:sz w:val="21"/>
    </w:rPr>
  </w:style>
  <w:style w:type="paragraph" w:styleId="3">
    <w:name w:val="heading 2"/>
    <w:basedOn w:val="1"/>
    <w:next w:val="1"/>
    <w:link w:val="18"/>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0" w:after="0" w:afterAutospacing="0" w:line="560" w:lineRule="exact"/>
      <w:jc w:val="left"/>
      <w:outlineLvl w:val="3"/>
    </w:pPr>
    <w:rPr>
      <w:rFonts w:hint="eastAsia" w:ascii="宋体" w:hAnsi="宋体" w:eastAsia="宋体" w:cs="宋体"/>
      <w:b/>
      <w:bCs/>
      <w:kern w:val="0"/>
      <w:sz w:val="21"/>
      <w:lang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footnote text"/>
    <w:basedOn w:val="1"/>
    <w:uiPriority w:val="0"/>
    <w:pPr>
      <w:snapToGrid w:val="0"/>
      <w:jc w:val="left"/>
    </w:pPr>
    <w:rPr>
      <w:sz w:val="18"/>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iPriority w:val="0"/>
    <w:rPr>
      <w:color w:val="0000FF"/>
      <w:u w:val="single"/>
    </w:rPr>
  </w:style>
  <w:style w:type="character" w:styleId="16">
    <w:name w:val="footnote reference"/>
    <w:basedOn w:val="12"/>
    <w:uiPriority w:val="0"/>
    <w:rPr>
      <w:vertAlign w:val="superscript"/>
    </w:rPr>
  </w:style>
  <w:style w:type="character" w:customStyle="1" w:styleId="17">
    <w:name w:val="标题 3 Char"/>
    <w:link w:val="4"/>
    <w:qFormat/>
    <w:uiPriority w:val="0"/>
    <w:rPr>
      <w:rFonts w:hint="eastAsia" w:ascii="宋体" w:hAnsi="宋体" w:eastAsia="宋体" w:cs="宋体"/>
      <w:bCs/>
      <w:kern w:val="0"/>
      <w:sz w:val="21"/>
      <w:szCs w:val="27"/>
      <w:lang w:val="en-US" w:eastAsia="zh-CN" w:bidi="ar"/>
    </w:rPr>
  </w:style>
  <w:style w:type="character" w:customStyle="1" w:styleId="18">
    <w:name w:val="标题 2 Char"/>
    <w:link w:val="3"/>
    <w:qFormat/>
    <w:uiPriority w:val="0"/>
    <w:rPr>
      <w:rFonts w:ascii="Arial" w:hAnsi="Arial" w:eastAsia="黑体" w:cs="Times New Roman"/>
      <w:b/>
      <w:sz w:val="21"/>
    </w:rPr>
  </w:style>
  <w:style w:type="paragraph" w:customStyle="1" w:styleId="19">
    <w:name w:val="列项1"/>
    <w:basedOn w:val="1"/>
    <w:link w:val="21"/>
    <w:uiPriority w:val="0"/>
    <w:pPr>
      <w:wordWrap w:val="0"/>
      <w:spacing w:line="560" w:lineRule="exact"/>
      <w:ind w:leftChars="0"/>
      <w:jc w:val="center"/>
    </w:pPr>
    <w:rPr>
      <w:rFonts w:eastAsia="宋体" w:asciiTheme="minorAscii" w:hAnsiTheme="minorAscii" w:cstheme="minorEastAsia"/>
      <w:color w:val="auto"/>
      <w:szCs w:val="21"/>
    </w:rPr>
  </w:style>
  <w:style w:type="paragraph" w:customStyle="1" w:styleId="20">
    <w:name w:val="列项2"/>
    <w:basedOn w:val="1"/>
    <w:link w:val="22"/>
    <w:uiPriority w:val="0"/>
    <w:pPr>
      <w:spacing w:beforeAutospacing="1" w:afterAutospacing="0" w:line="560" w:lineRule="exact"/>
      <w:ind w:left="420" w:leftChars="200"/>
      <w:jc w:val="left"/>
      <w:outlineLvl w:val="3"/>
    </w:pPr>
    <w:rPr>
      <w:rFonts w:eastAsia="宋体" w:asciiTheme="minorAscii" w:hAnsiTheme="minorAscii" w:cstheme="minorEastAsia"/>
      <w:color w:val="auto"/>
      <w:kern w:val="0"/>
      <w:szCs w:val="21"/>
      <w:lang w:bidi="ar"/>
    </w:rPr>
  </w:style>
  <w:style w:type="character" w:customStyle="1" w:styleId="21">
    <w:name w:val="列项1 Char"/>
    <w:link w:val="19"/>
    <w:uiPriority w:val="0"/>
    <w:rPr>
      <w:rFonts w:hint="default" w:eastAsia="宋体" w:asciiTheme="minorAscii" w:hAnsiTheme="minorAscii" w:cstheme="minorEastAsia"/>
      <w:color w:val="auto"/>
      <w:szCs w:val="21"/>
    </w:rPr>
  </w:style>
  <w:style w:type="character" w:customStyle="1" w:styleId="22">
    <w:name w:val="列项2 Char"/>
    <w:link w:val="20"/>
    <w:uiPriority w:val="0"/>
    <w:rPr>
      <w:rFonts w:hint="default" w:eastAsia="宋体" w:asciiTheme="minorAscii" w:hAnsiTheme="minorAscii" w:cstheme="minorEastAsia"/>
      <w:color w:val="auto"/>
      <w:kern w:val="0"/>
      <w:szCs w:val="21"/>
      <w:lang w:bidi="ar"/>
    </w:rPr>
  </w:style>
  <w:style w:type="paragraph" w:customStyle="1" w:styleId="23">
    <w:name w:val="二级标题"/>
    <w:basedOn w:val="1"/>
    <w:next w:val="1"/>
    <w:uiPriority w:val="0"/>
    <w:pPr>
      <w:keepNext/>
      <w:keepLines/>
      <w:wordWrap w:val="0"/>
      <w:spacing w:beforeLines="0" w:afterLines="0" w:line="360" w:lineRule="auto"/>
      <w:outlineLvl w:val="0"/>
    </w:pPr>
    <w:rPr>
      <w:rFonts w:hint="default" w:eastAsia="Songti SC" w:asciiTheme="minorAscii" w:hAnsiTheme="minorAscii" w:cstheme="minorEastAsia"/>
      <w:b/>
      <w:kern w:val="44"/>
      <w:sz w:val="28"/>
      <w:szCs w:val="28"/>
    </w:rPr>
  </w:style>
  <w:style w:type="paragraph" w:customStyle="1" w:styleId="24">
    <w:name w:val="_Style 20"/>
    <w:basedOn w:val="1"/>
    <w:next w:val="1"/>
    <w:uiPriority w:val="0"/>
    <w:pPr>
      <w:pBdr>
        <w:bottom w:val="single" w:color="auto" w:sz="6" w:space="1"/>
      </w:pBdr>
      <w:jc w:val="center"/>
    </w:pPr>
    <w:rPr>
      <w:rFonts w:ascii="Arial" w:eastAsia="宋体"/>
      <w:vanish/>
      <w:sz w:val="16"/>
    </w:rPr>
  </w:style>
  <w:style w:type="paragraph" w:customStyle="1" w:styleId="25">
    <w:name w:val="_Style 21"/>
    <w:basedOn w:val="1"/>
    <w:next w:val="1"/>
    <w:uiPriority w:val="0"/>
    <w:pPr>
      <w:pBdr>
        <w:top w:val="single" w:color="auto" w:sz="6" w:space="1"/>
      </w:pBdr>
      <w:jc w:val="center"/>
    </w:pPr>
    <w:rPr>
      <w:rFonts w:ascii="Arial" w:eastAsia="宋体"/>
      <w:vanish/>
      <w:sz w:val="16"/>
    </w:rPr>
  </w:style>
  <w:style w:type="paragraph" w:customStyle="1" w:styleId="26">
    <w:name w:val="三级标题"/>
    <w:basedOn w:val="1"/>
    <w:next w:val="1"/>
    <w:uiPriority w:val="0"/>
    <w:pPr>
      <w:widowControl/>
      <w:wordWrap w:val="0"/>
      <w:spacing w:beforeAutospacing="1" w:afterAutospacing="1" w:line="360" w:lineRule="auto"/>
      <w:jc w:val="left"/>
      <w:outlineLvl w:val="2"/>
    </w:pPr>
    <w:rPr>
      <w:rFonts w:hint="default" w:eastAsia="Songti SC" w:asciiTheme="minorAscii" w:hAnsiTheme="minorAscii" w:cstheme="minorEastAsia"/>
      <w:b/>
      <w:bCs/>
      <w:kern w:val="0"/>
      <w:sz w:val="24"/>
      <w:lang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20959</Words>
  <Characters>25639</Characters>
  <Lines>0</Lines>
  <Paragraphs>0</Paragraphs>
  <TotalTime>2587</TotalTime>
  <ScaleCrop>false</ScaleCrop>
  <LinksUpToDate>false</LinksUpToDate>
  <CharactersWithSpaces>26353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2026-02-22T21:49:00Z</dcterms:created>
  <dc:creator>江思唯</dc:creator>
  <cp:lastModifiedBy>江思唯</cp:lastModifiedBy>
  <dcterms:modified xsi:type="dcterms:W3CDTF">2026-04-10T11:30:05Z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B7A2590A0B0F675E198ACF69DDC19111_43</vt:lpwstr>
  </property>
</Properties>
</file>