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58F481" w14:textId="77777777" w:rsidR="00344C2B" w:rsidRDefault="00000000">
      <w:pPr>
        <w:pStyle w:val="a6"/>
        <w:spacing w:line="360" w:lineRule="auto"/>
        <w:rPr>
          <w:rFonts w:ascii="Times New Roman" w:hAnsi="Times New Roman" w:cs="Times New Roman"/>
          <w:sz w:val="36"/>
          <w:szCs w:val="36"/>
        </w:rPr>
      </w:pPr>
      <w:r>
        <w:rPr>
          <w:rFonts w:ascii="Times New Roman" w:hAnsi="Times New Roman" w:cs="Times New Roman"/>
          <w:sz w:val="36"/>
          <w:szCs w:val="36"/>
        </w:rPr>
        <w:t>妨害药品管理罪</w:t>
      </w:r>
      <w:r>
        <w:rPr>
          <w:rFonts w:ascii="Times New Roman" w:hAnsi="Times New Roman" w:cs="Times New Roman"/>
          <w:sz w:val="36"/>
          <w:szCs w:val="36"/>
        </w:rPr>
        <w:t>“</w:t>
      </w:r>
      <w:r>
        <w:rPr>
          <w:rFonts w:ascii="Times New Roman" w:hAnsi="Times New Roman" w:cs="Times New Roman"/>
          <w:sz w:val="36"/>
          <w:szCs w:val="36"/>
        </w:rPr>
        <w:t>足以</w:t>
      </w:r>
      <w:r>
        <w:rPr>
          <w:rFonts w:ascii="Times New Roman" w:hAnsi="Times New Roman" w:cs="Times New Roman"/>
          <w:sz w:val="36"/>
          <w:szCs w:val="36"/>
        </w:rPr>
        <w:t>”</w:t>
      </w:r>
      <w:r>
        <w:rPr>
          <w:rFonts w:ascii="Times New Roman" w:hAnsi="Times New Roman" w:cs="Times New Roman"/>
          <w:sz w:val="36"/>
          <w:szCs w:val="36"/>
        </w:rPr>
        <w:t>要件诠释与适用研究</w:t>
      </w:r>
    </w:p>
    <w:p w14:paraId="0F82B77A" w14:textId="77777777" w:rsidR="00344C2B" w:rsidRDefault="00000000">
      <w:pPr>
        <w:spacing w:line="360" w:lineRule="auto"/>
        <w:ind w:firstLineChars="200" w:firstLine="482"/>
        <w:rPr>
          <w:rFonts w:ascii="楷体" w:eastAsia="楷体" w:hAnsi="楷体" w:cs="Times New Roman" w:hint="eastAsia"/>
          <w:b/>
          <w:bCs/>
          <w:sz w:val="18"/>
          <w:szCs w:val="18"/>
        </w:rPr>
      </w:pPr>
      <w:r>
        <w:rPr>
          <w:rFonts w:ascii="Times New Roman" w:eastAsia="宋体" w:hAnsi="Times New Roman" w:cs="Times New Roman"/>
          <w:b/>
          <w:bCs/>
          <w:sz w:val="24"/>
          <w:szCs w:val="24"/>
        </w:rPr>
        <w:t>摘要：</w:t>
      </w:r>
      <w:r>
        <w:rPr>
          <w:rFonts w:ascii="楷体" w:eastAsia="楷体" w:hAnsi="楷体" w:cs="宋体" w:hint="eastAsia"/>
          <w:sz w:val="18"/>
          <w:szCs w:val="18"/>
        </w:rPr>
        <w:t>“足以严重危害人体健康”要件的正确定位与妨害药品管理罪的科学认定息息相关。目前学界对该要件内涵争议仍存，主要体现为人身健康与药品秩序的法益界定、罪量要素与罪质要素的功能定位、抽象危险与具体危险的属性辨析。理顺并重构该要件的逻辑，需坚持个人法益优位的双重法益原则、澄清要件作为罪质核心的独立判断功能、明确本罪兼具行为不法与结果不法的具体危险类型。在此基础上，补正“四类情形”以明确入罪基准，对行为与结果不法进行综合检验，并基于比例原则建立合理出罪机制，对妨害药品管理罪认定与药品犯罪治理具有重要意义。</w:t>
      </w:r>
    </w:p>
    <w:p w14:paraId="24C58E8D" w14:textId="77777777" w:rsidR="00344C2B" w:rsidRDefault="00000000">
      <w:pPr>
        <w:spacing w:line="360" w:lineRule="auto"/>
        <w:ind w:firstLineChars="200" w:firstLine="482"/>
        <w:rPr>
          <w:rFonts w:ascii="Times New Roman" w:eastAsia="宋体" w:hAnsi="Times New Roman" w:cs="Times New Roman"/>
          <w:sz w:val="24"/>
          <w:szCs w:val="24"/>
        </w:rPr>
      </w:pPr>
      <w:r>
        <w:rPr>
          <w:rFonts w:ascii="Times New Roman" w:eastAsia="宋体" w:hAnsi="Times New Roman" w:cs="Times New Roman"/>
          <w:b/>
          <w:bCs/>
          <w:sz w:val="24"/>
          <w:szCs w:val="24"/>
        </w:rPr>
        <w:t>关键词：</w:t>
      </w:r>
      <w:r>
        <w:rPr>
          <w:rFonts w:ascii="楷体" w:eastAsia="楷体" w:hAnsi="楷体" w:cs="Times New Roman"/>
          <w:sz w:val="18"/>
          <w:szCs w:val="18"/>
        </w:rPr>
        <w:t>妨害药品管理罪；足以严重危害人体健康；司法认定</w:t>
      </w:r>
    </w:p>
    <w:p w14:paraId="49FA78C9" w14:textId="77777777" w:rsidR="00344C2B" w:rsidRDefault="00000000">
      <w:pPr>
        <w:spacing w:line="360" w:lineRule="auto"/>
        <w:ind w:firstLineChars="200" w:firstLine="482"/>
        <w:rPr>
          <w:rFonts w:ascii="Times New Roman" w:eastAsia="宋体" w:hAnsi="Times New Roman" w:cs="Times New Roman"/>
          <w:sz w:val="24"/>
          <w:szCs w:val="24"/>
        </w:rPr>
      </w:pPr>
      <w:r>
        <w:rPr>
          <w:rFonts w:ascii="Times New Roman" w:eastAsia="宋体" w:hAnsi="Times New Roman" w:cs="Times New Roman" w:hint="eastAsia"/>
          <w:b/>
          <w:bCs/>
          <w:sz w:val="24"/>
          <w:szCs w:val="24"/>
        </w:rPr>
        <w:t>中图分类号</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 xml:space="preserve">D914   </w:t>
      </w:r>
      <w:r>
        <w:rPr>
          <w:rFonts w:ascii="Times New Roman" w:eastAsia="宋体" w:hAnsi="Times New Roman" w:cs="Times New Roman" w:hint="eastAsia"/>
          <w:sz w:val="24"/>
          <w:szCs w:val="24"/>
        </w:rPr>
        <w:t>文献标志码：</w:t>
      </w:r>
      <w:r>
        <w:rPr>
          <w:rFonts w:ascii="Times New Roman" w:eastAsia="宋体" w:hAnsi="Times New Roman" w:cs="Times New Roman" w:hint="eastAsia"/>
          <w:sz w:val="24"/>
          <w:szCs w:val="24"/>
        </w:rPr>
        <w:t xml:space="preserve">A    </w:t>
      </w:r>
      <w:r>
        <w:rPr>
          <w:rFonts w:ascii="Times New Roman" w:eastAsia="宋体" w:hAnsi="Times New Roman" w:cs="Times New Roman" w:hint="eastAsia"/>
          <w:sz w:val="24"/>
          <w:szCs w:val="24"/>
        </w:rPr>
        <w:t>文章编号：</w:t>
      </w:r>
    </w:p>
    <w:p w14:paraId="28F88E63" w14:textId="77777777" w:rsidR="00344C2B" w:rsidRDefault="00000000">
      <w:pPr>
        <w:spacing w:line="360" w:lineRule="auto"/>
        <w:ind w:firstLineChars="200" w:firstLine="643"/>
        <w:jc w:val="center"/>
        <w:rPr>
          <w:rFonts w:ascii="Arial" w:eastAsia="宋体" w:hAnsi="Arial" w:cs="Arial"/>
          <w:b/>
          <w:bCs/>
          <w:sz w:val="32"/>
          <w:szCs w:val="32"/>
        </w:rPr>
      </w:pPr>
      <w:r>
        <w:rPr>
          <w:rFonts w:ascii="Arial" w:eastAsia="宋体" w:hAnsi="Arial" w:cs="Arial"/>
          <w:b/>
          <w:bCs/>
          <w:sz w:val="32"/>
          <w:szCs w:val="32"/>
        </w:rPr>
        <w:t>Interpretation and Application of the "Sufficiently Endanger Human Health" Element in the Crime of Endangering Drug Administration</w:t>
      </w:r>
    </w:p>
    <w:p w14:paraId="1CB19935" w14:textId="77777777" w:rsidR="00344C2B" w:rsidRDefault="00000000">
      <w:pPr>
        <w:ind w:firstLineChars="200" w:firstLine="482"/>
        <w:rPr>
          <w:rFonts w:ascii="Times New Roman" w:eastAsia="宋体" w:hAnsi="Times New Roman" w:cs="Times New Roman"/>
          <w:szCs w:val="21"/>
        </w:rPr>
      </w:pPr>
      <w:r>
        <w:rPr>
          <w:rFonts w:ascii="Times New Roman" w:eastAsia="宋体" w:hAnsi="Times New Roman" w:cs="Times New Roman"/>
          <w:b/>
          <w:bCs/>
          <w:sz w:val="24"/>
          <w:szCs w:val="24"/>
        </w:rPr>
        <w:t xml:space="preserve">Abstract: </w:t>
      </w:r>
      <w:r>
        <w:rPr>
          <w:rFonts w:ascii="Times New Roman" w:eastAsia="宋体" w:hAnsi="Times New Roman" w:cs="Times New Roman"/>
          <w:szCs w:val="21"/>
        </w:rPr>
        <w:t>The proper determination of the "sufficient to seriously endanger human health" criterion is closely related to the scientific identification of the crime of obstructing drug administration. Currently, the academic community still disputes the connotation of this criterion, primarily reflected in three aspects: the definition of legal interests concerning personal health and drug order, the functional positioning of quantitative and qualitative elements of the crime, and the attribute distinction between abstract and concrete hazards. To clarify and reconstruct the logic of this criterion, it is necessary to uphold the dual legal interest principle prioritizing personal legal interests, clarify the independent judgment function of the criterion as the core of qualitative elements, and specify the concrete hazard type that combines both conduct illegality and result illegality. On this basis, refining and supplementing the "four types of circumstances" to define the threshold for criminal liability, conducting comprehensive examinations of conduct and result illegality, and establishing a reasonable exclusion mechanism based on the principle of proportionality are of significant importance for the determination of the crime of obstructing drug administration and the governance of drug-related crimes.</w:t>
      </w:r>
    </w:p>
    <w:p w14:paraId="644F5321" w14:textId="77777777" w:rsidR="00344C2B" w:rsidRDefault="00000000">
      <w:pPr>
        <w:spacing w:line="360" w:lineRule="auto"/>
        <w:ind w:firstLineChars="200" w:firstLine="482"/>
        <w:rPr>
          <w:rFonts w:ascii="Times New Roman" w:eastAsia="宋体" w:hAnsi="Times New Roman" w:cs="Times New Roman"/>
          <w:sz w:val="24"/>
          <w:szCs w:val="24"/>
        </w:rPr>
      </w:pPr>
      <w:r>
        <w:rPr>
          <w:rFonts w:ascii="Times New Roman" w:eastAsia="宋体" w:hAnsi="Times New Roman" w:cs="Times New Roman"/>
          <w:b/>
          <w:bCs/>
          <w:sz w:val="24"/>
          <w:szCs w:val="24"/>
        </w:rPr>
        <w:t xml:space="preserve">Keywords: </w:t>
      </w:r>
      <w:r>
        <w:rPr>
          <w:rFonts w:ascii="Times New Roman" w:eastAsia="宋体" w:hAnsi="Times New Roman" w:cs="Times New Roman"/>
          <w:sz w:val="24"/>
          <w:szCs w:val="24"/>
        </w:rPr>
        <w:t>Crime of Endangering Drug Administration; Sufficient to Severely Harm Human Health; judicial determination</w:t>
      </w:r>
    </w:p>
    <w:p w14:paraId="523500C3" w14:textId="77777777" w:rsidR="00344C2B" w:rsidRDefault="00344C2B">
      <w:pPr>
        <w:spacing w:line="360" w:lineRule="auto"/>
        <w:rPr>
          <w:rFonts w:ascii="Times New Roman" w:eastAsia="宋体" w:hAnsi="Times New Roman" w:cs="Times New Roman"/>
          <w:b/>
          <w:bCs/>
          <w:sz w:val="24"/>
          <w:szCs w:val="24"/>
        </w:rPr>
      </w:pPr>
    </w:p>
    <w:p w14:paraId="566B28A2" w14:textId="77777777" w:rsidR="00344C2B" w:rsidRDefault="00000000">
      <w:pPr>
        <w:spacing w:line="360" w:lineRule="auto"/>
        <w:outlineLvl w:val="0"/>
        <w:rPr>
          <w:rFonts w:ascii="Times New Roman" w:eastAsia="宋体" w:hAnsi="Times New Roman" w:cs="Times New Roman"/>
          <w:b/>
          <w:bCs/>
          <w:sz w:val="24"/>
          <w:szCs w:val="24"/>
        </w:rPr>
      </w:pPr>
      <w:r>
        <w:rPr>
          <w:rFonts w:ascii="Times New Roman" w:eastAsia="宋体" w:hAnsi="Times New Roman" w:cs="Times New Roman"/>
          <w:b/>
          <w:bCs/>
          <w:sz w:val="24"/>
          <w:szCs w:val="24"/>
        </w:rPr>
        <w:t>引言</w:t>
      </w:r>
    </w:p>
    <w:p w14:paraId="6802A8FD" w14:textId="77777777" w:rsidR="00344C2B" w:rsidRDefault="00000000">
      <w:pPr>
        <w:ind w:firstLineChars="175" w:firstLine="368"/>
        <w:rPr>
          <w:rFonts w:ascii="宋体" w:eastAsia="宋体" w:hAnsi="宋体" w:cs="Times New Roman" w:hint="eastAsia"/>
          <w:szCs w:val="21"/>
        </w:rPr>
      </w:pPr>
      <w:r>
        <w:rPr>
          <w:rFonts w:ascii="宋体" w:eastAsia="宋体" w:hAnsi="宋体" w:cs="Times New Roman"/>
          <w:szCs w:val="21"/>
        </w:rPr>
        <w:t>为贯彻落实习近平总书记“四个最严”要求</w:t>
      </w:r>
      <w:r>
        <w:rPr>
          <w:rStyle w:val="a8"/>
          <w:rFonts w:ascii="宋体" w:eastAsia="宋体" w:hAnsi="宋体" w:cs="Times New Roman"/>
          <w:szCs w:val="21"/>
        </w:rPr>
        <w:footnoteReference w:id="1"/>
      </w:r>
      <w:r>
        <w:rPr>
          <w:rFonts w:ascii="宋体" w:eastAsia="宋体" w:hAnsi="宋体" w:cs="Times New Roman"/>
          <w:szCs w:val="21"/>
        </w:rPr>
        <w:t>，切实保障广大人民群众的用药安全，第</w:t>
      </w:r>
      <w:r>
        <w:rPr>
          <w:rFonts w:ascii="宋体" w:eastAsia="宋体" w:hAnsi="宋体" w:cs="Times New Roman"/>
          <w:szCs w:val="21"/>
        </w:rPr>
        <w:lastRenderedPageBreak/>
        <w:t>十三届全国人大常委会于2020年12月26日正式通过《中华人民共和国刑法修正案（十一）》，调整药品犯罪的罪名体系，并增设妨害药品管理罪。自新罪名设立以来，刑法理论界关于妨害药品管理罪的保护法益、危险属性等一直存在诸多分歧。实务界中，法院对“足以严重危害人体健康”的认定也存在较大挑战</w:t>
      </w:r>
      <w:r>
        <w:rPr>
          <w:rStyle w:val="a8"/>
          <w:rFonts w:ascii="宋体" w:eastAsia="宋体" w:hAnsi="宋体" w:cs="Times New Roman"/>
          <w:szCs w:val="21"/>
        </w:rPr>
        <w:footnoteReference w:id="2"/>
      </w:r>
      <w:r>
        <w:rPr>
          <w:rFonts w:ascii="宋体" w:eastAsia="宋体" w:hAnsi="宋体" w:cs="Times New Roman"/>
          <w:szCs w:val="21"/>
        </w:rPr>
        <w:t>，早期甚至出现了“司法虚置”的困境</w:t>
      </w:r>
      <w:r>
        <w:rPr>
          <w:rStyle w:val="a8"/>
          <w:rFonts w:ascii="宋体" w:eastAsia="宋体" w:hAnsi="宋体" w:cs="Times New Roman"/>
          <w:szCs w:val="21"/>
        </w:rPr>
        <w:footnoteReference w:id="3"/>
      </w:r>
      <w:r>
        <w:rPr>
          <w:rFonts w:ascii="宋体" w:eastAsia="宋体" w:hAnsi="宋体" w:cs="Times New Roman"/>
          <w:szCs w:val="21"/>
        </w:rPr>
        <w:t>。然而，既有研究对“足以严重人体健康”要件的讨论均存在局限。大多数学者仅对其功能定位或类型界定进行探讨</w:t>
      </w:r>
      <w:r>
        <w:rPr>
          <w:rStyle w:val="a8"/>
          <w:rFonts w:ascii="宋体" w:eastAsia="宋体" w:hAnsi="宋体" w:cs="Times New Roman"/>
          <w:szCs w:val="21"/>
        </w:rPr>
        <w:footnoteReference w:id="4"/>
      </w:r>
      <w:r>
        <w:rPr>
          <w:rFonts w:ascii="宋体" w:eastAsia="宋体" w:hAnsi="宋体" w:cs="Times New Roman"/>
          <w:szCs w:val="21"/>
        </w:rPr>
        <w:t>，缺乏对该要件的体系性探讨和适用研究。在司法认定中，虽有学者提出构建形式入罪与实质出罪相结合的融合式审查框架</w:t>
      </w:r>
      <w:r>
        <w:rPr>
          <w:rStyle w:val="a8"/>
          <w:rFonts w:ascii="宋体" w:eastAsia="宋体" w:hAnsi="宋体" w:cs="Times New Roman"/>
          <w:szCs w:val="21"/>
        </w:rPr>
        <w:footnoteReference w:id="5"/>
      </w:r>
      <w:r>
        <w:rPr>
          <w:rFonts w:ascii="宋体" w:eastAsia="宋体" w:hAnsi="宋体" w:cs="Times New Roman"/>
          <w:szCs w:val="21"/>
        </w:rPr>
        <w:t>，但有关入罪的具体情形与出罪的指导原则仍需进一步细化。本文系统性地梳理了现有文献中有关“足以严重危害人体健康”要件的争议，并将其上升至理论层面加以系统性辨析。最后，从入罪与出罪两方面构建“足以严重危害人体健康”要件的具体危险判断路径，以期为司法实践提供正确指导。</w:t>
      </w:r>
    </w:p>
    <w:p w14:paraId="4919DF75" w14:textId="77777777" w:rsidR="00344C2B" w:rsidRDefault="00000000">
      <w:pPr>
        <w:pStyle w:val="a3"/>
      </w:pPr>
      <w:r>
        <w:rPr>
          <w:rFonts w:hint="eastAsia"/>
        </w:rPr>
        <w:t>一、</w:t>
      </w:r>
      <w:r>
        <w:t>问题审视：要件内涵的理论争议与困境</w:t>
      </w:r>
    </w:p>
    <w:p w14:paraId="009E546A" w14:textId="77777777" w:rsidR="00344C2B" w:rsidRDefault="00000000">
      <w:pPr>
        <w:spacing w:line="360" w:lineRule="auto"/>
        <w:ind w:firstLineChars="175" w:firstLine="368"/>
        <w:outlineLvl w:val="1"/>
        <w:rPr>
          <w:rFonts w:ascii="Times New Roman" w:eastAsia="宋体" w:hAnsi="Times New Roman" w:cs="Times New Roman"/>
          <w:szCs w:val="21"/>
        </w:rPr>
      </w:pPr>
      <w:r>
        <w:rPr>
          <w:rFonts w:ascii="Times New Roman" w:eastAsia="宋体" w:hAnsi="Times New Roman" w:cs="Times New Roman" w:hint="eastAsia"/>
          <w:szCs w:val="21"/>
        </w:rPr>
        <w:t>（一）</w:t>
      </w:r>
      <w:r>
        <w:rPr>
          <w:rFonts w:ascii="Times New Roman" w:eastAsia="宋体" w:hAnsi="Times New Roman" w:cs="Times New Roman"/>
          <w:szCs w:val="21"/>
        </w:rPr>
        <w:t>法益界定之惑：人身健康与秩序安全的博弈</w:t>
      </w:r>
    </w:p>
    <w:p w14:paraId="55190FDE" w14:textId="77777777" w:rsidR="00344C2B" w:rsidRDefault="00000000">
      <w:pPr>
        <w:ind w:firstLineChars="200" w:firstLine="420"/>
        <w:rPr>
          <w:rFonts w:ascii="宋体" w:eastAsia="宋体" w:hAnsi="宋体" w:cs="Times New Roman" w:hint="eastAsia"/>
          <w:kern w:val="44"/>
          <w:szCs w:val="21"/>
        </w:rPr>
      </w:pPr>
      <w:r>
        <w:rPr>
          <w:rFonts w:ascii="宋体" w:eastAsia="宋体" w:hAnsi="宋体" w:cs="Times New Roman"/>
          <w:kern w:val="44"/>
          <w:szCs w:val="21"/>
        </w:rPr>
        <w:t>正确认识本罪的保护法益，对“足以严重危害人体健康”要件的体系性理解与司法适用具有基础性意义。然而，学界对于本罪的保护法益的认识存在较大分歧，这直接影响了实务中对“足以严重危害人体健康”要件的实质判断。关于本罪保护法益界定的争议主要体现为“单一法益论”与“双重法益论”之争，其中“单一法益论”又分为药品管理秩序说与公众生命健康说。</w:t>
      </w:r>
    </w:p>
    <w:p w14:paraId="3D829BAE" w14:textId="77777777" w:rsidR="00344C2B" w:rsidRDefault="00000000">
      <w:pPr>
        <w:ind w:firstLineChars="200" w:firstLine="420"/>
        <w:rPr>
          <w:rFonts w:ascii="宋体" w:eastAsia="宋体" w:hAnsi="宋体" w:cs="Times New Roman" w:hint="eastAsia"/>
          <w:kern w:val="44"/>
          <w:szCs w:val="21"/>
        </w:rPr>
      </w:pPr>
      <w:r>
        <w:rPr>
          <w:rFonts w:ascii="宋体" w:eastAsia="宋体" w:hAnsi="宋体" w:cs="Times New Roman"/>
          <w:kern w:val="44"/>
          <w:szCs w:val="21"/>
        </w:rPr>
        <w:t>药品管理秩序说认为，立法者早已明确本罪的保护法益为药品管理秩序。自2019年《药品管理法》将“以假药、劣药论处”的行为规定排除在假药、劣药定义之外后，《刑法》第141条与第142条便无法再规制上述行为。本罪的设立正是为了弥补违反药品管理秩序行为的刑罚处罚漏洞。立法者实质上将三个罪名的法益保护任务完成了合理的分工，即第141条与第142条的保护法益为公众生命健康安全，本罪的保护法益为药品管理秩序。然而，若仅认为本罪的保护法益为秩序安全，可能导致刑法处罚范围不当扩大。药品管理秩序说将本罪保护法益的核心置于行政管理秩序，而忽略了行为在刑事层面带来的实害危险，降低了“足以严重危害人体健康”的独立判断价值，使其成为对“违反药品管理秩序”这一要件的量化修饰。在此逻辑下，实践中司法机关仅依据是否违反行政规范或其违反程度推定危险存在并决定行为是否入罪，导致部分仅违反行政法规但未造成实质公众健康危害的行为不当入罪，不当扩大刑法处罚范围。</w:t>
      </w:r>
    </w:p>
    <w:p w14:paraId="569B33F5" w14:textId="77777777" w:rsidR="00344C2B" w:rsidRDefault="00000000">
      <w:pPr>
        <w:ind w:firstLineChars="200" w:firstLine="420"/>
        <w:rPr>
          <w:rFonts w:ascii="宋体" w:eastAsia="宋体" w:hAnsi="宋体" w:cs="Times New Roman" w:hint="eastAsia"/>
          <w:kern w:val="44"/>
          <w:szCs w:val="21"/>
        </w:rPr>
      </w:pPr>
      <w:r>
        <w:rPr>
          <w:rFonts w:ascii="宋体" w:eastAsia="宋体" w:hAnsi="宋体" w:cs="Times New Roman"/>
          <w:kern w:val="44"/>
          <w:szCs w:val="21"/>
        </w:rPr>
        <w:t>公众生命健康说认为，维护公众的生命健康权是本罪设立的根本的目的，所谓药品管理秩序只不过是服务于公众生命健康的各种规章制度。任何违反药品管理法规的行为都破坏了药品管理秩序，而只有那些实质上危害公众生命健康的行为才会被纳入刑罚处罚范围中。此外，立法者将在罪状中纳入“足以严重危害人体健康”而非“情节严重”，目的就是为了指明本罪的保护法益。但若仅强调人身健康，则可能虚化本罪对药品管理秩序的保障功能。公众生命健康说将本罪的保护法益聚焦于个人法益，这虽与刑法“尊重和保障人权”的基本原则相契合，但不可避免易导致本罪中前置法的制度保障功能的弱化。与药品秩序安全说相比，公众生命健康说导致“足以严重危害人体健康”的要件判断过度聚焦事后的实害危险，从而</w:t>
      </w:r>
      <w:r>
        <w:rPr>
          <w:rFonts w:ascii="宋体" w:eastAsia="宋体" w:hAnsi="宋体" w:cs="Times New Roman"/>
          <w:kern w:val="44"/>
          <w:szCs w:val="21"/>
        </w:rPr>
        <w:lastRenderedPageBreak/>
        <w:t>导致刑法介入节点之后，影响药品犯罪的全流程管控与风险预防。</w:t>
      </w:r>
    </w:p>
    <w:p w14:paraId="1B251E5D" w14:textId="77777777" w:rsidR="00344C2B" w:rsidRDefault="00000000">
      <w:pPr>
        <w:ind w:firstLineChars="200" w:firstLine="420"/>
        <w:rPr>
          <w:rFonts w:ascii="宋体" w:eastAsia="宋体" w:hAnsi="宋体" w:cs="Times New Roman" w:hint="eastAsia"/>
          <w:kern w:val="44"/>
          <w:szCs w:val="21"/>
        </w:rPr>
      </w:pPr>
      <w:r>
        <w:rPr>
          <w:rFonts w:ascii="宋体" w:eastAsia="宋体" w:hAnsi="宋体" w:cs="Times New Roman"/>
          <w:kern w:val="44"/>
          <w:szCs w:val="21"/>
        </w:rPr>
        <w:t>偏重药品秩序安全或公众生命健康的“单一法益论”存在难以弥合之缺陷，因而部分学者提出“双重法益论”，将生产、销售假药罪的保护法益定位为复合法益，既包括药品管理秩序，也包括公众的生命健康安全。有部分论者称，妨害药品管理罪既然是从生产、销售假药罪剥离而产生，其保护法益也应该为双重法益</w:t>
      </w:r>
      <w:r>
        <w:rPr>
          <w:rStyle w:val="a8"/>
          <w:rFonts w:ascii="宋体" w:eastAsia="宋体" w:hAnsi="宋体" w:cs="Times New Roman"/>
          <w:kern w:val="44"/>
          <w:szCs w:val="21"/>
        </w:rPr>
        <w:footnoteReference w:id="6"/>
      </w:r>
      <w:r>
        <w:rPr>
          <w:rFonts w:ascii="宋体" w:eastAsia="宋体" w:hAnsi="宋体" w:cs="Times New Roman"/>
          <w:kern w:val="44"/>
          <w:szCs w:val="21"/>
        </w:rPr>
        <w:t>。立法者已在妨害药品管理罪的条文中明确规定了“足以严重危害人体健康”，因而应该将人体健康作为本罪的法益保护类型</w:t>
      </w:r>
      <w:r>
        <w:rPr>
          <w:rStyle w:val="a8"/>
          <w:rFonts w:ascii="宋体" w:eastAsia="宋体" w:hAnsi="宋体" w:cs="Times New Roman"/>
          <w:kern w:val="44"/>
          <w:szCs w:val="21"/>
        </w:rPr>
        <w:footnoteReference w:id="7"/>
      </w:r>
      <w:r>
        <w:rPr>
          <w:rFonts w:ascii="宋体" w:eastAsia="宋体" w:hAnsi="宋体" w:cs="Times New Roman"/>
          <w:kern w:val="44"/>
          <w:szCs w:val="21"/>
        </w:rPr>
        <w:t>。违反药品管理秩序本身只是违反前置行政法，无法影响本罪的成立，对公共健康的实害结果才能决定本罪的成立及刑责高低</w:t>
      </w:r>
      <w:r>
        <w:rPr>
          <w:rStyle w:val="a8"/>
          <w:rFonts w:ascii="宋体" w:eastAsia="宋体" w:hAnsi="宋体" w:cs="Times New Roman"/>
          <w:kern w:val="44"/>
          <w:szCs w:val="21"/>
        </w:rPr>
        <w:footnoteReference w:id="8"/>
      </w:r>
      <w:r>
        <w:rPr>
          <w:rFonts w:ascii="宋体" w:eastAsia="宋体" w:hAnsi="宋体" w:cs="Times New Roman"/>
          <w:kern w:val="44"/>
          <w:szCs w:val="21"/>
        </w:rPr>
        <w:t>。理论上看，这不仅能够构建起本罪由形式到实质的双重判断路径，保留了“足以严重危害人体健康”要件的实质判断功能，又能为司法实践中的“陆勇案”等标志性案件提供刑法层面出罪的法理基础。但是，“双重法益论”虽能从体系性视角周延地解释本罪保护的法益，对“足以严重危害人体健康”要件的判断仍面临着法益优先性的必然选择——秩序安全优先会导致本罪的入罪重点的偏移，公众健康优先会导致前置法功能的弱化，如何理解秩序安全与公众健康的本质差异、平衡二者之间的关系成为解决该问题的关键。</w:t>
      </w:r>
    </w:p>
    <w:p w14:paraId="7A0A9FE3" w14:textId="77777777" w:rsidR="00344C2B" w:rsidRDefault="00000000">
      <w:pPr>
        <w:spacing w:line="360" w:lineRule="auto"/>
        <w:ind w:firstLineChars="175" w:firstLine="368"/>
        <w:outlineLvl w:val="1"/>
        <w:rPr>
          <w:rFonts w:ascii="Times New Roman" w:eastAsia="宋体" w:hAnsi="Times New Roman" w:cs="Times New Roman"/>
          <w:szCs w:val="21"/>
        </w:rPr>
      </w:pPr>
      <w:r>
        <w:rPr>
          <w:rFonts w:ascii="Times New Roman" w:eastAsia="宋体" w:hAnsi="Times New Roman" w:cs="Times New Roman" w:hint="eastAsia"/>
          <w:szCs w:val="21"/>
        </w:rPr>
        <w:t>（二）</w:t>
      </w:r>
      <w:r>
        <w:rPr>
          <w:rFonts w:ascii="Times New Roman" w:eastAsia="宋体" w:hAnsi="Times New Roman" w:cs="Times New Roman"/>
          <w:szCs w:val="21"/>
        </w:rPr>
        <w:t>功能定位之争：罪质要素与罪量要素的混淆</w:t>
      </w:r>
    </w:p>
    <w:p w14:paraId="04A4B9F6" w14:textId="77777777" w:rsidR="00344C2B" w:rsidRDefault="00000000">
      <w:pPr>
        <w:ind w:firstLineChars="200" w:firstLine="420"/>
        <w:rPr>
          <w:rFonts w:asciiTheme="majorEastAsia" w:eastAsiaTheme="majorEastAsia" w:hAnsiTheme="majorEastAsia" w:cs="Times New Roman" w:hint="eastAsia"/>
          <w:szCs w:val="21"/>
        </w:rPr>
      </w:pPr>
      <w:r>
        <w:rPr>
          <w:rFonts w:asciiTheme="majorEastAsia" w:eastAsiaTheme="majorEastAsia" w:hAnsiTheme="majorEastAsia" w:cs="Times New Roman"/>
          <w:szCs w:val="21"/>
        </w:rPr>
        <w:t>“足以严重危害人体健康”是本罪入罪的关键条件，但其具体作为本罪的罪量要素还是罪质要素仍然存在争议，这一功能定位差异会直接影响该要件的判断标准与司法适用。有学者认为，“足以严重危害人体健康”属于罪量要素，其目的是在于划分行政违法行为与刑事违法行为的界限，即一行为违反药品管理秩序达到行政违法行为的标准后，如果此行为还达到了“足以严重危害人体健康”的程度，那么便成为了妨害药品管理罪所处罚的对象</w:t>
      </w:r>
      <w:r>
        <w:rPr>
          <w:rStyle w:val="a8"/>
          <w:rFonts w:asciiTheme="majorEastAsia" w:eastAsiaTheme="majorEastAsia" w:hAnsiTheme="majorEastAsia" w:cs="Times New Roman"/>
          <w:szCs w:val="21"/>
        </w:rPr>
        <w:footnoteReference w:id="9"/>
      </w:r>
      <w:r>
        <w:rPr>
          <w:rFonts w:asciiTheme="majorEastAsia" w:eastAsiaTheme="majorEastAsia" w:hAnsiTheme="majorEastAsia" w:cs="Times New Roman"/>
          <w:szCs w:val="21"/>
        </w:rPr>
        <w:t>。从该角度看，本罪中“足以严重危害人体健康”要件的作用并不在于决定或影响本罪所保护的法益的性质，而仅在于通过量的积累区分行政违法与刑事犯罪</w:t>
      </w:r>
      <w:r>
        <w:rPr>
          <w:rStyle w:val="a8"/>
          <w:rFonts w:asciiTheme="majorEastAsia" w:eastAsiaTheme="majorEastAsia" w:hAnsiTheme="majorEastAsia" w:cs="Times New Roman"/>
          <w:szCs w:val="21"/>
        </w:rPr>
        <w:footnoteReference w:id="10"/>
      </w:r>
      <w:r>
        <w:rPr>
          <w:rFonts w:asciiTheme="majorEastAsia" w:eastAsiaTheme="majorEastAsia" w:hAnsiTheme="majorEastAsia" w:cs="Times New Roman"/>
          <w:szCs w:val="21"/>
        </w:rPr>
        <w:t>。换言之，行政违法与刑事犯罪之间仅存在“量”的差异，刑事违法性即一般违法性加上可罚的违法性</w:t>
      </w:r>
      <w:r>
        <w:rPr>
          <w:rStyle w:val="a8"/>
          <w:rFonts w:asciiTheme="majorEastAsia" w:eastAsiaTheme="majorEastAsia" w:hAnsiTheme="majorEastAsia" w:cs="Times New Roman"/>
          <w:szCs w:val="21"/>
        </w:rPr>
        <w:footnoteReference w:id="11"/>
      </w:r>
      <w:r>
        <w:rPr>
          <w:rFonts w:asciiTheme="majorEastAsia" w:eastAsiaTheme="majorEastAsia" w:hAnsiTheme="majorEastAsia" w:cs="Times New Roman"/>
          <w:szCs w:val="21"/>
        </w:rPr>
        <w:t>。在本罪语境下，违反药品管理秩序的行为本身已具备行政违法性，当行为对公众健康的危险程度达到一定程度，便可因量的累积升格为刑事犯罪。</w:t>
      </w:r>
    </w:p>
    <w:p w14:paraId="3E7EB476" w14:textId="77777777" w:rsidR="00344C2B" w:rsidRDefault="00000000">
      <w:pPr>
        <w:ind w:firstLineChars="200" w:firstLine="420"/>
        <w:rPr>
          <w:rFonts w:asciiTheme="majorEastAsia" w:eastAsiaTheme="majorEastAsia" w:hAnsiTheme="majorEastAsia" w:cs="Times New Roman" w:hint="eastAsia"/>
          <w:szCs w:val="21"/>
        </w:rPr>
      </w:pPr>
      <w:r>
        <w:rPr>
          <w:rFonts w:asciiTheme="majorEastAsia" w:eastAsiaTheme="majorEastAsia" w:hAnsiTheme="majorEastAsia" w:cs="Times New Roman"/>
          <w:szCs w:val="21"/>
        </w:rPr>
        <w:t>然而，将“足以严重危害人体健康”视作纯粹的罪量要素，可能弱化该要件作为入罪判断依据的独立性。实践中，司法机关倾向于以“情节显著轻微”等模糊要件为由不当限缩处罚范围，导致本罪的“但书”出罪泛化。此外，将“足以严重危害人体健康”要件作为罪量要素，会导致司法机关倾向于以抽象情节判断代替具体危险审查，忽略行为带来的实害危险。这不仅混淆了行政不法与刑事不法的本质差异，导致实践中仅违反药品管理秩序但未实际危害公共健康的行为不当入罪，还使刑法降格为行政法的补充法，有违刑法的独立性</w:t>
      </w:r>
      <w:r>
        <w:rPr>
          <w:rStyle w:val="a8"/>
          <w:rFonts w:asciiTheme="majorEastAsia" w:eastAsiaTheme="majorEastAsia" w:hAnsiTheme="majorEastAsia" w:cs="Times New Roman"/>
          <w:szCs w:val="21"/>
        </w:rPr>
        <w:footnoteReference w:id="12"/>
      </w:r>
      <w:r>
        <w:rPr>
          <w:rFonts w:asciiTheme="majorEastAsia" w:eastAsiaTheme="majorEastAsia" w:hAnsiTheme="majorEastAsia" w:cs="Times New Roman"/>
          <w:szCs w:val="21"/>
        </w:rPr>
        <w:t>。</w:t>
      </w:r>
    </w:p>
    <w:p w14:paraId="1DDDDF26" w14:textId="77777777" w:rsidR="00344C2B" w:rsidRDefault="00000000">
      <w:pPr>
        <w:ind w:firstLine="480"/>
        <w:rPr>
          <w:rFonts w:asciiTheme="majorEastAsia" w:eastAsiaTheme="majorEastAsia" w:hAnsiTheme="majorEastAsia" w:cs="Times New Roman" w:hint="eastAsia"/>
          <w:color w:val="000000"/>
          <w:szCs w:val="21"/>
        </w:rPr>
      </w:pPr>
      <w:r>
        <w:rPr>
          <w:rFonts w:asciiTheme="majorEastAsia" w:eastAsiaTheme="majorEastAsia" w:hAnsiTheme="majorEastAsia" w:cs="Times New Roman"/>
          <w:szCs w:val="21"/>
        </w:rPr>
        <w:t>有学者认为，“足以严重危害人体健康”属于罪质要素，行为是否构成“足以严重危害人体健康”是“质”的区别而非“量”的累积</w:t>
      </w:r>
      <w:r>
        <w:rPr>
          <w:rStyle w:val="a8"/>
          <w:rFonts w:asciiTheme="majorEastAsia" w:eastAsiaTheme="majorEastAsia" w:hAnsiTheme="majorEastAsia" w:cs="Times New Roman"/>
          <w:szCs w:val="21"/>
        </w:rPr>
        <w:footnoteReference w:id="13"/>
      </w:r>
      <w:r>
        <w:rPr>
          <w:rFonts w:asciiTheme="majorEastAsia" w:eastAsiaTheme="majorEastAsia" w:hAnsiTheme="majorEastAsia" w:cs="Times New Roman"/>
          <w:szCs w:val="21"/>
        </w:rPr>
        <w:t>。二者之间存在“质”的飞跃而非仅仅“量”的积累</w:t>
      </w:r>
      <w:r>
        <w:rPr>
          <w:rStyle w:val="a8"/>
          <w:rFonts w:asciiTheme="majorEastAsia" w:eastAsiaTheme="majorEastAsia" w:hAnsiTheme="majorEastAsia" w:cs="Times New Roman"/>
          <w:szCs w:val="21"/>
        </w:rPr>
        <w:footnoteReference w:id="14"/>
      </w:r>
      <w:r>
        <w:rPr>
          <w:rFonts w:asciiTheme="majorEastAsia" w:eastAsiaTheme="majorEastAsia" w:hAnsiTheme="majorEastAsia" w:cs="Times New Roman"/>
          <w:szCs w:val="21"/>
        </w:rPr>
        <w:t>，而“足以严重危害人体健康”便是二者“质”的区别的分界线。在罪质要素的基础上，部分学者认为，公众生命健康应当作为优先保护法益，“足以严重危害人体健</w:t>
      </w:r>
      <w:r>
        <w:rPr>
          <w:rFonts w:asciiTheme="majorEastAsia" w:eastAsiaTheme="majorEastAsia" w:hAnsiTheme="majorEastAsia" w:cs="Times New Roman"/>
          <w:szCs w:val="21"/>
        </w:rPr>
        <w:lastRenderedPageBreak/>
        <w:t>康”便直接决定行为是否直接侵害本罪所保护的法益</w:t>
      </w:r>
      <w:r>
        <w:rPr>
          <w:rStyle w:val="a8"/>
          <w:rFonts w:asciiTheme="majorEastAsia" w:eastAsiaTheme="majorEastAsia" w:hAnsiTheme="majorEastAsia" w:cs="Times New Roman"/>
          <w:szCs w:val="21"/>
        </w:rPr>
        <w:footnoteReference w:id="15"/>
      </w:r>
      <w:r>
        <w:rPr>
          <w:rFonts w:asciiTheme="majorEastAsia" w:eastAsiaTheme="majorEastAsia" w:hAnsiTheme="majorEastAsia" w:cs="Times New Roman"/>
          <w:szCs w:val="21"/>
        </w:rPr>
        <w:t>。从司法实践看，</w:t>
      </w:r>
      <w:r>
        <w:rPr>
          <w:rFonts w:asciiTheme="majorEastAsia" w:eastAsiaTheme="majorEastAsia" w:hAnsiTheme="majorEastAsia" w:cs="Times New Roman"/>
          <w:color w:val="000000"/>
          <w:szCs w:val="21"/>
        </w:rPr>
        <w:t>在侯元祥等人妨害药品管理案</w:t>
      </w:r>
      <w:r>
        <w:rPr>
          <w:rStyle w:val="a8"/>
          <w:rFonts w:asciiTheme="majorEastAsia" w:eastAsiaTheme="majorEastAsia" w:hAnsiTheme="majorEastAsia" w:cs="Times New Roman"/>
          <w:color w:val="000000"/>
          <w:szCs w:val="21"/>
        </w:rPr>
        <w:footnoteReference w:id="16"/>
      </w:r>
      <w:r>
        <w:rPr>
          <w:rFonts w:asciiTheme="majorEastAsia" w:eastAsiaTheme="majorEastAsia" w:hAnsiTheme="majorEastAsia" w:cs="Times New Roman"/>
          <w:color w:val="000000"/>
          <w:szCs w:val="21"/>
        </w:rPr>
        <w:t>中，当事人销售成分和适应症不明的中药制剂，导致部分患者病情恶化，被法院认定“足以严重危害人体健康”，以妨害药品管理罪论处，对各当事人分别判处有期徒刑，并处罚金。在赛诺克公司等妨害药品管理罪案</w:t>
      </w:r>
      <w:r>
        <w:rPr>
          <w:rStyle w:val="a8"/>
          <w:rFonts w:asciiTheme="majorEastAsia" w:eastAsiaTheme="majorEastAsia" w:hAnsiTheme="majorEastAsia" w:cs="Times New Roman"/>
          <w:color w:val="000000"/>
          <w:szCs w:val="21"/>
        </w:rPr>
        <w:footnoteReference w:id="17"/>
      </w:r>
      <w:r>
        <w:rPr>
          <w:rFonts w:asciiTheme="majorEastAsia" w:eastAsiaTheme="majorEastAsia" w:hAnsiTheme="majorEastAsia" w:cs="Times New Roman"/>
          <w:color w:val="000000"/>
          <w:szCs w:val="21"/>
        </w:rPr>
        <w:t>中，一大争议焦点为“案涉药品是否足以严重危害人体健康”，由此决定本案当事人是否应当入罪。最终，由于药品的安全性和有效性无法得到保障，且药品以危重病人为主要使用对象，应当被认定为“足以严重危害人体健康”，当事人被认定为妨害药品管理罪。</w:t>
      </w:r>
    </w:p>
    <w:p w14:paraId="63C664D5" w14:textId="77777777" w:rsidR="00344C2B" w:rsidRDefault="00000000">
      <w:pPr>
        <w:ind w:firstLine="480"/>
        <w:rPr>
          <w:rFonts w:asciiTheme="majorEastAsia" w:eastAsiaTheme="majorEastAsia" w:hAnsiTheme="majorEastAsia" w:cs="Times New Roman" w:hint="eastAsia"/>
          <w:color w:val="000000"/>
          <w:szCs w:val="21"/>
        </w:rPr>
      </w:pPr>
      <w:r>
        <w:rPr>
          <w:rFonts w:asciiTheme="majorEastAsia" w:eastAsiaTheme="majorEastAsia" w:hAnsiTheme="majorEastAsia" w:cs="Times New Roman"/>
          <w:color w:val="000000"/>
          <w:szCs w:val="21"/>
        </w:rPr>
        <w:t>将“足以严重危害人体健康”要件视为罪质要素，对本罪的理论定位与司法认定均有一定影响。从理论视角看，作为罪质要素则要求其符合刑事违法判断的相对独立性，这可能导致该要件司法审查标准趋于严格，从而限缩本罪的处罚范围。从实践视角看，将其作为罪质要素意味着司法机关应当对该要件进行独立的实质判断，避免将单纯的秩序违反行为不当入罪，这对证明规则和司法机关的专业能力提出了更高要求。由于理论层面尚未定论，实践中对该要件的认定往往面临着判断标准模糊、证明材料不足等问题，导致认定形式化问题显著。</w:t>
      </w:r>
    </w:p>
    <w:p w14:paraId="4D1729C7" w14:textId="77777777" w:rsidR="00344C2B" w:rsidRDefault="00000000">
      <w:pPr>
        <w:ind w:firstLine="480"/>
        <w:rPr>
          <w:rFonts w:asciiTheme="majorEastAsia" w:eastAsiaTheme="majorEastAsia" w:hAnsiTheme="majorEastAsia" w:cs="Times New Roman" w:hint="eastAsia"/>
          <w:color w:val="000000"/>
          <w:szCs w:val="21"/>
        </w:rPr>
      </w:pPr>
      <w:r>
        <w:rPr>
          <w:rFonts w:asciiTheme="majorEastAsia" w:eastAsiaTheme="majorEastAsia" w:hAnsiTheme="majorEastAsia" w:cs="Times New Roman"/>
          <w:color w:val="000000"/>
          <w:szCs w:val="21"/>
        </w:rPr>
        <w:t>正因为该要件的功能定位争议与混淆，当前司法实践中针对“足以严重危害人体健康”这一要件也并无确切裁判标准，存在显著的形式化判断倾向，以行政鉴定报告代替了司法层面的实质危害性判断</w:t>
      </w:r>
      <w:r>
        <w:rPr>
          <w:rStyle w:val="a8"/>
          <w:rFonts w:asciiTheme="majorEastAsia" w:eastAsiaTheme="majorEastAsia" w:hAnsiTheme="majorEastAsia" w:cs="Times New Roman"/>
          <w:color w:val="000000"/>
          <w:szCs w:val="21"/>
        </w:rPr>
        <w:footnoteReference w:id="18"/>
      </w:r>
      <w:r>
        <w:rPr>
          <w:rFonts w:asciiTheme="majorEastAsia" w:eastAsiaTheme="majorEastAsia" w:hAnsiTheme="majorEastAsia" w:cs="Times New Roman"/>
          <w:color w:val="000000"/>
          <w:szCs w:val="21"/>
        </w:rPr>
        <w:t>。因此，明确“足以严重危害人体健康”这一要件的功能定位，对解决该罪的理论争议及统一司法适用标准具有重要意义。</w:t>
      </w:r>
    </w:p>
    <w:p w14:paraId="0CAA8E70" w14:textId="77777777" w:rsidR="00344C2B" w:rsidRDefault="00000000">
      <w:pPr>
        <w:spacing w:line="360" w:lineRule="auto"/>
        <w:ind w:firstLineChars="175" w:firstLine="368"/>
        <w:outlineLvl w:val="1"/>
        <w:rPr>
          <w:rFonts w:asciiTheme="majorEastAsia" w:eastAsiaTheme="majorEastAsia" w:hAnsiTheme="majorEastAsia" w:cs="Times New Roman" w:hint="eastAsia"/>
          <w:szCs w:val="21"/>
        </w:rPr>
      </w:pPr>
      <w:r>
        <w:rPr>
          <w:rFonts w:asciiTheme="majorEastAsia" w:eastAsiaTheme="majorEastAsia" w:hAnsiTheme="majorEastAsia" w:cs="Times New Roman" w:hint="eastAsia"/>
          <w:szCs w:val="21"/>
        </w:rPr>
        <w:t>（三）</w:t>
      </w:r>
      <w:r>
        <w:rPr>
          <w:rFonts w:asciiTheme="majorEastAsia" w:eastAsiaTheme="majorEastAsia" w:hAnsiTheme="majorEastAsia" w:cs="Times New Roman"/>
          <w:szCs w:val="21"/>
        </w:rPr>
        <w:t>危险属性之辨：抽象危险与具体危险的界分</w:t>
      </w:r>
    </w:p>
    <w:p w14:paraId="06271BAF" w14:textId="77777777" w:rsidR="00344C2B" w:rsidRDefault="00000000">
      <w:pPr>
        <w:ind w:firstLineChars="200" w:firstLine="420"/>
        <w:rPr>
          <w:rFonts w:ascii="宋体" w:eastAsia="宋体" w:hAnsi="宋体" w:cs="Times New Roman" w:hint="eastAsia"/>
          <w:szCs w:val="21"/>
        </w:rPr>
      </w:pPr>
      <w:r>
        <w:rPr>
          <w:rFonts w:ascii="宋体" w:eastAsia="宋体" w:hAnsi="宋体" w:cs="Times New Roman"/>
          <w:szCs w:val="21"/>
        </w:rPr>
        <w:t>判定实害犯与危险犯的主要标准在于，对法益造成现实侵害还是使其处于危险状态。妨害药品管理罪的成立显然不需要对法益发生现实的侵害，只需对法益产生“足以严重危害人体健康”的危险。因此，本罪属于危险犯毋庸置疑，但进一步细分，本罪的犯罪类型是具体危险犯还是抽象危险犯存在较大争议。</w:t>
      </w:r>
    </w:p>
    <w:p w14:paraId="255DB682" w14:textId="77777777" w:rsidR="00344C2B" w:rsidRDefault="00000000">
      <w:pPr>
        <w:ind w:firstLineChars="200" w:firstLine="420"/>
        <w:rPr>
          <w:rFonts w:ascii="宋体" w:eastAsia="宋体" w:hAnsi="宋体" w:cs="Times New Roman" w:hint="eastAsia"/>
          <w:szCs w:val="21"/>
        </w:rPr>
      </w:pPr>
      <w:r>
        <w:rPr>
          <w:rFonts w:ascii="宋体" w:eastAsia="宋体" w:hAnsi="宋体" w:cs="Times New Roman"/>
          <w:szCs w:val="21"/>
        </w:rPr>
        <w:t>传统刑法理论上，对于具体危险犯与抽象危险犯的区分主要以“是否发生了现实的、紧迫的、高度的危险”为标准。具体危险犯要求行为造成了现实危险，而抽象危险犯只需根据行为人所实施的构成要件行为推定危险的存在，二者的本质区别为是否需要司法实践对该危险进行具体判断。通说认为，罪状中含有“足以”型规定的犯罪，一般都属于具体危险犯。而本罪明确要求行为要符合“足以严重危害人体健康”要件，因此属于具体危险犯。但也有学者声称，本罪属于抽象危险犯。其认为，“足以严重危害人体健康”是对行为危险属性的要求，并不是对具体危险状态的要求。换而言之，“足以严重危害人体健康”不是要求对公众生命健康造成的具体危险状态，而更关注行为对药品管理秩序造成的危险程度。这一要件主要针对行为本身起到修饰的作用。</w:t>
      </w:r>
    </w:p>
    <w:p w14:paraId="172F59F8" w14:textId="77777777" w:rsidR="00344C2B" w:rsidRDefault="00000000">
      <w:pPr>
        <w:ind w:firstLineChars="200" w:firstLine="420"/>
        <w:rPr>
          <w:rFonts w:ascii="宋体" w:eastAsia="宋体" w:hAnsi="宋体" w:cs="Times New Roman" w:hint="eastAsia"/>
          <w:szCs w:val="21"/>
        </w:rPr>
      </w:pPr>
      <w:r>
        <w:rPr>
          <w:rFonts w:ascii="宋体" w:eastAsia="宋体" w:hAnsi="宋体" w:cs="Times New Roman"/>
          <w:szCs w:val="21"/>
        </w:rPr>
        <w:t>更有论者引入“准抽象危险犯”的概念，认为本罪属于准抽象危险犯。准抽象危险犯，是指介于抽危险犯与具体危险犯之间的一种犯罪类型。具体而言，其在构成要件中除了要求某种具体行为之外，还需要对行为的危险性予以限定，如“足以”型规定就是一个标志性的特征</w:t>
      </w:r>
      <w:r>
        <w:rPr>
          <w:rStyle w:val="a8"/>
          <w:rFonts w:ascii="宋体" w:eastAsia="宋体" w:hAnsi="宋体" w:cs="Times New Roman"/>
          <w:szCs w:val="21"/>
        </w:rPr>
        <w:footnoteReference w:id="19"/>
      </w:r>
      <w:r>
        <w:rPr>
          <w:rFonts w:ascii="宋体" w:eastAsia="宋体" w:hAnsi="宋体" w:cs="Times New Roman"/>
          <w:szCs w:val="21"/>
        </w:rPr>
        <w:t>。其与抽象危险犯不同的是，准抽象危险犯需要法官具体判断行为背后指向的危险性。法官需要判断的危险是行为的危险而非结果的危险，且行为的危险程度也不用达到具体危险犯所要求的现实紧迫的程度。持这种观点的学者认为，本罪并未要求出现具体的危险状态，但要求了行为需达到“足以严重危害人体健康”的程度，且这一程度需要在司法裁判中可以</w:t>
      </w:r>
      <w:r>
        <w:rPr>
          <w:rFonts w:ascii="宋体" w:eastAsia="宋体" w:hAnsi="宋体" w:cs="Times New Roman"/>
          <w:szCs w:val="21"/>
        </w:rPr>
        <w:lastRenderedPageBreak/>
        <w:t>进行具体判断，因此本罪属于准抽象危险犯为宜。但是，“准抽象危险犯”这一概念本身源自于德日，其与我国的刑法语境并不相符。此外，这一概念即使在德日本土也不属于主流观点，其还可能模糊具体危险犯与抽象危险犯的概念，导致相关的危险判断更为困难与复杂。正如部分学者所说，并无必要引入“准抽象危险犯”这一概念，如果类似“足以”型规定有单独判断之必要的，则可归属于具体危险犯的范畴；否之，则属于抽象危险犯的范畴</w:t>
      </w:r>
      <w:r>
        <w:rPr>
          <w:rStyle w:val="a8"/>
          <w:rFonts w:ascii="宋体" w:eastAsia="宋体" w:hAnsi="宋体" w:cs="Times New Roman"/>
          <w:szCs w:val="21"/>
        </w:rPr>
        <w:footnoteReference w:id="20"/>
      </w:r>
      <w:r>
        <w:rPr>
          <w:rFonts w:ascii="宋体" w:eastAsia="宋体" w:hAnsi="宋体" w:cs="Times New Roman"/>
          <w:szCs w:val="21"/>
        </w:rPr>
        <w:t>。因此，本文不对准抽象危险犯进行详细探讨，而聚焦于具体危险犯与抽象危险犯的辨析。</w:t>
      </w:r>
    </w:p>
    <w:p w14:paraId="0E9B302D" w14:textId="77777777" w:rsidR="00344C2B" w:rsidRDefault="00000000">
      <w:pPr>
        <w:ind w:firstLineChars="200" w:firstLine="420"/>
        <w:rPr>
          <w:rFonts w:ascii="宋体" w:eastAsia="宋体" w:hAnsi="宋体" w:cs="Times New Roman" w:hint="eastAsia"/>
          <w:szCs w:val="21"/>
        </w:rPr>
      </w:pPr>
      <w:r>
        <w:rPr>
          <w:rFonts w:ascii="宋体" w:eastAsia="宋体" w:hAnsi="宋体" w:cs="Times New Roman"/>
          <w:szCs w:val="21"/>
        </w:rPr>
        <w:t>然而，抽象危险和具体危险属性的界定在理论界与司法实践中仍面临困境。抽象危险犯强调一般预防与行为规制，但可能架空“足以严重危害人体健康”要件的独立判断价值。具体而言，若将本罪视为抽象危险犯，行为仅需符合“违反药品管理法规”这一要件，便可推定抽象危险存在，行为即符合入罪标准。在此情况下，“足以严重危害人体健康”便沦为对行为抽象危险属性的简单修饰，而无法承担入罪门槛的实质审查功能。立法者在刑法条文中以“足以严重危害人体健康”代替“情节严重”等概括性表述，即为强调本罪需以具体危险状态进行判断，这与抽象危险犯的属性定位相违背。具体危险犯属性要求司法上证明具体危险，更符合刑法条文的文义，但不可避免面临证明困难。其要求司法机关结合行为时的全部客观事实，包括药品成分、适用人群等，对法益侵害的现实可能性进行具体、独立判断。而实践中，司法机关往往面临资源不足、判断标准模糊等问题，且当前司法解释的“形式化列举”模式带有抽象危险色彩，这均导致司法实践中对“足以严重危害人体健康”要件认定的形式化，与“具体危险”的实质判断要求存在内在矛盾。</w:t>
      </w:r>
    </w:p>
    <w:p w14:paraId="7293E0D9" w14:textId="77777777" w:rsidR="00344C2B" w:rsidRDefault="00000000">
      <w:pPr>
        <w:pStyle w:val="a3"/>
      </w:pPr>
      <w:r>
        <w:rPr>
          <w:rFonts w:hint="eastAsia"/>
        </w:rPr>
        <w:t>二、</w:t>
      </w:r>
      <w:r>
        <w:t>理论辨析：要件本质的学理阐释与逻辑重构</w:t>
      </w:r>
    </w:p>
    <w:p w14:paraId="2E25CF02" w14:textId="77777777" w:rsidR="00344C2B" w:rsidRDefault="00000000">
      <w:pPr>
        <w:spacing w:line="360" w:lineRule="auto"/>
        <w:ind w:firstLineChars="175" w:firstLine="368"/>
        <w:outlineLvl w:val="1"/>
        <w:rPr>
          <w:rFonts w:ascii="Times New Roman" w:eastAsia="宋体" w:hAnsi="Times New Roman" w:cs="Times New Roman"/>
          <w:szCs w:val="21"/>
        </w:rPr>
      </w:pPr>
      <w:r>
        <w:rPr>
          <w:rFonts w:ascii="Times New Roman" w:eastAsia="宋体" w:hAnsi="Times New Roman" w:cs="Times New Roman" w:hint="eastAsia"/>
          <w:szCs w:val="21"/>
        </w:rPr>
        <w:t>（一）</w:t>
      </w:r>
      <w:r>
        <w:rPr>
          <w:rFonts w:ascii="Times New Roman" w:eastAsia="宋体" w:hAnsi="Times New Roman" w:cs="Times New Roman"/>
          <w:szCs w:val="21"/>
        </w:rPr>
        <w:t>法益的回归：以</w:t>
      </w:r>
      <w:r>
        <w:rPr>
          <w:rFonts w:ascii="Times New Roman" w:eastAsia="宋体" w:hAnsi="Times New Roman" w:cs="Times New Roman"/>
          <w:szCs w:val="21"/>
        </w:rPr>
        <w:t>“</w:t>
      </w:r>
      <w:r>
        <w:rPr>
          <w:rFonts w:ascii="Times New Roman" w:eastAsia="宋体" w:hAnsi="Times New Roman" w:cs="Times New Roman"/>
          <w:szCs w:val="21"/>
        </w:rPr>
        <w:t>双重法益</w:t>
      </w:r>
      <w:r>
        <w:rPr>
          <w:rFonts w:ascii="Times New Roman" w:eastAsia="宋体" w:hAnsi="Times New Roman" w:cs="Times New Roman"/>
          <w:szCs w:val="21"/>
        </w:rPr>
        <w:t>”</w:t>
      </w:r>
      <w:r>
        <w:rPr>
          <w:rFonts w:ascii="Times New Roman" w:eastAsia="宋体" w:hAnsi="Times New Roman" w:cs="Times New Roman"/>
          <w:szCs w:val="21"/>
        </w:rPr>
        <w:t>为基础的个人法益优位原则</w:t>
      </w:r>
    </w:p>
    <w:p w14:paraId="7B834209" w14:textId="77777777" w:rsidR="00344C2B" w:rsidRDefault="00000000">
      <w:pPr>
        <w:widowControl/>
        <w:ind w:firstLineChars="200" w:firstLine="420"/>
        <w:jc w:val="left"/>
        <w:rPr>
          <w:rFonts w:ascii="宋体" w:eastAsia="宋体" w:hAnsi="宋体" w:cs="Times New Roman" w:hint="eastAsia"/>
          <w:kern w:val="44"/>
          <w:szCs w:val="21"/>
        </w:rPr>
      </w:pPr>
      <w:r>
        <w:rPr>
          <w:rFonts w:ascii="宋体" w:eastAsia="宋体" w:hAnsi="宋体" w:cs="Times New Roman"/>
          <w:kern w:val="44"/>
          <w:szCs w:val="21"/>
        </w:rPr>
        <w:t>生产、销售假(劣)药罪与一般产品缺陷犯罪相比，与公共安全关系更为紧密。但是，该罪又被规定于破坏社会主义市场经济秩序罪当中，因而不免受到秩序法益的影响</w:t>
      </w:r>
      <w:r>
        <w:rPr>
          <w:rStyle w:val="a8"/>
          <w:rFonts w:ascii="宋体" w:eastAsia="宋体" w:hAnsi="宋体" w:cs="Times New Roman"/>
          <w:kern w:val="44"/>
          <w:szCs w:val="21"/>
        </w:rPr>
        <w:footnoteReference w:id="21"/>
      </w:r>
      <w:r>
        <w:rPr>
          <w:rFonts w:ascii="宋体" w:eastAsia="宋体" w:hAnsi="宋体" w:cs="Times New Roman"/>
          <w:kern w:val="44"/>
          <w:szCs w:val="21"/>
        </w:rPr>
        <w:t>，由此导致了本罪单一法益与双重法益的分歧。笔者认为，药品管理秩序说和公众生命健康安全说均具有一定合理性，但均无法对系统化地解释本罪保护法益的内容，而双重法益说则是更优选择。首先，从刑法分则的章节安排来看，妨害药品管理罪置于刑法第3章“破坏社会主义市场经济秩序罪”之第一节“生产、销售伪劣商品罪”中，其经济犯罪的属性毋庸置疑。根据学界通说，经济犯罪所侵害的法益为诸如正当市场竞争秩序之类的社会主义市场经济秩序。且本罪在罪状中明确要求“违反药品管理法规”，由此推断出其保护法益中有药品管理秩序并无不妥。但是，对法益的判断不宜仅限于“形式要件”，也要作实质判断。本罪虽然以违反药品管理秩序为前提，但并不能因此就断定只有药品管理秩序为本罪所保护的法益。所谓法益，即法律所保护的人的利益，其根本目的是满足人自由发展、自我实现的需要。也就是说，任何法益的确立都应以“以人为本”为根本原则。显然，单纯将抽象的药品管理秩序单独作为保护法益与“以人为本”的原则相悖。此外，法益的必然要求是清晰性与可实际侵害性。而药品管理秩序只是“价值利益的载体但却不是具体的法的利益”，其具有抽象性与模糊性的特征，不宜单独作为保护法益而存在。因而，将公共生命健康这一法益作为本罪所保护的另一法益是适当的。这既可以实现个人法益与社会法益的统一，又能满足法益的可实际侵害性要求。</w:t>
      </w:r>
    </w:p>
    <w:p w14:paraId="758949F4" w14:textId="77777777" w:rsidR="00344C2B" w:rsidRDefault="00000000">
      <w:pPr>
        <w:widowControl/>
        <w:ind w:firstLineChars="200" w:firstLine="420"/>
        <w:jc w:val="left"/>
        <w:rPr>
          <w:rFonts w:ascii="宋体" w:eastAsia="宋体" w:hAnsi="宋体" w:cs="Times New Roman" w:hint="eastAsia"/>
          <w:kern w:val="44"/>
          <w:szCs w:val="21"/>
        </w:rPr>
      </w:pPr>
      <w:r>
        <w:rPr>
          <w:rFonts w:ascii="宋体" w:eastAsia="宋体" w:hAnsi="宋体" w:cs="Times New Roman"/>
          <w:kern w:val="44"/>
          <w:szCs w:val="21"/>
        </w:rPr>
        <w:t>在明确了本罪的双重法益后，亟待解决的问题是法益内部的优先性问题，即本罪优先保护哪一层法益，其评价标准又是什么？笔者认为，本罪的</w:t>
      </w:r>
      <w:r>
        <w:rPr>
          <w:rFonts w:ascii="宋体" w:eastAsia="宋体" w:hAnsi="宋体" w:cs="Times New Roman"/>
          <w:szCs w:val="21"/>
        </w:rPr>
        <w:t>优先保护法益为公众生命健康</w:t>
      </w:r>
      <w:r>
        <w:rPr>
          <w:rFonts w:ascii="宋体" w:eastAsia="宋体" w:hAnsi="宋体" w:cs="Times New Roman"/>
          <w:szCs w:val="21"/>
        </w:rPr>
        <w:lastRenderedPageBreak/>
        <w:t>安全，而对于药品管理秩序法益的保护实际上是服务于公众生命健康安全。在判断顺序上，应遵从由表及里的顺序，即先判断行为是否侵害药品管理秩序，再判断其背后的公众生命健康法益。</w:t>
      </w:r>
      <w:r>
        <w:rPr>
          <w:rFonts w:ascii="宋体" w:eastAsia="宋体" w:hAnsi="宋体" w:cs="Times New Roman"/>
          <w:kern w:val="44"/>
          <w:szCs w:val="21"/>
        </w:rPr>
        <w:t>进一步来看，药品管理秩序与公众生命健康这两层法益之间具有内部的一致性。二者的关系并不只是表面上的手段与目的的关系，更是深层次的展开关系，即药品管理秩序法益最后可以被还原成公众生命健康法益。而这种转化实际上是通过秩序法益所指向的前置性规范法所进行展现的</w:t>
      </w:r>
      <w:r>
        <w:rPr>
          <w:rStyle w:val="a8"/>
          <w:rFonts w:ascii="宋体" w:eastAsia="宋体" w:hAnsi="宋体" w:cs="Times New Roman"/>
          <w:kern w:val="44"/>
          <w:szCs w:val="21"/>
        </w:rPr>
        <w:footnoteReference w:id="22"/>
      </w:r>
      <w:r>
        <w:rPr>
          <w:rFonts w:ascii="宋体" w:eastAsia="宋体" w:hAnsi="宋体" w:cs="Times New Roman"/>
          <w:kern w:val="44"/>
          <w:szCs w:val="21"/>
        </w:rPr>
        <w:t>。就本罪而言，药品管理秩序法益的判断基础是建立在药品管理法所构建的药品管理秩序之上。而根据《药品管理法》第1条的规定，维护这一秩序实质上是为了维护人民身体健康和安全，也就是本罪的第二层保护法益，公众生命健康权。至此，双重法益内部也达成了统一。</w:t>
      </w:r>
    </w:p>
    <w:p w14:paraId="2EE70B0E" w14:textId="77777777" w:rsidR="00344C2B" w:rsidRDefault="00000000">
      <w:pPr>
        <w:ind w:firstLineChars="200" w:firstLine="420"/>
        <w:rPr>
          <w:rFonts w:ascii="宋体" w:eastAsia="宋体" w:hAnsi="宋体" w:cs="Times New Roman" w:hint="eastAsia"/>
          <w:kern w:val="44"/>
          <w:szCs w:val="21"/>
        </w:rPr>
      </w:pPr>
      <w:r>
        <w:rPr>
          <w:rFonts w:ascii="宋体" w:eastAsia="宋体" w:hAnsi="宋体" w:cs="Times New Roman"/>
          <w:kern w:val="44"/>
          <w:szCs w:val="21"/>
        </w:rPr>
        <w:t>最后，双重法益的确立对于“足以严重危害人体健康”的认定具有重要意义。如上所述，公众生命健康安全法益是优先于药品管理秩序法益所保护的。那么，若仅违法药品管理秩序但并未危害公众生命健康的行为，则不宜认定为“足以严重危害人体健康”，自然也不应具有刑罚可罚性。在这一点上，司法实践中已有先例，如具有重大社会影响的“陆勇案”。该案中，陆勇在没有进口批文的情况下，进口印度仿制的“格列卫”抗癌药，每盒以200多元的低价卖给其他患者。经证实，该药物的实际功效与瑞士生产的正版“格列宁”并无较大差异。但是，按照当时的法律规定，该药品属于《药品管理法》第48条“依法必须批准而未经批准进口的药品，按假药论处”之列，陆勇也因此涉嫌生产、销售假药罪被公安机关查处。但在巨大的舆论压力下，检察院最终作出了不起诉的决定。表面上，检察机关因陆勇的行为不属于销售行为而决定不起诉。但从深层次看，检察院此举实则是对仅违反药品管理秩序而未危害公众健康的行为不具有刑罚处罚性的肯定。在“陆勇案”的推动下，《药品管理法》更是作出了实质性修改，该规定除保留“变质的药品“和”药品所标明的适应症或者功能主治超出规定范围“这两种“按假药论处”的情形并将其列入假药的情形外，删除了其它“按假药论处”的情形。这标志着药品实际功效成为假药的唯一认定标准。由此观之，无论是司法亦或立法，都表明仅“违反药品管理秩序”而未“危害公众生命健康”的行为，不应被纳入刑罚处罚的范围之内。</w:t>
      </w:r>
    </w:p>
    <w:p w14:paraId="709FE3D6" w14:textId="77777777" w:rsidR="00344C2B" w:rsidRDefault="00000000">
      <w:pPr>
        <w:spacing w:line="360" w:lineRule="auto"/>
        <w:ind w:firstLineChars="175" w:firstLine="368"/>
        <w:outlineLvl w:val="1"/>
        <w:rPr>
          <w:rFonts w:ascii="Times New Roman" w:eastAsia="宋体" w:hAnsi="Times New Roman" w:cs="Times New Roman"/>
          <w:szCs w:val="21"/>
        </w:rPr>
      </w:pPr>
      <w:r>
        <w:rPr>
          <w:rFonts w:ascii="Times New Roman" w:eastAsia="宋体" w:hAnsi="Times New Roman" w:cs="Times New Roman" w:hint="eastAsia"/>
          <w:szCs w:val="21"/>
        </w:rPr>
        <w:t>（二）</w:t>
      </w:r>
      <w:r>
        <w:rPr>
          <w:rFonts w:ascii="Times New Roman" w:eastAsia="宋体" w:hAnsi="Times New Roman" w:cs="Times New Roman"/>
          <w:szCs w:val="21"/>
        </w:rPr>
        <w:t>功能的澄清：作为罪质核心的独立危险要件</w:t>
      </w:r>
    </w:p>
    <w:p w14:paraId="40F47B15" w14:textId="77777777" w:rsidR="00344C2B" w:rsidRDefault="00000000">
      <w:pPr>
        <w:ind w:firstLine="482"/>
        <w:rPr>
          <w:rFonts w:ascii="宋体" w:eastAsia="宋体" w:hAnsi="宋体" w:cs="Times New Roman" w:hint="eastAsia"/>
          <w:color w:val="000000"/>
          <w:szCs w:val="21"/>
        </w:rPr>
      </w:pPr>
      <w:r>
        <w:rPr>
          <w:rFonts w:ascii="宋体" w:eastAsia="宋体" w:hAnsi="宋体" w:cs="Times New Roman"/>
          <w:color w:val="000000"/>
          <w:szCs w:val="21"/>
        </w:rPr>
        <w:t>从刑法教义学角度看，“足以严重危害人体健康”要件的功能定位决定了罪与非罪的边界。笔者坚持该要件的独立判断功能，支持罪质要素说。从立法论面向来看，立法者在法条原文中将“足以严重危害人体健康”与“违反药品管理法规”并列规定为本罪的构成要件</w:t>
      </w:r>
      <w:r>
        <w:rPr>
          <w:rStyle w:val="a8"/>
          <w:rFonts w:ascii="宋体" w:eastAsia="宋体" w:hAnsi="宋体" w:cs="Times New Roman"/>
          <w:color w:val="000000"/>
          <w:szCs w:val="21"/>
        </w:rPr>
        <w:footnoteReference w:id="23"/>
      </w:r>
      <w:r>
        <w:rPr>
          <w:rFonts w:ascii="宋体" w:eastAsia="宋体" w:hAnsi="宋体" w:cs="Times New Roman"/>
          <w:color w:val="000000"/>
          <w:szCs w:val="21"/>
        </w:rPr>
        <w:t>。根据《关于办理危害药品安全刑事案件若干问题的解释》第7条对“足以严重危害人体健康”的单独规定可推断其是妨害药品管理罪基本犯的入罪门槛，而第8条进一步规定“实施妨害药品管理的行为”且“足以严重危害人体健康”，并具有司法解释规定的某一情节时，才能认定为“其他严重情节”，适用法定升格刑。从这一条文结构设置可推断出，“足以严重危害人体健康”的关键作用在于区分行为的罪与非罪，应当作为罪质核心的独立危险要件。</w:t>
      </w:r>
    </w:p>
    <w:p w14:paraId="7E22B5A8" w14:textId="77777777" w:rsidR="00344C2B" w:rsidRDefault="00000000">
      <w:pPr>
        <w:ind w:firstLine="482"/>
        <w:rPr>
          <w:rFonts w:ascii="宋体" w:eastAsia="宋体" w:hAnsi="宋体" w:cs="Times New Roman" w:hint="eastAsia"/>
          <w:color w:val="000000"/>
          <w:szCs w:val="21"/>
        </w:rPr>
      </w:pPr>
      <w:r>
        <w:rPr>
          <w:rFonts w:ascii="宋体" w:eastAsia="宋体" w:hAnsi="宋体" w:cs="Times New Roman"/>
          <w:color w:val="000000"/>
          <w:szCs w:val="21"/>
        </w:rPr>
        <w:t>妨害药品管理罪是典型的行政犯，行政违法是刑事犯罪的充分不必要条件</w:t>
      </w:r>
      <w:r>
        <w:rPr>
          <w:rStyle w:val="a8"/>
          <w:rFonts w:ascii="宋体" w:eastAsia="宋体" w:hAnsi="宋体" w:cs="Times New Roman"/>
          <w:color w:val="000000"/>
          <w:szCs w:val="21"/>
        </w:rPr>
        <w:footnoteReference w:id="24"/>
      </w:r>
      <w:r>
        <w:rPr>
          <w:rFonts w:ascii="宋体" w:eastAsia="宋体" w:hAnsi="宋体" w:cs="Times New Roman"/>
          <w:color w:val="000000"/>
          <w:szCs w:val="21"/>
        </w:rPr>
        <w:t>。“药品管理秩序”属于前置法《药品管理法》所保护的行政法益，在本罪中仅能承担形式判断功能</w:t>
      </w:r>
      <w:r>
        <w:rPr>
          <w:rStyle w:val="a8"/>
          <w:rFonts w:ascii="宋体" w:eastAsia="宋体" w:hAnsi="宋体" w:cs="Times New Roman"/>
          <w:color w:val="000000"/>
          <w:szCs w:val="21"/>
        </w:rPr>
        <w:footnoteReference w:id="25"/>
      </w:r>
      <w:r>
        <w:rPr>
          <w:rFonts w:ascii="宋体" w:eastAsia="宋体" w:hAnsi="宋体" w:cs="Times New Roman"/>
          <w:color w:val="000000"/>
          <w:szCs w:val="21"/>
        </w:rPr>
        <w:t>。由此，“足以严重危害人体健康”便承担起本罪的实质判断功能，成为入罪门槛，“对人体健康造成严重危害”成为结果加重犯的条件，“有其他严重情节”构成其法定升格刑。进一</w:t>
      </w:r>
      <w:r>
        <w:rPr>
          <w:rFonts w:ascii="宋体" w:eastAsia="宋体" w:hAnsi="宋体" w:cs="Times New Roman"/>
          <w:color w:val="000000"/>
          <w:szCs w:val="21"/>
        </w:rPr>
        <w:lastRenderedPageBreak/>
        <w:t>步说，“足以严重危害人体健康”正是本罪社会危害性的体现，是判断行为是否具备刑事可罚性的关键。即某一行为即使违反药品管理秩序，只要不满足“足以严重危害人体健康”要件，就不应构成本罪。</w:t>
      </w:r>
    </w:p>
    <w:p w14:paraId="149FF6DA" w14:textId="77777777" w:rsidR="00344C2B" w:rsidRDefault="00000000">
      <w:pPr>
        <w:ind w:firstLine="482"/>
        <w:rPr>
          <w:rFonts w:ascii="宋体" w:eastAsia="宋体" w:hAnsi="宋体" w:cs="Times New Roman" w:hint="eastAsia"/>
          <w:color w:val="000000"/>
          <w:szCs w:val="21"/>
        </w:rPr>
      </w:pPr>
      <w:r>
        <w:rPr>
          <w:rFonts w:ascii="宋体" w:eastAsia="宋体" w:hAnsi="宋体" w:cs="Times New Roman"/>
          <w:color w:val="000000"/>
          <w:szCs w:val="21"/>
        </w:rPr>
        <w:t>将“足以严重危害人体健康”这一要件视作罪量要素的逻辑在于，将本罪作为抽象危险犯，通过行为而非结果判断是否入罪</w:t>
      </w:r>
      <w:r>
        <w:rPr>
          <w:rStyle w:val="a8"/>
          <w:rFonts w:ascii="宋体" w:eastAsia="宋体" w:hAnsi="宋体" w:cs="Times New Roman"/>
          <w:color w:val="000000"/>
          <w:szCs w:val="21"/>
        </w:rPr>
        <w:footnoteReference w:id="26"/>
      </w:r>
      <w:r>
        <w:rPr>
          <w:rFonts w:ascii="宋体" w:eastAsia="宋体" w:hAnsi="宋体" w:cs="Times New Roman"/>
          <w:color w:val="000000"/>
          <w:szCs w:val="21"/>
        </w:rPr>
        <w:t>。这便要求评价行为违法性时注重行为本身的危险性质，而非行为将带来的具体危险。在此语境下，“足以”便成为对行为危险属性与程度的具体修饰。需要注意，这一观点的前提在于，本罪属于抽象危险犯。然而无论从前置处罚必要还是行为危险转化认定的角度来看，妨害药品管理行为的实害程度并未达到先行处罚以预防之程度，且妨害行为并不必然转化为实害危险，自然不应纳入抽象危险犯之范畴，“足以严重危害人体健康”的罪量要素论便已失去成立的根基。</w:t>
      </w:r>
    </w:p>
    <w:p w14:paraId="57CDD6BF" w14:textId="77777777" w:rsidR="00344C2B" w:rsidRDefault="00000000">
      <w:pPr>
        <w:ind w:firstLine="482"/>
        <w:rPr>
          <w:rFonts w:ascii="宋体" w:eastAsia="宋体" w:hAnsi="宋体" w:cs="Times New Roman" w:hint="eastAsia"/>
          <w:color w:val="000000"/>
          <w:szCs w:val="21"/>
        </w:rPr>
      </w:pPr>
      <w:r>
        <w:rPr>
          <w:rFonts w:ascii="宋体" w:eastAsia="宋体" w:hAnsi="宋体" w:cs="Times New Roman"/>
          <w:color w:val="000000"/>
          <w:szCs w:val="21"/>
        </w:rPr>
        <w:t>在此基础上，需要明确“足以严重危害人体健康”这一要件在界分行政违法与刑事犯罪中的具体定位。据前文所述，妨害药品管理罪具备行政犯属性，前置法的不法性是刑事违法性的必要条件，但并非充要条件</w:t>
      </w:r>
      <w:r>
        <w:rPr>
          <w:rStyle w:val="a8"/>
          <w:rFonts w:ascii="宋体" w:eastAsia="宋体" w:hAnsi="宋体" w:cs="Times New Roman"/>
          <w:color w:val="000000"/>
          <w:szCs w:val="21"/>
        </w:rPr>
        <w:footnoteReference w:id="27"/>
      </w:r>
      <w:r>
        <w:rPr>
          <w:rFonts w:ascii="宋体" w:eastAsia="宋体" w:hAnsi="宋体" w:cs="Times New Roman"/>
          <w:color w:val="000000"/>
          <w:szCs w:val="21"/>
        </w:rPr>
        <w:t>。因而本罪应当遵循行政与刑事的双重判断逻辑，刑事违法性的判断在本罪中具有相对独立性。与“数额论”的观点相比，质的区别说是实现刑事违法判断相对独立性的保证，其暗含着刑事犯罪与行政违法在行为与结果方面的显著差异。在此逻辑下，将“足以严重危害人体健康”视作本罪的核心罪质要素便无可非议，这一要件也理所应当成为本罪行政违法与刑事犯罪区分的界限，即在经过“违反药品管理法规”这一行政违法判断后，还需经过“足以严重危害人体健康”判断案涉行为是否实现“质”的飞跃</w:t>
      </w:r>
      <w:r>
        <w:rPr>
          <w:rStyle w:val="a8"/>
          <w:rFonts w:ascii="宋体" w:eastAsia="宋体" w:hAnsi="宋体" w:cs="Times New Roman"/>
          <w:color w:val="000000"/>
          <w:szCs w:val="21"/>
        </w:rPr>
        <w:footnoteReference w:id="28"/>
      </w:r>
      <w:r>
        <w:rPr>
          <w:rFonts w:ascii="宋体" w:eastAsia="宋体" w:hAnsi="宋体" w:cs="Times New Roman"/>
          <w:color w:val="000000"/>
          <w:szCs w:val="21"/>
        </w:rPr>
        <w:t>。</w:t>
      </w:r>
    </w:p>
    <w:p w14:paraId="0EB43727" w14:textId="77777777" w:rsidR="00344C2B" w:rsidRDefault="00000000">
      <w:pPr>
        <w:tabs>
          <w:tab w:val="left" w:pos="413"/>
        </w:tabs>
        <w:ind w:firstLine="482"/>
        <w:rPr>
          <w:rFonts w:ascii="宋体" w:eastAsia="宋体" w:hAnsi="宋体" w:cs="Times New Roman" w:hint="eastAsia"/>
          <w:color w:val="000000"/>
          <w:szCs w:val="21"/>
        </w:rPr>
      </w:pPr>
      <w:r>
        <w:rPr>
          <w:rFonts w:ascii="宋体" w:eastAsia="宋体" w:hAnsi="宋体" w:cs="Times New Roman"/>
          <w:color w:val="000000"/>
          <w:szCs w:val="21"/>
        </w:rPr>
        <w:t>将“足以严重危害人体健康”定位为罪质核心的独立危险要件，在司法实践价值和刑法教义学层面具有重要意义。从司法实践看，这一定位要求司法机关必须对其进行积极的、独立的判断与证明，不能仅凭行为违反行政法规就推定其具备刑事可罚性，从而严格限定本罪的成立范围。罪质要素属于构成要件，在实质犯罪视角下，构成要件的判断需同时满足形式要件判断和“行为是否存在侵害刑法所保护法益的风险或危险”的实质判断。这对司法机关“形式入罪、实质出罪”的阶层判断逻辑提出了要求，能够有效避免不具备实质可罚性行为的不当入罪</w:t>
      </w:r>
      <w:r>
        <w:rPr>
          <w:rStyle w:val="a8"/>
          <w:rFonts w:ascii="宋体" w:eastAsia="宋体" w:hAnsi="宋体" w:cs="Times New Roman"/>
          <w:color w:val="000000"/>
          <w:szCs w:val="21"/>
        </w:rPr>
        <w:footnoteReference w:id="29"/>
      </w:r>
      <w:r>
        <w:rPr>
          <w:rFonts w:ascii="宋体" w:eastAsia="宋体" w:hAnsi="宋体" w:cs="Times New Roman"/>
          <w:color w:val="000000"/>
          <w:szCs w:val="21"/>
        </w:rPr>
        <w:t>。而从刑法教义学角度看，这一定位要求，在行政犯视角下，即使行为符合前置法不法之条件，还需经过“足以严重危害人体健康”这一要件的实质审查，才可最终确定其刑事可罚性。这不仅坚持了刑法的谦抑性，还实现了刑法作为最后手段的边界功能</w:t>
      </w:r>
      <w:r>
        <w:rPr>
          <w:rStyle w:val="a8"/>
          <w:rFonts w:ascii="宋体" w:eastAsia="宋体" w:hAnsi="宋体" w:cs="Times New Roman"/>
          <w:color w:val="000000"/>
          <w:szCs w:val="21"/>
        </w:rPr>
        <w:footnoteReference w:id="30"/>
      </w:r>
      <w:r>
        <w:rPr>
          <w:rFonts w:ascii="宋体" w:eastAsia="宋体" w:hAnsi="宋体" w:cs="Times New Roman"/>
          <w:color w:val="000000"/>
          <w:szCs w:val="21"/>
        </w:rPr>
        <w:t>。</w:t>
      </w:r>
    </w:p>
    <w:p w14:paraId="32B49DDF" w14:textId="77777777" w:rsidR="00344C2B" w:rsidRDefault="00000000">
      <w:pPr>
        <w:spacing w:line="360" w:lineRule="auto"/>
        <w:ind w:firstLineChars="175" w:firstLine="368"/>
        <w:outlineLvl w:val="1"/>
        <w:rPr>
          <w:rFonts w:ascii="Times New Roman" w:eastAsia="宋体" w:hAnsi="Times New Roman" w:cs="Times New Roman"/>
          <w:sz w:val="24"/>
          <w:szCs w:val="24"/>
        </w:rPr>
      </w:pPr>
      <w:r>
        <w:rPr>
          <w:rFonts w:ascii="Times New Roman" w:eastAsia="宋体" w:hAnsi="Times New Roman" w:cs="Times New Roman" w:hint="eastAsia"/>
          <w:szCs w:val="21"/>
        </w:rPr>
        <w:t>（三）</w:t>
      </w:r>
      <w:r>
        <w:rPr>
          <w:rFonts w:ascii="Times New Roman" w:eastAsia="宋体" w:hAnsi="Times New Roman" w:cs="Times New Roman"/>
          <w:szCs w:val="21"/>
        </w:rPr>
        <w:t>类型的归属：兼具行为不法与结果不法的具体危险犯</w:t>
      </w:r>
    </w:p>
    <w:p w14:paraId="56195185" w14:textId="77777777" w:rsidR="00344C2B" w:rsidRDefault="00000000">
      <w:pPr>
        <w:ind w:firstLineChars="200" w:firstLine="420"/>
        <w:rPr>
          <w:rFonts w:ascii="宋体" w:eastAsia="宋体" w:hAnsi="宋体" w:cs="Times New Roman" w:hint="eastAsia"/>
          <w:szCs w:val="21"/>
        </w:rPr>
      </w:pPr>
      <w:r>
        <w:rPr>
          <w:rFonts w:ascii="宋体" w:eastAsia="宋体" w:hAnsi="宋体" w:cs="Times New Roman"/>
          <w:color w:val="000000"/>
          <w:szCs w:val="21"/>
        </w:rPr>
        <w:t>明确犯罪类型是妨害药品管理罪在司法实践中予以适用的前提。从犯罪类型层面看，</w:t>
      </w:r>
      <w:r>
        <w:rPr>
          <w:rFonts w:ascii="宋体" w:eastAsia="宋体" w:hAnsi="宋体" w:cs="Times New Roman"/>
          <w:szCs w:val="21"/>
        </w:rPr>
        <w:t xml:space="preserve">本罪应当属于具体危险犯。立法者在罪状中列明“足以严重危害人体健康”，绝不是对行为本身的修饰，而是对现实且具体的危险之释明。如果不当的将其纳入抽象危险犯的范畴，则将不当扩大刑罚的处罚范围，有违刑法的谦抑制性。例如，本罪罪状中的“编造生产、检验记录的”行为，若按照抽象危险犯的定义，则行为一旦符合此构成要件便成立本罪，这时的“足以严重危害人体健康”要件则形同虚设。按照药品类型来说，“编造生产、检验记录的”药品并不当然为假药、劣药，其可能为对人体无害甚至有益的真药。这一行为违反药品管理秩序毫无疑问，但其是否侵犯公众生命健康法益则有待商榷。如前文所述，本罪优先保护的法益为公众生命健康权，仅违反药品管理秩序而未侵害公众生命健康法益的行为不应当成立本罪。此时，抽象危险犯说与本罪保护法益的要求相悖。   </w:t>
      </w:r>
    </w:p>
    <w:p w14:paraId="24594F88" w14:textId="77777777" w:rsidR="00344C2B" w:rsidRDefault="00000000">
      <w:pPr>
        <w:ind w:firstLineChars="200" w:firstLine="420"/>
        <w:rPr>
          <w:rFonts w:ascii="宋体" w:eastAsia="宋体" w:hAnsi="宋体" w:cs="Times New Roman" w:hint="eastAsia"/>
          <w:szCs w:val="21"/>
        </w:rPr>
      </w:pPr>
      <w:r>
        <w:rPr>
          <w:rFonts w:ascii="宋体" w:eastAsia="宋体" w:hAnsi="宋体" w:cs="Times New Roman"/>
          <w:szCs w:val="21"/>
        </w:rPr>
        <w:lastRenderedPageBreak/>
        <w:t>此外，若认为本罪为抽象危险犯，则无法清晰判断行为对法益的侵害性。本罪的保护法益为药品管理秩序和公众生命健康权。就药品管理秩序这层法益而言，其内在的抽象性决定了行为对其的侵害只能判断“有无”，而不能判断“大小”。若将本罪视为抽象危险犯，那么所有违反药品管理秩序的行为都能够直接推定存在对秩序法益造成了抽象的危险，且这种危险是“相同”的。按照这种逻辑，所有违反药品管理秩序的行为都得按照同一种处罚标准进行处罚，这显然是不合理的。因此，本罪不应当为抽象危险犯。</w:t>
      </w:r>
    </w:p>
    <w:p w14:paraId="114CE3AF" w14:textId="77777777" w:rsidR="00344C2B" w:rsidRDefault="00000000">
      <w:pPr>
        <w:ind w:firstLineChars="200" w:firstLine="420"/>
        <w:rPr>
          <w:rFonts w:ascii="宋体" w:eastAsia="宋体" w:hAnsi="宋体" w:cs="Times New Roman" w:hint="eastAsia"/>
          <w:szCs w:val="21"/>
        </w:rPr>
      </w:pPr>
      <w:r>
        <w:rPr>
          <w:rFonts w:ascii="宋体" w:eastAsia="宋体" w:hAnsi="宋体" w:cs="Times New Roman"/>
          <w:szCs w:val="21"/>
        </w:rPr>
        <w:t>从具体危险犯的角度而言，有学者指出，立法者在罪状中选取“足以严重危害人体健康”作为本罪构成要素而非“情节严重”等字眼，正是直接表明了本罪所保护的公众生命健康法益和入罪标准的严格性。笔者赞同这种观点，若将本罪视为抽象危险犯，则将会使“足以严重危害人体健康”这一要件失去立法者所赋予其的特殊价值。在某种程度上，《司法解释》（2022）已明确本罪属于具体危险犯。《司法解释》第7条中对“足以严重危害人体健康”的认定，要求作出具体的判断，并以列举式的方式描述了具体的危险状态与危险内容。在第8条中对加重情节“有其他严重情节”的认定，也要求以“足以严重危害人体健康”为前提。</w:t>
      </w:r>
    </w:p>
    <w:p w14:paraId="4DC76ACB" w14:textId="77777777" w:rsidR="00344C2B" w:rsidRDefault="00000000">
      <w:pPr>
        <w:ind w:firstLineChars="200" w:firstLine="420"/>
        <w:rPr>
          <w:rFonts w:ascii="宋体" w:eastAsia="宋体" w:hAnsi="宋体" w:cs="Times New Roman" w:hint="eastAsia"/>
          <w:szCs w:val="21"/>
        </w:rPr>
      </w:pPr>
      <w:r>
        <w:rPr>
          <w:rFonts w:ascii="宋体" w:eastAsia="宋体" w:hAnsi="宋体" w:cs="Times New Roman"/>
          <w:szCs w:val="21"/>
        </w:rPr>
        <w:t>从法律体系性解释来看，《刑法》第142条之一规定的妨害药品管理罪与141条生产、销售、提供假药罪、142条生产、销售、提供劣药罪有着密切的联系。就生产、销售假药罪而言，其在2011年《刑法修正案（八）》被删去“足以严重危害人体健康”要件后，正式被纳入抽象危险犯的范围。按照该罪罪状，其并没有具体的处罚条件限制，只要行为符合“生产、销售假药”这一构成要件，便可直接推定其存在的危险性，进而直接成立该罪。而142条规定的生产、销售劣药罪，在罪状中明确“对人体健康造成严重损害”这一处罚限定条件，定性应属于实害犯。而本罪的处罚条件列于前述两罪之间，要求行为满足“足以严重危害人体健康”才能成立，故本罪定性也应当介于二者之间属于具体危险犯。在本罪中，“足以严重危害人体健康”需要得到司法机关的充分论证，行为若只能创造抽象的危险状态，而没有达到“足以严重危害人体健康”的具体危险状态，就不能成立本罪。</w:t>
      </w:r>
    </w:p>
    <w:p w14:paraId="7658CCC1" w14:textId="77777777" w:rsidR="00344C2B" w:rsidRDefault="00000000">
      <w:pPr>
        <w:pStyle w:val="a3"/>
        <w:rPr>
          <w:rFonts w:ascii="Times New Roman" w:eastAsia="宋体" w:hAnsi="Times New Roman" w:cs="Times New Roman"/>
          <w:b w:val="0"/>
          <w:bCs w:val="0"/>
          <w:sz w:val="24"/>
          <w:szCs w:val="24"/>
        </w:rPr>
      </w:pPr>
      <w:r>
        <w:rPr>
          <w:rFonts w:hint="eastAsia"/>
        </w:rPr>
        <w:t>三、</w:t>
      </w:r>
      <w:r>
        <w:t>路径优化：要件判断的标准构建与出罪调适</w:t>
      </w:r>
    </w:p>
    <w:p w14:paraId="47B3EE3E" w14:textId="77777777" w:rsidR="00344C2B" w:rsidRDefault="00000000">
      <w:pPr>
        <w:spacing w:line="360" w:lineRule="auto"/>
        <w:ind w:firstLineChars="175" w:firstLine="368"/>
        <w:outlineLvl w:val="1"/>
        <w:rPr>
          <w:rFonts w:ascii="Times New Roman" w:eastAsia="宋体" w:hAnsi="Times New Roman" w:cs="Times New Roman"/>
          <w:szCs w:val="21"/>
        </w:rPr>
      </w:pPr>
      <w:r>
        <w:rPr>
          <w:rFonts w:ascii="Times New Roman" w:eastAsia="宋体" w:hAnsi="Times New Roman" w:cs="Times New Roman" w:hint="eastAsia"/>
          <w:szCs w:val="21"/>
        </w:rPr>
        <w:t>（一）</w:t>
      </w:r>
      <w:r>
        <w:rPr>
          <w:rFonts w:ascii="Times New Roman" w:eastAsia="宋体" w:hAnsi="Times New Roman" w:cs="Times New Roman"/>
          <w:szCs w:val="21"/>
        </w:rPr>
        <w:t>入罪基准：形式判断下</w:t>
      </w:r>
      <w:r>
        <w:rPr>
          <w:rFonts w:ascii="Times New Roman" w:eastAsia="宋体" w:hAnsi="Times New Roman" w:cs="Times New Roman"/>
          <w:szCs w:val="21"/>
        </w:rPr>
        <w:t>“4</w:t>
      </w:r>
      <w:r>
        <w:rPr>
          <w:rFonts w:ascii="Times New Roman" w:eastAsia="宋体" w:hAnsi="Times New Roman" w:cs="Times New Roman"/>
          <w:szCs w:val="21"/>
        </w:rPr>
        <w:t>类情形</w:t>
      </w:r>
      <w:r>
        <w:rPr>
          <w:rFonts w:ascii="Times New Roman" w:eastAsia="宋体" w:hAnsi="Times New Roman" w:cs="Times New Roman"/>
          <w:szCs w:val="21"/>
        </w:rPr>
        <w:t>”</w:t>
      </w:r>
      <w:r>
        <w:rPr>
          <w:rFonts w:ascii="Times New Roman" w:eastAsia="宋体" w:hAnsi="Times New Roman" w:cs="Times New Roman"/>
          <w:szCs w:val="21"/>
        </w:rPr>
        <w:t>的细化与补正</w:t>
      </w:r>
    </w:p>
    <w:p w14:paraId="5CC78A2D" w14:textId="77777777" w:rsidR="00344C2B" w:rsidRDefault="00000000">
      <w:pPr>
        <w:ind w:firstLineChars="200" w:firstLine="420"/>
        <w:rPr>
          <w:rFonts w:ascii="Times New Roman" w:eastAsia="宋体" w:hAnsi="Times New Roman" w:cs="Times New Roman"/>
          <w:szCs w:val="21"/>
        </w:rPr>
      </w:pPr>
      <w:r>
        <w:rPr>
          <w:rFonts w:ascii="Times New Roman" w:eastAsia="宋体" w:hAnsi="Times New Roman" w:cs="Times New Roman"/>
          <w:szCs w:val="21"/>
        </w:rPr>
        <w:t>《刑法》第</w:t>
      </w:r>
      <w:r>
        <w:rPr>
          <w:rFonts w:ascii="Times New Roman" w:eastAsia="宋体" w:hAnsi="Times New Roman" w:cs="Times New Roman"/>
          <w:szCs w:val="21"/>
        </w:rPr>
        <w:t>142</w:t>
      </w:r>
      <w:r>
        <w:rPr>
          <w:rFonts w:ascii="Times New Roman" w:eastAsia="宋体" w:hAnsi="Times New Roman" w:cs="Times New Roman"/>
          <w:szCs w:val="21"/>
        </w:rPr>
        <w:t>条之一对妨害药品罪的入罪情形进行了类型化的规定，明确了只有符合第</w:t>
      </w:r>
      <w:r>
        <w:rPr>
          <w:rFonts w:ascii="Times New Roman" w:eastAsia="宋体" w:hAnsi="Times New Roman" w:cs="Times New Roman"/>
          <w:szCs w:val="21"/>
        </w:rPr>
        <w:t>1</w:t>
      </w:r>
      <w:r>
        <w:rPr>
          <w:rFonts w:ascii="Times New Roman" w:eastAsia="宋体" w:hAnsi="Times New Roman" w:cs="Times New Roman"/>
          <w:szCs w:val="21"/>
        </w:rPr>
        <w:t>款中规定的四种行为类型才可能构成本罪。值得注意的是，上述条文规定的四类情形本身具有概括性与模糊性，需要进一步细化后才能成为司法实践中的判断依据。此外，法律固有的滞后性决定了形式化分类必然存在着不周延性，需要实质性判断来克服不周延性的弊端，以此避免一些不符合形式要件却产生实质性危害的行为逃脱刑法的制裁。笔者认为，在判断一行为是否构成犯罪时，应以形式判断为基础，以实质性判断为底线。换而言之，在形式判断存在漏洞时，实质性判断将作为最后手段予以补正。进一步说，形式判断是服务于实质判断，并非取代实质判断，只有在形式判断中坚持实质判断，才能最大程度上维护刑法的周延性。因此，在实践中对形式判断下</w:t>
      </w:r>
      <w:r>
        <w:rPr>
          <w:rFonts w:ascii="Times New Roman" w:eastAsia="宋体" w:hAnsi="Times New Roman" w:cs="Times New Roman"/>
          <w:szCs w:val="21"/>
        </w:rPr>
        <w:t>“4</w:t>
      </w:r>
      <w:r>
        <w:rPr>
          <w:rFonts w:ascii="Times New Roman" w:eastAsia="宋体" w:hAnsi="Times New Roman" w:cs="Times New Roman"/>
          <w:szCs w:val="21"/>
        </w:rPr>
        <w:t>类情形</w:t>
      </w:r>
      <w:r>
        <w:rPr>
          <w:rFonts w:ascii="Times New Roman" w:eastAsia="宋体" w:hAnsi="Times New Roman" w:cs="Times New Roman"/>
          <w:szCs w:val="21"/>
        </w:rPr>
        <w:t>”</w:t>
      </w:r>
      <w:r>
        <w:rPr>
          <w:rFonts w:ascii="Times New Roman" w:eastAsia="宋体" w:hAnsi="Times New Roman" w:cs="Times New Roman"/>
          <w:szCs w:val="21"/>
        </w:rPr>
        <w:t>进行细化与补正是关键且必要的。</w:t>
      </w:r>
    </w:p>
    <w:p w14:paraId="6E0CCF64" w14:textId="77777777" w:rsidR="00344C2B" w:rsidRDefault="00000000">
      <w:pPr>
        <w:ind w:firstLineChars="200" w:firstLine="420"/>
        <w:outlineLvl w:val="2"/>
        <w:rPr>
          <w:rFonts w:ascii="宋体" w:eastAsia="宋体" w:hAnsi="宋体" w:cs="Times New Roman" w:hint="eastAsia"/>
          <w:szCs w:val="21"/>
        </w:rPr>
      </w:pPr>
      <w:r>
        <w:rPr>
          <w:rFonts w:ascii="宋体" w:eastAsia="宋体" w:hAnsi="宋体" w:cs="Times New Roman" w:hint="eastAsia"/>
          <w:szCs w:val="21"/>
        </w:rPr>
        <w:t>1．</w:t>
      </w:r>
      <w:r>
        <w:rPr>
          <w:rFonts w:ascii="宋体" w:eastAsia="宋体" w:hAnsi="宋体" w:cs="Times New Roman"/>
          <w:szCs w:val="21"/>
        </w:rPr>
        <w:t>生产、销售国务院药品监督管理部门禁止使用的药品</w:t>
      </w:r>
    </w:p>
    <w:p w14:paraId="7C7D1082" w14:textId="77777777" w:rsidR="00344C2B" w:rsidRDefault="00000000">
      <w:pPr>
        <w:ind w:firstLineChars="200" w:firstLine="420"/>
        <w:rPr>
          <w:rFonts w:ascii="Times New Roman" w:eastAsia="宋体" w:hAnsi="Times New Roman" w:cs="Times New Roman"/>
          <w:szCs w:val="21"/>
        </w:rPr>
      </w:pPr>
      <w:r>
        <w:rPr>
          <w:rFonts w:ascii="Times New Roman" w:eastAsia="宋体" w:hAnsi="Times New Roman" w:cs="Times New Roman"/>
          <w:szCs w:val="21"/>
        </w:rPr>
        <w:t>药品安全涉及民群众生命安全与身体健康，因此，国务院药品监督管理部门对药品的生产、销售与使用实行严格的准入制度</w:t>
      </w:r>
      <w:r>
        <w:rPr>
          <w:rStyle w:val="a8"/>
          <w:rFonts w:ascii="Times New Roman" w:eastAsia="宋体" w:hAnsi="Times New Roman" w:cs="Times New Roman"/>
          <w:szCs w:val="21"/>
        </w:rPr>
        <w:footnoteReference w:id="31"/>
      </w:r>
      <w:r>
        <w:rPr>
          <w:rFonts w:ascii="Times New Roman" w:eastAsia="宋体" w:hAnsi="Times New Roman" w:cs="Times New Roman"/>
          <w:szCs w:val="21"/>
        </w:rPr>
        <w:t>。实践中，国家药品监督管理局往往通过定期发布公告等形式，禁止不合格药品的生产与销售</w:t>
      </w:r>
      <w:r>
        <w:rPr>
          <w:rStyle w:val="a8"/>
          <w:rFonts w:ascii="Times New Roman" w:eastAsia="宋体" w:hAnsi="Times New Roman" w:cs="Times New Roman"/>
          <w:szCs w:val="21"/>
        </w:rPr>
        <w:footnoteReference w:id="32"/>
      </w:r>
      <w:r>
        <w:rPr>
          <w:rFonts w:ascii="Times New Roman" w:eastAsia="宋体" w:hAnsi="Times New Roman" w:cs="Times New Roman"/>
          <w:szCs w:val="21"/>
        </w:rPr>
        <w:t>。首先需要明确药品监管部门</w:t>
      </w:r>
      <w:r>
        <w:rPr>
          <w:rFonts w:ascii="Times New Roman" w:eastAsia="宋体" w:hAnsi="Times New Roman" w:cs="Times New Roman"/>
          <w:szCs w:val="21"/>
        </w:rPr>
        <w:t>“</w:t>
      </w:r>
      <w:r>
        <w:rPr>
          <w:rFonts w:ascii="Times New Roman" w:eastAsia="宋体" w:hAnsi="Times New Roman" w:cs="Times New Roman"/>
          <w:szCs w:val="21"/>
        </w:rPr>
        <w:t>禁止使用药品</w:t>
      </w:r>
      <w:r>
        <w:rPr>
          <w:rFonts w:ascii="Times New Roman" w:eastAsia="宋体" w:hAnsi="Times New Roman" w:cs="Times New Roman"/>
          <w:szCs w:val="21"/>
        </w:rPr>
        <w:t>”</w:t>
      </w:r>
      <w:r>
        <w:rPr>
          <w:rFonts w:ascii="Times New Roman" w:eastAsia="宋体" w:hAnsi="Times New Roman" w:cs="Times New Roman"/>
          <w:szCs w:val="21"/>
        </w:rPr>
        <w:t>的范围。根据《药品管理法》第</w:t>
      </w:r>
      <w:r>
        <w:rPr>
          <w:rFonts w:ascii="Times New Roman" w:eastAsia="宋体" w:hAnsi="Times New Roman" w:cs="Times New Roman"/>
          <w:szCs w:val="21"/>
        </w:rPr>
        <w:t>67</w:t>
      </w:r>
      <w:r>
        <w:rPr>
          <w:rFonts w:ascii="Times New Roman" w:eastAsia="宋体" w:hAnsi="Times New Roman" w:cs="Times New Roman"/>
          <w:szCs w:val="21"/>
        </w:rPr>
        <w:t>条、第</w:t>
      </w:r>
      <w:r>
        <w:rPr>
          <w:rFonts w:ascii="Times New Roman" w:eastAsia="宋体" w:hAnsi="Times New Roman" w:cs="Times New Roman"/>
          <w:szCs w:val="21"/>
        </w:rPr>
        <w:t>83</w:t>
      </w:r>
      <w:r>
        <w:rPr>
          <w:rFonts w:ascii="Times New Roman" w:eastAsia="宋体" w:hAnsi="Times New Roman" w:cs="Times New Roman"/>
          <w:szCs w:val="21"/>
        </w:rPr>
        <w:t>条，该范围包括进口疗效不确切、不良反应大或</w:t>
      </w:r>
      <w:r>
        <w:rPr>
          <w:rFonts w:ascii="Times New Roman" w:eastAsia="宋体" w:hAnsi="Times New Roman" w:cs="Times New Roman"/>
          <w:szCs w:val="21"/>
        </w:rPr>
        <w:lastRenderedPageBreak/>
        <w:t>者因其他原因危害人体健康的药品及因此被注销药品注册证书的药品。需要注意的是，一方面，此类药品原属于</w:t>
      </w:r>
      <w:r>
        <w:rPr>
          <w:rFonts w:ascii="Times New Roman" w:eastAsia="宋体" w:hAnsi="Times New Roman" w:cs="Times New Roman"/>
          <w:szCs w:val="21"/>
        </w:rPr>
        <w:t>2015</w:t>
      </w:r>
      <w:r>
        <w:rPr>
          <w:rFonts w:ascii="Times New Roman" w:eastAsia="宋体" w:hAnsi="Times New Roman" w:cs="Times New Roman"/>
          <w:szCs w:val="21"/>
        </w:rPr>
        <w:t>年《药品管理法》中</w:t>
      </w:r>
      <w:r>
        <w:rPr>
          <w:rFonts w:ascii="Times New Roman" w:eastAsia="宋体" w:hAnsi="Times New Roman" w:cs="Times New Roman"/>
          <w:szCs w:val="21"/>
        </w:rPr>
        <w:t>“</w:t>
      </w:r>
      <w:r>
        <w:rPr>
          <w:rFonts w:ascii="Times New Roman" w:eastAsia="宋体" w:hAnsi="Times New Roman" w:cs="Times New Roman"/>
          <w:szCs w:val="21"/>
        </w:rPr>
        <w:t>按假药论处</w:t>
      </w:r>
      <w:r>
        <w:rPr>
          <w:rFonts w:ascii="Times New Roman" w:eastAsia="宋体" w:hAnsi="Times New Roman" w:cs="Times New Roman"/>
          <w:szCs w:val="21"/>
        </w:rPr>
        <w:t>”</w:t>
      </w:r>
      <w:r>
        <w:rPr>
          <w:rFonts w:ascii="Times New Roman" w:eastAsia="宋体" w:hAnsi="Times New Roman" w:cs="Times New Roman"/>
          <w:szCs w:val="21"/>
        </w:rPr>
        <w:t>的情形之一，新《药品管理法》修订后以质量功效为标准对</w:t>
      </w:r>
      <w:r>
        <w:rPr>
          <w:rFonts w:ascii="Times New Roman" w:eastAsia="宋体" w:hAnsi="Times New Roman" w:cs="Times New Roman"/>
          <w:szCs w:val="21"/>
        </w:rPr>
        <w:t>“</w:t>
      </w:r>
      <w:r>
        <w:rPr>
          <w:rFonts w:ascii="Times New Roman" w:eastAsia="宋体" w:hAnsi="Times New Roman" w:cs="Times New Roman"/>
          <w:szCs w:val="21"/>
        </w:rPr>
        <w:t>假药</w:t>
      </w:r>
      <w:r>
        <w:rPr>
          <w:rFonts w:ascii="Times New Roman" w:eastAsia="宋体" w:hAnsi="Times New Roman" w:cs="Times New Roman"/>
          <w:szCs w:val="21"/>
        </w:rPr>
        <w:t>”</w:t>
      </w:r>
      <w:r>
        <w:rPr>
          <w:rFonts w:ascii="Times New Roman" w:eastAsia="宋体" w:hAnsi="Times New Roman" w:cs="Times New Roman"/>
          <w:szCs w:val="21"/>
        </w:rPr>
        <w:t>进行了重新界定，因此，此处</w:t>
      </w:r>
      <w:r>
        <w:rPr>
          <w:rFonts w:ascii="Times New Roman" w:eastAsia="宋体" w:hAnsi="Times New Roman" w:cs="Times New Roman"/>
          <w:szCs w:val="21"/>
        </w:rPr>
        <w:t>“</w:t>
      </w:r>
      <w:r>
        <w:rPr>
          <w:rFonts w:ascii="Times New Roman" w:eastAsia="宋体" w:hAnsi="Times New Roman" w:cs="Times New Roman"/>
          <w:szCs w:val="21"/>
        </w:rPr>
        <w:t>国务院药品监督管理部门禁止使用的药品</w:t>
      </w:r>
      <w:r>
        <w:rPr>
          <w:rFonts w:ascii="Times New Roman" w:eastAsia="宋体" w:hAnsi="Times New Roman" w:cs="Times New Roman"/>
          <w:szCs w:val="21"/>
        </w:rPr>
        <w:t>”</w:t>
      </w:r>
      <w:r>
        <w:rPr>
          <w:rFonts w:ascii="Times New Roman" w:eastAsia="宋体" w:hAnsi="Times New Roman" w:cs="Times New Roman"/>
          <w:szCs w:val="21"/>
        </w:rPr>
        <w:t>范围可能与假药、劣药范围存在重合。而即使此类药品不属于假药劣药，立法机关仍将其纳入刑法规制范围，以扩大刑法保护范围，保障人体生命健康</w:t>
      </w:r>
      <w:r>
        <w:rPr>
          <w:rStyle w:val="a8"/>
          <w:rFonts w:ascii="Times New Roman" w:eastAsia="宋体" w:hAnsi="Times New Roman" w:cs="Times New Roman"/>
          <w:szCs w:val="21"/>
        </w:rPr>
        <w:footnoteReference w:id="33"/>
      </w:r>
      <w:r>
        <w:rPr>
          <w:rFonts w:ascii="Times New Roman" w:eastAsia="宋体" w:hAnsi="Times New Roman" w:cs="Times New Roman"/>
          <w:szCs w:val="21"/>
        </w:rPr>
        <w:t>。另一方面，需要明确国家</w:t>
      </w:r>
      <w:r>
        <w:rPr>
          <w:rFonts w:ascii="Times New Roman" w:eastAsia="宋体" w:hAnsi="Times New Roman" w:cs="Times New Roman"/>
          <w:szCs w:val="21"/>
        </w:rPr>
        <w:t>“</w:t>
      </w:r>
      <w:r>
        <w:rPr>
          <w:rFonts w:ascii="Times New Roman" w:eastAsia="宋体" w:hAnsi="Times New Roman" w:cs="Times New Roman"/>
          <w:szCs w:val="21"/>
        </w:rPr>
        <w:t>禁止使用</w:t>
      </w:r>
      <w:r>
        <w:rPr>
          <w:rFonts w:ascii="Times New Roman" w:eastAsia="宋体" w:hAnsi="Times New Roman" w:cs="Times New Roman"/>
          <w:szCs w:val="21"/>
        </w:rPr>
        <w:t>”</w:t>
      </w:r>
      <w:r>
        <w:rPr>
          <w:rFonts w:ascii="Times New Roman" w:eastAsia="宋体" w:hAnsi="Times New Roman" w:cs="Times New Roman"/>
          <w:szCs w:val="21"/>
        </w:rPr>
        <w:t>与</w:t>
      </w:r>
      <w:r>
        <w:rPr>
          <w:rFonts w:ascii="Times New Roman" w:eastAsia="宋体" w:hAnsi="Times New Roman" w:cs="Times New Roman"/>
          <w:szCs w:val="21"/>
        </w:rPr>
        <w:t>“</w:t>
      </w:r>
      <w:r>
        <w:rPr>
          <w:rFonts w:ascii="Times New Roman" w:eastAsia="宋体" w:hAnsi="Times New Roman" w:cs="Times New Roman"/>
          <w:szCs w:val="21"/>
        </w:rPr>
        <w:t>限制使用</w:t>
      </w:r>
      <w:r>
        <w:rPr>
          <w:rFonts w:ascii="Times New Roman" w:eastAsia="宋体" w:hAnsi="Times New Roman" w:cs="Times New Roman"/>
          <w:szCs w:val="21"/>
        </w:rPr>
        <w:t>”</w:t>
      </w:r>
      <w:r>
        <w:rPr>
          <w:rFonts w:ascii="Times New Roman" w:eastAsia="宋体" w:hAnsi="Times New Roman" w:cs="Times New Roman"/>
          <w:szCs w:val="21"/>
        </w:rPr>
        <w:t>的区别，前者因风险远大于收益而被宣告禁用，违反禁用规定可能构成假药犯罪；后者则可能因未获准入许可或质量不符合标准，在特殊情况下针对特殊群体以特殊形式限制使用，违背国家限制使用的规定则可能构成行政违法。</w:t>
      </w:r>
    </w:p>
    <w:p w14:paraId="64EF3BB1" w14:textId="77777777" w:rsidR="00344C2B" w:rsidRDefault="00000000">
      <w:pPr>
        <w:ind w:firstLineChars="200" w:firstLine="420"/>
        <w:outlineLvl w:val="2"/>
        <w:rPr>
          <w:rFonts w:ascii="宋体" w:eastAsia="宋体" w:hAnsi="宋体" w:cs="Times New Roman" w:hint="eastAsia"/>
          <w:szCs w:val="21"/>
        </w:rPr>
      </w:pPr>
      <w:r>
        <w:rPr>
          <w:rFonts w:ascii="宋体" w:eastAsia="宋体" w:hAnsi="宋体" w:cs="Times New Roman" w:hint="eastAsia"/>
          <w:szCs w:val="21"/>
        </w:rPr>
        <w:t>2．</w:t>
      </w:r>
      <w:r>
        <w:rPr>
          <w:rFonts w:ascii="宋体" w:eastAsia="宋体" w:hAnsi="宋体" w:cs="Times New Roman"/>
          <w:szCs w:val="21"/>
        </w:rPr>
        <w:t>未取得药品相关批准证明文件生产、进口药品或者明知是上述药品而销售</w:t>
      </w:r>
    </w:p>
    <w:p w14:paraId="48D1E7DE" w14:textId="77777777" w:rsidR="00344C2B" w:rsidRDefault="00000000">
      <w:pPr>
        <w:ind w:firstLineChars="200" w:firstLine="420"/>
        <w:rPr>
          <w:rFonts w:ascii="Times New Roman" w:eastAsia="宋体" w:hAnsi="Times New Roman" w:cs="Times New Roman"/>
          <w:szCs w:val="21"/>
        </w:rPr>
      </w:pPr>
      <w:r>
        <w:rPr>
          <w:rFonts w:ascii="Times New Roman" w:eastAsia="宋体" w:hAnsi="Times New Roman" w:cs="Times New Roman"/>
          <w:szCs w:val="21"/>
        </w:rPr>
        <w:t>该行为从</w:t>
      </w:r>
      <w:r>
        <w:rPr>
          <w:rFonts w:ascii="Times New Roman" w:eastAsia="宋体" w:hAnsi="Times New Roman" w:cs="Times New Roman"/>
          <w:szCs w:val="21"/>
        </w:rPr>
        <w:t>2015</w:t>
      </w:r>
      <w:r>
        <w:rPr>
          <w:rFonts w:ascii="Times New Roman" w:eastAsia="宋体" w:hAnsi="Times New Roman" w:cs="Times New Roman"/>
          <w:szCs w:val="21"/>
        </w:rPr>
        <w:t>年《药品管理法》中</w:t>
      </w:r>
      <w:r>
        <w:rPr>
          <w:rFonts w:ascii="Times New Roman" w:eastAsia="宋体" w:hAnsi="Times New Roman" w:cs="Times New Roman"/>
          <w:szCs w:val="21"/>
        </w:rPr>
        <w:t>“</w:t>
      </w:r>
      <w:r>
        <w:rPr>
          <w:rFonts w:ascii="Times New Roman" w:eastAsia="宋体" w:hAnsi="Times New Roman" w:cs="Times New Roman"/>
          <w:szCs w:val="21"/>
        </w:rPr>
        <w:t>以假药论处</w:t>
      </w:r>
      <w:r>
        <w:rPr>
          <w:rFonts w:ascii="Times New Roman" w:eastAsia="宋体" w:hAnsi="Times New Roman" w:cs="Times New Roman"/>
          <w:szCs w:val="21"/>
        </w:rPr>
        <w:t>”</w:t>
      </w:r>
      <w:r>
        <w:rPr>
          <w:rFonts w:ascii="Times New Roman" w:eastAsia="宋体" w:hAnsi="Times New Roman" w:cs="Times New Roman"/>
          <w:szCs w:val="21"/>
        </w:rPr>
        <w:t>抽离而来，新修订的《药品管理法》将其纳入第</w:t>
      </w:r>
      <w:r>
        <w:rPr>
          <w:rFonts w:ascii="Times New Roman" w:eastAsia="宋体" w:hAnsi="Times New Roman" w:cs="Times New Roman"/>
          <w:szCs w:val="21"/>
        </w:rPr>
        <w:t>124</w:t>
      </w:r>
      <w:r>
        <w:rPr>
          <w:rFonts w:ascii="Times New Roman" w:eastAsia="宋体" w:hAnsi="Times New Roman" w:cs="Times New Roman"/>
          <w:szCs w:val="21"/>
        </w:rPr>
        <w:t>条第一款。实践中，该行为具体可分为以下三类：一是未取得相关批准文件生产药品；二是未取得相关批准文件而进口药品；三是明知未取得相关批准文件生产或进口的药品而销售。实践中，我国针对</w:t>
      </w:r>
      <w:r>
        <w:rPr>
          <w:rFonts w:ascii="Times New Roman" w:eastAsia="宋体" w:hAnsi="Times New Roman" w:cs="Times New Roman"/>
          <w:szCs w:val="21"/>
        </w:rPr>
        <w:t>“</w:t>
      </w:r>
      <w:r>
        <w:rPr>
          <w:rFonts w:ascii="Times New Roman" w:eastAsia="宋体" w:hAnsi="Times New Roman" w:cs="Times New Roman"/>
          <w:szCs w:val="21"/>
        </w:rPr>
        <w:t>黑作坊</w:t>
      </w:r>
      <w:r>
        <w:rPr>
          <w:rFonts w:ascii="Times New Roman" w:eastAsia="宋体" w:hAnsi="Times New Roman" w:cs="Times New Roman"/>
          <w:szCs w:val="21"/>
        </w:rPr>
        <w:t>”</w:t>
      </w:r>
      <w:r>
        <w:rPr>
          <w:rFonts w:ascii="Times New Roman" w:eastAsia="宋体" w:hAnsi="Times New Roman" w:cs="Times New Roman"/>
          <w:szCs w:val="21"/>
        </w:rPr>
        <w:t>频发等药品安全现状，施行严格的准入与许可制度，未获批生产药品的行为不仅违反该制度、扰乱药品管理秩序，还可能带来巨大的潜在安全风险。</w:t>
      </w:r>
    </w:p>
    <w:p w14:paraId="37B8FF13" w14:textId="77777777" w:rsidR="00344C2B" w:rsidRDefault="00000000">
      <w:pPr>
        <w:ind w:firstLineChars="200" w:firstLine="420"/>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未取得相关批准证明文件</w:t>
      </w:r>
      <w:r>
        <w:rPr>
          <w:rFonts w:ascii="Times New Roman" w:eastAsia="宋体" w:hAnsi="Times New Roman" w:cs="Times New Roman"/>
          <w:szCs w:val="21"/>
        </w:rPr>
        <w:t>”</w:t>
      </w:r>
      <w:r>
        <w:rPr>
          <w:rFonts w:ascii="Times New Roman" w:eastAsia="宋体" w:hAnsi="Times New Roman" w:cs="Times New Roman"/>
          <w:szCs w:val="21"/>
        </w:rPr>
        <w:t>具体包括两种情形，即</w:t>
      </w:r>
      <w:r>
        <w:rPr>
          <w:rFonts w:ascii="Times New Roman" w:eastAsia="宋体" w:hAnsi="Times New Roman" w:cs="Times New Roman"/>
          <w:szCs w:val="21"/>
        </w:rPr>
        <w:t>“</w:t>
      </w:r>
      <w:r>
        <w:rPr>
          <w:rFonts w:ascii="Times New Roman" w:eastAsia="宋体" w:hAnsi="Times New Roman" w:cs="Times New Roman"/>
          <w:szCs w:val="21"/>
        </w:rPr>
        <w:t>未取得</w:t>
      </w:r>
      <w:r>
        <w:rPr>
          <w:rFonts w:ascii="Times New Roman" w:eastAsia="宋体" w:hAnsi="Times New Roman" w:cs="Times New Roman"/>
          <w:szCs w:val="21"/>
        </w:rPr>
        <w:t>”</w:t>
      </w:r>
      <w:r>
        <w:rPr>
          <w:rFonts w:ascii="Times New Roman" w:eastAsia="宋体" w:hAnsi="Times New Roman" w:cs="Times New Roman"/>
          <w:szCs w:val="21"/>
        </w:rPr>
        <w:t>与</w:t>
      </w:r>
      <w:r>
        <w:rPr>
          <w:rFonts w:ascii="Times New Roman" w:eastAsia="宋体" w:hAnsi="Times New Roman" w:cs="Times New Roman"/>
          <w:szCs w:val="21"/>
        </w:rPr>
        <w:t>“</w:t>
      </w:r>
      <w:r>
        <w:rPr>
          <w:rFonts w:ascii="Times New Roman" w:eastAsia="宋体" w:hAnsi="Times New Roman" w:cs="Times New Roman"/>
          <w:szCs w:val="21"/>
        </w:rPr>
        <w:t>相关批准文件失效或被撤销</w:t>
      </w:r>
      <w:r>
        <w:rPr>
          <w:rFonts w:ascii="Times New Roman" w:eastAsia="宋体" w:hAnsi="Times New Roman" w:cs="Times New Roman"/>
          <w:szCs w:val="21"/>
        </w:rPr>
        <w:t>”</w:t>
      </w:r>
      <w:r>
        <w:rPr>
          <w:rFonts w:ascii="Times New Roman" w:eastAsia="宋体" w:hAnsi="Times New Roman" w:cs="Times New Roman"/>
          <w:szCs w:val="21"/>
        </w:rPr>
        <w:t>。二者分别体现出批准证明文件的</w:t>
      </w:r>
      <w:r>
        <w:rPr>
          <w:rFonts w:ascii="Times New Roman" w:eastAsia="宋体" w:hAnsi="Times New Roman" w:cs="Times New Roman"/>
          <w:szCs w:val="21"/>
        </w:rPr>
        <w:t>“</w:t>
      </w:r>
      <w:r>
        <w:rPr>
          <w:rFonts w:ascii="Times New Roman" w:eastAsia="宋体" w:hAnsi="Times New Roman" w:cs="Times New Roman"/>
          <w:szCs w:val="21"/>
        </w:rPr>
        <w:t>缺失</w:t>
      </w:r>
      <w:r>
        <w:rPr>
          <w:rFonts w:ascii="Times New Roman" w:eastAsia="宋体" w:hAnsi="Times New Roman" w:cs="Times New Roman"/>
          <w:szCs w:val="21"/>
        </w:rPr>
        <w:t>”</w:t>
      </w:r>
      <w:r>
        <w:rPr>
          <w:rFonts w:ascii="Times New Roman" w:eastAsia="宋体" w:hAnsi="Times New Roman" w:cs="Times New Roman"/>
          <w:szCs w:val="21"/>
        </w:rPr>
        <w:t>与</w:t>
      </w:r>
      <w:r>
        <w:rPr>
          <w:rFonts w:ascii="Times New Roman" w:eastAsia="宋体" w:hAnsi="Times New Roman" w:cs="Times New Roman"/>
          <w:szCs w:val="21"/>
        </w:rPr>
        <w:t>“</w:t>
      </w:r>
      <w:r>
        <w:rPr>
          <w:rFonts w:ascii="Times New Roman" w:eastAsia="宋体" w:hAnsi="Times New Roman" w:cs="Times New Roman"/>
          <w:szCs w:val="21"/>
        </w:rPr>
        <w:t>瑕疵</w:t>
      </w:r>
      <w:r>
        <w:rPr>
          <w:rFonts w:ascii="Times New Roman" w:eastAsia="宋体" w:hAnsi="Times New Roman" w:cs="Times New Roman"/>
          <w:szCs w:val="21"/>
        </w:rPr>
        <w:t>”</w:t>
      </w:r>
      <w:r>
        <w:rPr>
          <w:rStyle w:val="a8"/>
          <w:rFonts w:ascii="Times New Roman" w:eastAsia="宋体" w:hAnsi="Times New Roman" w:cs="Times New Roman"/>
          <w:szCs w:val="21"/>
        </w:rPr>
        <w:footnoteReference w:id="34"/>
      </w:r>
      <w:r>
        <w:rPr>
          <w:rFonts w:ascii="Times New Roman" w:eastAsia="宋体" w:hAnsi="Times New Roman" w:cs="Times New Roman"/>
          <w:szCs w:val="21"/>
        </w:rPr>
        <w:t>，前者指未获国家药品监管部门的准入许可，后者指曾获得批准，但因法定事由被撤销或到期未延续。需要明确的是，该规定针对的主体有二，一是药品资格，即药品本身是否获得国家药监局的注册证书，药品本身的有效性与安全性是否得到国家药品监督管理局认可；二是行为主体，即行为者是否取得药监局颁发的药品生产许可证书，该主体是否有资格实施生产、销售药品之行为。该罪的入罪标准包括形式与实质两方面，为此，一方面，应结合采用除批准文件外的其他形式证据，如药品质量检验报告等，对形式违法但无实质危险的情况进行出罪；另一方面，对于缺乏批准文件等形式不符但具有实害危险的行为，应当作出有罪认定。</w:t>
      </w:r>
    </w:p>
    <w:p w14:paraId="4F1E440F" w14:textId="77777777" w:rsidR="00344C2B" w:rsidRDefault="00000000">
      <w:pPr>
        <w:spacing w:line="360" w:lineRule="auto"/>
        <w:outlineLvl w:val="2"/>
        <w:rPr>
          <w:rFonts w:asciiTheme="majorEastAsia" w:eastAsiaTheme="majorEastAsia" w:hAnsiTheme="majorEastAsia" w:cs="Times New Roman" w:hint="eastAsia"/>
          <w:szCs w:val="21"/>
        </w:rPr>
      </w:pPr>
      <w:r>
        <w:rPr>
          <w:rFonts w:asciiTheme="majorEastAsia" w:eastAsiaTheme="majorEastAsia" w:hAnsiTheme="majorEastAsia" w:cs="Times New Roman" w:hint="eastAsia"/>
          <w:szCs w:val="21"/>
        </w:rPr>
        <w:t>3．</w:t>
      </w:r>
      <w:r>
        <w:rPr>
          <w:rFonts w:asciiTheme="majorEastAsia" w:eastAsiaTheme="majorEastAsia" w:hAnsiTheme="majorEastAsia" w:cs="Times New Roman"/>
          <w:szCs w:val="21"/>
        </w:rPr>
        <w:t xml:space="preserve"> 药品申请注册中提供虚假的证明、数据、资料、样品或者采取其他欺骗手段</w:t>
      </w:r>
    </w:p>
    <w:p w14:paraId="5725CA37" w14:textId="77777777" w:rsidR="00344C2B" w:rsidRDefault="00000000">
      <w:pPr>
        <w:ind w:firstLineChars="200" w:firstLine="420"/>
        <w:rPr>
          <w:rFonts w:ascii="Times New Roman" w:eastAsia="宋体" w:hAnsi="Times New Roman" w:cs="Times New Roman"/>
          <w:szCs w:val="21"/>
        </w:rPr>
      </w:pPr>
      <w:r>
        <w:rPr>
          <w:rFonts w:ascii="Times New Roman" w:eastAsia="宋体" w:hAnsi="Times New Roman" w:cs="Times New Roman"/>
          <w:szCs w:val="21"/>
        </w:rPr>
        <w:t>《药品管理法》第</w:t>
      </w:r>
      <w:r>
        <w:rPr>
          <w:rFonts w:ascii="Times New Roman" w:eastAsia="宋体" w:hAnsi="Times New Roman" w:cs="Times New Roman"/>
          <w:szCs w:val="21"/>
        </w:rPr>
        <w:t>24</w:t>
      </w:r>
      <w:r>
        <w:rPr>
          <w:rFonts w:ascii="Times New Roman" w:eastAsia="宋体" w:hAnsi="Times New Roman" w:cs="Times New Roman"/>
          <w:szCs w:val="21"/>
        </w:rPr>
        <w:t>条规定，申请药品注册，应当提供真实、充分、可靠的数据、资料和样品，证明药品的安全性、有效性和质量可控性。该条针对的行为主体为药品注册申请者，同时赋予相关部门对申请数据、资料、样品进行严格审查之义务。药品注册申请早于药品生产、流通、使用，属于药品犯罪的最初阶段，也是药品犯罪的</w:t>
      </w:r>
      <w:r>
        <w:rPr>
          <w:rFonts w:ascii="Times New Roman" w:eastAsia="宋体" w:hAnsi="Times New Roman" w:cs="Times New Roman"/>
          <w:szCs w:val="21"/>
        </w:rPr>
        <w:t>“</w:t>
      </w:r>
      <w:r>
        <w:rPr>
          <w:rFonts w:ascii="Times New Roman" w:eastAsia="宋体" w:hAnsi="Times New Roman" w:cs="Times New Roman"/>
          <w:szCs w:val="21"/>
        </w:rPr>
        <w:t>起点</w:t>
      </w:r>
      <w:r>
        <w:rPr>
          <w:rFonts w:ascii="Times New Roman" w:eastAsia="宋体" w:hAnsi="Times New Roman" w:cs="Times New Roman"/>
          <w:szCs w:val="21"/>
        </w:rPr>
        <w:t>”</w:t>
      </w:r>
      <w:r>
        <w:rPr>
          <w:rFonts w:ascii="Times New Roman" w:eastAsia="宋体" w:hAnsi="Times New Roman" w:cs="Times New Roman"/>
          <w:szCs w:val="21"/>
        </w:rPr>
        <w:t>，其对药品的把关直接决定犯罪行为的产生。假药一旦申请注册成功，进入流通领域，便会对人民群众的生命健康与我国药品管理秩序形成重大威胁。因此，《刑法》为药品的申请注册环节设置了严格要求。《药品注册管理办法》第</w:t>
      </w:r>
      <w:r>
        <w:rPr>
          <w:rFonts w:ascii="Times New Roman" w:eastAsia="宋体" w:hAnsi="Times New Roman" w:cs="Times New Roman"/>
          <w:szCs w:val="21"/>
        </w:rPr>
        <w:t>8</w:t>
      </w:r>
      <w:r>
        <w:rPr>
          <w:rFonts w:ascii="Times New Roman" w:eastAsia="宋体" w:hAnsi="Times New Roman" w:cs="Times New Roman"/>
          <w:szCs w:val="21"/>
        </w:rPr>
        <w:t>条注册药品的对申请人作出了明确要求，其规定：从事药物研制和药品注册活动，应当遵守有关法律、法规、规章、标准和规范；参照相关技术指导原则，采用其他评价方法和技术的，应当证明其科学性、适用性；应当保证全过程信息真实、准确、完整和可追溯。《关于办理药品、医疗器械注册申请材料造假刑事案件适用法律若干问题的解释》也对药品注册申请材料造假行为进行了规定。刑法中该条与《药品注册管理办法》及司法解释相对应，为妨害药品管理罪的认定提供了前置依据，从源头上阻碍了药品犯罪的可能性。</w:t>
      </w:r>
    </w:p>
    <w:p w14:paraId="5FCB86DB" w14:textId="77777777" w:rsidR="00344C2B" w:rsidRDefault="00000000">
      <w:pPr>
        <w:ind w:firstLineChars="200" w:firstLine="420"/>
        <w:outlineLvl w:val="2"/>
        <w:rPr>
          <w:rFonts w:ascii="Times New Roman" w:eastAsia="宋体" w:hAnsi="Times New Roman" w:cs="Times New Roman"/>
          <w:szCs w:val="21"/>
        </w:rPr>
      </w:pPr>
      <w:r>
        <w:rPr>
          <w:rFonts w:ascii="Times New Roman" w:eastAsia="宋体" w:hAnsi="Times New Roman" w:cs="Times New Roman" w:hint="eastAsia"/>
          <w:szCs w:val="21"/>
        </w:rPr>
        <w:t>4</w:t>
      </w:r>
      <w:r>
        <w:rPr>
          <w:rFonts w:ascii="Times New Roman" w:eastAsia="宋体" w:hAnsi="Times New Roman" w:cs="Times New Roman" w:hint="eastAsia"/>
          <w:szCs w:val="21"/>
        </w:rPr>
        <w:t>．</w:t>
      </w:r>
      <w:r>
        <w:rPr>
          <w:rFonts w:ascii="Times New Roman" w:eastAsia="宋体" w:hAnsi="Times New Roman" w:cs="Times New Roman"/>
          <w:szCs w:val="21"/>
        </w:rPr>
        <w:t>编造生产、检验记录</w:t>
      </w:r>
    </w:p>
    <w:p w14:paraId="1E016876" w14:textId="77777777" w:rsidR="00344C2B" w:rsidRDefault="00000000">
      <w:pPr>
        <w:ind w:firstLineChars="200" w:firstLine="420"/>
        <w:rPr>
          <w:rFonts w:ascii="Times New Roman" w:eastAsia="宋体" w:hAnsi="Times New Roman" w:cs="Times New Roman"/>
          <w:szCs w:val="21"/>
        </w:rPr>
      </w:pPr>
      <w:r>
        <w:rPr>
          <w:rFonts w:ascii="Times New Roman" w:eastAsia="宋体" w:hAnsi="Times New Roman" w:cs="Times New Roman"/>
          <w:szCs w:val="21"/>
        </w:rPr>
        <w:t>《药品管理法》第</w:t>
      </w:r>
      <w:r>
        <w:rPr>
          <w:rFonts w:ascii="Times New Roman" w:eastAsia="宋体" w:hAnsi="Times New Roman" w:cs="Times New Roman"/>
          <w:szCs w:val="21"/>
        </w:rPr>
        <w:t>44</w:t>
      </w:r>
      <w:r>
        <w:rPr>
          <w:rFonts w:ascii="Times New Roman" w:eastAsia="宋体" w:hAnsi="Times New Roman" w:cs="Times New Roman"/>
          <w:szCs w:val="21"/>
        </w:rPr>
        <w:t>条规定，生产、检验记录应当完整准确，不得编造。这对药品生产、检验记录的完整性、真实性与准确性提出要求。该规定主要针对的行为主体为药品生产</w:t>
      </w:r>
      <w:r>
        <w:rPr>
          <w:rFonts w:ascii="Times New Roman" w:eastAsia="宋体" w:hAnsi="Times New Roman" w:cs="Times New Roman"/>
          <w:szCs w:val="21"/>
        </w:rPr>
        <w:lastRenderedPageBreak/>
        <w:t>者与药品检验者，意在防止药品生产过程中的造假行为。对于编造生产、检验记录的主体而言，其造假行为的目的在于掩盖药品生产过程中出现的不符合法定要求之处，以从药品生产中获取巨大经济利益。从刑事政策制定者角度来看，将</w:t>
      </w:r>
      <w:r>
        <w:rPr>
          <w:rFonts w:ascii="Times New Roman" w:eastAsia="宋体" w:hAnsi="Times New Roman" w:cs="Times New Roman"/>
          <w:szCs w:val="21"/>
        </w:rPr>
        <w:t>“</w:t>
      </w:r>
      <w:r>
        <w:rPr>
          <w:rFonts w:ascii="Times New Roman" w:eastAsia="宋体" w:hAnsi="Times New Roman" w:cs="Times New Roman"/>
          <w:szCs w:val="21"/>
        </w:rPr>
        <w:t>编造生产、检验记录</w:t>
      </w:r>
      <w:r>
        <w:rPr>
          <w:rFonts w:ascii="Times New Roman" w:eastAsia="宋体" w:hAnsi="Times New Roman" w:cs="Times New Roman"/>
          <w:szCs w:val="21"/>
        </w:rPr>
        <w:t>”</w:t>
      </w:r>
      <w:r>
        <w:rPr>
          <w:rFonts w:ascii="Times New Roman" w:eastAsia="宋体" w:hAnsi="Times New Roman" w:cs="Times New Roman"/>
          <w:szCs w:val="21"/>
        </w:rPr>
        <w:t>的行为纳入《刑法》的规制范围，旨在规制实践中常见且危害严重的</w:t>
      </w:r>
      <w:r>
        <w:rPr>
          <w:rFonts w:ascii="Times New Roman" w:eastAsia="宋体" w:hAnsi="Times New Roman" w:cs="Times New Roman"/>
          <w:szCs w:val="21"/>
        </w:rPr>
        <w:t>“</w:t>
      </w:r>
      <w:r>
        <w:rPr>
          <w:rFonts w:ascii="Times New Roman" w:eastAsia="宋体" w:hAnsi="Times New Roman" w:cs="Times New Roman"/>
          <w:szCs w:val="21"/>
        </w:rPr>
        <w:t>黑作坊</w:t>
      </w:r>
      <w:r>
        <w:rPr>
          <w:rFonts w:ascii="Times New Roman" w:eastAsia="宋体" w:hAnsi="Times New Roman" w:cs="Times New Roman"/>
          <w:szCs w:val="21"/>
        </w:rPr>
        <w:t>”</w:t>
      </w:r>
      <w:r>
        <w:rPr>
          <w:rFonts w:ascii="Times New Roman" w:eastAsia="宋体" w:hAnsi="Times New Roman" w:cs="Times New Roman"/>
          <w:szCs w:val="21"/>
        </w:rPr>
        <w:t>行为。许多不法分子通过生产、检验记录的编造，使得质量不合格甚至含有有害成分的药品得以流入市场，严重扰乱药品管理秩序，对人民群众的生命健康造成严重威胁。</w:t>
      </w:r>
    </w:p>
    <w:p w14:paraId="371135BC" w14:textId="77777777" w:rsidR="00344C2B" w:rsidRDefault="00000000">
      <w:pPr>
        <w:ind w:firstLineChars="200" w:firstLine="420"/>
        <w:rPr>
          <w:rFonts w:ascii="Times New Roman" w:eastAsia="宋体" w:hAnsi="Times New Roman" w:cs="Times New Roman"/>
          <w:szCs w:val="21"/>
        </w:rPr>
      </w:pPr>
      <w:r>
        <w:rPr>
          <w:rFonts w:ascii="Times New Roman" w:eastAsia="宋体" w:hAnsi="Times New Roman" w:cs="Times New Roman"/>
          <w:szCs w:val="21"/>
        </w:rPr>
        <w:t>对该犯罪行为的认定还需明晰</w:t>
      </w:r>
      <w:r>
        <w:rPr>
          <w:rFonts w:ascii="Times New Roman" w:eastAsia="宋体" w:hAnsi="Times New Roman" w:cs="Times New Roman"/>
          <w:szCs w:val="21"/>
        </w:rPr>
        <w:t>“</w:t>
      </w:r>
      <w:r>
        <w:rPr>
          <w:rFonts w:ascii="Times New Roman" w:eastAsia="宋体" w:hAnsi="Times New Roman" w:cs="Times New Roman"/>
          <w:szCs w:val="21"/>
        </w:rPr>
        <w:t>编造</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生产、检验记录</w:t>
      </w:r>
      <w:r>
        <w:rPr>
          <w:rFonts w:ascii="Times New Roman" w:eastAsia="宋体" w:hAnsi="Times New Roman" w:cs="Times New Roman"/>
          <w:szCs w:val="21"/>
        </w:rPr>
        <w:t>”</w:t>
      </w:r>
      <w:r>
        <w:rPr>
          <w:rFonts w:ascii="Times New Roman" w:eastAsia="宋体" w:hAnsi="Times New Roman" w:cs="Times New Roman"/>
          <w:szCs w:val="21"/>
        </w:rPr>
        <w:t>的具体内涵。根据《药品生产质量管理规范》，</w:t>
      </w:r>
      <w:r>
        <w:rPr>
          <w:rFonts w:ascii="Times New Roman" w:eastAsia="宋体" w:hAnsi="Times New Roman" w:cs="Times New Roman"/>
          <w:szCs w:val="21"/>
        </w:rPr>
        <w:t xml:space="preserve"> </w:t>
      </w:r>
      <w:r>
        <w:rPr>
          <w:rFonts w:ascii="Times New Roman" w:eastAsia="宋体" w:hAnsi="Times New Roman" w:cs="Times New Roman"/>
          <w:szCs w:val="21"/>
        </w:rPr>
        <w:t>药品生产、检验记录指针对药品的制作到制出过程及药品质量控制而进行的记录；</w:t>
      </w:r>
      <w:r>
        <w:rPr>
          <w:rFonts w:ascii="Times New Roman" w:eastAsia="宋体" w:hAnsi="Times New Roman" w:cs="Times New Roman"/>
          <w:szCs w:val="21"/>
        </w:rPr>
        <w:t>“</w:t>
      </w:r>
      <w:r>
        <w:rPr>
          <w:rFonts w:ascii="Times New Roman" w:eastAsia="宋体" w:hAnsi="Times New Roman" w:cs="Times New Roman"/>
          <w:szCs w:val="21"/>
        </w:rPr>
        <w:t>编造</w:t>
      </w:r>
      <w:r>
        <w:rPr>
          <w:rFonts w:ascii="Times New Roman" w:eastAsia="宋体" w:hAnsi="Times New Roman" w:cs="Times New Roman"/>
          <w:szCs w:val="21"/>
        </w:rPr>
        <w:t>”</w:t>
      </w:r>
      <w:r>
        <w:rPr>
          <w:rFonts w:ascii="Times New Roman" w:eastAsia="宋体" w:hAnsi="Times New Roman" w:cs="Times New Roman"/>
          <w:szCs w:val="21"/>
        </w:rPr>
        <w:t>则包含两种含义，即虚假伪造无事实依据的记录和故意篡改原有真实记录。为对此类行为进行规制，《刑法修正案（十一）》将其归入妨害药品管理罪之范围，将其从行政违法转变为刑事犯罪，进一步完善药品犯罪的刑法规制体系。</w:t>
      </w:r>
    </w:p>
    <w:p w14:paraId="2A472FFC" w14:textId="77777777" w:rsidR="00344C2B" w:rsidRDefault="00000000">
      <w:pPr>
        <w:spacing w:line="360" w:lineRule="auto"/>
        <w:ind w:firstLineChars="175" w:firstLine="368"/>
        <w:outlineLvl w:val="1"/>
        <w:rPr>
          <w:rFonts w:ascii="Times New Roman" w:eastAsia="宋体" w:hAnsi="Times New Roman" w:cs="Times New Roman"/>
          <w:szCs w:val="21"/>
        </w:rPr>
      </w:pPr>
      <w:r>
        <w:rPr>
          <w:rFonts w:ascii="Times New Roman" w:eastAsia="宋体" w:hAnsi="Times New Roman" w:cs="Times New Roman" w:hint="eastAsia"/>
          <w:szCs w:val="21"/>
        </w:rPr>
        <w:t>（二）</w:t>
      </w:r>
      <w:r>
        <w:rPr>
          <w:rFonts w:ascii="Times New Roman" w:eastAsia="宋体" w:hAnsi="Times New Roman" w:cs="Times New Roman"/>
          <w:szCs w:val="21"/>
        </w:rPr>
        <w:t>实质检验：行为不法与结果不法的分层判断规则</w:t>
      </w:r>
    </w:p>
    <w:p w14:paraId="0808A35A" w14:textId="77777777" w:rsidR="00344C2B" w:rsidRDefault="00000000">
      <w:pPr>
        <w:ind w:firstLine="420"/>
        <w:rPr>
          <w:rFonts w:ascii="宋体" w:eastAsia="宋体" w:hAnsi="宋体" w:cs="Times New Roman" w:hint="eastAsia"/>
          <w:szCs w:val="21"/>
        </w:rPr>
      </w:pPr>
      <w:r>
        <w:rPr>
          <w:rFonts w:ascii="宋体" w:eastAsia="宋体" w:hAnsi="宋体" w:cs="Times New Roman"/>
          <w:szCs w:val="21"/>
        </w:rPr>
        <w:t>基于前述，本罪是兼具行为不法与结果不法的具体危险犯，对其危险的判断也应遵循从行为不法到结果不法的分层判断规则。笔者认为，将行为不法与结果不法作为独立的维度进行判断，不仅能避免结果不法功能虚置的问题</w:t>
      </w:r>
      <w:r>
        <w:rPr>
          <w:rFonts w:ascii="宋体" w:eastAsia="宋体" w:hAnsi="宋体" w:cs="Times New Roman"/>
          <w:szCs w:val="21"/>
          <w:vertAlign w:val="superscript"/>
        </w:rPr>
        <w:footnoteReference w:id="35"/>
      </w:r>
      <w:r>
        <w:rPr>
          <w:rFonts w:ascii="宋体" w:eastAsia="宋体" w:hAnsi="宋体" w:cs="Times New Roman"/>
          <w:szCs w:val="21"/>
        </w:rPr>
        <w:t>，更有助于在实质性判断的基础上厘清罪与非罪的边界。就审查顺序而言，必须严格按照“行为不法—结果不法”的判断顺序，先评估行为本身的内在风险等级，后在具体情景中判断行为对公众生命健康产生具体、现实危险对高度可能性。唯有二者均审查通过，才能作出存在“足以严重危害人体健康”之具体危险的最终结论。</w:t>
      </w:r>
    </w:p>
    <w:p w14:paraId="4E6F6E24" w14:textId="77777777" w:rsidR="00344C2B" w:rsidRDefault="00000000">
      <w:pPr>
        <w:ind w:firstLineChars="200" w:firstLine="420"/>
        <w:outlineLvl w:val="2"/>
        <w:rPr>
          <w:rFonts w:ascii="宋体" w:eastAsia="宋体" w:hAnsi="宋体" w:cs="Times New Roman" w:hint="eastAsia"/>
          <w:szCs w:val="21"/>
        </w:rPr>
      </w:pPr>
      <w:r>
        <w:rPr>
          <w:rFonts w:ascii="宋体" w:eastAsia="宋体" w:hAnsi="宋体" w:cs="Times New Roman" w:hint="eastAsia"/>
          <w:szCs w:val="21"/>
        </w:rPr>
        <w:t>1．</w:t>
      </w:r>
      <w:r>
        <w:rPr>
          <w:rFonts w:ascii="宋体" w:eastAsia="宋体" w:hAnsi="宋体" w:cs="Times New Roman"/>
          <w:szCs w:val="21"/>
        </w:rPr>
        <w:t>对行为不法进行判断</w:t>
      </w:r>
    </w:p>
    <w:p w14:paraId="23E128A2" w14:textId="77777777" w:rsidR="00344C2B" w:rsidRDefault="00000000">
      <w:pPr>
        <w:ind w:firstLineChars="200" w:firstLine="420"/>
        <w:rPr>
          <w:rFonts w:ascii="宋体" w:eastAsia="宋体" w:hAnsi="宋体" w:cs="Times New Roman" w:hint="eastAsia"/>
          <w:szCs w:val="21"/>
        </w:rPr>
      </w:pPr>
      <w:r>
        <w:rPr>
          <w:rFonts w:ascii="宋体" w:eastAsia="宋体" w:hAnsi="宋体" w:cs="Times New Roman"/>
          <w:szCs w:val="21"/>
        </w:rPr>
        <w:t>行为不法是具体危险判断的基础。学界主流观点认为，本罪属于法定犯，即犯罪的成立应以违反前置性行政法规为前提。由此，行为不法的判断聚焦于行为人是否实施了违反药品管理秩序的危害行为。进而言之，行为人实施违法药品管理秩序的行为无疑会侵犯本罪的保护法益，行为的不法性可以抽象为行为中存在具有转化为现实具体危险的某种因素。基于此，本罪行为不法的判断重点则在于行为本身是否具有能够转化为实质公共健康危险的潜在风险。</w:t>
      </w:r>
    </w:p>
    <w:p w14:paraId="0FE08241" w14:textId="77777777" w:rsidR="00344C2B" w:rsidRDefault="00000000">
      <w:pPr>
        <w:ind w:firstLineChars="200" w:firstLine="420"/>
        <w:rPr>
          <w:rFonts w:ascii="宋体" w:eastAsia="宋体" w:hAnsi="宋体" w:cs="Times New Roman" w:hint="eastAsia"/>
          <w:szCs w:val="21"/>
        </w:rPr>
      </w:pPr>
      <w:r>
        <w:rPr>
          <w:rFonts w:ascii="宋体" w:eastAsia="宋体" w:hAnsi="宋体" w:cs="Times New Roman"/>
          <w:szCs w:val="21"/>
        </w:rPr>
        <w:t>刑法及《若干解释》列明了四种侵害本罪法益的妨害药品管理行为，以生产、销售国务院药品监督管理部门禁止使用的药品为例，被禁止的药品存在引发公众身体不良反应之风险，因而生产、销售此类药品的行为便会转化为此种公共健康风险，即导致法益侵害结果的风险。其他三类妨害药品管理行为亦然。需要注意的是，对于不具有现实引起生命健康危险的相关违反药品管理行为，则不应当认定为妨害药品管理行为</w:t>
      </w:r>
      <w:r>
        <w:rPr>
          <w:rFonts w:ascii="宋体" w:eastAsia="宋体" w:hAnsi="宋体" w:cs="Times New Roman"/>
          <w:szCs w:val="21"/>
          <w:vertAlign w:val="superscript"/>
        </w:rPr>
        <w:footnoteReference w:id="36"/>
      </w:r>
      <w:r>
        <w:rPr>
          <w:rFonts w:ascii="宋体" w:eastAsia="宋体" w:hAnsi="宋体" w:cs="Times New Roman"/>
          <w:szCs w:val="21"/>
        </w:rPr>
        <w:t>，应当排除其在刑事层面的行为不法性。具体而言，若案涉药品仅在包装等形式方面存在瑕疵，未影响药品的实质成分，该行为便不存在转化为实质公共健康损害之风险，因而不属于刑事犯罪，行为人应当承担行政责任并予以出罪。</w:t>
      </w:r>
    </w:p>
    <w:p w14:paraId="32F1C251" w14:textId="77777777" w:rsidR="00344C2B" w:rsidRDefault="00000000">
      <w:pPr>
        <w:ind w:firstLineChars="200" w:firstLine="420"/>
        <w:rPr>
          <w:rFonts w:ascii="宋体" w:eastAsia="宋体" w:hAnsi="宋体" w:cs="Times New Roman" w:hint="eastAsia"/>
          <w:szCs w:val="21"/>
        </w:rPr>
      </w:pPr>
      <w:r>
        <w:rPr>
          <w:rFonts w:ascii="宋体" w:eastAsia="宋体" w:hAnsi="宋体" w:cs="Times New Roman"/>
          <w:szCs w:val="21"/>
        </w:rPr>
        <w:t>该实质风险的判断思路主要在于行为对象和行为过程两方面。行为对象即案涉药品，结合《药品管理法》和《若干解释》，若案涉药品有效成分缺失或主治功能超出规定范围，抑或不符合国家标准，该药品则存在公共健康风险，其所对应的实施行为不法性不可置否。行为过程主要针对生产行为，若案涉药品尚未形成成品，则需对拟生产药品安全性进行专业鉴定，通过药品性质对公共健康的危害风险对行为不法性进行判断。</w:t>
      </w:r>
    </w:p>
    <w:p w14:paraId="7FB87AEF" w14:textId="77777777" w:rsidR="00344C2B" w:rsidRDefault="00000000">
      <w:pPr>
        <w:ind w:firstLineChars="200" w:firstLine="420"/>
        <w:outlineLvl w:val="2"/>
        <w:rPr>
          <w:rFonts w:ascii="宋体" w:eastAsia="宋体" w:hAnsi="宋体" w:cs="Times New Roman" w:hint="eastAsia"/>
          <w:szCs w:val="21"/>
        </w:rPr>
      </w:pPr>
      <w:r>
        <w:rPr>
          <w:rFonts w:ascii="宋体" w:eastAsia="宋体" w:hAnsi="宋体" w:cs="Times New Roman" w:hint="eastAsia"/>
          <w:szCs w:val="21"/>
        </w:rPr>
        <w:t>2．</w:t>
      </w:r>
      <w:r>
        <w:rPr>
          <w:rFonts w:ascii="宋体" w:eastAsia="宋体" w:hAnsi="宋体" w:cs="Times New Roman"/>
          <w:szCs w:val="21"/>
        </w:rPr>
        <w:t>对结果不法进行判断</w:t>
      </w:r>
    </w:p>
    <w:p w14:paraId="63511709" w14:textId="77777777" w:rsidR="00344C2B" w:rsidRDefault="00000000">
      <w:pPr>
        <w:ind w:firstLineChars="200" w:firstLine="420"/>
        <w:rPr>
          <w:rFonts w:ascii="宋体" w:eastAsia="宋体" w:hAnsi="宋体" w:cs="Times New Roman" w:hint="eastAsia"/>
          <w:szCs w:val="21"/>
        </w:rPr>
      </w:pPr>
      <w:r>
        <w:rPr>
          <w:rFonts w:ascii="宋体" w:eastAsia="宋体" w:hAnsi="宋体" w:cs="Times New Roman"/>
          <w:szCs w:val="21"/>
        </w:rPr>
        <w:t>行为不法注重法益侵害的风险，结果不法则强调事实层面的法益侵害结果，即案涉行为</w:t>
      </w:r>
      <w:r>
        <w:rPr>
          <w:rFonts w:ascii="宋体" w:eastAsia="宋体" w:hAnsi="宋体" w:cs="Times New Roman"/>
          <w:szCs w:val="21"/>
        </w:rPr>
        <w:lastRenderedPageBreak/>
        <w:t>为公共健康带来的实际损害。从法条设置层面看，本罪强调行为不法，对结果不法的判定仅“足以严重危害人体健康”这一标准，且未在立法中将其细化，司法解释中则对其有所规定。妨害药品管理罪属于具体危险犯，因而对其危害结果的判定依据包括司法解释的具体规定与司法主体的实践判断两个维度</w:t>
      </w:r>
      <w:r>
        <w:rPr>
          <w:rFonts w:ascii="宋体" w:eastAsia="宋体" w:hAnsi="宋体" w:cs="Times New Roman"/>
          <w:szCs w:val="21"/>
          <w:vertAlign w:val="superscript"/>
        </w:rPr>
        <w:footnoteReference w:id="37"/>
      </w:r>
      <w:r>
        <w:rPr>
          <w:rFonts w:ascii="宋体" w:eastAsia="宋体" w:hAnsi="宋体" w:cs="Times New Roman"/>
          <w:szCs w:val="21"/>
        </w:rPr>
        <w:t>。</w:t>
      </w:r>
    </w:p>
    <w:p w14:paraId="38EDA9FC" w14:textId="77777777" w:rsidR="00344C2B" w:rsidRDefault="00000000">
      <w:pPr>
        <w:ind w:firstLineChars="200" w:firstLine="420"/>
        <w:rPr>
          <w:rFonts w:ascii="宋体" w:eastAsia="宋体" w:hAnsi="宋体" w:cs="Times New Roman" w:hint="eastAsia"/>
          <w:szCs w:val="21"/>
        </w:rPr>
      </w:pPr>
      <w:r>
        <w:rPr>
          <w:rFonts w:ascii="宋体" w:eastAsia="宋体" w:hAnsi="宋体" w:cs="Times New Roman"/>
          <w:szCs w:val="21"/>
        </w:rPr>
        <w:t>2022年3月6日最高人民法院和最高人民检察院联合发布《关于办理危害药品安全刑事案件适用法律若干问题的解释》，第7条、第8条对本罪的定罪量刑作了进一步明确。针对生产、销售国务院药品监督管理部门禁止使用的药品行为，危害结果需综合生产销售时间、数量和禁止使用原因等进行判定；针对未取得批准证明文件行为，则以药品使用对象、特定类型和未核准化学药成分为危害结果认定标准；针对欺骗手段申请注册和编造生产、检验记录行为，结合行为对药品安全性、有效性和质量可控性的影响结果进行认定。</w:t>
      </w:r>
    </w:p>
    <w:p w14:paraId="109EE9BD" w14:textId="77777777" w:rsidR="00344C2B" w:rsidRDefault="00000000">
      <w:pPr>
        <w:ind w:firstLineChars="200" w:firstLine="420"/>
        <w:rPr>
          <w:rFonts w:ascii="宋体" w:eastAsia="宋体" w:hAnsi="宋体" w:cs="Times New Roman" w:hint="eastAsia"/>
          <w:szCs w:val="21"/>
        </w:rPr>
      </w:pPr>
      <w:r>
        <w:rPr>
          <w:rFonts w:ascii="宋体" w:eastAsia="宋体" w:hAnsi="宋体" w:cs="Times New Roman"/>
          <w:szCs w:val="21"/>
        </w:rPr>
        <w:t>司法解释列明了危害结果判定的考虑因素，具体是否入罪还需司法主体据实践状况分析。妨害药品管理罪具体危险犯的性质决定了其“足以严重危害人体健康”要件所要求的“具体危险”并非抽象化、一般化的危险，而是在实践中针对具体情境和法益下的实质危害，其关键在于危险风险向现实化转变的可能性，即案涉药品对人体健康损害的具体危险情形。具体而言，如案涉药品存在剂量超标情形则可能直接导致人体中毒；如药品所标明的适应症与实际治疗需求不符，则易引发错误用药进而导致误诊或产生其他不良反应。若案涉行为不符合结果不法之情形，则不满足“足以严重危害人体健康”要件，应当予以出罪。</w:t>
      </w:r>
    </w:p>
    <w:p w14:paraId="3B79AC2F" w14:textId="77777777" w:rsidR="00344C2B" w:rsidRDefault="00000000">
      <w:pPr>
        <w:ind w:firstLineChars="200" w:firstLine="420"/>
        <w:outlineLvl w:val="2"/>
        <w:rPr>
          <w:rFonts w:ascii="宋体" w:eastAsia="宋体" w:hAnsi="宋体" w:cs="Times New Roman" w:hint="eastAsia"/>
          <w:szCs w:val="21"/>
        </w:rPr>
      </w:pPr>
      <w:r>
        <w:rPr>
          <w:rFonts w:ascii="宋体" w:eastAsia="宋体" w:hAnsi="宋体" w:cs="Times New Roman" w:hint="eastAsia"/>
          <w:szCs w:val="21"/>
        </w:rPr>
        <w:t>3．</w:t>
      </w:r>
      <w:r>
        <w:rPr>
          <w:rFonts w:ascii="宋体" w:eastAsia="宋体" w:hAnsi="宋体" w:cs="Times New Roman"/>
          <w:szCs w:val="21"/>
        </w:rPr>
        <w:t>综合判断规则</w:t>
      </w:r>
    </w:p>
    <w:p w14:paraId="45CF6D93" w14:textId="77777777" w:rsidR="00344C2B" w:rsidRDefault="00000000">
      <w:pPr>
        <w:ind w:firstLineChars="200" w:firstLine="420"/>
        <w:rPr>
          <w:rFonts w:ascii="宋体" w:eastAsia="宋体" w:hAnsi="宋体" w:cs="Times New Roman" w:hint="eastAsia"/>
          <w:szCs w:val="21"/>
        </w:rPr>
      </w:pPr>
      <w:r>
        <w:rPr>
          <w:rFonts w:ascii="宋体" w:eastAsia="宋体" w:hAnsi="宋体" w:cs="Times New Roman"/>
          <w:szCs w:val="21"/>
        </w:rPr>
        <w:t>行为不法与结果不法共同构成“足以严重危害人体健康”要件的认定条件，仅行为不法无结果不法，如未批准但成分合格的罕见病药，或仅结果不法无行为不法，如因患者药品使用不当而引发实害危险，均不构成本罪的具体危险，从罪与非罪角度看，此类行为并不满足本罪构成要件，应当将相应行为予以出罪。</w:t>
      </w:r>
    </w:p>
    <w:p w14:paraId="41AB8CD3" w14:textId="77777777" w:rsidR="00344C2B" w:rsidRDefault="00000000">
      <w:pPr>
        <w:ind w:firstLineChars="200" w:firstLine="420"/>
        <w:rPr>
          <w:rFonts w:ascii="宋体" w:eastAsia="宋体" w:hAnsi="宋体" w:cs="Times New Roman" w:hint="eastAsia"/>
          <w:szCs w:val="21"/>
        </w:rPr>
      </w:pPr>
      <w:r>
        <w:rPr>
          <w:rFonts w:ascii="宋体" w:eastAsia="宋体" w:hAnsi="宋体" w:cs="Times New Roman"/>
          <w:szCs w:val="21"/>
        </w:rPr>
        <w:t>部分现有观点认为，药品生产、进口行为本身便具有危害人体健康之属性，行为与结果的双重审查反而会限缩处罚范围</w:t>
      </w:r>
      <w:r>
        <w:rPr>
          <w:rFonts w:ascii="宋体" w:eastAsia="宋体" w:hAnsi="宋体" w:cs="Times New Roman"/>
          <w:szCs w:val="21"/>
          <w:vertAlign w:val="superscript"/>
        </w:rPr>
        <w:footnoteReference w:id="38"/>
      </w:r>
      <w:r>
        <w:rPr>
          <w:rFonts w:ascii="宋体" w:eastAsia="宋体" w:hAnsi="宋体" w:cs="Times New Roman"/>
          <w:szCs w:val="21"/>
        </w:rPr>
        <w:t>，降低刑罚打击力度。笔者认为，这一观点是行为无价值和结果无价值论的重要体现，虽然能够有效实现法益保护的立法初衷，但不免与刑法的谦抑性相违背。为保持行为不法与结果不法的独立判断价值，司法解释中对本罪进行了进一步解释，排除了部分单一行为或结果不法的入罪可能。如未取得药品批准证明文件进口境外合法上市药品，若案涉药品成分合格、质量达标且经专业鉴定无危害人体健康之风险，该情况则属于仅行为危险而缺乏结果不法性，无法认定为“足以严重危害人体健康”。因此，本罪的综合判断标准要求司法主体按照由行为到结果进行分层判断，通过行为不法审查排除单纯行政违法行为，并根据结果不法审查排除抽象危险，由此界分本罪的入罪标准，实现罪与非罪的判断，对未符合“足以严重危害人体健康”要件的行为予以出罪。</w:t>
      </w:r>
    </w:p>
    <w:p w14:paraId="6D464E1F" w14:textId="77777777" w:rsidR="00344C2B" w:rsidRDefault="00000000">
      <w:pPr>
        <w:ind w:firstLineChars="175" w:firstLine="368"/>
        <w:outlineLvl w:val="1"/>
        <w:rPr>
          <w:rFonts w:ascii="宋体" w:eastAsia="宋体" w:hAnsi="宋体" w:cs="Times New Roman" w:hint="eastAsia"/>
          <w:szCs w:val="21"/>
        </w:rPr>
      </w:pPr>
      <w:r>
        <w:rPr>
          <w:rFonts w:ascii="宋体" w:eastAsia="宋体" w:hAnsi="宋体" w:cs="Times New Roman" w:hint="eastAsia"/>
          <w:szCs w:val="21"/>
        </w:rPr>
        <w:t>（三）</w:t>
      </w:r>
      <w:r>
        <w:rPr>
          <w:rFonts w:ascii="宋体" w:eastAsia="宋体" w:hAnsi="宋体" w:cs="Times New Roman"/>
          <w:szCs w:val="21"/>
        </w:rPr>
        <w:t xml:space="preserve"> 出罪机制：基于比例原则的实质出罪路径展开</w:t>
      </w:r>
    </w:p>
    <w:p w14:paraId="3D2FE270" w14:textId="77777777" w:rsidR="00344C2B" w:rsidRDefault="00000000">
      <w:pPr>
        <w:ind w:firstLineChars="200" w:firstLine="420"/>
        <w:rPr>
          <w:rFonts w:ascii="宋体" w:eastAsia="宋体" w:hAnsi="宋体" w:cs="Times New Roman" w:hint="eastAsia"/>
          <w:szCs w:val="21"/>
        </w:rPr>
      </w:pPr>
      <w:r>
        <w:rPr>
          <w:rFonts w:ascii="宋体" w:eastAsia="宋体" w:hAnsi="宋体" w:cs="Times New Roman"/>
          <w:szCs w:val="21"/>
        </w:rPr>
        <w:t>当行为通过“行为不法-结果不法”的审查判断后，仍需引入比例原则作为出罪的“调节阀”。如若对一行为进行处罚，其不符合适当性、必要性、均衡性的要求，比例原则将成为其出罪的实质说理工具。需要注意的是，法益论专注保护对象，对审查行为目的的正当边界的划分作用有限</w:t>
      </w:r>
      <w:r>
        <w:rPr>
          <w:rFonts w:ascii="宋体" w:eastAsia="宋体" w:hAnsi="宋体" w:cs="Times New Roman"/>
          <w:szCs w:val="21"/>
          <w:vertAlign w:val="superscript"/>
        </w:rPr>
        <w:footnoteReference w:id="39"/>
      </w:r>
      <w:r>
        <w:rPr>
          <w:rFonts w:ascii="宋体" w:eastAsia="宋体" w:hAnsi="宋体" w:cs="Times New Roman"/>
          <w:szCs w:val="21"/>
        </w:rPr>
        <w:t>；目的正当与损害最小也并非意味着效益最优，因而衡量损害与法益是否相称的均衡性仍有存在的必要。本罪即以公共健康安全法益为核心，以比例原则适当性、必要性、均衡性三环节的逐级审查为支撑，构成一套完整的“足以严重危害人体健康”要件的危险判断识别标准。</w:t>
      </w:r>
    </w:p>
    <w:p w14:paraId="710EC12B" w14:textId="77777777" w:rsidR="00344C2B" w:rsidRDefault="00000000">
      <w:pPr>
        <w:ind w:firstLineChars="200" w:firstLine="420"/>
        <w:outlineLvl w:val="2"/>
        <w:rPr>
          <w:rFonts w:ascii="宋体" w:eastAsia="宋体" w:hAnsi="宋体" w:cs="Times New Roman" w:hint="eastAsia"/>
          <w:szCs w:val="21"/>
        </w:rPr>
      </w:pPr>
      <w:r>
        <w:rPr>
          <w:rFonts w:ascii="宋体" w:eastAsia="宋体" w:hAnsi="宋体" w:cs="Times New Roman" w:hint="eastAsia"/>
          <w:szCs w:val="21"/>
        </w:rPr>
        <w:lastRenderedPageBreak/>
        <w:t>1．</w:t>
      </w:r>
      <w:r>
        <w:rPr>
          <w:rFonts w:ascii="宋体" w:eastAsia="宋体" w:hAnsi="宋体" w:cs="Times New Roman"/>
          <w:szCs w:val="21"/>
        </w:rPr>
        <w:t>适当性讨论：出罪需符合“保护公众健康”的立法目的</w:t>
      </w:r>
    </w:p>
    <w:p w14:paraId="5E1590B2" w14:textId="77777777" w:rsidR="00344C2B" w:rsidRDefault="00000000">
      <w:pPr>
        <w:ind w:firstLineChars="200" w:firstLine="420"/>
        <w:rPr>
          <w:rFonts w:ascii="宋体" w:eastAsia="宋体" w:hAnsi="宋体" w:cs="Times New Roman" w:hint="eastAsia"/>
          <w:szCs w:val="21"/>
        </w:rPr>
      </w:pPr>
      <w:r>
        <w:rPr>
          <w:rFonts w:ascii="宋体" w:eastAsia="宋体" w:hAnsi="宋体" w:cs="Times New Roman"/>
          <w:szCs w:val="21"/>
        </w:rPr>
        <w:t>适当性审查即审查行为与危害风险之间是否存在真实、直接的关联，满足适当性则意味着“所采取的措施可以实现所追求的目的”</w:t>
      </w:r>
      <w:r>
        <w:rPr>
          <w:rFonts w:ascii="宋体" w:eastAsia="宋体" w:hAnsi="宋体" w:cs="Times New Roman"/>
          <w:szCs w:val="21"/>
          <w:vertAlign w:val="superscript"/>
        </w:rPr>
        <w:footnoteReference w:id="40"/>
      </w:r>
      <w:r>
        <w:rPr>
          <w:rFonts w:ascii="宋体" w:eastAsia="宋体" w:hAnsi="宋体" w:cs="Times New Roman"/>
          <w:szCs w:val="21"/>
        </w:rPr>
        <w:t>。妨害药品管理罪的保护法益为公共健康安全，并通过维持药品质量安全来达成此目的。在本罪语境下，唯有益于实现保护公共健康安全之目的，处罚该行为才符合适当性原则，具备合法性与合宪性</w:t>
      </w:r>
      <w:r>
        <w:rPr>
          <w:rFonts w:ascii="宋体" w:eastAsia="宋体" w:hAnsi="宋体" w:cs="Times New Roman"/>
          <w:szCs w:val="21"/>
          <w:vertAlign w:val="superscript"/>
        </w:rPr>
        <w:footnoteReference w:id="41"/>
      </w:r>
      <w:r>
        <w:rPr>
          <w:rFonts w:ascii="宋体" w:eastAsia="宋体" w:hAnsi="宋体" w:cs="Times New Roman"/>
          <w:szCs w:val="21"/>
        </w:rPr>
        <w:t>。相反，若行为本身符合“保护公众健康”的立法目的，则具备实质出罪之条件，应当予以出罪。</w:t>
      </w:r>
    </w:p>
    <w:p w14:paraId="7C5CE316" w14:textId="77777777" w:rsidR="00344C2B" w:rsidRDefault="00000000">
      <w:pPr>
        <w:ind w:firstLineChars="200" w:firstLine="420"/>
        <w:rPr>
          <w:rFonts w:ascii="宋体" w:eastAsia="宋体" w:hAnsi="宋体" w:cs="Times New Roman" w:hint="eastAsia"/>
          <w:szCs w:val="21"/>
        </w:rPr>
      </w:pPr>
      <w:r>
        <w:rPr>
          <w:rFonts w:ascii="宋体" w:eastAsia="宋体" w:hAnsi="宋体" w:cs="Times New Roman"/>
          <w:szCs w:val="21"/>
        </w:rPr>
        <w:t>妨害药品管理罪属于典型的行政犯，具有双重违法性，因而欲将之定罪，需先对行为进行行政违法性判断</w:t>
      </w:r>
      <w:r>
        <w:rPr>
          <w:rFonts w:ascii="宋体" w:eastAsia="宋体" w:hAnsi="宋体" w:cs="Times New Roman"/>
          <w:szCs w:val="21"/>
          <w:vertAlign w:val="superscript"/>
        </w:rPr>
        <w:footnoteReference w:id="42"/>
      </w:r>
      <w:r>
        <w:rPr>
          <w:rFonts w:ascii="宋体" w:eastAsia="宋体" w:hAnsi="宋体" w:cs="Times New Roman"/>
          <w:szCs w:val="21"/>
        </w:rPr>
        <w:t>。《药品管理法》对药品的上市、生产、经营等作出要求，并于第124条为违反药品管理法而应受到行政处罚的行为及其后果作出规定。《刑法》第142条之一作为《药品管理法》第124条的保障法，使部分违法《药品管理法》的行为具备刑事处罚的可能性。然而实践中，若案涉药品不属于“假药、劣药”范畴，且药品事实上有益于人体健康，确能治疗危重疾病，生产、销售该药品的行为符合刑法中该罪“保护公众健康”的立法目的，根据适当性原则便应当予以出罪。如在马鞍山“药神”案</w:t>
      </w:r>
      <w:r>
        <w:rPr>
          <w:rFonts w:ascii="宋体" w:eastAsia="宋体" w:hAnsi="宋体" w:cs="Times New Roman"/>
          <w:szCs w:val="21"/>
          <w:vertAlign w:val="superscript"/>
        </w:rPr>
        <w:footnoteReference w:id="43"/>
      </w:r>
      <w:r>
        <w:rPr>
          <w:rFonts w:ascii="宋体" w:eastAsia="宋体" w:hAnsi="宋体" w:cs="Times New Roman"/>
          <w:szCs w:val="21"/>
        </w:rPr>
        <w:t>中，秦才东自行研制生产癌症组合物，并将其于市场传播并销售。其行为属于《药品管理法》第124条第1款中“未取得药品批准证明文件生产药品”，违反法律规定，并最终被判处有期徒刑三年，并处罚金十五万元。然而从现实看，该“组合药”为多数患者及其家属所认可，确已在不少癌症患者身上见效。从该角度看，秦才东的行为虽未经过相关药监部门审核，但事实上有利于保护公众身体健康，笔者认为符合适当性原则，应当予以出罪。</w:t>
      </w:r>
    </w:p>
    <w:p w14:paraId="1280CED0" w14:textId="77777777" w:rsidR="00344C2B" w:rsidRDefault="00000000">
      <w:pPr>
        <w:ind w:firstLineChars="200" w:firstLine="420"/>
        <w:outlineLvl w:val="2"/>
        <w:rPr>
          <w:rFonts w:ascii="宋体" w:eastAsia="宋体" w:hAnsi="宋体" w:cs="Times New Roman" w:hint="eastAsia"/>
          <w:szCs w:val="21"/>
        </w:rPr>
      </w:pPr>
      <w:r>
        <w:rPr>
          <w:rFonts w:ascii="宋体" w:eastAsia="宋体" w:hAnsi="宋体" w:cs="Times New Roman" w:hint="eastAsia"/>
          <w:szCs w:val="21"/>
        </w:rPr>
        <w:t>2．</w:t>
      </w:r>
      <w:r>
        <w:rPr>
          <w:rFonts w:ascii="宋体" w:eastAsia="宋体" w:hAnsi="宋体" w:cs="Times New Roman"/>
          <w:szCs w:val="21"/>
        </w:rPr>
        <w:t>必要性讨论：无其他更轻缓的规制方式</w:t>
      </w:r>
    </w:p>
    <w:p w14:paraId="728AB2F0" w14:textId="77777777" w:rsidR="00344C2B" w:rsidRDefault="00000000">
      <w:pPr>
        <w:ind w:firstLineChars="200" w:firstLine="420"/>
        <w:rPr>
          <w:rFonts w:ascii="宋体" w:eastAsia="宋体" w:hAnsi="宋体" w:cs="Times New Roman" w:hint="eastAsia"/>
          <w:szCs w:val="21"/>
        </w:rPr>
      </w:pPr>
      <w:r>
        <w:rPr>
          <w:rFonts w:ascii="宋体" w:eastAsia="宋体" w:hAnsi="宋体" w:cs="Times New Roman"/>
          <w:szCs w:val="21"/>
        </w:rPr>
        <w:t>必要性原则即需考察是否存在同样能消除危险、但侵害更小的替代措施，其要求处罚应以达到法定目的为限</w:t>
      </w:r>
      <w:r>
        <w:rPr>
          <w:rFonts w:ascii="宋体" w:eastAsia="宋体" w:hAnsi="宋体" w:cs="Times New Roman"/>
          <w:szCs w:val="21"/>
          <w:vertAlign w:val="superscript"/>
        </w:rPr>
        <w:footnoteReference w:id="44"/>
      </w:r>
      <w:r>
        <w:rPr>
          <w:rFonts w:ascii="宋体" w:eastAsia="宋体" w:hAnsi="宋体" w:cs="Times New Roman"/>
          <w:szCs w:val="21"/>
        </w:rPr>
        <w:t>。刑法作为保障法，其谦抑性本质要求应当在非刑罚措施效果不济或无法实现法益保护目的时才可予以采用。在本罪治理中，若案涉行为引发的“足以严重危害人体健康”的风险可通过行政、民事等非刑事手段消除，该刑罚手段则失去必要性，相应行为则应当予以出罪。</w:t>
      </w:r>
    </w:p>
    <w:p w14:paraId="4DFF95ED" w14:textId="77777777" w:rsidR="00344C2B" w:rsidRDefault="00000000">
      <w:pPr>
        <w:ind w:firstLineChars="200" w:firstLine="420"/>
        <w:rPr>
          <w:rFonts w:ascii="宋体" w:eastAsia="宋体" w:hAnsi="宋体" w:cs="Times New Roman" w:hint="eastAsia"/>
          <w:szCs w:val="21"/>
        </w:rPr>
      </w:pPr>
      <w:r>
        <w:rPr>
          <w:rFonts w:ascii="宋体" w:eastAsia="宋体" w:hAnsi="宋体" w:cs="Times New Roman"/>
          <w:szCs w:val="21"/>
        </w:rPr>
        <w:t>具体而言，涉及必要性审查情况主要有两种。一是药品质量合格但存在行政程序违法行为；二是已实施但存在与刑罚效果相当的消除风险的行政措施。前者可借责令补正等行政处罚实现规制目的。以经营许可证缺失为例，2022年最高人民检察院发布新《关于办理危害药品安全刑事案件适用法律若干问题的解释》，废除原解释中“未取得或者使用伪造、编造的药品经营许可证以非法经营罪定罪处罚”之规定，体现出程序问题与刑事犯罪的界限，反映出刑法作为保障法的立法逻辑。据此，针对妨害药品管理罪，若案涉药品在境外合法上市且符合国家药品标准，不具备危害人体健康的风险，但行为人未取得药品批准文件则生产或进口该药品，可责令补正批准手续并接受行政处罚，而非将其定罪量刑。后者则可通过及时召回等手段替代刑事处罚。针对本罪，达到“足以严重危害人体健康”的前提是药品流入市场并被使用，若行为人主动召回，及时追回流入市场的案涉药品，便可消除法益侵害之风险，达到与刑罚相当的效果。由此，处罚该行为则不满足必要性审查条件，应当对案涉行为予以出罪。</w:t>
      </w:r>
    </w:p>
    <w:p w14:paraId="61277EEF" w14:textId="77777777" w:rsidR="00344C2B" w:rsidRDefault="00000000">
      <w:pPr>
        <w:ind w:firstLineChars="200" w:firstLine="420"/>
        <w:outlineLvl w:val="2"/>
        <w:rPr>
          <w:rFonts w:ascii="宋体" w:eastAsia="宋体" w:hAnsi="宋体" w:cs="Times New Roman" w:hint="eastAsia"/>
          <w:szCs w:val="21"/>
        </w:rPr>
      </w:pPr>
      <w:r>
        <w:rPr>
          <w:rFonts w:ascii="宋体" w:eastAsia="宋体" w:hAnsi="宋体" w:cs="Times New Roman" w:hint="eastAsia"/>
          <w:szCs w:val="21"/>
        </w:rPr>
        <w:t>3．</w:t>
      </w:r>
      <w:r>
        <w:rPr>
          <w:rFonts w:ascii="宋体" w:eastAsia="宋体" w:hAnsi="宋体" w:cs="Times New Roman"/>
          <w:szCs w:val="21"/>
        </w:rPr>
        <w:t>均衡性讨论：定罪的严厉性与行为的危害性相当</w:t>
      </w:r>
    </w:p>
    <w:p w14:paraId="433D8EDC" w14:textId="77777777" w:rsidR="00344C2B" w:rsidRDefault="00000000">
      <w:pPr>
        <w:ind w:firstLineChars="200" w:firstLine="420"/>
        <w:rPr>
          <w:rFonts w:ascii="宋体" w:eastAsia="宋体" w:hAnsi="宋体" w:cs="Times New Roman" w:hint="eastAsia"/>
          <w:szCs w:val="21"/>
        </w:rPr>
      </w:pPr>
      <w:r>
        <w:rPr>
          <w:rFonts w:ascii="宋体" w:eastAsia="宋体" w:hAnsi="宋体" w:cs="Times New Roman"/>
          <w:szCs w:val="21"/>
        </w:rPr>
        <w:t>均衡性审查即在微量、偶发等极端个案中，权衡刑罚制裁带来的损害与所欲保护的法益是否相称，其要求在法益侵害危险性判断的基础上，考察处罚行为人的行为是否具备刑罚意</w:t>
      </w:r>
      <w:r>
        <w:rPr>
          <w:rFonts w:ascii="宋体" w:eastAsia="宋体" w:hAnsi="宋体" w:cs="Times New Roman"/>
          <w:szCs w:val="21"/>
        </w:rPr>
        <w:lastRenderedPageBreak/>
        <w:t>义上的合理性。均衡性审查的重点在于违法行为对公共健康的危险程度及刑罚对个人利益的损害程度，即成本与收益之比</w:t>
      </w:r>
      <w:r>
        <w:rPr>
          <w:rFonts w:ascii="宋体" w:eastAsia="宋体" w:hAnsi="宋体" w:cs="Times New Roman"/>
          <w:szCs w:val="21"/>
          <w:vertAlign w:val="superscript"/>
        </w:rPr>
        <w:footnoteReference w:id="45"/>
      </w:r>
      <w:r>
        <w:rPr>
          <w:rFonts w:ascii="宋体" w:eastAsia="宋体" w:hAnsi="宋体" w:cs="Times New Roman"/>
          <w:szCs w:val="21"/>
        </w:rPr>
        <w:t>。对于前者的审查需以“足以严重危害人体健康”要件的实体判断内容为基础，辅之以判断资料、判断时间和判断基准进行综合判断，关键在于对公共健康安全的实质侵害即区别于抽象风险的具体危险。换言之，若案涉药品成分达标但存在标注不规范等程序问题，符合“违反药品管理规定”等形式要件认定，则可判断其未对公共健康法益造成实质损害，不应重罚甚至处以刑罚。对于后者的审查，则需考虑行为人人身自由、财产权益甚至社会声誉的剥夺与保护。于个人而言，若行为人并非出于“损害公共健康”之目的，甚至达到了“保护公共健康”之实效，即使违反《药品管理法》也当予以出罪。如在倪某生产、销售假药案</w:t>
      </w:r>
      <w:r>
        <w:rPr>
          <w:rFonts w:ascii="宋体" w:eastAsia="宋体" w:hAnsi="宋体" w:cs="Times New Roman"/>
          <w:szCs w:val="21"/>
          <w:vertAlign w:val="superscript"/>
        </w:rPr>
        <w:footnoteReference w:id="46"/>
      </w:r>
      <w:r>
        <w:rPr>
          <w:rFonts w:ascii="宋体" w:eastAsia="宋体" w:hAnsi="宋体" w:cs="Times New Roman"/>
          <w:szCs w:val="21"/>
        </w:rPr>
        <w:t>中，行为人未取得批注文件而研制中草药秘方，救治了数百位晚期癌症病人，却被定罪并处以十年有期徒刑。出于均衡性原则考虑，刑罚对其人身自由的剥夺显然与其行为对法益的侵害程度不符，笔者认为应当予以出罪。于企业而言，例如未取得批准证明文件而违反《药品管理法》第122条的，相关从业者十年内禁止从事药品生产经营活动，该处罚损害程度远超行政罚款等一般行政处罚。未取得批准文件这一程序违法直接影响企业的生产状况，其损害与法益侵害程度亦显然不符。上述二情况违背均衡性原则，所涉行为应当予以出罪。</w:t>
      </w:r>
    </w:p>
    <w:p w14:paraId="2B9E6750" w14:textId="77777777" w:rsidR="00344C2B" w:rsidRDefault="00000000">
      <w:pPr>
        <w:pStyle w:val="a3"/>
      </w:pPr>
      <w:r>
        <w:rPr>
          <w:rFonts w:hint="eastAsia"/>
        </w:rPr>
        <w:t>四、</w:t>
      </w:r>
      <w:r>
        <w:t>结语</w:t>
      </w:r>
    </w:p>
    <w:p w14:paraId="76EE3649" w14:textId="77777777" w:rsidR="00344C2B" w:rsidRDefault="00000000">
      <w:pPr>
        <w:ind w:firstLineChars="200" w:firstLine="420"/>
        <w:rPr>
          <w:rFonts w:asciiTheme="majorEastAsia" w:eastAsiaTheme="majorEastAsia" w:hAnsiTheme="majorEastAsia" w:cs="Times New Roman" w:hint="eastAsia"/>
          <w:szCs w:val="21"/>
        </w:rPr>
      </w:pPr>
      <w:r>
        <w:rPr>
          <w:rFonts w:asciiTheme="majorEastAsia" w:eastAsiaTheme="majorEastAsia" w:hAnsiTheme="majorEastAsia" w:cs="Times New Roman"/>
          <w:szCs w:val="21"/>
        </w:rPr>
        <w:t>《刑法修正案（十一）》的出台和妨害药品管理罪的增设进一步完善了药品犯罪的行刑衔接体系，有利于药品犯罪的打击与治理。妨害药品管理罪中“足以严重危害人体健康”要件的争议导致本罪在法益界定、功能定位与危险属性等方面均尚未有定论，对该要件相关争议进行梳理对理论统一与司法实践具有重要意义。明确本罪保护的是以个人法益为优位的双重法益，“足以严重危害人体健康”是作为罪质要素的独立危险要件，本罪是兼具行为不法与结果不法的具体危险犯，为妨害药品管理罪的入罪判断提供了理论基础。然而，一味注重本罪的入罪机制不仅不利于药品犯罪的科学治理，还与刑法的谦抑性背道而驰。刑法条文中的四类情形多为形式判断，需要结合“足以严重危害人体健康”的实质判断对其细化与补正，同时对行为不法与结果不法进行综合检验，建立合理的实质出罪机制，才能对该罪名的教义学阐释和现有争议理论进行补正，并为药品犯罪的治理实践指明方向。</w:t>
      </w:r>
    </w:p>
    <w:p w14:paraId="2BA580A3" w14:textId="77777777" w:rsidR="00344C2B" w:rsidRDefault="00000000">
      <w:pPr>
        <w:rPr>
          <w:rFonts w:asciiTheme="majorEastAsia" w:eastAsiaTheme="majorEastAsia" w:hAnsiTheme="majorEastAsia" w:cs="Times New Roman" w:hint="eastAsia"/>
          <w:szCs w:val="21"/>
        </w:rPr>
      </w:pPr>
      <w:r>
        <w:rPr>
          <w:rFonts w:asciiTheme="majorEastAsia" w:eastAsiaTheme="majorEastAsia" w:hAnsiTheme="majorEastAsia" w:cs="Times New Roman"/>
          <w:szCs w:val="21"/>
        </w:rPr>
        <w:br w:type="page"/>
      </w:r>
    </w:p>
    <w:p w14:paraId="0744B945" w14:textId="77777777" w:rsidR="00344C2B" w:rsidRDefault="00000000">
      <w:pPr>
        <w:spacing w:line="360" w:lineRule="auto"/>
        <w:rPr>
          <w:rFonts w:ascii="Times New Roman" w:eastAsia="宋体" w:hAnsi="Times New Roman" w:cs="Times New Roman"/>
          <w:b/>
          <w:bCs/>
          <w:szCs w:val="21"/>
        </w:rPr>
      </w:pPr>
      <w:r>
        <w:rPr>
          <w:rFonts w:ascii="Times New Roman" w:eastAsia="宋体" w:hAnsi="Times New Roman" w:cs="Times New Roman" w:hint="eastAsia"/>
          <w:b/>
          <w:bCs/>
          <w:szCs w:val="21"/>
        </w:rPr>
        <w:lastRenderedPageBreak/>
        <w:t>参考文献</w:t>
      </w:r>
    </w:p>
    <w:p w14:paraId="72844D8D" w14:textId="77777777" w:rsidR="00344C2B" w:rsidRDefault="00000000">
      <w:pPr>
        <w:widowControl/>
        <w:snapToGrid w:val="0"/>
        <w:rPr>
          <w:rFonts w:ascii="Times New Roman" w:eastAsia="宋体" w:hAnsi="Times New Roman" w:cs="Times New Roman"/>
          <w:sz w:val="18"/>
          <w:szCs w:val="18"/>
        </w:rPr>
      </w:pPr>
      <w:r>
        <w:rPr>
          <w:rFonts w:ascii="Times New Roman" w:eastAsia="宋体" w:hAnsi="Times New Roman" w:cs="Times New Roman"/>
          <w:sz w:val="18"/>
          <w:szCs w:val="18"/>
        </w:rPr>
        <w:t>[1]</w:t>
      </w:r>
      <w:r>
        <w:rPr>
          <w:rFonts w:ascii="Times New Roman" w:eastAsia="宋体" w:hAnsi="Times New Roman" w:cs="Times New Roman"/>
          <w:sz w:val="18"/>
          <w:szCs w:val="18"/>
        </w:rPr>
        <w:t>习近平：牢固树立切实落实安全发展理念</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确保广大人民群众生命财产安全</w:t>
      </w:r>
      <w:r>
        <w:rPr>
          <w:rFonts w:ascii="Times New Roman" w:eastAsia="宋体" w:hAnsi="Times New Roman" w:cs="Times New Roman"/>
          <w:sz w:val="18"/>
          <w:szCs w:val="18"/>
        </w:rPr>
        <w:t>[EB/OL].[2015-05-30].https://www.gov.cn/xinwen/2015-05/30/content_2870846.htm.</w:t>
      </w:r>
    </w:p>
    <w:p w14:paraId="58A010FC" w14:textId="77777777" w:rsidR="00344C2B" w:rsidRDefault="00000000">
      <w:pPr>
        <w:pStyle w:val="a5"/>
        <w:rPr>
          <w:rFonts w:ascii="Times New Roman" w:eastAsia="宋体" w:hAnsi="Times New Roman" w:cs="Times New Roman"/>
          <w:szCs w:val="18"/>
        </w:rPr>
      </w:pPr>
      <w:r>
        <w:rPr>
          <w:rFonts w:ascii="Times New Roman" w:eastAsia="宋体" w:hAnsi="Times New Roman" w:cs="Times New Roman"/>
          <w:szCs w:val="18"/>
        </w:rPr>
        <w:t>[2]</w:t>
      </w:r>
      <w:r>
        <w:rPr>
          <w:rFonts w:ascii="Times New Roman" w:eastAsia="宋体" w:hAnsi="Times New Roman" w:cs="Times New Roman"/>
          <w:szCs w:val="18"/>
        </w:rPr>
        <w:t>宗绍昊</w:t>
      </w:r>
      <w:r>
        <w:rPr>
          <w:rFonts w:ascii="Times New Roman" w:eastAsia="宋体" w:hAnsi="Times New Roman" w:cs="Times New Roman"/>
          <w:szCs w:val="18"/>
        </w:rPr>
        <w:t>.</w:t>
      </w:r>
      <w:r>
        <w:rPr>
          <w:rFonts w:ascii="Times New Roman" w:eastAsia="宋体" w:hAnsi="Times New Roman" w:cs="Times New Roman"/>
          <w:szCs w:val="18"/>
        </w:rPr>
        <w:t>妨害药品管理罪</w:t>
      </w:r>
      <w:r>
        <w:rPr>
          <w:rFonts w:ascii="Times New Roman" w:eastAsia="宋体" w:hAnsi="Times New Roman" w:cs="Times New Roman"/>
          <w:szCs w:val="18"/>
        </w:rPr>
        <w:t>“</w:t>
      </w:r>
      <w:r>
        <w:rPr>
          <w:rFonts w:ascii="Times New Roman" w:eastAsia="宋体" w:hAnsi="Times New Roman" w:cs="Times New Roman"/>
          <w:szCs w:val="18"/>
        </w:rPr>
        <w:t>足以</w:t>
      </w:r>
      <w:r>
        <w:rPr>
          <w:rFonts w:ascii="Times New Roman" w:eastAsia="宋体" w:hAnsi="Times New Roman" w:cs="Times New Roman"/>
          <w:szCs w:val="18"/>
        </w:rPr>
        <w:t>”</w:t>
      </w:r>
      <w:r>
        <w:rPr>
          <w:rFonts w:ascii="Times New Roman" w:eastAsia="宋体" w:hAnsi="Times New Roman" w:cs="Times New Roman"/>
          <w:szCs w:val="18"/>
        </w:rPr>
        <w:t>要件的认定：公共健康安全法益与比例原则的融合</w:t>
      </w:r>
      <w:r>
        <w:rPr>
          <w:rFonts w:ascii="Times New Roman" w:eastAsia="宋体" w:hAnsi="Times New Roman" w:cs="Times New Roman"/>
          <w:szCs w:val="18"/>
        </w:rPr>
        <w:t>[J].</w:t>
      </w:r>
      <w:r>
        <w:rPr>
          <w:rFonts w:ascii="Times New Roman" w:eastAsia="宋体" w:hAnsi="Times New Roman" w:cs="Times New Roman"/>
          <w:szCs w:val="18"/>
        </w:rPr>
        <w:t>大连海事大学学报</w:t>
      </w:r>
      <w:r>
        <w:rPr>
          <w:rFonts w:ascii="Times New Roman" w:eastAsia="宋体" w:hAnsi="Times New Roman" w:cs="Times New Roman"/>
          <w:szCs w:val="18"/>
        </w:rPr>
        <w:t>(</w:t>
      </w:r>
      <w:r>
        <w:rPr>
          <w:rFonts w:ascii="Times New Roman" w:eastAsia="宋体" w:hAnsi="Times New Roman" w:cs="Times New Roman"/>
          <w:szCs w:val="18"/>
        </w:rPr>
        <w:t>社会科学版</w:t>
      </w:r>
      <w:r>
        <w:rPr>
          <w:rFonts w:ascii="Times New Roman" w:eastAsia="宋体" w:hAnsi="Times New Roman" w:cs="Times New Roman"/>
          <w:szCs w:val="18"/>
        </w:rPr>
        <w:t>),2025,24(03):106-116.</w:t>
      </w:r>
    </w:p>
    <w:p w14:paraId="0FB869A5" w14:textId="77777777" w:rsidR="00344C2B" w:rsidRDefault="00000000">
      <w:pPr>
        <w:pStyle w:val="a5"/>
        <w:rPr>
          <w:rFonts w:ascii="Times New Roman" w:eastAsia="宋体" w:hAnsi="Times New Roman" w:cs="Times New Roman"/>
          <w:szCs w:val="18"/>
        </w:rPr>
      </w:pPr>
      <w:r>
        <w:rPr>
          <w:rFonts w:ascii="Times New Roman" w:eastAsia="宋体" w:hAnsi="Times New Roman" w:cs="Times New Roman"/>
          <w:szCs w:val="18"/>
        </w:rPr>
        <w:t>[3]</w:t>
      </w:r>
      <w:r>
        <w:rPr>
          <w:rFonts w:ascii="Times New Roman" w:eastAsia="宋体" w:hAnsi="Times New Roman" w:cs="Times New Roman"/>
          <w:szCs w:val="18"/>
        </w:rPr>
        <w:t>陈卓</w:t>
      </w:r>
      <w:r>
        <w:rPr>
          <w:rFonts w:ascii="Times New Roman" w:eastAsia="宋体" w:hAnsi="Times New Roman" w:cs="Times New Roman"/>
          <w:szCs w:val="18"/>
        </w:rPr>
        <w:t>.</w:t>
      </w:r>
      <w:r>
        <w:rPr>
          <w:rFonts w:ascii="Times New Roman" w:eastAsia="宋体" w:hAnsi="Times New Roman" w:cs="Times New Roman"/>
          <w:szCs w:val="18"/>
        </w:rPr>
        <w:t>妨害药品管理罪的司法虚置及对策</w:t>
      </w:r>
      <w:r>
        <w:rPr>
          <w:rFonts w:ascii="Times New Roman" w:eastAsia="宋体" w:hAnsi="Times New Roman" w:cs="Times New Roman"/>
          <w:szCs w:val="18"/>
        </w:rPr>
        <w:t>[J].</w:t>
      </w:r>
      <w:r>
        <w:rPr>
          <w:rFonts w:ascii="Times New Roman" w:eastAsia="宋体" w:hAnsi="Times New Roman" w:cs="Times New Roman"/>
          <w:szCs w:val="18"/>
        </w:rPr>
        <w:t>医学与社会</w:t>
      </w:r>
      <w:r>
        <w:rPr>
          <w:rFonts w:ascii="Times New Roman" w:eastAsia="宋体" w:hAnsi="Times New Roman" w:cs="Times New Roman"/>
          <w:szCs w:val="18"/>
        </w:rPr>
        <w:t>,2023,36(09):138-144.</w:t>
      </w:r>
    </w:p>
    <w:p w14:paraId="30B9871B" w14:textId="77777777" w:rsidR="00344C2B" w:rsidRDefault="00000000">
      <w:pPr>
        <w:pStyle w:val="a5"/>
        <w:rPr>
          <w:rFonts w:ascii="Times New Roman" w:eastAsia="宋体" w:hAnsi="Times New Roman" w:cs="Times New Roman"/>
          <w:szCs w:val="18"/>
        </w:rPr>
      </w:pPr>
      <w:r>
        <w:rPr>
          <w:rFonts w:ascii="Times New Roman" w:eastAsia="宋体" w:hAnsi="Times New Roman" w:cs="Times New Roman"/>
          <w:szCs w:val="18"/>
        </w:rPr>
        <w:t>[4]</w:t>
      </w:r>
      <w:r>
        <w:rPr>
          <w:rFonts w:ascii="Times New Roman" w:eastAsia="宋体" w:hAnsi="Times New Roman" w:cs="Times New Roman"/>
          <w:szCs w:val="18"/>
        </w:rPr>
        <w:t>敦宁</w:t>
      </w:r>
      <w:r>
        <w:rPr>
          <w:rFonts w:ascii="Times New Roman" w:eastAsia="宋体" w:hAnsi="Times New Roman" w:cs="Times New Roman"/>
          <w:szCs w:val="18"/>
        </w:rPr>
        <w:t>.</w:t>
      </w:r>
      <w:r>
        <w:rPr>
          <w:rFonts w:ascii="Times New Roman" w:eastAsia="宋体" w:hAnsi="Times New Roman" w:cs="Times New Roman"/>
          <w:szCs w:val="18"/>
        </w:rPr>
        <w:t>妨害药品管理罪的法教义学分析</w:t>
      </w:r>
      <w:r>
        <w:rPr>
          <w:rFonts w:ascii="Times New Roman" w:eastAsia="宋体" w:hAnsi="Times New Roman" w:cs="Times New Roman"/>
          <w:szCs w:val="18"/>
        </w:rPr>
        <w:t>[J].</w:t>
      </w:r>
      <w:r>
        <w:rPr>
          <w:rFonts w:ascii="Times New Roman" w:eastAsia="宋体" w:hAnsi="Times New Roman" w:cs="Times New Roman"/>
          <w:szCs w:val="18"/>
        </w:rPr>
        <w:t>政治与法律</w:t>
      </w:r>
      <w:r>
        <w:rPr>
          <w:rFonts w:ascii="Times New Roman" w:eastAsia="宋体" w:hAnsi="Times New Roman" w:cs="Times New Roman"/>
          <w:szCs w:val="18"/>
        </w:rPr>
        <w:t>,2021,(12):55-69.</w:t>
      </w:r>
    </w:p>
    <w:p w14:paraId="5880D812" w14:textId="77777777" w:rsidR="00344C2B" w:rsidRDefault="00000000">
      <w:pPr>
        <w:widowControl/>
        <w:jc w:val="left"/>
        <w:rPr>
          <w:rFonts w:ascii="Times New Roman" w:eastAsia="宋体" w:hAnsi="Times New Roman" w:cs="Times New Roman"/>
          <w:sz w:val="18"/>
          <w:szCs w:val="18"/>
        </w:rPr>
      </w:pPr>
      <w:r>
        <w:rPr>
          <w:rFonts w:ascii="Times New Roman" w:eastAsia="宋体" w:hAnsi="Times New Roman" w:cs="Times New Roman"/>
          <w:sz w:val="18"/>
          <w:szCs w:val="18"/>
        </w:rPr>
        <w:t>[5]</w:t>
      </w:r>
      <w:r>
        <w:rPr>
          <w:rFonts w:ascii="Times New Roman" w:eastAsia="宋体" w:hAnsi="Times New Roman" w:cs="Times New Roman"/>
          <w:sz w:val="18"/>
          <w:szCs w:val="18"/>
        </w:rPr>
        <w:t>参见王爱立</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中华人民共和国刑法释义</w:t>
      </w:r>
      <w:r>
        <w:rPr>
          <w:rFonts w:ascii="Times New Roman" w:eastAsia="宋体" w:hAnsi="Times New Roman" w:cs="Times New Roman"/>
          <w:sz w:val="18"/>
          <w:szCs w:val="18"/>
        </w:rPr>
        <w:t xml:space="preserve">[M]. </w:t>
      </w:r>
      <w:r>
        <w:rPr>
          <w:rFonts w:ascii="Times New Roman" w:eastAsia="宋体" w:hAnsi="Times New Roman" w:cs="Times New Roman"/>
          <w:sz w:val="18"/>
          <w:szCs w:val="18"/>
        </w:rPr>
        <w:t>北京</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法律出版社</w:t>
      </w:r>
      <w:r>
        <w:rPr>
          <w:rFonts w:ascii="Times New Roman" w:eastAsia="宋体" w:hAnsi="Times New Roman" w:cs="Times New Roman"/>
          <w:sz w:val="18"/>
          <w:szCs w:val="18"/>
        </w:rPr>
        <w:t>, 2021: 261.</w:t>
      </w:r>
    </w:p>
    <w:p w14:paraId="61EE0C65" w14:textId="77777777" w:rsidR="00344C2B" w:rsidRDefault="00000000">
      <w:pPr>
        <w:pStyle w:val="a5"/>
        <w:rPr>
          <w:rFonts w:ascii="Times New Roman" w:eastAsia="宋体" w:hAnsi="Times New Roman" w:cs="Times New Roman"/>
          <w:szCs w:val="18"/>
        </w:rPr>
      </w:pPr>
      <w:r>
        <w:rPr>
          <w:rFonts w:ascii="Times New Roman" w:eastAsia="宋体" w:hAnsi="Times New Roman" w:cs="Times New Roman"/>
          <w:szCs w:val="18"/>
        </w:rPr>
        <w:t>[6]</w:t>
      </w:r>
      <w:r>
        <w:rPr>
          <w:rFonts w:ascii="Times New Roman" w:eastAsia="宋体" w:hAnsi="Times New Roman" w:cs="Times New Roman"/>
          <w:szCs w:val="18"/>
        </w:rPr>
        <w:t>赵运锋</w:t>
      </w:r>
      <w:r>
        <w:rPr>
          <w:rFonts w:ascii="Times New Roman" w:eastAsia="宋体" w:hAnsi="Times New Roman" w:cs="Times New Roman"/>
          <w:szCs w:val="18"/>
        </w:rPr>
        <w:t>.</w:t>
      </w:r>
      <w:r>
        <w:rPr>
          <w:rFonts w:ascii="Times New Roman" w:eastAsia="宋体" w:hAnsi="Times New Roman" w:cs="Times New Roman"/>
          <w:szCs w:val="18"/>
        </w:rPr>
        <w:t>妨害药品管理罪中</w:t>
      </w:r>
      <w:r>
        <w:rPr>
          <w:rFonts w:ascii="Times New Roman" w:eastAsia="宋体" w:hAnsi="Times New Roman" w:cs="Times New Roman"/>
          <w:szCs w:val="18"/>
        </w:rPr>
        <w:t>“</w:t>
      </w:r>
      <w:r>
        <w:rPr>
          <w:rFonts w:ascii="Times New Roman" w:eastAsia="宋体" w:hAnsi="Times New Roman" w:cs="Times New Roman"/>
          <w:szCs w:val="18"/>
        </w:rPr>
        <w:t>足以严重危害人体健康</w:t>
      </w:r>
      <w:r>
        <w:rPr>
          <w:rFonts w:ascii="Times New Roman" w:eastAsia="宋体" w:hAnsi="Times New Roman" w:cs="Times New Roman"/>
          <w:szCs w:val="18"/>
        </w:rPr>
        <w:t>”</w:t>
      </w:r>
      <w:r>
        <w:rPr>
          <w:rFonts w:ascii="Times New Roman" w:eastAsia="宋体" w:hAnsi="Times New Roman" w:cs="Times New Roman"/>
          <w:szCs w:val="18"/>
        </w:rPr>
        <w:t>研究</w:t>
      </w:r>
      <w:r>
        <w:rPr>
          <w:rFonts w:ascii="Times New Roman" w:eastAsia="宋体" w:hAnsi="Times New Roman" w:cs="Times New Roman"/>
          <w:szCs w:val="18"/>
        </w:rPr>
        <w:t>[J].</w:t>
      </w:r>
      <w:r>
        <w:rPr>
          <w:rFonts w:ascii="Times New Roman" w:eastAsia="宋体" w:hAnsi="Times New Roman" w:cs="Times New Roman"/>
          <w:szCs w:val="18"/>
        </w:rPr>
        <w:t>法学论坛</w:t>
      </w:r>
      <w:r>
        <w:rPr>
          <w:rFonts w:ascii="Times New Roman" w:eastAsia="宋体" w:hAnsi="Times New Roman" w:cs="Times New Roman"/>
          <w:szCs w:val="18"/>
        </w:rPr>
        <w:t>,2023,38(04):47-56.</w:t>
      </w:r>
    </w:p>
    <w:p w14:paraId="045E6114" w14:textId="77777777" w:rsidR="00344C2B" w:rsidRDefault="00000000">
      <w:pPr>
        <w:pStyle w:val="a5"/>
        <w:rPr>
          <w:rFonts w:ascii="Times New Roman" w:eastAsia="宋体" w:hAnsi="Times New Roman" w:cs="Times New Roman"/>
          <w:szCs w:val="18"/>
        </w:rPr>
      </w:pPr>
      <w:r>
        <w:rPr>
          <w:rFonts w:ascii="Times New Roman" w:eastAsia="宋体" w:hAnsi="Times New Roman" w:cs="Times New Roman"/>
          <w:szCs w:val="18"/>
        </w:rPr>
        <w:t>[7]</w:t>
      </w:r>
      <w:r>
        <w:rPr>
          <w:rFonts w:ascii="Times New Roman" w:eastAsia="宋体" w:hAnsi="Times New Roman" w:cs="Times New Roman"/>
          <w:szCs w:val="18"/>
        </w:rPr>
        <w:t>杜宇</w:t>
      </w:r>
      <w:r>
        <w:rPr>
          <w:rFonts w:ascii="Times New Roman" w:eastAsia="宋体" w:hAnsi="Times New Roman" w:cs="Times New Roman"/>
          <w:szCs w:val="18"/>
        </w:rPr>
        <w:t>.</w:t>
      </w:r>
      <w:r>
        <w:rPr>
          <w:rFonts w:ascii="Times New Roman" w:eastAsia="宋体" w:hAnsi="Times New Roman" w:cs="Times New Roman"/>
          <w:szCs w:val="18"/>
        </w:rPr>
        <w:t>《刑法修正案（十一）》中药品犯罪修订之得失</w:t>
      </w:r>
      <w:r>
        <w:rPr>
          <w:rFonts w:ascii="Times New Roman" w:eastAsia="宋体" w:hAnsi="Times New Roman" w:cs="Times New Roman"/>
          <w:szCs w:val="18"/>
        </w:rPr>
        <w:t>[J].</w:t>
      </w:r>
      <w:r>
        <w:rPr>
          <w:rFonts w:ascii="Times New Roman" w:eastAsia="宋体" w:hAnsi="Times New Roman" w:cs="Times New Roman"/>
          <w:szCs w:val="18"/>
        </w:rPr>
        <w:t>法学</w:t>
      </w:r>
      <w:r>
        <w:rPr>
          <w:rFonts w:ascii="Times New Roman" w:eastAsia="宋体" w:hAnsi="Times New Roman" w:cs="Times New Roman"/>
          <w:szCs w:val="18"/>
        </w:rPr>
        <w:t>,2021,(03):15-37.</w:t>
      </w:r>
    </w:p>
    <w:p w14:paraId="33BEDC56" w14:textId="77777777" w:rsidR="00344C2B" w:rsidRDefault="00000000">
      <w:pPr>
        <w:pStyle w:val="a5"/>
        <w:rPr>
          <w:rFonts w:ascii="Times New Roman" w:eastAsia="宋体" w:hAnsi="Times New Roman" w:cs="Times New Roman"/>
          <w:szCs w:val="18"/>
        </w:rPr>
      </w:pPr>
      <w:r>
        <w:rPr>
          <w:rFonts w:ascii="Times New Roman" w:eastAsia="宋体" w:hAnsi="Times New Roman" w:cs="Times New Roman"/>
          <w:szCs w:val="18"/>
        </w:rPr>
        <w:t>[8]</w:t>
      </w:r>
      <w:r>
        <w:rPr>
          <w:rFonts w:ascii="Times New Roman" w:eastAsia="宋体" w:hAnsi="Times New Roman" w:cs="Times New Roman"/>
          <w:szCs w:val="18"/>
        </w:rPr>
        <w:t>王刚</w:t>
      </w:r>
      <w:r>
        <w:rPr>
          <w:rFonts w:ascii="Times New Roman" w:eastAsia="宋体" w:hAnsi="Times New Roman" w:cs="Times New Roman"/>
          <w:szCs w:val="18"/>
        </w:rPr>
        <w:t>,</w:t>
      </w:r>
      <w:r>
        <w:rPr>
          <w:rFonts w:ascii="Times New Roman" w:eastAsia="宋体" w:hAnsi="Times New Roman" w:cs="Times New Roman"/>
          <w:szCs w:val="18"/>
        </w:rPr>
        <w:t>黄洁</w:t>
      </w:r>
      <w:r>
        <w:rPr>
          <w:rFonts w:ascii="Times New Roman" w:eastAsia="宋体" w:hAnsi="Times New Roman" w:cs="Times New Roman"/>
          <w:szCs w:val="18"/>
        </w:rPr>
        <w:t>.</w:t>
      </w:r>
      <w:r>
        <w:rPr>
          <w:rFonts w:ascii="Times New Roman" w:eastAsia="宋体" w:hAnsi="Times New Roman" w:cs="Times New Roman"/>
          <w:szCs w:val="18"/>
        </w:rPr>
        <w:t>妨害药品管理罪违法性的三层次判断</w:t>
      </w:r>
      <w:r>
        <w:rPr>
          <w:rFonts w:ascii="Times New Roman" w:eastAsia="宋体" w:hAnsi="Times New Roman" w:cs="Times New Roman"/>
          <w:szCs w:val="18"/>
        </w:rPr>
        <w:t>[EB/OL]. [2026-03-17]. https://www.spp.gov.cn/spp/llyj/202312/t20231216_637039.shtml</w:t>
      </w:r>
    </w:p>
    <w:p w14:paraId="3C179F31" w14:textId="77777777" w:rsidR="00344C2B" w:rsidRDefault="00000000">
      <w:pPr>
        <w:pStyle w:val="a5"/>
        <w:rPr>
          <w:rFonts w:ascii="Times New Roman" w:eastAsia="宋体" w:hAnsi="Times New Roman" w:cs="Times New Roman"/>
          <w:szCs w:val="18"/>
        </w:rPr>
      </w:pPr>
      <w:r>
        <w:rPr>
          <w:rFonts w:ascii="Times New Roman" w:eastAsia="宋体" w:hAnsi="Times New Roman" w:cs="Times New Roman"/>
          <w:szCs w:val="18"/>
        </w:rPr>
        <w:t>[9]</w:t>
      </w:r>
      <w:r>
        <w:rPr>
          <w:rFonts w:ascii="Times New Roman" w:eastAsia="宋体" w:hAnsi="Times New Roman" w:cs="Times New Roman"/>
          <w:szCs w:val="18"/>
        </w:rPr>
        <w:t>田宏杰</w:t>
      </w:r>
      <w:r>
        <w:rPr>
          <w:rFonts w:ascii="Times New Roman" w:eastAsia="宋体" w:hAnsi="Times New Roman" w:cs="Times New Roman"/>
          <w:szCs w:val="18"/>
        </w:rPr>
        <w:t>.</w:t>
      </w:r>
      <w:r>
        <w:rPr>
          <w:rFonts w:ascii="Times New Roman" w:eastAsia="宋体" w:hAnsi="Times New Roman" w:cs="Times New Roman"/>
          <w:szCs w:val="18"/>
        </w:rPr>
        <w:t>合作共治：行政犯治理的路径选择</w:t>
      </w:r>
      <w:r>
        <w:rPr>
          <w:rFonts w:ascii="Times New Roman" w:eastAsia="宋体" w:hAnsi="Times New Roman" w:cs="Times New Roman"/>
          <w:szCs w:val="18"/>
        </w:rPr>
        <w:t>[J].</w:t>
      </w:r>
      <w:r>
        <w:rPr>
          <w:rFonts w:ascii="Times New Roman" w:eastAsia="宋体" w:hAnsi="Times New Roman" w:cs="Times New Roman"/>
          <w:szCs w:val="18"/>
        </w:rPr>
        <w:t>法律科学</w:t>
      </w:r>
      <w:r>
        <w:rPr>
          <w:rFonts w:ascii="Times New Roman" w:eastAsia="宋体" w:hAnsi="Times New Roman" w:cs="Times New Roman"/>
          <w:szCs w:val="18"/>
        </w:rPr>
        <w:t>(</w:t>
      </w:r>
      <w:r>
        <w:rPr>
          <w:rFonts w:ascii="Times New Roman" w:eastAsia="宋体" w:hAnsi="Times New Roman" w:cs="Times New Roman"/>
          <w:szCs w:val="18"/>
        </w:rPr>
        <w:t>西北政法大学学报</w:t>
      </w:r>
      <w:r>
        <w:rPr>
          <w:rFonts w:ascii="Times New Roman" w:eastAsia="宋体" w:hAnsi="Times New Roman" w:cs="Times New Roman"/>
          <w:szCs w:val="18"/>
        </w:rPr>
        <w:t>),2022,40(05):155-165.</w:t>
      </w:r>
    </w:p>
    <w:p w14:paraId="7142ED5E" w14:textId="77777777" w:rsidR="00344C2B" w:rsidRDefault="00000000">
      <w:pPr>
        <w:pStyle w:val="a5"/>
        <w:rPr>
          <w:rFonts w:ascii="Times New Roman" w:eastAsia="宋体" w:hAnsi="Times New Roman" w:cs="Times New Roman"/>
          <w:szCs w:val="18"/>
        </w:rPr>
      </w:pPr>
      <w:r>
        <w:rPr>
          <w:rFonts w:ascii="Times New Roman" w:eastAsia="宋体" w:hAnsi="Times New Roman" w:cs="Times New Roman"/>
          <w:szCs w:val="18"/>
        </w:rPr>
        <w:t>[10]</w:t>
      </w:r>
      <w:r>
        <w:rPr>
          <w:rFonts w:ascii="Times New Roman" w:eastAsia="宋体" w:hAnsi="Times New Roman" w:cs="Times New Roman"/>
          <w:szCs w:val="18"/>
        </w:rPr>
        <w:t>张明楷</w:t>
      </w:r>
      <w:r>
        <w:rPr>
          <w:rFonts w:ascii="Times New Roman" w:eastAsia="宋体" w:hAnsi="Times New Roman" w:cs="Times New Roman"/>
          <w:szCs w:val="18"/>
        </w:rPr>
        <w:t>.</w:t>
      </w:r>
      <w:r>
        <w:rPr>
          <w:rFonts w:ascii="Times New Roman" w:eastAsia="宋体" w:hAnsi="Times New Roman" w:cs="Times New Roman"/>
          <w:szCs w:val="18"/>
        </w:rPr>
        <w:t>避免将行政违法认定为刑事犯罪</w:t>
      </w:r>
      <w:r>
        <w:rPr>
          <w:rFonts w:ascii="Times New Roman" w:eastAsia="宋体" w:hAnsi="Times New Roman" w:cs="Times New Roman"/>
          <w:szCs w:val="18"/>
        </w:rPr>
        <w:t>:</w:t>
      </w:r>
      <w:r>
        <w:rPr>
          <w:rFonts w:ascii="Times New Roman" w:eastAsia="宋体" w:hAnsi="Times New Roman" w:cs="Times New Roman"/>
          <w:szCs w:val="18"/>
        </w:rPr>
        <w:t>理念、方法与路径</w:t>
      </w:r>
      <w:r>
        <w:rPr>
          <w:rFonts w:ascii="Times New Roman" w:eastAsia="宋体" w:hAnsi="Times New Roman" w:cs="Times New Roman"/>
          <w:szCs w:val="18"/>
        </w:rPr>
        <w:t>[J].</w:t>
      </w:r>
      <w:r>
        <w:rPr>
          <w:rFonts w:ascii="Times New Roman" w:eastAsia="宋体" w:hAnsi="Times New Roman" w:cs="Times New Roman"/>
          <w:szCs w:val="18"/>
        </w:rPr>
        <w:t>中国检察官</w:t>
      </w:r>
      <w:r>
        <w:rPr>
          <w:rFonts w:ascii="Times New Roman" w:eastAsia="宋体" w:hAnsi="Times New Roman" w:cs="Times New Roman"/>
          <w:szCs w:val="18"/>
        </w:rPr>
        <w:t>,2017,(19):80.</w:t>
      </w:r>
    </w:p>
    <w:p w14:paraId="2F9935CC" w14:textId="77777777" w:rsidR="00344C2B" w:rsidRDefault="00000000">
      <w:pPr>
        <w:pStyle w:val="a5"/>
        <w:rPr>
          <w:rFonts w:ascii="Times New Roman" w:eastAsia="宋体" w:hAnsi="Times New Roman" w:cs="Times New Roman"/>
          <w:szCs w:val="18"/>
        </w:rPr>
      </w:pPr>
      <w:r>
        <w:rPr>
          <w:rFonts w:ascii="Times New Roman" w:eastAsia="宋体" w:hAnsi="Times New Roman" w:cs="Times New Roman"/>
          <w:szCs w:val="18"/>
        </w:rPr>
        <w:t>[11]</w:t>
      </w:r>
      <w:r>
        <w:rPr>
          <w:rFonts w:ascii="Times New Roman" w:eastAsia="宋体" w:hAnsi="Times New Roman" w:cs="Times New Roman"/>
          <w:szCs w:val="18"/>
        </w:rPr>
        <w:t>刘汴鹤</w:t>
      </w:r>
      <w:r>
        <w:rPr>
          <w:rFonts w:ascii="Times New Roman" w:eastAsia="宋体" w:hAnsi="Times New Roman" w:cs="Times New Roman"/>
          <w:szCs w:val="18"/>
        </w:rPr>
        <w:t>.</w:t>
      </w:r>
      <w:r>
        <w:rPr>
          <w:rFonts w:ascii="Times New Roman" w:eastAsia="宋体" w:hAnsi="Times New Roman" w:cs="Times New Roman"/>
          <w:szCs w:val="18"/>
        </w:rPr>
        <w:t>妨害药品管理罪的法益明确与限缩保护</w:t>
      </w:r>
      <w:r>
        <w:rPr>
          <w:rFonts w:ascii="Times New Roman" w:eastAsia="宋体" w:hAnsi="Times New Roman" w:cs="Times New Roman"/>
          <w:szCs w:val="18"/>
        </w:rPr>
        <w:t>[J].</w:t>
      </w:r>
      <w:r>
        <w:rPr>
          <w:rFonts w:ascii="Times New Roman" w:eastAsia="宋体" w:hAnsi="Times New Roman" w:cs="Times New Roman"/>
          <w:szCs w:val="18"/>
        </w:rPr>
        <w:t>中国刑警学院学报</w:t>
      </w:r>
      <w:r>
        <w:rPr>
          <w:rFonts w:ascii="Times New Roman" w:eastAsia="宋体" w:hAnsi="Times New Roman" w:cs="Times New Roman"/>
          <w:szCs w:val="18"/>
        </w:rPr>
        <w:t>,2024(03):49-59.</w:t>
      </w:r>
    </w:p>
    <w:p w14:paraId="23B19652" w14:textId="77777777" w:rsidR="00344C2B" w:rsidRDefault="00000000">
      <w:pPr>
        <w:pStyle w:val="a5"/>
        <w:rPr>
          <w:rFonts w:ascii="Times New Roman" w:eastAsia="宋体" w:hAnsi="Times New Roman" w:cs="Times New Roman"/>
          <w:szCs w:val="18"/>
        </w:rPr>
      </w:pPr>
      <w:r>
        <w:rPr>
          <w:rFonts w:ascii="Times New Roman" w:eastAsia="宋体" w:hAnsi="Times New Roman" w:cs="Times New Roman"/>
          <w:szCs w:val="18"/>
        </w:rPr>
        <w:t>[12]</w:t>
      </w:r>
      <w:r>
        <w:rPr>
          <w:rFonts w:ascii="Times New Roman" w:eastAsia="宋体" w:hAnsi="Times New Roman" w:cs="Times New Roman"/>
          <w:szCs w:val="18"/>
        </w:rPr>
        <w:t>马春晓</w:t>
      </w:r>
      <w:r>
        <w:rPr>
          <w:rFonts w:ascii="Times New Roman" w:eastAsia="宋体" w:hAnsi="Times New Roman" w:cs="Times New Roman"/>
          <w:szCs w:val="18"/>
        </w:rPr>
        <w:t>.</w:t>
      </w:r>
      <w:r>
        <w:rPr>
          <w:rFonts w:ascii="Times New Roman" w:eastAsia="宋体" w:hAnsi="Times New Roman" w:cs="Times New Roman"/>
          <w:szCs w:val="18"/>
        </w:rPr>
        <w:t>区分行政违法与犯罪的新视角</w:t>
      </w:r>
      <w:r>
        <w:rPr>
          <w:rFonts w:ascii="Times New Roman" w:eastAsia="宋体" w:hAnsi="Times New Roman" w:cs="Times New Roman"/>
          <w:szCs w:val="18"/>
        </w:rPr>
        <w:t>:</w:t>
      </w:r>
      <w:r>
        <w:rPr>
          <w:rFonts w:ascii="Times New Roman" w:eastAsia="宋体" w:hAnsi="Times New Roman" w:cs="Times New Roman"/>
          <w:szCs w:val="18"/>
        </w:rPr>
        <w:t>基于构成要件之质的区别说</w:t>
      </w:r>
      <w:r>
        <w:rPr>
          <w:rFonts w:ascii="Times New Roman" w:eastAsia="宋体" w:hAnsi="Times New Roman" w:cs="Times New Roman"/>
          <w:szCs w:val="18"/>
        </w:rPr>
        <w:t>[J].</w:t>
      </w:r>
      <w:r>
        <w:rPr>
          <w:rFonts w:ascii="Times New Roman" w:eastAsia="宋体" w:hAnsi="Times New Roman" w:cs="Times New Roman"/>
          <w:szCs w:val="18"/>
        </w:rPr>
        <w:t>中国刑事法杂志</w:t>
      </w:r>
      <w:r>
        <w:rPr>
          <w:rFonts w:ascii="Times New Roman" w:eastAsia="宋体" w:hAnsi="Times New Roman" w:cs="Times New Roman"/>
          <w:szCs w:val="18"/>
        </w:rPr>
        <w:t>,2020,(01):81-98.</w:t>
      </w:r>
    </w:p>
    <w:p w14:paraId="6EE09F01" w14:textId="77777777" w:rsidR="00344C2B" w:rsidRDefault="00000000">
      <w:pPr>
        <w:pStyle w:val="a5"/>
        <w:rPr>
          <w:rFonts w:ascii="Times New Roman" w:eastAsia="宋体" w:hAnsi="Times New Roman" w:cs="Times New Roman"/>
          <w:szCs w:val="18"/>
        </w:rPr>
      </w:pPr>
      <w:r>
        <w:rPr>
          <w:rFonts w:ascii="Times New Roman" w:eastAsia="宋体" w:hAnsi="Times New Roman" w:cs="Times New Roman"/>
          <w:szCs w:val="18"/>
        </w:rPr>
        <w:t>[13]</w:t>
      </w:r>
      <w:r>
        <w:rPr>
          <w:rFonts w:ascii="Times New Roman" w:eastAsia="宋体" w:hAnsi="Times New Roman" w:cs="Times New Roman"/>
          <w:szCs w:val="18"/>
        </w:rPr>
        <w:t>山东省青岛市中级人民法院</w:t>
      </w:r>
      <w:r>
        <w:rPr>
          <w:rFonts w:ascii="Times New Roman" w:eastAsia="宋体" w:hAnsi="Times New Roman" w:cs="Times New Roman"/>
          <w:szCs w:val="18"/>
        </w:rPr>
        <w:t>.(2025)</w:t>
      </w:r>
      <w:r>
        <w:rPr>
          <w:rFonts w:ascii="Times New Roman" w:eastAsia="宋体" w:hAnsi="Times New Roman" w:cs="Times New Roman"/>
          <w:szCs w:val="18"/>
        </w:rPr>
        <w:t>鲁</w:t>
      </w:r>
      <w:r>
        <w:rPr>
          <w:rFonts w:ascii="Times New Roman" w:eastAsia="宋体" w:hAnsi="Times New Roman" w:cs="Times New Roman"/>
          <w:szCs w:val="18"/>
        </w:rPr>
        <w:t>02</w:t>
      </w:r>
      <w:r>
        <w:rPr>
          <w:rFonts w:ascii="Times New Roman" w:eastAsia="宋体" w:hAnsi="Times New Roman" w:cs="Times New Roman"/>
          <w:szCs w:val="18"/>
        </w:rPr>
        <w:t>刑终</w:t>
      </w:r>
      <w:r>
        <w:rPr>
          <w:rFonts w:ascii="Times New Roman" w:eastAsia="宋体" w:hAnsi="Times New Roman" w:cs="Times New Roman"/>
          <w:szCs w:val="18"/>
        </w:rPr>
        <w:t>127</w:t>
      </w:r>
      <w:r>
        <w:rPr>
          <w:rFonts w:ascii="Times New Roman" w:eastAsia="宋体" w:hAnsi="Times New Roman" w:cs="Times New Roman"/>
          <w:szCs w:val="18"/>
        </w:rPr>
        <w:t>号</w:t>
      </w:r>
      <w:r>
        <w:rPr>
          <w:rFonts w:ascii="Times New Roman" w:eastAsia="宋体" w:hAnsi="Times New Roman" w:cs="Times New Roman"/>
          <w:szCs w:val="18"/>
        </w:rPr>
        <w:t>.</w:t>
      </w:r>
    </w:p>
    <w:p w14:paraId="3A40D3B0" w14:textId="77777777" w:rsidR="00344C2B" w:rsidRDefault="00000000">
      <w:pPr>
        <w:pStyle w:val="a5"/>
        <w:rPr>
          <w:rFonts w:ascii="Times New Roman" w:eastAsia="宋体" w:hAnsi="Times New Roman" w:cs="Times New Roman"/>
          <w:szCs w:val="18"/>
        </w:rPr>
      </w:pPr>
      <w:r>
        <w:rPr>
          <w:rFonts w:ascii="Times New Roman" w:eastAsia="宋体" w:hAnsi="Times New Roman" w:cs="Times New Roman"/>
          <w:szCs w:val="18"/>
        </w:rPr>
        <w:t>[14]</w:t>
      </w:r>
      <w:r>
        <w:rPr>
          <w:rFonts w:ascii="Times New Roman" w:eastAsia="宋体" w:hAnsi="Times New Roman" w:cs="Times New Roman"/>
          <w:szCs w:val="18"/>
        </w:rPr>
        <w:t>上海赛诺克医药科技有限公司、张奇能等妨害药品管理案</w:t>
      </w:r>
      <w:r>
        <w:rPr>
          <w:rFonts w:ascii="Times New Roman" w:eastAsia="宋体" w:hAnsi="Times New Roman" w:cs="Times New Roman"/>
          <w:szCs w:val="18"/>
        </w:rPr>
        <w:t>.</w:t>
      </w:r>
      <w:r>
        <w:rPr>
          <w:rFonts w:ascii="Times New Roman" w:eastAsia="宋体" w:hAnsi="Times New Roman" w:cs="Times New Roman"/>
          <w:szCs w:val="18"/>
        </w:rPr>
        <w:t>刑事审判参考第</w:t>
      </w:r>
      <w:r>
        <w:rPr>
          <w:rFonts w:ascii="Times New Roman" w:eastAsia="宋体" w:hAnsi="Times New Roman" w:cs="Times New Roman"/>
          <w:szCs w:val="18"/>
        </w:rPr>
        <w:t>1493</w:t>
      </w:r>
      <w:r>
        <w:rPr>
          <w:rFonts w:ascii="Times New Roman" w:eastAsia="宋体" w:hAnsi="Times New Roman" w:cs="Times New Roman"/>
          <w:szCs w:val="18"/>
        </w:rPr>
        <w:t>号</w:t>
      </w:r>
      <w:r>
        <w:rPr>
          <w:rFonts w:ascii="Times New Roman" w:eastAsia="宋体" w:hAnsi="Times New Roman" w:cs="Times New Roman"/>
          <w:szCs w:val="18"/>
        </w:rPr>
        <w:t>.</w:t>
      </w:r>
    </w:p>
    <w:p w14:paraId="6405D72F" w14:textId="77777777" w:rsidR="00344C2B" w:rsidRDefault="00000000">
      <w:pPr>
        <w:widowControl/>
        <w:snapToGrid w:val="0"/>
        <w:rPr>
          <w:rFonts w:ascii="Times New Roman" w:eastAsia="宋体" w:hAnsi="Times New Roman" w:cs="Times New Roman"/>
          <w:sz w:val="18"/>
          <w:szCs w:val="18"/>
        </w:rPr>
      </w:pPr>
      <w:r>
        <w:rPr>
          <w:rFonts w:ascii="Times New Roman" w:eastAsia="宋体" w:hAnsi="Times New Roman" w:cs="Times New Roman"/>
          <w:sz w:val="18"/>
          <w:szCs w:val="18"/>
        </w:rPr>
        <w:t>[15]</w:t>
      </w:r>
      <w:r>
        <w:rPr>
          <w:rFonts w:ascii="Times New Roman" w:eastAsia="宋体" w:hAnsi="Times New Roman" w:cs="Times New Roman"/>
          <w:color w:val="000000"/>
          <w:kern w:val="0"/>
          <w:sz w:val="18"/>
          <w:szCs w:val="18"/>
          <w:lang w:bidi="ar"/>
        </w:rPr>
        <w:t>陈洪兵</w:t>
      </w:r>
      <w:r>
        <w:rPr>
          <w:rFonts w:ascii="Times New Roman" w:eastAsia="宋体" w:hAnsi="Times New Roman" w:cs="Times New Roman"/>
          <w:color w:val="000000"/>
          <w:kern w:val="0"/>
          <w:sz w:val="18"/>
          <w:szCs w:val="18"/>
          <w:lang w:bidi="ar"/>
        </w:rPr>
        <w:t>.</w:t>
      </w:r>
      <w:r>
        <w:rPr>
          <w:rFonts w:ascii="Times New Roman" w:eastAsia="宋体" w:hAnsi="Times New Roman" w:cs="Times New Roman"/>
          <w:color w:val="000000"/>
          <w:kern w:val="0"/>
          <w:sz w:val="18"/>
          <w:szCs w:val="18"/>
          <w:lang w:bidi="ar"/>
        </w:rPr>
        <w:t>准抽象危险犯概念之提倡</w:t>
      </w:r>
      <w:r>
        <w:rPr>
          <w:rFonts w:ascii="Times New Roman" w:eastAsia="宋体" w:hAnsi="Times New Roman" w:cs="Times New Roman"/>
          <w:color w:val="000000"/>
          <w:kern w:val="0"/>
          <w:sz w:val="18"/>
          <w:szCs w:val="18"/>
          <w:lang w:bidi="ar"/>
        </w:rPr>
        <w:t>[J].</w:t>
      </w:r>
      <w:r>
        <w:rPr>
          <w:rFonts w:ascii="Times New Roman" w:eastAsia="宋体" w:hAnsi="Times New Roman" w:cs="Times New Roman"/>
          <w:color w:val="000000"/>
          <w:kern w:val="0"/>
          <w:sz w:val="18"/>
          <w:szCs w:val="18"/>
          <w:lang w:bidi="ar"/>
        </w:rPr>
        <w:t>法学研究</w:t>
      </w:r>
      <w:r>
        <w:rPr>
          <w:rFonts w:ascii="Times New Roman" w:eastAsia="宋体" w:hAnsi="Times New Roman" w:cs="Times New Roman"/>
          <w:color w:val="000000"/>
          <w:kern w:val="0"/>
          <w:sz w:val="18"/>
          <w:szCs w:val="18"/>
          <w:lang w:bidi="ar"/>
        </w:rPr>
        <w:t>,2015,37(05):123-138.</w:t>
      </w:r>
    </w:p>
    <w:p w14:paraId="4F1D1485" w14:textId="77777777" w:rsidR="00344C2B" w:rsidRDefault="00000000">
      <w:pPr>
        <w:pStyle w:val="a5"/>
        <w:rPr>
          <w:rFonts w:ascii="Times New Roman" w:eastAsia="宋体" w:hAnsi="Times New Roman" w:cs="Times New Roman"/>
          <w:szCs w:val="18"/>
        </w:rPr>
      </w:pPr>
      <w:r>
        <w:rPr>
          <w:rFonts w:ascii="Times New Roman" w:eastAsia="宋体" w:hAnsi="Times New Roman" w:cs="Times New Roman"/>
          <w:szCs w:val="18"/>
        </w:rPr>
        <w:t>[16]</w:t>
      </w:r>
      <w:r>
        <w:rPr>
          <w:rFonts w:ascii="Times New Roman" w:eastAsia="宋体" w:hAnsi="Times New Roman" w:cs="Times New Roman"/>
          <w:color w:val="000000"/>
          <w:kern w:val="0"/>
          <w:szCs w:val="18"/>
          <w:lang w:bidi="ar"/>
        </w:rPr>
        <w:t>喻海松</w:t>
      </w:r>
      <w:r>
        <w:rPr>
          <w:rFonts w:ascii="Times New Roman" w:eastAsia="宋体" w:hAnsi="Times New Roman" w:cs="Times New Roman"/>
          <w:color w:val="000000"/>
          <w:kern w:val="0"/>
          <w:szCs w:val="18"/>
          <w:lang w:bidi="ar"/>
        </w:rPr>
        <w:t>.</w:t>
      </w:r>
      <w:r>
        <w:rPr>
          <w:rFonts w:ascii="Times New Roman" w:eastAsia="宋体" w:hAnsi="Times New Roman" w:cs="Times New Roman"/>
          <w:color w:val="000000"/>
          <w:kern w:val="0"/>
          <w:szCs w:val="18"/>
          <w:lang w:bidi="ar"/>
        </w:rPr>
        <w:t>《刑法修正案（十一）》后时代药品犯罪圈的重置</w:t>
      </w:r>
      <w:r>
        <w:rPr>
          <w:rFonts w:ascii="Times New Roman" w:eastAsia="宋体" w:hAnsi="Times New Roman" w:cs="Times New Roman"/>
          <w:color w:val="000000"/>
          <w:kern w:val="0"/>
          <w:szCs w:val="18"/>
          <w:lang w:bidi="ar"/>
        </w:rPr>
        <w:t>[J].</w:t>
      </w:r>
      <w:r>
        <w:rPr>
          <w:rFonts w:ascii="Times New Roman" w:eastAsia="宋体" w:hAnsi="Times New Roman" w:cs="Times New Roman"/>
          <w:color w:val="000000"/>
          <w:kern w:val="0"/>
          <w:szCs w:val="18"/>
          <w:lang w:bidi="ar"/>
        </w:rPr>
        <w:t>法学</w:t>
      </w:r>
      <w:r>
        <w:rPr>
          <w:rFonts w:ascii="Times New Roman" w:eastAsia="宋体" w:hAnsi="Times New Roman" w:cs="Times New Roman"/>
          <w:color w:val="000000"/>
          <w:kern w:val="0"/>
          <w:szCs w:val="18"/>
          <w:lang w:bidi="ar"/>
        </w:rPr>
        <w:t>,2023,(02):62-76.</w:t>
      </w:r>
    </w:p>
    <w:p w14:paraId="29A9021E" w14:textId="77777777" w:rsidR="00344C2B" w:rsidRDefault="00000000">
      <w:pPr>
        <w:pStyle w:val="a5"/>
        <w:rPr>
          <w:rFonts w:ascii="Times New Roman" w:eastAsia="宋体" w:hAnsi="Times New Roman" w:cs="Times New Roman"/>
          <w:szCs w:val="18"/>
        </w:rPr>
      </w:pPr>
      <w:r>
        <w:rPr>
          <w:rFonts w:ascii="Times New Roman" w:eastAsia="宋体" w:hAnsi="Times New Roman" w:cs="Times New Roman"/>
          <w:szCs w:val="18"/>
        </w:rPr>
        <w:t>[17]</w:t>
      </w:r>
      <w:r>
        <w:rPr>
          <w:rFonts w:ascii="Times New Roman" w:eastAsia="宋体" w:hAnsi="Times New Roman" w:cs="Times New Roman"/>
          <w:szCs w:val="18"/>
        </w:rPr>
        <w:t>王姿惠</w:t>
      </w:r>
      <w:r>
        <w:rPr>
          <w:rFonts w:ascii="Times New Roman" w:eastAsia="宋体" w:hAnsi="Times New Roman" w:cs="Times New Roman"/>
          <w:szCs w:val="18"/>
        </w:rPr>
        <w:t>.</w:t>
      </w:r>
      <w:r>
        <w:rPr>
          <w:rFonts w:ascii="Times New Roman" w:eastAsia="宋体" w:hAnsi="Times New Roman" w:cs="Times New Roman"/>
          <w:szCs w:val="18"/>
        </w:rPr>
        <w:t>妨害药品管理罪中</w:t>
      </w:r>
      <w:r>
        <w:rPr>
          <w:rFonts w:ascii="Times New Roman" w:eastAsia="宋体" w:hAnsi="Times New Roman" w:cs="Times New Roman"/>
          <w:szCs w:val="18"/>
        </w:rPr>
        <w:t>“</w:t>
      </w:r>
      <w:r>
        <w:rPr>
          <w:rFonts w:ascii="Times New Roman" w:eastAsia="宋体" w:hAnsi="Times New Roman" w:cs="Times New Roman"/>
          <w:szCs w:val="18"/>
        </w:rPr>
        <w:t>足以严重危害人体健康</w:t>
      </w:r>
      <w:r>
        <w:rPr>
          <w:rFonts w:ascii="Times New Roman" w:eastAsia="宋体" w:hAnsi="Times New Roman" w:cs="Times New Roman"/>
          <w:szCs w:val="18"/>
        </w:rPr>
        <w:t>”</w:t>
      </w:r>
      <w:r>
        <w:rPr>
          <w:rFonts w:ascii="Times New Roman" w:eastAsia="宋体" w:hAnsi="Times New Roman" w:cs="Times New Roman"/>
          <w:szCs w:val="18"/>
        </w:rPr>
        <w:t>的认定</w:t>
      </w:r>
      <w:r>
        <w:rPr>
          <w:rFonts w:ascii="Times New Roman" w:eastAsia="宋体" w:hAnsi="Times New Roman" w:cs="Times New Roman"/>
          <w:szCs w:val="18"/>
        </w:rPr>
        <w:t>——</w:t>
      </w:r>
      <w:r>
        <w:rPr>
          <w:rFonts w:ascii="Times New Roman" w:eastAsia="宋体" w:hAnsi="Times New Roman" w:cs="Times New Roman"/>
          <w:szCs w:val="18"/>
        </w:rPr>
        <w:t>以双重法益说为核心</w:t>
      </w:r>
      <w:r>
        <w:rPr>
          <w:rFonts w:ascii="Times New Roman" w:eastAsia="宋体" w:hAnsi="Times New Roman" w:cs="Times New Roman"/>
          <w:szCs w:val="18"/>
        </w:rPr>
        <w:t>[J].</w:t>
      </w:r>
      <w:r>
        <w:rPr>
          <w:rFonts w:ascii="Times New Roman" w:eastAsia="宋体" w:hAnsi="Times New Roman" w:cs="Times New Roman"/>
          <w:szCs w:val="18"/>
        </w:rPr>
        <w:t>中国刑警学院学报</w:t>
      </w:r>
      <w:r>
        <w:rPr>
          <w:rFonts w:ascii="Times New Roman" w:eastAsia="宋体" w:hAnsi="Times New Roman" w:cs="Times New Roman"/>
          <w:szCs w:val="18"/>
        </w:rPr>
        <w:t>,2025,(06):118-128.</w:t>
      </w:r>
    </w:p>
    <w:p w14:paraId="53C2FD88" w14:textId="77777777" w:rsidR="00344C2B" w:rsidRDefault="00000000">
      <w:pPr>
        <w:pStyle w:val="a5"/>
        <w:rPr>
          <w:rFonts w:ascii="Times New Roman" w:eastAsia="宋体" w:hAnsi="Times New Roman" w:cs="Times New Roman"/>
          <w:szCs w:val="18"/>
        </w:rPr>
      </w:pPr>
      <w:r>
        <w:rPr>
          <w:rFonts w:ascii="Times New Roman" w:eastAsia="宋体" w:hAnsi="Times New Roman" w:cs="Times New Roman"/>
          <w:szCs w:val="18"/>
        </w:rPr>
        <w:t>[18]</w:t>
      </w:r>
      <w:r>
        <w:rPr>
          <w:rFonts w:ascii="Times New Roman" w:eastAsia="宋体" w:hAnsi="Times New Roman" w:cs="Times New Roman"/>
          <w:szCs w:val="18"/>
        </w:rPr>
        <w:t>宣栋</w:t>
      </w:r>
      <w:r>
        <w:rPr>
          <w:rFonts w:ascii="Times New Roman" w:eastAsia="宋体" w:hAnsi="Times New Roman" w:cs="Times New Roman"/>
          <w:szCs w:val="18"/>
        </w:rPr>
        <w:t>.</w:t>
      </w:r>
      <w:r>
        <w:rPr>
          <w:rFonts w:ascii="Times New Roman" w:eastAsia="宋体" w:hAnsi="Times New Roman" w:cs="Times New Roman"/>
          <w:szCs w:val="18"/>
        </w:rPr>
        <w:t>药品管理秩序刑法保护的逻辑与限度</w:t>
      </w:r>
      <w:r>
        <w:rPr>
          <w:rFonts w:ascii="Times New Roman" w:eastAsia="宋体" w:hAnsi="Times New Roman" w:cs="Times New Roman"/>
          <w:szCs w:val="18"/>
        </w:rPr>
        <w:t>[J].</w:t>
      </w:r>
      <w:r>
        <w:rPr>
          <w:rFonts w:ascii="Times New Roman" w:eastAsia="宋体" w:hAnsi="Times New Roman" w:cs="Times New Roman"/>
          <w:szCs w:val="18"/>
        </w:rPr>
        <w:t>中国政法大学学报</w:t>
      </w:r>
      <w:r>
        <w:rPr>
          <w:rFonts w:ascii="Times New Roman" w:eastAsia="宋体" w:hAnsi="Times New Roman" w:cs="Times New Roman"/>
          <w:szCs w:val="18"/>
        </w:rPr>
        <w:t>,2023(06):265-279.</w:t>
      </w:r>
    </w:p>
    <w:p w14:paraId="7A8532EE" w14:textId="77777777" w:rsidR="00344C2B" w:rsidRDefault="00000000">
      <w:pPr>
        <w:pStyle w:val="a5"/>
        <w:rPr>
          <w:rFonts w:ascii="Times New Roman" w:eastAsia="宋体" w:hAnsi="Times New Roman" w:cs="Times New Roman"/>
          <w:szCs w:val="18"/>
        </w:rPr>
      </w:pPr>
      <w:r>
        <w:rPr>
          <w:rFonts w:ascii="Times New Roman" w:eastAsia="宋体" w:hAnsi="Times New Roman" w:cs="Times New Roman"/>
          <w:szCs w:val="18"/>
        </w:rPr>
        <w:t>[19]</w:t>
      </w:r>
      <w:r>
        <w:rPr>
          <w:rFonts w:ascii="Times New Roman" w:eastAsia="宋体" w:hAnsi="Times New Roman" w:cs="Times New Roman"/>
          <w:szCs w:val="18"/>
        </w:rPr>
        <w:t>姜涛</w:t>
      </w:r>
      <w:r>
        <w:rPr>
          <w:rFonts w:ascii="Times New Roman" w:eastAsia="宋体" w:hAnsi="Times New Roman" w:cs="Times New Roman"/>
          <w:szCs w:val="18"/>
        </w:rPr>
        <w:t>.</w:t>
      </w:r>
      <w:r>
        <w:rPr>
          <w:rFonts w:ascii="Times New Roman" w:eastAsia="宋体" w:hAnsi="Times New Roman" w:cs="Times New Roman"/>
          <w:szCs w:val="18"/>
        </w:rPr>
        <w:t>功能视域下刑法最后手段性原则的教义学重述</w:t>
      </w:r>
      <w:r>
        <w:rPr>
          <w:rFonts w:ascii="Times New Roman" w:eastAsia="宋体" w:hAnsi="Times New Roman" w:cs="Times New Roman"/>
          <w:szCs w:val="18"/>
        </w:rPr>
        <w:t>[J].</w:t>
      </w:r>
      <w:r>
        <w:rPr>
          <w:rFonts w:ascii="Times New Roman" w:eastAsia="宋体" w:hAnsi="Times New Roman" w:cs="Times New Roman"/>
          <w:szCs w:val="18"/>
        </w:rPr>
        <w:t>刑事法评论</w:t>
      </w:r>
      <w:r>
        <w:rPr>
          <w:rFonts w:ascii="Times New Roman" w:eastAsia="宋体" w:hAnsi="Times New Roman" w:cs="Times New Roman"/>
          <w:szCs w:val="18"/>
        </w:rPr>
        <w:t>,2019(01):28-49.</w:t>
      </w:r>
    </w:p>
    <w:p w14:paraId="62FFBD35" w14:textId="77777777" w:rsidR="00344C2B" w:rsidRDefault="00000000">
      <w:pPr>
        <w:pStyle w:val="a5"/>
        <w:rPr>
          <w:rFonts w:ascii="Times New Roman" w:eastAsia="宋体" w:hAnsi="Times New Roman" w:cs="Times New Roman"/>
          <w:szCs w:val="18"/>
        </w:rPr>
      </w:pPr>
      <w:r>
        <w:rPr>
          <w:rFonts w:ascii="Times New Roman" w:eastAsia="宋体" w:hAnsi="Times New Roman" w:cs="Times New Roman"/>
          <w:szCs w:val="18"/>
        </w:rPr>
        <w:t>[20]</w:t>
      </w:r>
      <w:r>
        <w:rPr>
          <w:rFonts w:ascii="Times New Roman" w:eastAsia="宋体" w:hAnsi="Times New Roman" w:cs="Times New Roman"/>
          <w:szCs w:val="18"/>
        </w:rPr>
        <w:t>陈兴良</w:t>
      </w:r>
      <w:r>
        <w:rPr>
          <w:rFonts w:ascii="Times New Roman" w:eastAsia="宋体" w:hAnsi="Times New Roman" w:cs="Times New Roman"/>
          <w:szCs w:val="18"/>
        </w:rPr>
        <w:t>.</w:t>
      </w:r>
      <w:r>
        <w:rPr>
          <w:rFonts w:ascii="Times New Roman" w:eastAsia="宋体" w:hAnsi="Times New Roman" w:cs="Times New Roman"/>
          <w:szCs w:val="18"/>
        </w:rPr>
        <w:t>作为犯罪构成要件的罪量要素</w:t>
      </w:r>
      <w:r>
        <w:rPr>
          <w:rFonts w:ascii="Times New Roman" w:eastAsia="宋体" w:hAnsi="Times New Roman" w:cs="Times New Roman"/>
          <w:szCs w:val="18"/>
        </w:rPr>
        <w:t>——</w:t>
      </w:r>
      <w:r>
        <w:rPr>
          <w:rFonts w:ascii="Times New Roman" w:eastAsia="宋体" w:hAnsi="Times New Roman" w:cs="Times New Roman"/>
          <w:szCs w:val="18"/>
        </w:rPr>
        <w:t>立足于中国刑法的探讨</w:t>
      </w:r>
      <w:r>
        <w:rPr>
          <w:rFonts w:ascii="Times New Roman" w:eastAsia="宋体" w:hAnsi="Times New Roman" w:cs="Times New Roman"/>
          <w:szCs w:val="18"/>
        </w:rPr>
        <w:t>[J].</w:t>
      </w:r>
      <w:r>
        <w:rPr>
          <w:rFonts w:ascii="Times New Roman" w:eastAsia="宋体" w:hAnsi="Times New Roman" w:cs="Times New Roman"/>
          <w:szCs w:val="18"/>
        </w:rPr>
        <w:t>法学研究</w:t>
      </w:r>
      <w:r>
        <w:rPr>
          <w:rFonts w:ascii="Times New Roman" w:eastAsia="宋体" w:hAnsi="Times New Roman" w:cs="Times New Roman"/>
          <w:szCs w:val="18"/>
        </w:rPr>
        <w:t>,2003(05):46-60.</w:t>
      </w:r>
    </w:p>
    <w:p w14:paraId="080A9810" w14:textId="77777777" w:rsidR="00344C2B" w:rsidRDefault="00000000">
      <w:pPr>
        <w:pStyle w:val="a5"/>
        <w:rPr>
          <w:rFonts w:ascii="Times New Roman" w:eastAsia="宋体" w:hAnsi="Times New Roman" w:cs="Times New Roman"/>
          <w:szCs w:val="18"/>
        </w:rPr>
      </w:pPr>
      <w:r>
        <w:rPr>
          <w:rFonts w:ascii="Times New Roman" w:eastAsia="宋体" w:hAnsi="Times New Roman" w:cs="Times New Roman"/>
          <w:szCs w:val="18"/>
        </w:rPr>
        <w:t>[21]</w:t>
      </w:r>
      <w:r>
        <w:rPr>
          <w:rFonts w:ascii="Times New Roman" w:eastAsia="宋体" w:hAnsi="Times New Roman" w:cs="Times New Roman"/>
          <w:szCs w:val="18"/>
        </w:rPr>
        <w:t>任学婧</w:t>
      </w:r>
      <w:r>
        <w:rPr>
          <w:rFonts w:ascii="Times New Roman" w:eastAsia="宋体" w:hAnsi="Times New Roman" w:cs="Times New Roman"/>
          <w:szCs w:val="18"/>
        </w:rPr>
        <w:t>.</w:t>
      </w:r>
      <w:r>
        <w:rPr>
          <w:rFonts w:ascii="Times New Roman" w:eastAsia="宋体" w:hAnsi="Times New Roman" w:cs="Times New Roman"/>
          <w:szCs w:val="18"/>
        </w:rPr>
        <w:t>妨害药品管理行为刑法规制的目的与边界</w:t>
      </w:r>
      <w:r>
        <w:rPr>
          <w:rFonts w:ascii="Times New Roman" w:eastAsia="宋体" w:hAnsi="Times New Roman" w:cs="Times New Roman"/>
          <w:szCs w:val="18"/>
        </w:rPr>
        <w:t>[J].</w:t>
      </w:r>
      <w:r>
        <w:rPr>
          <w:rFonts w:ascii="Times New Roman" w:eastAsia="宋体" w:hAnsi="Times New Roman" w:cs="Times New Roman"/>
          <w:szCs w:val="18"/>
        </w:rPr>
        <w:t>华北理工大学学报</w:t>
      </w:r>
      <w:r>
        <w:rPr>
          <w:rFonts w:ascii="Times New Roman" w:eastAsia="宋体" w:hAnsi="Times New Roman" w:cs="Times New Roman"/>
          <w:szCs w:val="18"/>
        </w:rPr>
        <w:t>(</w:t>
      </w:r>
      <w:r>
        <w:rPr>
          <w:rFonts w:ascii="Times New Roman" w:eastAsia="宋体" w:hAnsi="Times New Roman" w:cs="Times New Roman"/>
          <w:szCs w:val="18"/>
        </w:rPr>
        <w:t>社会科学版</w:t>
      </w:r>
      <w:r>
        <w:rPr>
          <w:rFonts w:ascii="Times New Roman" w:eastAsia="宋体" w:hAnsi="Times New Roman" w:cs="Times New Roman"/>
          <w:szCs w:val="18"/>
        </w:rPr>
        <w:t>),2022,22(02):1-4+11.</w:t>
      </w:r>
    </w:p>
    <w:p w14:paraId="19785051" w14:textId="77777777" w:rsidR="00344C2B" w:rsidRDefault="00000000">
      <w:pPr>
        <w:rPr>
          <w:rFonts w:ascii="Times New Roman" w:eastAsia="宋体" w:hAnsi="Times New Roman" w:cs="Times New Roman"/>
          <w:sz w:val="18"/>
          <w:szCs w:val="18"/>
        </w:rPr>
      </w:pPr>
      <w:r>
        <w:rPr>
          <w:rFonts w:ascii="Times New Roman" w:eastAsia="宋体" w:hAnsi="Times New Roman" w:cs="Times New Roman"/>
          <w:sz w:val="18"/>
          <w:szCs w:val="18"/>
        </w:rPr>
        <w:t>[22]</w:t>
      </w:r>
      <w:r>
        <w:rPr>
          <w:rFonts w:ascii="Times New Roman" w:eastAsia="宋体" w:hAnsi="Times New Roman" w:cs="Times New Roman"/>
          <w:sz w:val="18"/>
          <w:szCs w:val="18"/>
        </w:rPr>
        <w:t>钱叶六</w:t>
      </w:r>
      <w:r>
        <w:rPr>
          <w:rFonts w:ascii="Times New Roman" w:eastAsia="宋体" w:hAnsi="Times New Roman" w:cs="Times New Roman"/>
          <w:sz w:val="18"/>
          <w:szCs w:val="18"/>
        </w:rPr>
        <w:t>,</w:t>
      </w:r>
      <w:r>
        <w:rPr>
          <w:rFonts w:ascii="Times New Roman" w:eastAsia="宋体" w:hAnsi="Times New Roman" w:cs="Times New Roman"/>
          <w:sz w:val="18"/>
          <w:szCs w:val="18"/>
        </w:rPr>
        <w:t>庄渊智</w:t>
      </w:r>
      <w:r>
        <w:rPr>
          <w:rFonts w:ascii="Times New Roman" w:eastAsia="宋体" w:hAnsi="Times New Roman" w:cs="Times New Roman"/>
          <w:sz w:val="18"/>
          <w:szCs w:val="18"/>
        </w:rPr>
        <w:t>.</w:t>
      </w:r>
      <w:r>
        <w:rPr>
          <w:rFonts w:ascii="Times New Roman" w:eastAsia="宋体" w:hAnsi="Times New Roman" w:cs="Times New Roman"/>
          <w:sz w:val="18"/>
          <w:szCs w:val="18"/>
        </w:rPr>
        <w:t>妨害药品管理罪危险犯性质的识别与判断</w:t>
      </w:r>
      <w:r>
        <w:rPr>
          <w:rFonts w:ascii="Times New Roman" w:eastAsia="宋体" w:hAnsi="Times New Roman" w:cs="Times New Roman"/>
          <w:sz w:val="18"/>
          <w:szCs w:val="18"/>
        </w:rPr>
        <w:t>[J].</w:t>
      </w:r>
      <w:r>
        <w:rPr>
          <w:rFonts w:ascii="Times New Roman" w:eastAsia="宋体" w:hAnsi="Times New Roman" w:cs="Times New Roman"/>
          <w:sz w:val="18"/>
          <w:szCs w:val="18"/>
        </w:rPr>
        <w:t>人民检察</w:t>
      </w:r>
      <w:r>
        <w:rPr>
          <w:rFonts w:ascii="Times New Roman" w:eastAsia="宋体" w:hAnsi="Times New Roman" w:cs="Times New Roman"/>
          <w:sz w:val="18"/>
          <w:szCs w:val="18"/>
        </w:rPr>
        <w:t>,2024,(02):12-17.</w:t>
      </w:r>
    </w:p>
    <w:p w14:paraId="37ADF73D" w14:textId="77777777" w:rsidR="00344C2B" w:rsidRDefault="00000000">
      <w:pPr>
        <w:pStyle w:val="a5"/>
        <w:rPr>
          <w:rFonts w:ascii="Times New Roman" w:eastAsia="宋体" w:hAnsi="Times New Roman" w:cs="Times New Roman"/>
          <w:szCs w:val="18"/>
        </w:rPr>
      </w:pPr>
      <w:r>
        <w:rPr>
          <w:rFonts w:ascii="Times New Roman" w:eastAsia="宋体" w:hAnsi="Times New Roman" w:cs="Times New Roman"/>
          <w:szCs w:val="18"/>
        </w:rPr>
        <w:t>[23]</w:t>
      </w:r>
      <w:r>
        <w:rPr>
          <w:rFonts w:ascii="Times New Roman" w:eastAsia="宋体" w:hAnsi="Times New Roman" w:cs="Times New Roman"/>
          <w:szCs w:val="18"/>
        </w:rPr>
        <w:t>赵秉志</w:t>
      </w:r>
      <w:r>
        <w:rPr>
          <w:rFonts w:ascii="Times New Roman" w:eastAsia="宋体" w:hAnsi="Times New Roman" w:cs="Times New Roman"/>
          <w:szCs w:val="18"/>
        </w:rPr>
        <w:t>.</w:t>
      </w:r>
      <w:r>
        <w:rPr>
          <w:rFonts w:ascii="Times New Roman" w:eastAsia="宋体" w:hAnsi="Times New Roman" w:cs="Times New Roman"/>
          <w:szCs w:val="18"/>
        </w:rPr>
        <w:t>《刑法修正案（十一）》理解与适用</w:t>
      </w:r>
      <w:r>
        <w:rPr>
          <w:rFonts w:ascii="Times New Roman" w:eastAsia="宋体" w:hAnsi="Times New Roman" w:cs="Times New Roman"/>
          <w:szCs w:val="18"/>
        </w:rPr>
        <w:t>[M].</w:t>
      </w:r>
      <w:r>
        <w:rPr>
          <w:rFonts w:ascii="Times New Roman" w:eastAsia="宋体" w:hAnsi="Times New Roman" w:cs="Times New Roman"/>
          <w:szCs w:val="18"/>
        </w:rPr>
        <w:t>北京</w:t>
      </w:r>
      <w:r>
        <w:rPr>
          <w:rFonts w:ascii="Times New Roman" w:eastAsia="宋体" w:hAnsi="Times New Roman" w:cs="Times New Roman"/>
          <w:szCs w:val="18"/>
        </w:rPr>
        <w:t>:</w:t>
      </w:r>
      <w:r>
        <w:rPr>
          <w:rFonts w:ascii="Times New Roman" w:eastAsia="宋体" w:hAnsi="Times New Roman" w:cs="Times New Roman"/>
          <w:szCs w:val="18"/>
        </w:rPr>
        <w:t>中国人民大学出版社</w:t>
      </w:r>
      <w:r>
        <w:rPr>
          <w:rFonts w:ascii="Times New Roman" w:eastAsia="宋体" w:hAnsi="Times New Roman" w:cs="Times New Roman"/>
          <w:szCs w:val="18"/>
        </w:rPr>
        <w:t>,2021:96.</w:t>
      </w:r>
    </w:p>
    <w:p w14:paraId="27F2A166" w14:textId="77777777" w:rsidR="00344C2B" w:rsidRDefault="00000000">
      <w:pPr>
        <w:pStyle w:val="a5"/>
        <w:rPr>
          <w:rFonts w:ascii="Times New Roman" w:eastAsia="宋体" w:hAnsi="Times New Roman" w:cs="Times New Roman"/>
          <w:szCs w:val="18"/>
        </w:rPr>
      </w:pPr>
      <w:r>
        <w:rPr>
          <w:rFonts w:ascii="Times New Roman" w:eastAsia="宋体" w:hAnsi="Times New Roman" w:cs="Times New Roman"/>
          <w:szCs w:val="18"/>
        </w:rPr>
        <w:t>[24]</w:t>
      </w:r>
      <w:r>
        <w:rPr>
          <w:rFonts w:ascii="Times New Roman" w:eastAsia="宋体" w:hAnsi="Times New Roman" w:cs="Times New Roman"/>
          <w:szCs w:val="18"/>
        </w:rPr>
        <w:t>肖声鹏</w:t>
      </w:r>
      <w:r>
        <w:rPr>
          <w:rFonts w:ascii="Times New Roman" w:eastAsia="宋体" w:hAnsi="Times New Roman" w:cs="Times New Roman"/>
          <w:szCs w:val="18"/>
        </w:rPr>
        <w:t>,</w:t>
      </w:r>
      <w:r>
        <w:rPr>
          <w:rFonts w:ascii="Times New Roman" w:eastAsia="宋体" w:hAnsi="Times New Roman" w:cs="Times New Roman"/>
          <w:szCs w:val="18"/>
        </w:rPr>
        <w:t>孙绍伟</w:t>
      </w:r>
      <w:r>
        <w:rPr>
          <w:rFonts w:ascii="Times New Roman" w:eastAsia="宋体" w:hAnsi="Times New Roman" w:cs="Times New Roman"/>
          <w:szCs w:val="18"/>
        </w:rPr>
        <w:t>.</w:t>
      </w:r>
      <w:r>
        <w:rPr>
          <w:rFonts w:ascii="Times New Roman" w:eastAsia="宋体" w:hAnsi="Times New Roman" w:cs="Times New Roman"/>
          <w:szCs w:val="18"/>
        </w:rPr>
        <w:t>妨害药品管理行为的刑法规制</w:t>
      </w:r>
      <w:r>
        <w:rPr>
          <w:rFonts w:ascii="Times New Roman" w:eastAsia="宋体" w:hAnsi="Times New Roman" w:cs="Times New Roman"/>
          <w:szCs w:val="18"/>
        </w:rPr>
        <w:t>——</w:t>
      </w:r>
      <w:r>
        <w:rPr>
          <w:rFonts w:ascii="Times New Roman" w:eastAsia="宋体" w:hAnsi="Times New Roman" w:cs="Times New Roman"/>
          <w:szCs w:val="18"/>
        </w:rPr>
        <w:t>以《刑法修正案</w:t>
      </w:r>
      <w:r>
        <w:rPr>
          <w:rFonts w:ascii="Times New Roman" w:eastAsia="宋体" w:hAnsi="Times New Roman" w:cs="Times New Roman"/>
          <w:szCs w:val="18"/>
        </w:rPr>
        <w:t>(</w:t>
      </w:r>
      <w:r>
        <w:rPr>
          <w:rFonts w:ascii="Times New Roman" w:eastAsia="宋体" w:hAnsi="Times New Roman" w:cs="Times New Roman"/>
          <w:szCs w:val="18"/>
        </w:rPr>
        <w:t>十一</w:t>
      </w:r>
      <w:r>
        <w:rPr>
          <w:rFonts w:ascii="Times New Roman" w:eastAsia="宋体" w:hAnsi="Times New Roman" w:cs="Times New Roman"/>
          <w:szCs w:val="18"/>
        </w:rPr>
        <w:t>)</w:t>
      </w:r>
      <w:r>
        <w:rPr>
          <w:rFonts w:ascii="Times New Roman" w:eastAsia="宋体" w:hAnsi="Times New Roman" w:cs="Times New Roman"/>
          <w:szCs w:val="18"/>
        </w:rPr>
        <w:t>》为视角</w:t>
      </w:r>
      <w:r>
        <w:rPr>
          <w:rFonts w:ascii="Times New Roman" w:eastAsia="宋体" w:hAnsi="Times New Roman" w:cs="Times New Roman"/>
          <w:szCs w:val="18"/>
        </w:rPr>
        <w:t>[J].</w:t>
      </w:r>
      <w:r>
        <w:rPr>
          <w:rFonts w:ascii="Times New Roman" w:eastAsia="宋体" w:hAnsi="Times New Roman" w:cs="Times New Roman"/>
          <w:szCs w:val="18"/>
        </w:rPr>
        <w:t>卫生法学</w:t>
      </w:r>
      <w:r>
        <w:rPr>
          <w:rFonts w:ascii="Times New Roman" w:eastAsia="宋体" w:hAnsi="Times New Roman" w:cs="Times New Roman"/>
          <w:szCs w:val="18"/>
        </w:rPr>
        <w:t>,2025,33(01):84-91.</w:t>
      </w:r>
    </w:p>
    <w:p w14:paraId="22268F69" w14:textId="77777777" w:rsidR="00344C2B" w:rsidRDefault="00000000">
      <w:pPr>
        <w:pStyle w:val="a5"/>
        <w:rPr>
          <w:rFonts w:ascii="Times New Roman" w:eastAsia="宋体" w:hAnsi="Times New Roman" w:cs="Times New Roman"/>
          <w:szCs w:val="18"/>
        </w:rPr>
      </w:pPr>
      <w:r>
        <w:rPr>
          <w:rFonts w:ascii="Times New Roman" w:eastAsia="宋体" w:hAnsi="Times New Roman" w:cs="Times New Roman"/>
          <w:szCs w:val="18"/>
        </w:rPr>
        <w:t>[25]</w:t>
      </w:r>
      <w:r>
        <w:rPr>
          <w:rFonts w:ascii="Times New Roman" w:eastAsia="宋体" w:hAnsi="Times New Roman" w:cs="Times New Roman"/>
          <w:szCs w:val="18"/>
        </w:rPr>
        <w:t>陈璇</w:t>
      </w:r>
      <w:r>
        <w:rPr>
          <w:rFonts w:ascii="Times New Roman" w:eastAsia="宋体" w:hAnsi="Times New Roman" w:cs="Times New Roman"/>
          <w:szCs w:val="18"/>
        </w:rPr>
        <w:t>.</w:t>
      </w:r>
      <w:r>
        <w:rPr>
          <w:rFonts w:ascii="Times New Roman" w:eastAsia="宋体" w:hAnsi="Times New Roman" w:cs="Times New Roman"/>
          <w:szCs w:val="18"/>
        </w:rPr>
        <w:t>法益概念与刑事立法正当性检验</w:t>
      </w:r>
      <w:r>
        <w:rPr>
          <w:rFonts w:ascii="Times New Roman" w:eastAsia="宋体" w:hAnsi="Times New Roman" w:cs="Times New Roman"/>
          <w:szCs w:val="18"/>
        </w:rPr>
        <w:t>[J].</w:t>
      </w:r>
      <w:r>
        <w:rPr>
          <w:rFonts w:ascii="Times New Roman" w:eastAsia="宋体" w:hAnsi="Times New Roman" w:cs="Times New Roman"/>
          <w:szCs w:val="18"/>
        </w:rPr>
        <w:t>比较法研究</w:t>
      </w:r>
      <w:r>
        <w:rPr>
          <w:rFonts w:ascii="Times New Roman" w:eastAsia="宋体" w:hAnsi="Times New Roman" w:cs="Times New Roman"/>
          <w:szCs w:val="18"/>
        </w:rPr>
        <w:t>,2020,(03):51-72.</w:t>
      </w:r>
    </w:p>
    <w:p w14:paraId="3C588251" w14:textId="77777777" w:rsidR="00344C2B" w:rsidRDefault="00000000">
      <w:pPr>
        <w:pStyle w:val="a5"/>
        <w:rPr>
          <w:rFonts w:ascii="Times New Roman" w:eastAsia="宋体" w:hAnsi="Times New Roman" w:cs="Times New Roman"/>
          <w:color w:val="00B0F0"/>
          <w:szCs w:val="18"/>
        </w:rPr>
      </w:pPr>
      <w:r>
        <w:rPr>
          <w:rFonts w:ascii="Times New Roman" w:eastAsia="宋体" w:hAnsi="Times New Roman" w:cs="Times New Roman"/>
          <w:szCs w:val="18"/>
        </w:rPr>
        <w:t>[26][</w:t>
      </w:r>
      <w:r>
        <w:rPr>
          <w:rFonts w:ascii="Times New Roman" w:eastAsia="宋体" w:hAnsi="Times New Roman" w:cs="Times New Roman"/>
          <w:szCs w:val="18"/>
        </w:rPr>
        <w:t>德</w:t>
      </w:r>
      <w:r>
        <w:rPr>
          <w:rFonts w:ascii="Times New Roman" w:eastAsia="宋体" w:hAnsi="Times New Roman" w:cs="Times New Roman"/>
          <w:szCs w:val="18"/>
        </w:rPr>
        <w:t>]</w:t>
      </w:r>
      <w:r>
        <w:rPr>
          <w:rFonts w:ascii="Times New Roman" w:eastAsia="宋体" w:hAnsi="Times New Roman" w:cs="Times New Roman"/>
          <w:szCs w:val="18"/>
        </w:rPr>
        <w:t>哈特穆特</w:t>
      </w:r>
      <w:r>
        <w:rPr>
          <w:rFonts w:ascii="Times New Roman" w:eastAsia="微软雅黑" w:hAnsi="Times New Roman" w:cs="Times New Roman"/>
          <w:szCs w:val="18"/>
        </w:rPr>
        <w:t>・</w:t>
      </w:r>
      <w:r>
        <w:rPr>
          <w:rFonts w:ascii="Times New Roman" w:eastAsia="宋体" w:hAnsi="Times New Roman" w:cs="Times New Roman"/>
          <w:szCs w:val="18"/>
        </w:rPr>
        <w:t>毛雷尔</w:t>
      </w:r>
      <w:r>
        <w:rPr>
          <w:rFonts w:ascii="Times New Roman" w:eastAsia="宋体" w:hAnsi="Times New Roman" w:cs="Times New Roman"/>
          <w:szCs w:val="18"/>
        </w:rPr>
        <w:t>.</w:t>
      </w:r>
      <w:r>
        <w:rPr>
          <w:rFonts w:ascii="Times New Roman" w:eastAsia="宋体" w:hAnsi="Times New Roman" w:cs="Times New Roman"/>
          <w:szCs w:val="18"/>
        </w:rPr>
        <w:t>行政法学总论</w:t>
      </w:r>
      <w:r>
        <w:rPr>
          <w:rFonts w:ascii="Times New Roman" w:eastAsia="宋体" w:hAnsi="Times New Roman" w:cs="Times New Roman"/>
          <w:szCs w:val="18"/>
        </w:rPr>
        <w:t>[M].</w:t>
      </w:r>
      <w:r>
        <w:rPr>
          <w:rFonts w:ascii="Times New Roman" w:eastAsia="宋体" w:hAnsi="Times New Roman" w:cs="Times New Roman"/>
          <w:szCs w:val="18"/>
        </w:rPr>
        <w:t>高家伟译</w:t>
      </w:r>
      <w:r>
        <w:rPr>
          <w:rFonts w:ascii="Times New Roman" w:eastAsia="宋体" w:hAnsi="Times New Roman" w:cs="Times New Roman"/>
          <w:szCs w:val="18"/>
        </w:rPr>
        <w:t>.</w:t>
      </w:r>
      <w:r>
        <w:rPr>
          <w:rFonts w:ascii="Times New Roman" w:eastAsia="宋体" w:hAnsi="Times New Roman" w:cs="Times New Roman"/>
          <w:szCs w:val="18"/>
        </w:rPr>
        <w:t>北京</w:t>
      </w:r>
      <w:r>
        <w:rPr>
          <w:rFonts w:ascii="Times New Roman" w:eastAsia="宋体" w:hAnsi="Times New Roman" w:cs="Times New Roman"/>
          <w:szCs w:val="18"/>
        </w:rPr>
        <w:t>;</w:t>
      </w:r>
      <w:r>
        <w:rPr>
          <w:rFonts w:ascii="Times New Roman" w:eastAsia="宋体" w:hAnsi="Times New Roman" w:cs="Times New Roman"/>
          <w:szCs w:val="18"/>
        </w:rPr>
        <w:t>法律出版社</w:t>
      </w:r>
      <w:r>
        <w:rPr>
          <w:rFonts w:ascii="Times New Roman" w:eastAsia="宋体" w:hAnsi="Times New Roman" w:cs="Times New Roman"/>
          <w:szCs w:val="18"/>
        </w:rPr>
        <w:t>,2000: 106.</w:t>
      </w:r>
    </w:p>
    <w:p w14:paraId="2A8C28BB" w14:textId="77777777" w:rsidR="00344C2B" w:rsidRDefault="00000000">
      <w:pPr>
        <w:pStyle w:val="a5"/>
        <w:rPr>
          <w:rFonts w:ascii="Times New Roman" w:eastAsia="宋体" w:hAnsi="Times New Roman" w:cs="Times New Roman"/>
          <w:szCs w:val="18"/>
        </w:rPr>
      </w:pPr>
      <w:r>
        <w:rPr>
          <w:rFonts w:ascii="Times New Roman" w:eastAsia="宋体" w:hAnsi="Times New Roman" w:cs="Times New Roman"/>
          <w:szCs w:val="18"/>
        </w:rPr>
        <w:t>[27]</w:t>
      </w:r>
      <w:r>
        <w:rPr>
          <w:rFonts w:ascii="Times New Roman" w:eastAsia="宋体" w:hAnsi="Times New Roman" w:cs="Times New Roman"/>
          <w:szCs w:val="18"/>
        </w:rPr>
        <w:t>姜涛</w:t>
      </w:r>
      <w:r>
        <w:rPr>
          <w:rFonts w:ascii="Times New Roman" w:eastAsia="宋体" w:hAnsi="Times New Roman" w:cs="Times New Roman"/>
          <w:szCs w:val="18"/>
        </w:rPr>
        <w:t>.</w:t>
      </w:r>
      <w:r>
        <w:rPr>
          <w:rFonts w:ascii="Times New Roman" w:eastAsia="宋体" w:hAnsi="Times New Roman" w:cs="Times New Roman"/>
          <w:szCs w:val="18"/>
        </w:rPr>
        <w:t>比例原则的刑法学再造</w:t>
      </w:r>
      <w:r>
        <w:rPr>
          <w:rFonts w:ascii="Times New Roman" w:eastAsia="宋体" w:hAnsi="Times New Roman" w:cs="Times New Roman"/>
          <w:szCs w:val="18"/>
        </w:rPr>
        <w:t>[J].</w:t>
      </w:r>
      <w:r>
        <w:rPr>
          <w:rFonts w:ascii="Times New Roman" w:eastAsia="宋体" w:hAnsi="Times New Roman" w:cs="Times New Roman"/>
          <w:szCs w:val="18"/>
        </w:rPr>
        <w:t>法学家</w:t>
      </w:r>
      <w:r>
        <w:rPr>
          <w:rFonts w:ascii="Times New Roman" w:eastAsia="宋体" w:hAnsi="Times New Roman" w:cs="Times New Roman"/>
          <w:szCs w:val="18"/>
        </w:rPr>
        <w:t>,2026,(01):96-111+193-194.</w:t>
      </w:r>
    </w:p>
    <w:p w14:paraId="5E035676" w14:textId="77777777" w:rsidR="00344C2B" w:rsidRDefault="00000000">
      <w:pPr>
        <w:pStyle w:val="a5"/>
        <w:rPr>
          <w:rFonts w:ascii="Times New Roman" w:eastAsia="宋体" w:hAnsi="Times New Roman" w:cs="Times New Roman"/>
          <w:szCs w:val="18"/>
        </w:rPr>
      </w:pPr>
      <w:r>
        <w:rPr>
          <w:rFonts w:ascii="Times New Roman" w:eastAsia="宋体" w:hAnsi="Times New Roman" w:cs="Times New Roman"/>
          <w:szCs w:val="18"/>
        </w:rPr>
        <w:t>[28]</w:t>
      </w:r>
      <w:r>
        <w:rPr>
          <w:rFonts w:ascii="Times New Roman" w:eastAsia="宋体" w:hAnsi="Times New Roman" w:cs="Times New Roman"/>
          <w:szCs w:val="18"/>
        </w:rPr>
        <w:t>安凯</w:t>
      </w:r>
      <w:r>
        <w:rPr>
          <w:rFonts w:ascii="Times New Roman" w:eastAsia="宋体" w:hAnsi="Times New Roman" w:cs="Times New Roman"/>
          <w:szCs w:val="18"/>
        </w:rPr>
        <w:t>.</w:t>
      </w:r>
      <w:r>
        <w:rPr>
          <w:rFonts w:ascii="Times New Roman" w:eastAsia="宋体" w:hAnsi="Times New Roman" w:cs="Times New Roman"/>
          <w:szCs w:val="18"/>
        </w:rPr>
        <w:t>行政犯行政违法性认识错误之属性界定</w:t>
      </w:r>
      <w:r>
        <w:rPr>
          <w:rFonts w:ascii="Times New Roman" w:eastAsia="宋体" w:hAnsi="Times New Roman" w:cs="Times New Roman"/>
          <w:szCs w:val="18"/>
        </w:rPr>
        <w:t>[J].</w:t>
      </w:r>
      <w:r>
        <w:rPr>
          <w:rFonts w:ascii="Times New Roman" w:eastAsia="宋体" w:hAnsi="Times New Roman" w:cs="Times New Roman"/>
          <w:szCs w:val="18"/>
        </w:rPr>
        <w:t>法治论坛</w:t>
      </w:r>
      <w:r>
        <w:rPr>
          <w:rFonts w:ascii="Times New Roman" w:eastAsia="宋体" w:hAnsi="Times New Roman" w:cs="Times New Roman"/>
          <w:szCs w:val="18"/>
        </w:rPr>
        <w:t>,2025,(02):419-435.</w:t>
      </w:r>
    </w:p>
    <w:p w14:paraId="4118E67A" w14:textId="77777777" w:rsidR="00344C2B" w:rsidRDefault="00000000">
      <w:pPr>
        <w:pStyle w:val="a5"/>
        <w:rPr>
          <w:rFonts w:ascii="Times New Roman" w:eastAsia="宋体" w:hAnsi="Times New Roman" w:cs="Times New Roman"/>
          <w:szCs w:val="18"/>
        </w:rPr>
      </w:pPr>
      <w:r>
        <w:rPr>
          <w:rFonts w:ascii="Times New Roman" w:eastAsia="宋体" w:hAnsi="Times New Roman" w:cs="Times New Roman"/>
          <w:szCs w:val="18"/>
        </w:rPr>
        <w:t>[29]</w:t>
      </w:r>
      <w:r>
        <w:rPr>
          <w:rFonts w:ascii="Times New Roman" w:eastAsia="宋体" w:hAnsi="Times New Roman" w:cs="Times New Roman"/>
          <w:szCs w:val="18"/>
        </w:rPr>
        <w:t>马鞍山</w:t>
      </w:r>
      <w:r>
        <w:rPr>
          <w:rFonts w:ascii="Times New Roman" w:eastAsia="宋体" w:hAnsi="Times New Roman" w:cs="Times New Roman"/>
          <w:szCs w:val="18"/>
        </w:rPr>
        <w:t>“</w:t>
      </w:r>
      <w:r>
        <w:rPr>
          <w:rFonts w:ascii="Times New Roman" w:eastAsia="宋体" w:hAnsi="Times New Roman" w:cs="Times New Roman"/>
          <w:szCs w:val="18"/>
        </w:rPr>
        <w:t>药神</w:t>
      </w:r>
      <w:r>
        <w:rPr>
          <w:rFonts w:ascii="Times New Roman" w:eastAsia="宋体" w:hAnsi="Times New Roman" w:cs="Times New Roman"/>
          <w:szCs w:val="18"/>
        </w:rPr>
        <w:t>”</w:t>
      </w:r>
      <w:r>
        <w:rPr>
          <w:rFonts w:ascii="Times New Roman" w:eastAsia="宋体" w:hAnsi="Times New Roman" w:cs="Times New Roman"/>
          <w:szCs w:val="18"/>
        </w:rPr>
        <w:t>秦才东案始末：他真的能攻克癌症吗？</w:t>
      </w:r>
      <w:r>
        <w:rPr>
          <w:rFonts w:ascii="Times New Roman" w:eastAsia="宋体" w:hAnsi="Times New Roman" w:cs="Times New Roman"/>
          <w:szCs w:val="18"/>
        </w:rPr>
        <w:t>[OL][2023-01-15].</w:t>
      </w:r>
      <w:r>
        <w:rPr>
          <w:rFonts w:ascii="Times New Roman" w:eastAsia="宋体" w:hAnsi="Times New Roman" w:cs="Times New Roman"/>
          <w:szCs w:val="18"/>
        </w:rPr>
        <w:t>观察者网</w:t>
      </w:r>
      <w:r>
        <w:rPr>
          <w:rFonts w:ascii="Times New Roman" w:eastAsia="宋体" w:hAnsi="Times New Roman" w:cs="Times New Roman"/>
          <w:szCs w:val="18"/>
        </w:rPr>
        <w:t>, https://www.guancha.cn/politics/2023_01_15_676023_s.shtml.</w:t>
      </w:r>
    </w:p>
    <w:p w14:paraId="734EA897" w14:textId="77777777" w:rsidR="00344C2B" w:rsidRDefault="00000000">
      <w:pPr>
        <w:pStyle w:val="a5"/>
        <w:rPr>
          <w:rFonts w:ascii="Times New Roman" w:eastAsia="宋体" w:hAnsi="Times New Roman" w:cs="Times New Roman"/>
          <w:szCs w:val="18"/>
        </w:rPr>
      </w:pPr>
      <w:r>
        <w:rPr>
          <w:rFonts w:ascii="Times New Roman" w:eastAsia="宋体" w:hAnsi="Times New Roman" w:cs="Times New Roman"/>
          <w:szCs w:val="18"/>
        </w:rPr>
        <w:t>[30]</w:t>
      </w:r>
      <w:r>
        <w:rPr>
          <w:rFonts w:ascii="Times New Roman" w:eastAsia="宋体" w:hAnsi="Times New Roman" w:cs="Times New Roman"/>
          <w:szCs w:val="18"/>
        </w:rPr>
        <w:t>辛佳东</w:t>
      </w:r>
      <w:r>
        <w:rPr>
          <w:rFonts w:ascii="Times New Roman" w:eastAsia="宋体" w:hAnsi="Times New Roman" w:cs="Times New Roman"/>
          <w:szCs w:val="18"/>
        </w:rPr>
        <w:t>.</w:t>
      </w:r>
      <w:r>
        <w:rPr>
          <w:rFonts w:ascii="Times New Roman" w:eastAsia="宋体" w:hAnsi="Times New Roman" w:cs="Times New Roman"/>
          <w:szCs w:val="18"/>
        </w:rPr>
        <w:t>行刑反向衔接</w:t>
      </w:r>
      <w:r>
        <w:rPr>
          <w:rFonts w:ascii="Times New Roman" w:eastAsia="宋体" w:hAnsi="Times New Roman" w:cs="Times New Roman"/>
          <w:szCs w:val="18"/>
        </w:rPr>
        <w:t>“</w:t>
      </w:r>
      <w:r>
        <w:rPr>
          <w:rFonts w:ascii="Times New Roman" w:eastAsia="宋体" w:hAnsi="Times New Roman" w:cs="Times New Roman"/>
          <w:szCs w:val="18"/>
        </w:rPr>
        <w:t>必要性</w:t>
      </w:r>
      <w:r>
        <w:rPr>
          <w:rFonts w:ascii="Times New Roman" w:eastAsia="宋体" w:hAnsi="Times New Roman" w:cs="Times New Roman"/>
          <w:szCs w:val="18"/>
        </w:rPr>
        <w:t>”</w:t>
      </w:r>
      <w:r>
        <w:rPr>
          <w:rFonts w:ascii="Times New Roman" w:eastAsia="宋体" w:hAnsi="Times New Roman" w:cs="Times New Roman"/>
          <w:szCs w:val="18"/>
        </w:rPr>
        <w:t>审查的困境反思与进路构建</w:t>
      </w:r>
      <w:r>
        <w:rPr>
          <w:rFonts w:ascii="Times New Roman" w:eastAsia="宋体" w:hAnsi="Times New Roman" w:cs="Times New Roman"/>
          <w:szCs w:val="18"/>
        </w:rPr>
        <w:t>[J].</w:t>
      </w:r>
      <w:r>
        <w:rPr>
          <w:rFonts w:ascii="Times New Roman" w:eastAsia="宋体" w:hAnsi="Times New Roman" w:cs="Times New Roman"/>
          <w:szCs w:val="18"/>
        </w:rPr>
        <w:t>西部法学评论</w:t>
      </w:r>
      <w:r>
        <w:rPr>
          <w:rFonts w:ascii="Times New Roman" w:eastAsia="宋体" w:hAnsi="Times New Roman" w:cs="Times New Roman"/>
          <w:szCs w:val="18"/>
        </w:rPr>
        <w:t>,2025,(05):62-75.</w:t>
      </w:r>
    </w:p>
    <w:p w14:paraId="2BA693A1" w14:textId="77777777" w:rsidR="00344C2B" w:rsidRDefault="00000000">
      <w:pPr>
        <w:pStyle w:val="a5"/>
        <w:rPr>
          <w:rFonts w:ascii="Times New Roman" w:eastAsia="宋体" w:hAnsi="Times New Roman" w:cs="Times New Roman"/>
          <w:szCs w:val="18"/>
        </w:rPr>
      </w:pPr>
      <w:r>
        <w:rPr>
          <w:rFonts w:ascii="Times New Roman" w:eastAsia="宋体" w:hAnsi="Times New Roman" w:cs="Times New Roman"/>
          <w:szCs w:val="18"/>
        </w:rPr>
        <w:t>[31]</w:t>
      </w:r>
      <w:r>
        <w:rPr>
          <w:rFonts w:ascii="Times New Roman" w:eastAsia="宋体" w:hAnsi="Times New Roman" w:cs="Times New Roman"/>
          <w:szCs w:val="18"/>
        </w:rPr>
        <w:t>蔡培如</w:t>
      </w:r>
      <w:r>
        <w:rPr>
          <w:rFonts w:ascii="Times New Roman" w:eastAsia="宋体" w:hAnsi="Times New Roman" w:cs="Times New Roman"/>
          <w:szCs w:val="18"/>
        </w:rPr>
        <w:t>.</w:t>
      </w:r>
      <w:r>
        <w:rPr>
          <w:rFonts w:ascii="Times New Roman" w:eastAsia="宋体" w:hAnsi="Times New Roman" w:cs="Times New Roman"/>
          <w:szCs w:val="18"/>
        </w:rPr>
        <w:t>均衡性原则司法适用解读及适用路径的精致化构造</w:t>
      </w:r>
      <w:r>
        <w:rPr>
          <w:rFonts w:ascii="Times New Roman" w:eastAsia="宋体" w:hAnsi="Times New Roman" w:cs="Times New Roman"/>
          <w:szCs w:val="18"/>
        </w:rPr>
        <w:t>——</w:t>
      </w:r>
      <w:r>
        <w:rPr>
          <w:rFonts w:ascii="Times New Roman" w:eastAsia="宋体" w:hAnsi="Times New Roman" w:cs="Times New Roman"/>
          <w:szCs w:val="18"/>
        </w:rPr>
        <w:t>以四个案例为出发点</w:t>
      </w:r>
      <w:r>
        <w:rPr>
          <w:rFonts w:ascii="Times New Roman" w:eastAsia="宋体" w:hAnsi="Times New Roman" w:cs="Times New Roman"/>
          <w:szCs w:val="18"/>
        </w:rPr>
        <w:t>[J].</w:t>
      </w:r>
      <w:r>
        <w:rPr>
          <w:rFonts w:ascii="Times New Roman" w:eastAsia="宋体" w:hAnsi="Times New Roman" w:cs="Times New Roman"/>
          <w:szCs w:val="18"/>
        </w:rPr>
        <w:t>行政法论丛</w:t>
      </w:r>
      <w:r>
        <w:rPr>
          <w:rFonts w:ascii="Times New Roman" w:eastAsia="宋体" w:hAnsi="Times New Roman" w:cs="Times New Roman"/>
          <w:szCs w:val="18"/>
        </w:rPr>
        <w:t>,2016,19(00):237-253.</w:t>
      </w:r>
    </w:p>
    <w:p w14:paraId="307A5B2F" w14:textId="77777777" w:rsidR="00344C2B" w:rsidRDefault="00000000">
      <w:pPr>
        <w:pStyle w:val="a5"/>
        <w:rPr>
          <w:rFonts w:ascii="Times New Roman" w:eastAsia="宋体" w:hAnsi="Times New Roman" w:cs="Times New Roman"/>
          <w:szCs w:val="18"/>
        </w:rPr>
      </w:pPr>
      <w:r>
        <w:rPr>
          <w:rFonts w:ascii="Times New Roman" w:eastAsia="宋体" w:hAnsi="Times New Roman" w:cs="Times New Roman"/>
          <w:szCs w:val="18"/>
        </w:rPr>
        <w:t>[32]</w:t>
      </w:r>
      <w:r>
        <w:rPr>
          <w:rFonts w:ascii="Times New Roman" w:eastAsia="宋体" w:hAnsi="Times New Roman" w:cs="Times New Roman"/>
          <w:szCs w:val="18"/>
        </w:rPr>
        <w:t>浙江省金华市婺城区人民法院</w:t>
      </w:r>
      <w:r>
        <w:rPr>
          <w:rFonts w:ascii="Times New Roman" w:eastAsia="宋体" w:hAnsi="Times New Roman" w:cs="Times New Roman"/>
          <w:szCs w:val="18"/>
        </w:rPr>
        <w:t xml:space="preserve">( 2013) </w:t>
      </w:r>
      <w:r>
        <w:rPr>
          <w:rFonts w:ascii="Times New Roman" w:eastAsia="宋体" w:hAnsi="Times New Roman" w:cs="Times New Roman"/>
          <w:szCs w:val="18"/>
        </w:rPr>
        <w:t>浙金刑二终字第</w:t>
      </w:r>
      <w:r>
        <w:rPr>
          <w:rFonts w:ascii="Times New Roman" w:eastAsia="宋体" w:hAnsi="Times New Roman" w:cs="Times New Roman"/>
          <w:szCs w:val="18"/>
        </w:rPr>
        <w:t xml:space="preserve"> 202 </w:t>
      </w:r>
      <w:r>
        <w:rPr>
          <w:rFonts w:ascii="Times New Roman" w:eastAsia="宋体" w:hAnsi="Times New Roman" w:cs="Times New Roman"/>
          <w:szCs w:val="18"/>
        </w:rPr>
        <w:t>号刑事判决书。</w:t>
      </w:r>
    </w:p>
    <w:p w14:paraId="6108EFCA" w14:textId="77777777" w:rsidR="00344C2B" w:rsidRDefault="00344C2B">
      <w:pPr>
        <w:spacing w:line="360" w:lineRule="auto"/>
        <w:ind w:firstLineChars="200" w:firstLine="480"/>
        <w:rPr>
          <w:rFonts w:ascii="Times New Roman" w:eastAsia="宋体" w:hAnsi="Times New Roman" w:cs="Times New Roman"/>
          <w:sz w:val="24"/>
          <w:szCs w:val="24"/>
        </w:rPr>
      </w:pPr>
    </w:p>
    <w:p w14:paraId="2EE410CB" w14:textId="77777777" w:rsidR="00344C2B" w:rsidRDefault="00344C2B">
      <w:pPr>
        <w:spacing w:line="360" w:lineRule="auto"/>
        <w:ind w:firstLineChars="200" w:firstLine="480"/>
        <w:rPr>
          <w:rFonts w:ascii="Times New Roman" w:eastAsia="宋体" w:hAnsi="Times New Roman" w:cs="Times New Roman"/>
          <w:sz w:val="24"/>
          <w:szCs w:val="24"/>
        </w:rPr>
      </w:pPr>
    </w:p>
    <w:sectPr w:rsidR="00344C2B">
      <w:footnotePr>
        <w:numFmt w:val="decimalEnclosedCircleChines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1FE16" w14:textId="77777777" w:rsidR="00707354" w:rsidRDefault="00707354">
      <w:r>
        <w:separator/>
      </w:r>
    </w:p>
  </w:endnote>
  <w:endnote w:type="continuationSeparator" w:id="0">
    <w:p w14:paraId="4F0AC993" w14:textId="77777777" w:rsidR="00707354" w:rsidRDefault="00707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714FF8" w14:textId="77777777" w:rsidR="00707354" w:rsidRDefault="00707354">
      <w:r>
        <w:separator/>
      </w:r>
    </w:p>
  </w:footnote>
  <w:footnote w:type="continuationSeparator" w:id="0">
    <w:p w14:paraId="2C186E8A" w14:textId="77777777" w:rsidR="00707354" w:rsidRDefault="00707354">
      <w:r>
        <w:continuationSeparator/>
      </w:r>
    </w:p>
  </w:footnote>
  <w:footnote w:id="1">
    <w:p w14:paraId="7036B585" w14:textId="77777777" w:rsidR="00344C2B" w:rsidRDefault="00000000">
      <w:pPr>
        <w:widowControl/>
        <w:snapToGrid w:val="0"/>
        <w:rPr>
          <w:rFonts w:ascii="Times New Roman" w:eastAsia="楷体" w:hAnsi="Times New Roman" w:cs="Times New Roman"/>
          <w:sz w:val="18"/>
          <w:szCs w:val="18"/>
        </w:rPr>
      </w:pPr>
      <w:r>
        <w:rPr>
          <w:rStyle w:val="a8"/>
          <w:rFonts w:ascii="Times New Roman" w:eastAsia="楷体" w:hAnsi="Times New Roman" w:cs="Times New Roman"/>
          <w:sz w:val="18"/>
          <w:szCs w:val="18"/>
        </w:rPr>
        <w:footnoteRef/>
      </w:r>
      <w:r>
        <w:rPr>
          <w:rFonts w:ascii="Times New Roman" w:eastAsia="楷体" w:hAnsi="Times New Roman" w:cs="Times New Roman"/>
          <w:sz w:val="18"/>
          <w:szCs w:val="18"/>
        </w:rPr>
        <w:t xml:space="preserve"> </w:t>
      </w:r>
      <w:r>
        <w:rPr>
          <w:rFonts w:ascii="Times New Roman" w:eastAsia="楷体" w:hAnsi="Times New Roman" w:cs="Times New Roman"/>
          <w:sz w:val="18"/>
          <w:szCs w:val="18"/>
        </w:rPr>
        <w:t>习近平：牢固树立切实落实安全发展理念</w:t>
      </w:r>
      <w:r>
        <w:rPr>
          <w:rFonts w:ascii="Times New Roman" w:eastAsia="楷体" w:hAnsi="Times New Roman" w:cs="Times New Roman"/>
          <w:sz w:val="18"/>
          <w:szCs w:val="18"/>
        </w:rPr>
        <w:t xml:space="preserve"> </w:t>
      </w:r>
      <w:r>
        <w:rPr>
          <w:rFonts w:ascii="Times New Roman" w:eastAsia="楷体" w:hAnsi="Times New Roman" w:cs="Times New Roman"/>
          <w:sz w:val="18"/>
          <w:szCs w:val="18"/>
        </w:rPr>
        <w:t>确保广大人民群众生命财产安全</w:t>
      </w:r>
      <w:r>
        <w:rPr>
          <w:rFonts w:ascii="Times New Roman" w:eastAsia="楷体" w:hAnsi="Times New Roman" w:cs="Times New Roman"/>
          <w:sz w:val="18"/>
          <w:szCs w:val="18"/>
        </w:rPr>
        <w:t>[EB/OL].[2015-05-30].https://www.gov.cn/xinwen/2015-05/30/content_2870846.htm.</w:t>
      </w:r>
    </w:p>
  </w:footnote>
  <w:footnote w:id="2">
    <w:p w14:paraId="7DDEA806"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宗绍昊</w:t>
      </w:r>
      <w:r>
        <w:rPr>
          <w:rFonts w:ascii="Times New Roman" w:eastAsia="楷体" w:hAnsi="Times New Roman" w:cs="Times New Roman"/>
          <w:szCs w:val="18"/>
        </w:rPr>
        <w:t>.</w:t>
      </w:r>
      <w:r>
        <w:rPr>
          <w:rFonts w:ascii="Times New Roman" w:eastAsia="楷体" w:hAnsi="Times New Roman" w:cs="Times New Roman"/>
          <w:szCs w:val="18"/>
        </w:rPr>
        <w:t>妨害药品管理罪</w:t>
      </w:r>
      <w:r>
        <w:rPr>
          <w:rFonts w:ascii="Times New Roman" w:eastAsia="楷体" w:hAnsi="Times New Roman" w:cs="Times New Roman"/>
          <w:szCs w:val="18"/>
        </w:rPr>
        <w:t>“</w:t>
      </w:r>
      <w:r>
        <w:rPr>
          <w:rFonts w:ascii="Times New Roman" w:eastAsia="楷体" w:hAnsi="Times New Roman" w:cs="Times New Roman"/>
          <w:szCs w:val="18"/>
        </w:rPr>
        <w:t>足以</w:t>
      </w:r>
      <w:r>
        <w:rPr>
          <w:rFonts w:ascii="Times New Roman" w:eastAsia="楷体" w:hAnsi="Times New Roman" w:cs="Times New Roman"/>
          <w:szCs w:val="18"/>
        </w:rPr>
        <w:t>”</w:t>
      </w:r>
      <w:r>
        <w:rPr>
          <w:rFonts w:ascii="Times New Roman" w:eastAsia="楷体" w:hAnsi="Times New Roman" w:cs="Times New Roman"/>
          <w:szCs w:val="18"/>
        </w:rPr>
        <w:t>要件的认定：公共健康安全法益与比例原则的融合</w:t>
      </w:r>
      <w:r>
        <w:rPr>
          <w:rFonts w:ascii="Times New Roman" w:eastAsia="楷体" w:hAnsi="Times New Roman" w:cs="Times New Roman"/>
          <w:szCs w:val="18"/>
        </w:rPr>
        <w:t>[J].</w:t>
      </w:r>
      <w:r>
        <w:rPr>
          <w:rFonts w:ascii="Times New Roman" w:eastAsia="楷体" w:hAnsi="Times New Roman" w:cs="Times New Roman"/>
          <w:szCs w:val="18"/>
        </w:rPr>
        <w:t>大连海事大学学报</w:t>
      </w:r>
      <w:r>
        <w:rPr>
          <w:rFonts w:ascii="Times New Roman" w:eastAsia="楷体" w:hAnsi="Times New Roman" w:cs="Times New Roman"/>
          <w:szCs w:val="18"/>
        </w:rPr>
        <w:t>(</w:t>
      </w:r>
      <w:r>
        <w:rPr>
          <w:rFonts w:ascii="Times New Roman" w:eastAsia="楷体" w:hAnsi="Times New Roman" w:cs="Times New Roman"/>
          <w:szCs w:val="18"/>
        </w:rPr>
        <w:t>社会科学版</w:t>
      </w:r>
      <w:r>
        <w:rPr>
          <w:rFonts w:ascii="Times New Roman" w:eastAsia="楷体" w:hAnsi="Times New Roman" w:cs="Times New Roman"/>
          <w:szCs w:val="18"/>
        </w:rPr>
        <w:t>),2025,24(03):106-116.</w:t>
      </w:r>
    </w:p>
  </w:footnote>
  <w:footnote w:id="3">
    <w:p w14:paraId="61E0DFFE"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陈卓</w:t>
      </w:r>
      <w:r>
        <w:rPr>
          <w:rFonts w:ascii="Times New Roman" w:eastAsia="楷体" w:hAnsi="Times New Roman" w:cs="Times New Roman"/>
          <w:szCs w:val="18"/>
        </w:rPr>
        <w:t>.</w:t>
      </w:r>
      <w:r>
        <w:rPr>
          <w:rFonts w:ascii="Times New Roman" w:eastAsia="楷体" w:hAnsi="Times New Roman" w:cs="Times New Roman"/>
          <w:szCs w:val="18"/>
        </w:rPr>
        <w:t>妨害药品管理罪的司法虚置及对策</w:t>
      </w:r>
      <w:r>
        <w:rPr>
          <w:rFonts w:ascii="Times New Roman" w:eastAsia="楷体" w:hAnsi="Times New Roman" w:cs="Times New Roman"/>
          <w:szCs w:val="18"/>
        </w:rPr>
        <w:t>[J].</w:t>
      </w:r>
      <w:r>
        <w:rPr>
          <w:rFonts w:ascii="Times New Roman" w:eastAsia="楷体" w:hAnsi="Times New Roman" w:cs="Times New Roman"/>
          <w:szCs w:val="18"/>
        </w:rPr>
        <w:t>医学与社会</w:t>
      </w:r>
      <w:r>
        <w:rPr>
          <w:rFonts w:ascii="Times New Roman" w:eastAsia="楷体" w:hAnsi="Times New Roman" w:cs="Times New Roman"/>
          <w:szCs w:val="18"/>
        </w:rPr>
        <w:t>,2023,36(09):138-144.</w:t>
      </w:r>
    </w:p>
  </w:footnote>
  <w:footnote w:id="4">
    <w:p w14:paraId="0AFE102F"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敦宁</w:t>
      </w:r>
      <w:r>
        <w:rPr>
          <w:rFonts w:ascii="Times New Roman" w:eastAsia="楷体" w:hAnsi="Times New Roman" w:cs="Times New Roman"/>
          <w:szCs w:val="18"/>
        </w:rPr>
        <w:t>.</w:t>
      </w:r>
      <w:r>
        <w:rPr>
          <w:rFonts w:ascii="Times New Roman" w:eastAsia="楷体" w:hAnsi="Times New Roman" w:cs="Times New Roman"/>
          <w:szCs w:val="18"/>
        </w:rPr>
        <w:t>妨害药品管理罪的法教义学分析</w:t>
      </w:r>
      <w:r>
        <w:rPr>
          <w:rFonts w:ascii="Times New Roman" w:eastAsia="楷体" w:hAnsi="Times New Roman" w:cs="Times New Roman"/>
          <w:szCs w:val="18"/>
        </w:rPr>
        <w:t>[J].</w:t>
      </w:r>
      <w:r>
        <w:rPr>
          <w:rFonts w:ascii="Times New Roman" w:eastAsia="楷体" w:hAnsi="Times New Roman" w:cs="Times New Roman"/>
          <w:szCs w:val="18"/>
        </w:rPr>
        <w:t>政治与法律</w:t>
      </w:r>
      <w:r>
        <w:rPr>
          <w:rFonts w:ascii="Times New Roman" w:eastAsia="楷体" w:hAnsi="Times New Roman" w:cs="Times New Roman"/>
          <w:szCs w:val="18"/>
        </w:rPr>
        <w:t>,2021,(12):55-69.</w:t>
      </w:r>
    </w:p>
  </w:footnote>
  <w:footnote w:id="5">
    <w:p w14:paraId="4FBF86AF"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宗绍昊</w:t>
      </w:r>
      <w:r>
        <w:rPr>
          <w:rFonts w:ascii="Times New Roman" w:eastAsia="楷体" w:hAnsi="Times New Roman" w:cs="Times New Roman"/>
          <w:szCs w:val="18"/>
        </w:rPr>
        <w:t>.</w:t>
      </w:r>
      <w:r>
        <w:rPr>
          <w:rFonts w:ascii="Times New Roman" w:eastAsia="楷体" w:hAnsi="Times New Roman" w:cs="Times New Roman"/>
          <w:szCs w:val="18"/>
        </w:rPr>
        <w:t>妨害药品管理罪</w:t>
      </w:r>
      <w:r>
        <w:rPr>
          <w:rFonts w:ascii="Times New Roman" w:eastAsia="楷体" w:hAnsi="Times New Roman" w:cs="Times New Roman"/>
          <w:szCs w:val="18"/>
        </w:rPr>
        <w:t>“</w:t>
      </w:r>
      <w:r>
        <w:rPr>
          <w:rFonts w:ascii="Times New Roman" w:eastAsia="楷体" w:hAnsi="Times New Roman" w:cs="Times New Roman"/>
          <w:szCs w:val="18"/>
        </w:rPr>
        <w:t>足以</w:t>
      </w:r>
      <w:r>
        <w:rPr>
          <w:rFonts w:ascii="Times New Roman" w:eastAsia="楷体" w:hAnsi="Times New Roman" w:cs="Times New Roman"/>
          <w:szCs w:val="18"/>
        </w:rPr>
        <w:t>”</w:t>
      </w:r>
      <w:r>
        <w:rPr>
          <w:rFonts w:ascii="Times New Roman" w:eastAsia="楷体" w:hAnsi="Times New Roman" w:cs="Times New Roman"/>
          <w:szCs w:val="18"/>
        </w:rPr>
        <w:t>要件的认定：公共健康安全法益与比例原则的融合</w:t>
      </w:r>
      <w:r>
        <w:rPr>
          <w:rFonts w:ascii="Times New Roman" w:eastAsia="楷体" w:hAnsi="Times New Roman" w:cs="Times New Roman"/>
          <w:szCs w:val="18"/>
        </w:rPr>
        <w:t>[J].</w:t>
      </w:r>
      <w:r>
        <w:rPr>
          <w:rFonts w:ascii="Times New Roman" w:eastAsia="楷体" w:hAnsi="Times New Roman" w:cs="Times New Roman"/>
          <w:szCs w:val="18"/>
        </w:rPr>
        <w:t>大连海事大学学报</w:t>
      </w:r>
      <w:r>
        <w:rPr>
          <w:rFonts w:ascii="Times New Roman" w:eastAsia="楷体" w:hAnsi="Times New Roman" w:cs="Times New Roman"/>
          <w:szCs w:val="18"/>
        </w:rPr>
        <w:t>(</w:t>
      </w:r>
      <w:r>
        <w:rPr>
          <w:rFonts w:ascii="Times New Roman" w:eastAsia="楷体" w:hAnsi="Times New Roman" w:cs="Times New Roman"/>
          <w:szCs w:val="18"/>
        </w:rPr>
        <w:t>社会科学版</w:t>
      </w:r>
      <w:r>
        <w:rPr>
          <w:rFonts w:ascii="Times New Roman" w:eastAsia="楷体" w:hAnsi="Times New Roman" w:cs="Times New Roman"/>
          <w:szCs w:val="18"/>
        </w:rPr>
        <w:t>),2025,24(03):106-116.</w:t>
      </w:r>
    </w:p>
  </w:footnote>
  <w:footnote w:id="6">
    <w:p w14:paraId="019EB67A" w14:textId="77777777" w:rsidR="00344C2B" w:rsidRDefault="00000000">
      <w:pPr>
        <w:widowControl/>
        <w:jc w:val="left"/>
        <w:rPr>
          <w:rFonts w:ascii="Times New Roman" w:eastAsia="楷体" w:hAnsi="Times New Roman" w:cs="Times New Roman"/>
          <w:sz w:val="18"/>
          <w:szCs w:val="18"/>
        </w:rPr>
      </w:pPr>
      <w:r>
        <w:rPr>
          <w:rStyle w:val="a8"/>
          <w:rFonts w:ascii="Times New Roman" w:eastAsia="楷体" w:hAnsi="Times New Roman" w:cs="Times New Roman"/>
          <w:sz w:val="18"/>
          <w:szCs w:val="18"/>
        </w:rPr>
        <w:footnoteRef/>
      </w:r>
      <w:r>
        <w:rPr>
          <w:rFonts w:ascii="Times New Roman" w:eastAsia="楷体" w:hAnsi="Times New Roman" w:cs="Times New Roman"/>
          <w:sz w:val="18"/>
          <w:szCs w:val="18"/>
        </w:rPr>
        <w:t xml:space="preserve"> </w:t>
      </w:r>
      <w:r>
        <w:rPr>
          <w:rFonts w:ascii="Times New Roman" w:eastAsia="楷体" w:hAnsi="Times New Roman" w:cs="Times New Roman"/>
          <w:sz w:val="18"/>
          <w:szCs w:val="18"/>
        </w:rPr>
        <w:t>参见王爱立</w:t>
      </w:r>
      <w:r>
        <w:rPr>
          <w:rFonts w:ascii="Times New Roman" w:eastAsia="楷体" w:hAnsi="Times New Roman" w:cs="Times New Roman"/>
          <w:sz w:val="18"/>
          <w:szCs w:val="18"/>
        </w:rPr>
        <w:t xml:space="preserve">. </w:t>
      </w:r>
      <w:r>
        <w:rPr>
          <w:rFonts w:ascii="Times New Roman" w:eastAsia="楷体" w:hAnsi="Times New Roman" w:cs="Times New Roman"/>
          <w:sz w:val="18"/>
          <w:szCs w:val="18"/>
        </w:rPr>
        <w:t>中华人民共和国刑法释义</w:t>
      </w:r>
      <w:r>
        <w:rPr>
          <w:rFonts w:ascii="Times New Roman" w:eastAsia="楷体" w:hAnsi="Times New Roman" w:cs="Times New Roman"/>
          <w:sz w:val="18"/>
          <w:szCs w:val="18"/>
        </w:rPr>
        <w:t xml:space="preserve">[M]. </w:t>
      </w:r>
      <w:r>
        <w:rPr>
          <w:rFonts w:ascii="Times New Roman" w:eastAsia="楷体" w:hAnsi="Times New Roman" w:cs="Times New Roman"/>
          <w:sz w:val="18"/>
          <w:szCs w:val="18"/>
        </w:rPr>
        <w:t>北京</w:t>
      </w:r>
      <w:r>
        <w:rPr>
          <w:rFonts w:ascii="Times New Roman" w:eastAsia="楷体" w:hAnsi="Times New Roman" w:cs="Times New Roman"/>
          <w:sz w:val="18"/>
          <w:szCs w:val="18"/>
        </w:rPr>
        <w:t xml:space="preserve">: </w:t>
      </w:r>
      <w:r>
        <w:rPr>
          <w:rFonts w:ascii="Times New Roman" w:eastAsia="楷体" w:hAnsi="Times New Roman" w:cs="Times New Roman"/>
          <w:sz w:val="18"/>
          <w:szCs w:val="18"/>
        </w:rPr>
        <w:t>法律出版社</w:t>
      </w:r>
      <w:r>
        <w:rPr>
          <w:rFonts w:ascii="Times New Roman" w:eastAsia="楷体" w:hAnsi="Times New Roman" w:cs="Times New Roman"/>
          <w:sz w:val="18"/>
          <w:szCs w:val="18"/>
        </w:rPr>
        <w:t>, 2021: 261.</w:t>
      </w:r>
    </w:p>
  </w:footnote>
  <w:footnote w:id="7">
    <w:p w14:paraId="40CB2410"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赵运锋</w:t>
      </w:r>
      <w:r>
        <w:rPr>
          <w:rFonts w:ascii="Times New Roman" w:eastAsia="楷体" w:hAnsi="Times New Roman" w:cs="Times New Roman"/>
          <w:szCs w:val="18"/>
        </w:rPr>
        <w:t>.</w:t>
      </w:r>
      <w:r>
        <w:rPr>
          <w:rFonts w:ascii="Times New Roman" w:eastAsia="楷体" w:hAnsi="Times New Roman" w:cs="Times New Roman"/>
          <w:szCs w:val="18"/>
        </w:rPr>
        <w:t>妨害药品管理罪中</w:t>
      </w:r>
      <w:r>
        <w:rPr>
          <w:rFonts w:ascii="Times New Roman" w:eastAsia="楷体" w:hAnsi="Times New Roman" w:cs="Times New Roman"/>
          <w:szCs w:val="18"/>
        </w:rPr>
        <w:t>“</w:t>
      </w:r>
      <w:r>
        <w:rPr>
          <w:rFonts w:ascii="Times New Roman" w:eastAsia="楷体" w:hAnsi="Times New Roman" w:cs="Times New Roman"/>
          <w:szCs w:val="18"/>
        </w:rPr>
        <w:t>足以严重危害人体健康</w:t>
      </w:r>
      <w:r>
        <w:rPr>
          <w:rFonts w:ascii="Times New Roman" w:eastAsia="楷体" w:hAnsi="Times New Roman" w:cs="Times New Roman"/>
          <w:szCs w:val="18"/>
        </w:rPr>
        <w:t>”</w:t>
      </w:r>
      <w:r>
        <w:rPr>
          <w:rFonts w:ascii="Times New Roman" w:eastAsia="楷体" w:hAnsi="Times New Roman" w:cs="Times New Roman"/>
          <w:szCs w:val="18"/>
        </w:rPr>
        <w:t>研究</w:t>
      </w:r>
      <w:r>
        <w:rPr>
          <w:rFonts w:ascii="Times New Roman" w:eastAsia="楷体" w:hAnsi="Times New Roman" w:cs="Times New Roman"/>
          <w:szCs w:val="18"/>
        </w:rPr>
        <w:t>[J].</w:t>
      </w:r>
      <w:r>
        <w:rPr>
          <w:rFonts w:ascii="Times New Roman" w:eastAsia="楷体" w:hAnsi="Times New Roman" w:cs="Times New Roman"/>
          <w:szCs w:val="18"/>
        </w:rPr>
        <w:t>法学论坛</w:t>
      </w:r>
      <w:r>
        <w:rPr>
          <w:rFonts w:ascii="Times New Roman" w:eastAsia="楷体" w:hAnsi="Times New Roman" w:cs="Times New Roman"/>
          <w:szCs w:val="18"/>
        </w:rPr>
        <w:t>,2023,38(04):47-56.</w:t>
      </w:r>
    </w:p>
  </w:footnote>
  <w:footnote w:id="8">
    <w:p w14:paraId="4C334710"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杜宇</w:t>
      </w:r>
      <w:r>
        <w:rPr>
          <w:rFonts w:ascii="Times New Roman" w:eastAsia="楷体" w:hAnsi="Times New Roman" w:cs="Times New Roman"/>
          <w:szCs w:val="18"/>
        </w:rPr>
        <w:t>.</w:t>
      </w:r>
      <w:r>
        <w:rPr>
          <w:rFonts w:ascii="Times New Roman" w:eastAsia="楷体" w:hAnsi="Times New Roman" w:cs="Times New Roman"/>
          <w:szCs w:val="18"/>
        </w:rPr>
        <w:t>《刑法修正案（十一）》中药品犯罪修订之得失</w:t>
      </w:r>
      <w:r>
        <w:rPr>
          <w:rFonts w:ascii="Times New Roman" w:eastAsia="楷体" w:hAnsi="Times New Roman" w:cs="Times New Roman"/>
          <w:szCs w:val="18"/>
        </w:rPr>
        <w:t>[J].</w:t>
      </w:r>
      <w:r>
        <w:rPr>
          <w:rFonts w:ascii="Times New Roman" w:eastAsia="楷体" w:hAnsi="Times New Roman" w:cs="Times New Roman"/>
          <w:szCs w:val="18"/>
        </w:rPr>
        <w:t>法学</w:t>
      </w:r>
      <w:r>
        <w:rPr>
          <w:rFonts w:ascii="Times New Roman" w:eastAsia="楷体" w:hAnsi="Times New Roman" w:cs="Times New Roman"/>
          <w:szCs w:val="18"/>
        </w:rPr>
        <w:t>,2021,(03):15-37.</w:t>
      </w:r>
    </w:p>
  </w:footnote>
  <w:footnote w:id="9">
    <w:p w14:paraId="663A2087"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赵运锋</w:t>
      </w:r>
      <w:r>
        <w:rPr>
          <w:rFonts w:ascii="Times New Roman" w:eastAsia="楷体" w:hAnsi="Times New Roman" w:cs="Times New Roman"/>
          <w:szCs w:val="18"/>
        </w:rPr>
        <w:t>.</w:t>
      </w:r>
      <w:r>
        <w:rPr>
          <w:rFonts w:ascii="Times New Roman" w:eastAsia="楷体" w:hAnsi="Times New Roman" w:cs="Times New Roman"/>
          <w:szCs w:val="18"/>
        </w:rPr>
        <w:t>妨害药品管理罪中</w:t>
      </w:r>
      <w:r>
        <w:rPr>
          <w:rFonts w:ascii="Times New Roman" w:eastAsia="楷体" w:hAnsi="Times New Roman" w:cs="Times New Roman"/>
          <w:szCs w:val="18"/>
        </w:rPr>
        <w:t>“</w:t>
      </w:r>
      <w:r>
        <w:rPr>
          <w:rFonts w:ascii="Times New Roman" w:eastAsia="楷体" w:hAnsi="Times New Roman" w:cs="Times New Roman"/>
          <w:szCs w:val="18"/>
        </w:rPr>
        <w:t>足以严重危害人体健康</w:t>
      </w:r>
      <w:r>
        <w:rPr>
          <w:rFonts w:ascii="Times New Roman" w:eastAsia="楷体" w:hAnsi="Times New Roman" w:cs="Times New Roman"/>
          <w:szCs w:val="18"/>
        </w:rPr>
        <w:t>”</w:t>
      </w:r>
      <w:r>
        <w:rPr>
          <w:rFonts w:ascii="Times New Roman" w:eastAsia="楷体" w:hAnsi="Times New Roman" w:cs="Times New Roman"/>
          <w:szCs w:val="18"/>
        </w:rPr>
        <w:t>研究</w:t>
      </w:r>
      <w:r>
        <w:rPr>
          <w:rFonts w:ascii="Times New Roman" w:eastAsia="楷体" w:hAnsi="Times New Roman" w:cs="Times New Roman"/>
          <w:szCs w:val="18"/>
        </w:rPr>
        <w:t>[J].</w:t>
      </w:r>
      <w:r>
        <w:rPr>
          <w:rFonts w:ascii="Times New Roman" w:eastAsia="楷体" w:hAnsi="Times New Roman" w:cs="Times New Roman"/>
          <w:szCs w:val="18"/>
        </w:rPr>
        <w:t>法学论坛</w:t>
      </w:r>
      <w:r>
        <w:rPr>
          <w:rFonts w:ascii="Times New Roman" w:eastAsia="楷体" w:hAnsi="Times New Roman" w:cs="Times New Roman"/>
          <w:szCs w:val="18"/>
        </w:rPr>
        <w:t>,2023,38(04):47-56.</w:t>
      </w:r>
    </w:p>
  </w:footnote>
  <w:footnote w:id="10">
    <w:p w14:paraId="5EFED493"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王刚</w:t>
      </w:r>
      <w:r>
        <w:rPr>
          <w:rFonts w:ascii="Times New Roman" w:eastAsia="楷体" w:hAnsi="Times New Roman" w:cs="Times New Roman"/>
          <w:szCs w:val="18"/>
        </w:rPr>
        <w:t>,</w:t>
      </w:r>
      <w:r>
        <w:rPr>
          <w:rFonts w:ascii="Times New Roman" w:eastAsia="楷体" w:hAnsi="Times New Roman" w:cs="Times New Roman"/>
          <w:szCs w:val="18"/>
        </w:rPr>
        <w:t>黄洁</w:t>
      </w:r>
      <w:r>
        <w:rPr>
          <w:rFonts w:ascii="Times New Roman" w:eastAsia="楷体" w:hAnsi="Times New Roman" w:cs="Times New Roman"/>
          <w:szCs w:val="18"/>
        </w:rPr>
        <w:t>.</w:t>
      </w:r>
      <w:r>
        <w:rPr>
          <w:rFonts w:ascii="Times New Roman" w:eastAsia="楷体" w:hAnsi="Times New Roman" w:cs="Times New Roman"/>
          <w:szCs w:val="18"/>
        </w:rPr>
        <w:t>妨害药品管理罪违法性的三层次判断</w:t>
      </w:r>
      <w:r>
        <w:rPr>
          <w:rFonts w:ascii="Times New Roman" w:eastAsia="楷体" w:hAnsi="Times New Roman" w:cs="Times New Roman"/>
          <w:szCs w:val="18"/>
        </w:rPr>
        <w:t>[EB/OL]. [2026-03-17]. https://www.spp.gov.cn/spp/llyj/202312/t20231216_637039.shtml</w:t>
      </w:r>
    </w:p>
  </w:footnote>
  <w:footnote w:id="11">
    <w:p w14:paraId="712DFD11"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田宏杰</w:t>
      </w:r>
      <w:r>
        <w:rPr>
          <w:rFonts w:ascii="Times New Roman" w:eastAsia="楷体" w:hAnsi="Times New Roman" w:cs="Times New Roman"/>
          <w:szCs w:val="18"/>
        </w:rPr>
        <w:t>.</w:t>
      </w:r>
      <w:r>
        <w:rPr>
          <w:rFonts w:ascii="Times New Roman" w:eastAsia="楷体" w:hAnsi="Times New Roman" w:cs="Times New Roman"/>
          <w:szCs w:val="18"/>
        </w:rPr>
        <w:t>合作共治：行政犯治理的路径选择</w:t>
      </w:r>
      <w:r>
        <w:rPr>
          <w:rFonts w:ascii="Times New Roman" w:eastAsia="楷体" w:hAnsi="Times New Roman" w:cs="Times New Roman"/>
          <w:szCs w:val="18"/>
        </w:rPr>
        <w:t>[J].</w:t>
      </w:r>
      <w:r>
        <w:rPr>
          <w:rFonts w:ascii="Times New Roman" w:eastAsia="楷体" w:hAnsi="Times New Roman" w:cs="Times New Roman"/>
          <w:szCs w:val="18"/>
        </w:rPr>
        <w:t>法律科学</w:t>
      </w:r>
      <w:r>
        <w:rPr>
          <w:rFonts w:ascii="Times New Roman" w:eastAsia="楷体" w:hAnsi="Times New Roman" w:cs="Times New Roman"/>
          <w:szCs w:val="18"/>
        </w:rPr>
        <w:t>(</w:t>
      </w:r>
      <w:r>
        <w:rPr>
          <w:rFonts w:ascii="Times New Roman" w:eastAsia="楷体" w:hAnsi="Times New Roman" w:cs="Times New Roman"/>
          <w:szCs w:val="18"/>
        </w:rPr>
        <w:t>西北政法大学学报</w:t>
      </w:r>
      <w:r>
        <w:rPr>
          <w:rFonts w:ascii="Times New Roman" w:eastAsia="楷体" w:hAnsi="Times New Roman" w:cs="Times New Roman"/>
          <w:szCs w:val="18"/>
        </w:rPr>
        <w:t>),2022,40(05):155-165.</w:t>
      </w:r>
    </w:p>
  </w:footnote>
  <w:footnote w:id="12">
    <w:p w14:paraId="0C526413"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张明楷</w:t>
      </w:r>
      <w:r>
        <w:rPr>
          <w:rFonts w:ascii="Times New Roman" w:eastAsia="楷体" w:hAnsi="Times New Roman" w:cs="Times New Roman"/>
          <w:szCs w:val="18"/>
        </w:rPr>
        <w:t>.</w:t>
      </w:r>
      <w:r>
        <w:rPr>
          <w:rFonts w:ascii="Times New Roman" w:eastAsia="楷体" w:hAnsi="Times New Roman" w:cs="Times New Roman"/>
          <w:szCs w:val="18"/>
        </w:rPr>
        <w:t>避免将行政违法认定为刑事犯罪</w:t>
      </w:r>
      <w:r>
        <w:rPr>
          <w:rFonts w:ascii="Times New Roman" w:eastAsia="楷体" w:hAnsi="Times New Roman" w:cs="Times New Roman"/>
          <w:szCs w:val="18"/>
        </w:rPr>
        <w:t>:</w:t>
      </w:r>
      <w:r>
        <w:rPr>
          <w:rFonts w:ascii="Times New Roman" w:eastAsia="楷体" w:hAnsi="Times New Roman" w:cs="Times New Roman"/>
          <w:szCs w:val="18"/>
        </w:rPr>
        <w:t>理念、方法与路径</w:t>
      </w:r>
      <w:r>
        <w:rPr>
          <w:rFonts w:ascii="Times New Roman" w:eastAsia="楷体" w:hAnsi="Times New Roman" w:cs="Times New Roman"/>
          <w:szCs w:val="18"/>
        </w:rPr>
        <w:t>[J].</w:t>
      </w:r>
      <w:r>
        <w:rPr>
          <w:rFonts w:ascii="Times New Roman" w:eastAsia="楷体" w:hAnsi="Times New Roman" w:cs="Times New Roman"/>
          <w:szCs w:val="18"/>
        </w:rPr>
        <w:t>中国检察官</w:t>
      </w:r>
      <w:r>
        <w:rPr>
          <w:rFonts w:ascii="Times New Roman" w:eastAsia="楷体" w:hAnsi="Times New Roman" w:cs="Times New Roman"/>
          <w:szCs w:val="18"/>
        </w:rPr>
        <w:t>,2017,(19):80.</w:t>
      </w:r>
    </w:p>
  </w:footnote>
  <w:footnote w:id="13">
    <w:p w14:paraId="4FD5D9C9"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刘汴鹤</w:t>
      </w:r>
      <w:r>
        <w:rPr>
          <w:rFonts w:ascii="Times New Roman" w:eastAsia="楷体" w:hAnsi="Times New Roman" w:cs="Times New Roman"/>
          <w:szCs w:val="18"/>
        </w:rPr>
        <w:t>.</w:t>
      </w:r>
      <w:r>
        <w:rPr>
          <w:rFonts w:ascii="Times New Roman" w:eastAsia="楷体" w:hAnsi="Times New Roman" w:cs="Times New Roman"/>
          <w:szCs w:val="18"/>
        </w:rPr>
        <w:t>妨害药品管理罪的法益明确与限缩保护</w:t>
      </w:r>
      <w:r>
        <w:rPr>
          <w:rFonts w:ascii="Times New Roman" w:eastAsia="楷体" w:hAnsi="Times New Roman" w:cs="Times New Roman"/>
          <w:szCs w:val="18"/>
        </w:rPr>
        <w:t>[J].</w:t>
      </w:r>
      <w:r>
        <w:rPr>
          <w:rFonts w:ascii="Times New Roman" w:eastAsia="楷体" w:hAnsi="Times New Roman" w:cs="Times New Roman"/>
          <w:szCs w:val="18"/>
        </w:rPr>
        <w:t>中国刑警学院学报</w:t>
      </w:r>
      <w:r>
        <w:rPr>
          <w:rFonts w:ascii="Times New Roman" w:eastAsia="楷体" w:hAnsi="Times New Roman" w:cs="Times New Roman"/>
          <w:szCs w:val="18"/>
        </w:rPr>
        <w:t>,2024(03):49-59.</w:t>
      </w:r>
    </w:p>
  </w:footnote>
  <w:footnote w:id="14">
    <w:p w14:paraId="5A10C64A"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马春晓</w:t>
      </w:r>
      <w:r>
        <w:rPr>
          <w:rFonts w:ascii="Times New Roman" w:eastAsia="楷体" w:hAnsi="Times New Roman" w:cs="Times New Roman"/>
          <w:szCs w:val="18"/>
        </w:rPr>
        <w:t>.</w:t>
      </w:r>
      <w:r>
        <w:rPr>
          <w:rFonts w:ascii="Times New Roman" w:eastAsia="楷体" w:hAnsi="Times New Roman" w:cs="Times New Roman"/>
          <w:szCs w:val="18"/>
        </w:rPr>
        <w:t>区分行政违法与犯罪的新视角</w:t>
      </w:r>
      <w:r>
        <w:rPr>
          <w:rFonts w:ascii="Times New Roman" w:eastAsia="楷体" w:hAnsi="Times New Roman" w:cs="Times New Roman"/>
          <w:szCs w:val="18"/>
        </w:rPr>
        <w:t>:</w:t>
      </w:r>
      <w:r>
        <w:rPr>
          <w:rFonts w:ascii="Times New Roman" w:eastAsia="楷体" w:hAnsi="Times New Roman" w:cs="Times New Roman"/>
          <w:szCs w:val="18"/>
        </w:rPr>
        <w:t>基于构成要件之质的区别说</w:t>
      </w:r>
      <w:r>
        <w:rPr>
          <w:rFonts w:ascii="Times New Roman" w:eastAsia="楷体" w:hAnsi="Times New Roman" w:cs="Times New Roman"/>
          <w:szCs w:val="18"/>
        </w:rPr>
        <w:t>[J].</w:t>
      </w:r>
      <w:r>
        <w:rPr>
          <w:rFonts w:ascii="Times New Roman" w:eastAsia="楷体" w:hAnsi="Times New Roman" w:cs="Times New Roman"/>
          <w:szCs w:val="18"/>
        </w:rPr>
        <w:t>中国刑事法杂志</w:t>
      </w:r>
      <w:r>
        <w:rPr>
          <w:rFonts w:ascii="Times New Roman" w:eastAsia="楷体" w:hAnsi="Times New Roman" w:cs="Times New Roman"/>
          <w:szCs w:val="18"/>
        </w:rPr>
        <w:t>,2020,(01):81-98.</w:t>
      </w:r>
    </w:p>
  </w:footnote>
  <w:footnote w:id="15">
    <w:p w14:paraId="5093EFA8"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敦宁</w:t>
      </w:r>
      <w:r>
        <w:rPr>
          <w:rFonts w:ascii="Times New Roman" w:eastAsia="楷体" w:hAnsi="Times New Roman" w:cs="Times New Roman"/>
          <w:szCs w:val="18"/>
        </w:rPr>
        <w:t>.</w:t>
      </w:r>
      <w:r>
        <w:rPr>
          <w:rFonts w:ascii="Times New Roman" w:eastAsia="楷体" w:hAnsi="Times New Roman" w:cs="Times New Roman"/>
          <w:szCs w:val="18"/>
        </w:rPr>
        <w:t>妨害药品管理罪的法教义学分析</w:t>
      </w:r>
      <w:r>
        <w:rPr>
          <w:rFonts w:ascii="Times New Roman" w:eastAsia="楷体" w:hAnsi="Times New Roman" w:cs="Times New Roman"/>
          <w:szCs w:val="18"/>
        </w:rPr>
        <w:t>[J].</w:t>
      </w:r>
      <w:r>
        <w:rPr>
          <w:rFonts w:ascii="Times New Roman" w:eastAsia="楷体" w:hAnsi="Times New Roman" w:cs="Times New Roman"/>
          <w:szCs w:val="18"/>
        </w:rPr>
        <w:t>政治与法律</w:t>
      </w:r>
      <w:r>
        <w:rPr>
          <w:rFonts w:ascii="Times New Roman" w:eastAsia="楷体" w:hAnsi="Times New Roman" w:cs="Times New Roman"/>
          <w:szCs w:val="18"/>
        </w:rPr>
        <w:t>,2021(12):53-67.</w:t>
      </w:r>
    </w:p>
  </w:footnote>
  <w:footnote w:id="16">
    <w:p w14:paraId="565DD3A6"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山东省青岛市中级人民法院</w:t>
      </w:r>
      <w:r>
        <w:rPr>
          <w:rFonts w:ascii="Times New Roman" w:eastAsia="楷体" w:hAnsi="Times New Roman" w:cs="Times New Roman"/>
          <w:szCs w:val="18"/>
        </w:rPr>
        <w:t>.(2025)</w:t>
      </w:r>
      <w:r>
        <w:rPr>
          <w:rFonts w:ascii="Times New Roman" w:eastAsia="楷体" w:hAnsi="Times New Roman" w:cs="Times New Roman"/>
          <w:szCs w:val="18"/>
        </w:rPr>
        <w:t>鲁</w:t>
      </w:r>
      <w:r>
        <w:rPr>
          <w:rFonts w:ascii="Times New Roman" w:eastAsia="楷体" w:hAnsi="Times New Roman" w:cs="Times New Roman"/>
          <w:szCs w:val="18"/>
        </w:rPr>
        <w:t>02</w:t>
      </w:r>
      <w:r>
        <w:rPr>
          <w:rFonts w:ascii="Times New Roman" w:eastAsia="楷体" w:hAnsi="Times New Roman" w:cs="Times New Roman"/>
          <w:szCs w:val="18"/>
        </w:rPr>
        <w:t>刑终</w:t>
      </w:r>
      <w:r>
        <w:rPr>
          <w:rFonts w:ascii="Times New Roman" w:eastAsia="楷体" w:hAnsi="Times New Roman" w:cs="Times New Roman"/>
          <w:szCs w:val="18"/>
        </w:rPr>
        <w:t>127</w:t>
      </w:r>
      <w:r>
        <w:rPr>
          <w:rFonts w:ascii="Times New Roman" w:eastAsia="楷体" w:hAnsi="Times New Roman" w:cs="Times New Roman"/>
          <w:szCs w:val="18"/>
        </w:rPr>
        <w:t>号</w:t>
      </w:r>
      <w:r>
        <w:rPr>
          <w:rFonts w:ascii="Times New Roman" w:eastAsia="楷体" w:hAnsi="Times New Roman" w:cs="Times New Roman"/>
          <w:szCs w:val="18"/>
        </w:rPr>
        <w:t>.</w:t>
      </w:r>
    </w:p>
  </w:footnote>
  <w:footnote w:id="17">
    <w:p w14:paraId="688D7C6A"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上海赛诺克医药科技有限公司、张奇能等妨害药品管理案</w:t>
      </w:r>
      <w:r>
        <w:rPr>
          <w:rFonts w:ascii="Times New Roman" w:eastAsia="楷体" w:hAnsi="Times New Roman" w:cs="Times New Roman"/>
          <w:szCs w:val="18"/>
        </w:rPr>
        <w:t>.</w:t>
      </w:r>
      <w:r>
        <w:rPr>
          <w:rFonts w:ascii="Times New Roman" w:eastAsia="楷体" w:hAnsi="Times New Roman" w:cs="Times New Roman"/>
          <w:szCs w:val="18"/>
        </w:rPr>
        <w:t>刑事审判参考第</w:t>
      </w:r>
      <w:r>
        <w:rPr>
          <w:rFonts w:ascii="Times New Roman" w:eastAsia="楷体" w:hAnsi="Times New Roman" w:cs="Times New Roman"/>
          <w:szCs w:val="18"/>
        </w:rPr>
        <w:t>1493</w:t>
      </w:r>
      <w:r>
        <w:rPr>
          <w:rFonts w:ascii="Times New Roman" w:eastAsia="楷体" w:hAnsi="Times New Roman" w:cs="Times New Roman"/>
          <w:szCs w:val="18"/>
        </w:rPr>
        <w:t>号</w:t>
      </w:r>
      <w:r>
        <w:rPr>
          <w:rFonts w:ascii="Times New Roman" w:eastAsia="楷体" w:hAnsi="Times New Roman" w:cs="Times New Roman"/>
          <w:szCs w:val="18"/>
        </w:rPr>
        <w:t>.</w:t>
      </w:r>
    </w:p>
  </w:footnote>
  <w:footnote w:id="18">
    <w:p w14:paraId="16EAEB0B"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陈卓</w:t>
      </w:r>
      <w:r>
        <w:rPr>
          <w:rFonts w:ascii="Times New Roman" w:eastAsia="楷体" w:hAnsi="Times New Roman" w:cs="Times New Roman"/>
          <w:szCs w:val="18"/>
        </w:rPr>
        <w:t>.</w:t>
      </w:r>
      <w:r>
        <w:rPr>
          <w:rFonts w:ascii="Times New Roman" w:eastAsia="楷体" w:hAnsi="Times New Roman" w:cs="Times New Roman"/>
          <w:szCs w:val="18"/>
        </w:rPr>
        <w:t>妨害药品管理罪的司法虚置及对策</w:t>
      </w:r>
      <w:r>
        <w:rPr>
          <w:rFonts w:ascii="Times New Roman" w:eastAsia="楷体" w:hAnsi="Times New Roman" w:cs="Times New Roman"/>
          <w:szCs w:val="18"/>
        </w:rPr>
        <w:t>[J].</w:t>
      </w:r>
      <w:r>
        <w:rPr>
          <w:rFonts w:ascii="Times New Roman" w:eastAsia="楷体" w:hAnsi="Times New Roman" w:cs="Times New Roman"/>
          <w:szCs w:val="18"/>
        </w:rPr>
        <w:t>医学与社会</w:t>
      </w:r>
      <w:r>
        <w:rPr>
          <w:rFonts w:ascii="Times New Roman" w:eastAsia="楷体" w:hAnsi="Times New Roman" w:cs="Times New Roman"/>
          <w:szCs w:val="18"/>
        </w:rPr>
        <w:t xml:space="preserve">,2023,36(09):138-144. </w:t>
      </w:r>
    </w:p>
  </w:footnote>
  <w:footnote w:id="19">
    <w:p w14:paraId="4D47B420" w14:textId="77777777" w:rsidR="00344C2B" w:rsidRDefault="00000000">
      <w:pPr>
        <w:widowControl/>
        <w:snapToGrid w:val="0"/>
        <w:rPr>
          <w:rFonts w:ascii="Times New Roman" w:eastAsia="楷体" w:hAnsi="Times New Roman" w:cs="Times New Roman"/>
          <w:sz w:val="18"/>
          <w:szCs w:val="18"/>
        </w:rPr>
      </w:pPr>
      <w:r>
        <w:rPr>
          <w:rStyle w:val="a8"/>
          <w:rFonts w:ascii="Times New Roman" w:eastAsia="楷体" w:hAnsi="Times New Roman" w:cs="Times New Roman"/>
          <w:sz w:val="18"/>
          <w:szCs w:val="18"/>
        </w:rPr>
        <w:footnoteRef/>
      </w:r>
      <w:r>
        <w:rPr>
          <w:rFonts w:ascii="Times New Roman" w:eastAsia="楷体" w:hAnsi="Times New Roman" w:cs="Times New Roman"/>
          <w:sz w:val="18"/>
          <w:szCs w:val="18"/>
        </w:rPr>
        <w:t xml:space="preserve"> </w:t>
      </w:r>
      <w:r>
        <w:rPr>
          <w:rFonts w:ascii="Times New Roman" w:eastAsia="楷体" w:hAnsi="Times New Roman" w:cs="Times New Roman"/>
          <w:color w:val="000000"/>
          <w:kern w:val="0"/>
          <w:sz w:val="18"/>
          <w:szCs w:val="18"/>
          <w:lang w:bidi="ar"/>
        </w:rPr>
        <w:t>陈洪兵</w:t>
      </w:r>
      <w:r>
        <w:rPr>
          <w:rFonts w:ascii="Times New Roman" w:eastAsia="楷体" w:hAnsi="Times New Roman" w:cs="Times New Roman"/>
          <w:color w:val="000000"/>
          <w:kern w:val="0"/>
          <w:sz w:val="18"/>
          <w:szCs w:val="18"/>
          <w:lang w:bidi="ar"/>
        </w:rPr>
        <w:t>.</w:t>
      </w:r>
      <w:r>
        <w:rPr>
          <w:rFonts w:ascii="Times New Roman" w:eastAsia="楷体" w:hAnsi="Times New Roman" w:cs="Times New Roman"/>
          <w:color w:val="000000"/>
          <w:kern w:val="0"/>
          <w:sz w:val="18"/>
          <w:szCs w:val="18"/>
          <w:lang w:bidi="ar"/>
        </w:rPr>
        <w:t>准抽象危险犯概念之提倡</w:t>
      </w:r>
      <w:r>
        <w:rPr>
          <w:rFonts w:ascii="Times New Roman" w:eastAsia="楷体" w:hAnsi="Times New Roman" w:cs="Times New Roman"/>
          <w:color w:val="000000"/>
          <w:kern w:val="0"/>
          <w:sz w:val="18"/>
          <w:szCs w:val="18"/>
          <w:lang w:bidi="ar"/>
        </w:rPr>
        <w:t>[J].</w:t>
      </w:r>
      <w:r>
        <w:rPr>
          <w:rFonts w:ascii="Times New Roman" w:eastAsia="楷体" w:hAnsi="Times New Roman" w:cs="Times New Roman"/>
          <w:color w:val="000000"/>
          <w:kern w:val="0"/>
          <w:sz w:val="18"/>
          <w:szCs w:val="18"/>
          <w:lang w:bidi="ar"/>
        </w:rPr>
        <w:t>法学研究</w:t>
      </w:r>
      <w:r>
        <w:rPr>
          <w:rFonts w:ascii="Times New Roman" w:eastAsia="楷体" w:hAnsi="Times New Roman" w:cs="Times New Roman"/>
          <w:color w:val="000000"/>
          <w:kern w:val="0"/>
          <w:sz w:val="18"/>
          <w:szCs w:val="18"/>
          <w:lang w:bidi="ar"/>
        </w:rPr>
        <w:t>,2015,37(05):123-138.</w:t>
      </w:r>
    </w:p>
  </w:footnote>
  <w:footnote w:id="20">
    <w:p w14:paraId="52D61321"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color w:val="000000"/>
          <w:kern w:val="0"/>
          <w:szCs w:val="18"/>
          <w:lang w:bidi="ar"/>
        </w:rPr>
        <w:t>喻海松</w:t>
      </w:r>
      <w:r>
        <w:rPr>
          <w:rFonts w:ascii="Times New Roman" w:eastAsia="楷体" w:hAnsi="Times New Roman" w:cs="Times New Roman"/>
          <w:color w:val="000000"/>
          <w:kern w:val="0"/>
          <w:szCs w:val="18"/>
          <w:lang w:bidi="ar"/>
        </w:rPr>
        <w:t>.</w:t>
      </w:r>
      <w:r>
        <w:rPr>
          <w:rFonts w:ascii="Times New Roman" w:eastAsia="楷体" w:hAnsi="Times New Roman" w:cs="Times New Roman"/>
          <w:color w:val="000000"/>
          <w:kern w:val="0"/>
          <w:szCs w:val="18"/>
          <w:lang w:bidi="ar"/>
        </w:rPr>
        <w:t>《刑法修正案（十一）》后时代药品犯罪圈的重置</w:t>
      </w:r>
      <w:r>
        <w:rPr>
          <w:rFonts w:ascii="Times New Roman" w:eastAsia="楷体" w:hAnsi="Times New Roman" w:cs="Times New Roman"/>
          <w:color w:val="000000"/>
          <w:kern w:val="0"/>
          <w:szCs w:val="18"/>
          <w:lang w:bidi="ar"/>
        </w:rPr>
        <w:t>[J].</w:t>
      </w:r>
      <w:r>
        <w:rPr>
          <w:rFonts w:ascii="Times New Roman" w:eastAsia="楷体" w:hAnsi="Times New Roman" w:cs="Times New Roman"/>
          <w:color w:val="000000"/>
          <w:kern w:val="0"/>
          <w:szCs w:val="18"/>
          <w:lang w:bidi="ar"/>
        </w:rPr>
        <w:t>法学</w:t>
      </w:r>
      <w:r>
        <w:rPr>
          <w:rFonts w:ascii="Times New Roman" w:eastAsia="楷体" w:hAnsi="Times New Roman" w:cs="Times New Roman"/>
          <w:color w:val="000000"/>
          <w:kern w:val="0"/>
          <w:szCs w:val="18"/>
          <w:lang w:bidi="ar"/>
        </w:rPr>
        <w:t>,2023,(02):62-76.</w:t>
      </w:r>
    </w:p>
  </w:footnote>
  <w:footnote w:id="21">
    <w:p w14:paraId="79A8BB37"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王姿惠</w:t>
      </w:r>
      <w:r>
        <w:rPr>
          <w:rFonts w:ascii="Times New Roman" w:eastAsia="楷体" w:hAnsi="Times New Roman" w:cs="Times New Roman"/>
          <w:szCs w:val="18"/>
        </w:rPr>
        <w:t>.</w:t>
      </w:r>
      <w:r>
        <w:rPr>
          <w:rFonts w:ascii="Times New Roman" w:eastAsia="楷体" w:hAnsi="Times New Roman" w:cs="Times New Roman"/>
          <w:szCs w:val="18"/>
        </w:rPr>
        <w:t>妨害药品管理罪中</w:t>
      </w:r>
      <w:r>
        <w:rPr>
          <w:rFonts w:ascii="Times New Roman" w:eastAsia="楷体" w:hAnsi="Times New Roman" w:cs="Times New Roman"/>
          <w:szCs w:val="18"/>
        </w:rPr>
        <w:t>“</w:t>
      </w:r>
      <w:r>
        <w:rPr>
          <w:rFonts w:ascii="Times New Roman" w:eastAsia="楷体" w:hAnsi="Times New Roman" w:cs="Times New Roman"/>
          <w:szCs w:val="18"/>
        </w:rPr>
        <w:t>足以严重危害人体健康</w:t>
      </w:r>
      <w:r>
        <w:rPr>
          <w:rFonts w:ascii="Times New Roman" w:eastAsia="楷体" w:hAnsi="Times New Roman" w:cs="Times New Roman"/>
          <w:szCs w:val="18"/>
        </w:rPr>
        <w:t>”</w:t>
      </w:r>
      <w:r>
        <w:rPr>
          <w:rFonts w:ascii="Times New Roman" w:eastAsia="楷体" w:hAnsi="Times New Roman" w:cs="Times New Roman"/>
          <w:szCs w:val="18"/>
        </w:rPr>
        <w:t>的认定</w:t>
      </w:r>
      <w:r>
        <w:rPr>
          <w:rFonts w:ascii="Times New Roman" w:eastAsia="楷体" w:hAnsi="Times New Roman" w:cs="Times New Roman"/>
          <w:szCs w:val="18"/>
        </w:rPr>
        <w:t>——</w:t>
      </w:r>
      <w:r>
        <w:rPr>
          <w:rFonts w:ascii="Times New Roman" w:eastAsia="楷体" w:hAnsi="Times New Roman" w:cs="Times New Roman"/>
          <w:szCs w:val="18"/>
        </w:rPr>
        <w:t>以双重法益说为核心</w:t>
      </w:r>
      <w:r>
        <w:rPr>
          <w:rFonts w:ascii="Times New Roman" w:eastAsia="楷体" w:hAnsi="Times New Roman" w:cs="Times New Roman"/>
          <w:szCs w:val="18"/>
        </w:rPr>
        <w:t>[J].</w:t>
      </w:r>
      <w:r>
        <w:rPr>
          <w:rFonts w:ascii="Times New Roman" w:eastAsia="楷体" w:hAnsi="Times New Roman" w:cs="Times New Roman"/>
          <w:szCs w:val="18"/>
        </w:rPr>
        <w:t>中国刑警学院学报</w:t>
      </w:r>
      <w:r>
        <w:rPr>
          <w:rFonts w:ascii="Times New Roman" w:eastAsia="楷体" w:hAnsi="Times New Roman" w:cs="Times New Roman"/>
          <w:szCs w:val="18"/>
        </w:rPr>
        <w:t>,2025,(06):118-128.</w:t>
      </w:r>
    </w:p>
  </w:footnote>
  <w:footnote w:id="22">
    <w:p w14:paraId="59233234"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人王刚</w:t>
      </w:r>
      <w:r>
        <w:rPr>
          <w:rFonts w:ascii="Times New Roman" w:eastAsia="楷体" w:hAnsi="Times New Roman" w:cs="Times New Roman"/>
          <w:szCs w:val="18"/>
        </w:rPr>
        <w:t>,</w:t>
      </w:r>
      <w:r>
        <w:rPr>
          <w:rFonts w:ascii="Times New Roman" w:eastAsia="楷体" w:hAnsi="Times New Roman" w:cs="Times New Roman"/>
          <w:szCs w:val="18"/>
        </w:rPr>
        <w:t>黄洁</w:t>
      </w:r>
      <w:r>
        <w:rPr>
          <w:rFonts w:ascii="Times New Roman" w:eastAsia="楷体" w:hAnsi="Times New Roman" w:cs="Times New Roman"/>
          <w:szCs w:val="18"/>
        </w:rPr>
        <w:t>.</w:t>
      </w:r>
      <w:r>
        <w:rPr>
          <w:rFonts w:ascii="Times New Roman" w:eastAsia="楷体" w:hAnsi="Times New Roman" w:cs="Times New Roman"/>
          <w:szCs w:val="18"/>
        </w:rPr>
        <w:t>妨害药品管理罪违法性的三层次判断</w:t>
      </w:r>
      <w:r>
        <w:rPr>
          <w:rFonts w:ascii="Times New Roman" w:eastAsia="楷体" w:hAnsi="Times New Roman" w:cs="Times New Roman"/>
          <w:szCs w:val="18"/>
        </w:rPr>
        <w:t>[EB/OL]. [2026-03-17]. https://www.spp.gov.cn/spp/llyj/202312/t20231216_637039.shtml</w:t>
      </w:r>
    </w:p>
  </w:footnote>
  <w:footnote w:id="23">
    <w:p w14:paraId="3649CD3B"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敦宁</w:t>
      </w:r>
      <w:r>
        <w:rPr>
          <w:rFonts w:ascii="Times New Roman" w:eastAsia="楷体" w:hAnsi="Times New Roman" w:cs="Times New Roman"/>
          <w:szCs w:val="18"/>
        </w:rPr>
        <w:t>.</w:t>
      </w:r>
      <w:r>
        <w:rPr>
          <w:rFonts w:ascii="Times New Roman" w:eastAsia="楷体" w:hAnsi="Times New Roman" w:cs="Times New Roman"/>
          <w:szCs w:val="18"/>
        </w:rPr>
        <w:t>妨害药品管理罪的法教义学分析</w:t>
      </w:r>
      <w:r>
        <w:rPr>
          <w:rFonts w:ascii="Times New Roman" w:eastAsia="楷体" w:hAnsi="Times New Roman" w:cs="Times New Roman"/>
          <w:szCs w:val="18"/>
        </w:rPr>
        <w:t>[J].</w:t>
      </w:r>
      <w:r>
        <w:rPr>
          <w:rFonts w:ascii="Times New Roman" w:eastAsia="楷体" w:hAnsi="Times New Roman" w:cs="Times New Roman"/>
          <w:szCs w:val="18"/>
        </w:rPr>
        <w:t>政治与法律</w:t>
      </w:r>
      <w:r>
        <w:rPr>
          <w:rFonts w:ascii="Times New Roman" w:eastAsia="楷体" w:hAnsi="Times New Roman" w:cs="Times New Roman"/>
          <w:szCs w:val="18"/>
        </w:rPr>
        <w:t xml:space="preserve">,2021(12):53-67. </w:t>
      </w:r>
    </w:p>
  </w:footnote>
  <w:footnote w:id="24">
    <w:p w14:paraId="48533031"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田宏杰</w:t>
      </w:r>
      <w:r>
        <w:rPr>
          <w:rFonts w:ascii="Times New Roman" w:eastAsia="楷体" w:hAnsi="Times New Roman" w:cs="Times New Roman"/>
          <w:szCs w:val="18"/>
        </w:rPr>
        <w:t>.</w:t>
      </w:r>
      <w:r>
        <w:rPr>
          <w:rFonts w:ascii="Times New Roman" w:eastAsia="楷体" w:hAnsi="Times New Roman" w:cs="Times New Roman"/>
          <w:szCs w:val="18"/>
        </w:rPr>
        <w:t>合作共治：行政犯治理的路径选择</w:t>
      </w:r>
      <w:r>
        <w:rPr>
          <w:rFonts w:ascii="Times New Roman" w:eastAsia="楷体" w:hAnsi="Times New Roman" w:cs="Times New Roman"/>
          <w:szCs w:val="18"/>
        </w:rPr>
        <w:t>[J].</w:t>
      </w:r>
      <w:r>
        <w:rPr>
          <w:rFonts w:ascii="Times New Roman" w:eastAsia="楷体" w:hAnsi="Times New Roman" w:cs="Times New Roman"/>
          <w:szCs w:val="18"/>
        </w:rPr>
        <w:t>法律科学</w:t>
      </w:r>
      <w:r>
        <w:rPr>
          <w:rFonts w:ascii="Times New Roman" w:eastAsia="楷体" w:hAnsi="Times New Roman" w:cs="Times New Roman"/>
          <w:szCs w:val="18"/>
        </w:rPr>
        <w:t>(</w:t>
      </w:r>
      <w:r>
        <w:rPr>
          <w:rFonts w:ascii="Times New Roman" w:eastAsia="楷体" w:hAnsi="Times New Roman" w:cs="Times New Roman"/>
          <w:szCs w:val="18"/>
        </w:rPr>
        <w:t>西北政法大学学报</w:t>
      </w:r>
      <w:r>
        <w:rPr>
          <w:rFonts w:ascii="Times New Roman" w:eastAsia="楷体" w:hAnsi="Times New Roman" w:cs="Times New Roman"/>
          <w:szCs w:val="18"/>
        </w:rPr>
        <w:t>),2022,40(05):155-165.</w:t>
      </w:r>
    </w:p>
  </w:footnote>
  <w:footnote w:id="25">
    <w:p w14:paraId="3A6CA6E3"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刘汴鹤</w:t>
      </w:r>
      <w:r>
        <w:rPr>
          <w:rFonts w:ascii="Times New Roman" w:eastAsia="楷体" w:hAnsi="Times New Roman" w:cs="Times New Roman"/>
          <w:szCs w:val="18"/>
        </w:rPr>
        <w:t>.</w:t>
      </w:r>
      <w:r>
        <w:rPr>
          <w:rFonts w:ascii="Times New Roman" w:eastAsia="楷体" w:hAnsi="Times New Roman" w:cs="Times New Roman"/>
          <w:szCs w:val="18"/>
        </w:rPr>
        <w:t>妨害药品管理罪的法益明确与限缩保护</w:t>
      </w:r>
      <w:r>
        <w:rPr>
          <w:rFonts w:ascii="Times New Roman" w:eastAsia="楷体" w:hAnsi="Times New Roman" w:cs="Times New Roman"/>
          <w:szCs w:val="18"/>
        </w:rPr>
        <w:t>[J].</w:t>
      </w:r>
      <w:r>
        <w:rPr>
          <w:rFonts w:ascii="Times New Roman" w:eastAsia="楷体" w:hAnsi="Times New Roman" w:cs="Times New Roman"/>
          <w:szCs w:val="18"/>
        </w:rPr>
        <w:t>中国刑警学院学报</w:t>
      </w:r>
      <w:r>
        <w:rPr>
          <w:rFonts w:ascii="Times New Roman" w:eastAsia="楷体" w:hAnsi="Times New Roman" w:cs="Times New Roman"/>
          <w:szCs w:val="18"/>
        </w:rPr>
        <w:t>,2024(03):49-59.</w:t>
      </w:r>
    </w:p>
  </w:footnote>
  <w:footnote w:id="26">
    <w:p w14:paraId="754B1932"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宣栋</w:t>
      </w:r>
      <w:r>
        <w:rPr>
          <w:rFonts w:ascii="Times New Roman" w:eastAsia="楷体" w:hAnsi="Times New Roman" w:cs="Times New Roman"/>
          <w:szCs w:val="18"/>
        </w:rPr>
        <w:t>.</w:t>
      </w:r>
      <w:r>
        <w:rPr>
          <w:rFonts w:ascii="Times New Roman" w:eastAsia="楷体" w:hAnsi="Times New Roman" w:cs="Times New Roman"/>
          <w:szCs w:val="18"/>
        </w:rPr>
        <w:t>药品管理秩序刑法保护的逻辑与限度</w:t>
      </w:r>
      <w:r>
        <w:rPr>
          <w:rFonts w:ascii="Times New Roman" w:eastAsia="楷体" w:hAnsi="Times New Roman" w:cs="Times New Roman"/>
          <w:szCs w:val="18"/>
        </w:rPr>
        <w:t>[J].</w:t>
      </w:r>
      <w:r>
        <w:rPr>
          <w:rFonts w:ascii="Times New Roman" w:eastAsia="楷体" w:hAnsi="Times New Roman" w:cs="Times New Roman"/>
          <w:szCs w:val="18"/>
        </w:rPr>
        <w:t>中国政法大学学报</w:t>
      </w:r>
      <w:r>
        <w:rPr>
          <w:rFonts w:ascii="Times New Roman" w:eastAsia="楷体" w:hAnsi="Times New Roman" w:cs="Times New Roman"/>
          <w:szCs w:val="18"/>
        </w:rPr>
        <w:t>,2023(06):265-279.</w:t>
      </w:r>
    </w:p>
  </w:footnote>
  <w:footnote w:id="27">
    <w:p w14:paraId="5D127EFC"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田宏杰</w:t>
      </w:r>
      <w:r>
        <w:rPr>
          <w:rFonts w:ascii="Times New Roman" w:eastAsia="楷体" w:hAnsi="Times New Roman" w:cs="Times New Roman"/>
          <w:szCs w:val="18"/>
        </w:rPr>
        <w:t>.</w:t>
      </w:r>
      <w:r>
        <w:rPr>
          <w:rFonts w:ascii="Times New Roman" w:eastAsia="楷体" w:hAnsi="Times New Roman" w:cs="Times New Roman"/>
          <w:szCs w:val="18"/>
        </w:rPr>
        <w:t>合作共治：行政犯治理的路径选择</w:t>
      </w:r>
      <w:r>
        <w:rPr>
          <w:rFonts w:ascii="Times New Roman" w:eastAsia="楷体" w:hAnsi="Times New Roman" w:cs="Times New Roman"/>
          <w:szCs w:val="18"/>
        </w:rPr>
        <w:t>[J].</w:t>
      </w:r>
      <w:r>
        <w:rPr>
          <w:rFonts w:ascii="Times New Roman" w:eastAsia="楷体" w:hAnsi="Times New Roman" w:cs="Times New Roman"/>
          <w:szCs w:val="18"/>
        </w:rPr>
        <w:t>法律科学</w:t>
      </w:r>
      <w:r>
        <w:rPr>
          <w:rFonts w:ascii="Times New Roman" w:eastAsia="楷体" w:hAnsi="Times New Roman" w:cs="Times New Roman"/>
          <w:szCs w:val="18"/>
        </w:rPr>
        <w:t>(</w:t>
      </w:r>
      <w:r>
        <w:rPr>
          <w:rFonts w:ascii="Times New Roman" w:eastAsia="楷体" w:hAnsi="Times New Roman" w:cs="Times New Roman"/>
          <w:szCs w:val="18"/>
        </w:rPr>
        <w:t>西北政法大学学报</w:t>
      </w:r>
      <w:r>
        <w:rPr>
          <w:rFonts w:ascii="Times New Roman" w:eastAsia="楷体" w:hAnsi="Times New Roman" w:cs="Times New Roman"/>
          <w:szCs w:val="18"/>
        </w:rPr>
        <w:t xml:space="preserve">),2022,40(05):155-165. </w:t>
      </w:r>
    </w:p>
  </w:footnote>
  <w:footnote w:id="28">
    <w:p w14:paraId="299E7213"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马春晓</w:t>
      </w:r>
      <w:r>
        <w:rPr>
          <w:rFonts w:ascii="Times New Roman" w:eastAsia="楷体" w:hAnsi="Times New Roman" w:cs="Times New Roman"/>
          <w:szCs w:val="18"/>
        </w:rPr>
        <w:t>.</w:t>
      </w:r>
      <w:r>
        <w:rPr>
          <w:rFonts w:ascii="Times New Roman" w:eastAsia="楷体" w:hAnsi="Times New Roman" w:cs="Times New Roman"/>
          <w:szCs w:val="18"/>
        </w:rPr>
        <w:t>区分行政违法与犯罪的新视角：基于构成要件之质的区别说</w:t>
      </w:r>
      <w:r>
        <w:rPr>
          <w:rFonts w:ascii="Times New Roman" w:eastAsia="楷体" w:hAnsi="Times New Roman" w:cs="Times New Roman"/>
          <w:szCs w:val="18"/>
        </w:rPr>
        <w:t>[J].</w:t>
      </w:r>
      <w:r>
        <w:rPr>
          <w:rFonts w:ascii="Times New Roman" w:eastAsia="楷体" w:hAnsi="Times New Roman" w:cs="Times New Roman"/>
          <w:szCs w:val="18"/>
        </w:rPr>
        <w:t>中国刑事法杂志</w:t>
      </w:r>
      <w:r>
        <w:rPr>
          <w:rFonts w:ascii="Times New Roman" w:eastAsia="楷体" w:hAnsi="Times New Roman" w:cs="Times New Roman"/>
          <w:szCs w:val="18"/>
        </w:rPr>
        <w:t>,2020(01):81-98.</w:t>
      </w:r>
    </w:p>
  </w:footnote>
  <w:footnote w:id="29">
    <w:p w14:paraId="3E8B054A"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张明楷</w:t>
      </w:r>
      <w:r>
        <w:rPr>
          <w:rFonts w:ascii="Times New Roman" w:eastAsia="楷体" w:hAnsi="Times New Roman" w:cs="Times New Roman"/>
          <w:szCs w:val="18"/>
        </w:rPr>
        <w:t>.</w:t>
      </w:r>
      <w:r>
        <w:rPr>
          <w:rFonts w:ascii="Times New Roman" w:eastAsia="楷体" w:hAnsi="Times New Roman" w:cs="Times New Roman"/>
          <w:szCs w:val="18"/>
        </w:rPr>
        <w:t>避免将行政违法认定为刑事犯罪：理念、方法与路径</w:t>
      </w:r>
      <w:r>
        <w:rPr>
          <w:rFonts w:ascii="Times New Roman" w:eastAsia="楷体" w:hAnsi="Times New Roman" w:cs="Times New Roman"/>
          <w:szCs w:val="18"/>
        </w:rPr>
        <w:t>[J].</w:t>
      </w:r>
      <w:r>
        <w:rPr>
          <w:rFonts w:ascii="Times New Roman" w:eastAsia="楷体" w:hAnsi="Times New Roman" w:cs="Times New Roman"/>
          <w:szCs w:val="18"/>
        </w:rPr>
        <w:t>中国法学</w:t>
      </w:r>
      <w:r>
        <w:rPr>
          <w:rFonts w:ascii="Times New Roman" w:eastAsia="楷体" w:hAnsi="Times New Roman" w:cs="Times New Roman"/>
          <w:szCs w:val="18"/>
        </w:rPr>
        <w:t xml:space="preserve">,2017(04):37-56. </w:t>
      </w:r>
    </w:p>
  </w:footnote>
  <w:footnote w:id="30">
    <w:p w14:paraId="7656BF2C"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姜涛</w:t>
      </w:r>
      <w:r>
        <w:rPr>
          <w:rFonts w:ascii="Times New Roman" w:eastAsia="楷体" w:hAnsi="Times New Roman" w:cs="Times New Roman"/>
          <w:szCs w:val="18"/>
        </w:rPr>
        <w:t>.</w:t>
      </w:r>
      <w:r>
        <w:rPr>
          <w:rFonts w:ascii="Times New Roman" w:eastAsia="楷体" w:hAnsi="Times New Roman" w:cs="Times New Roman"/>
          <w:szCs w:val="18"/>
        </w:rPr>
        <w:t>功能视域下刑法最后手段性原则的教义学重述</w:t>
      </w:r>
      <w:r>
        <w:rPr>
          <w:rFonts w:ascii="Times New Roman" w:eastAsia="楷体" w:hAnsi="Times New Roman" w:cs="Times New Roman"/>
          <w:szCs w:val="18"/>
        </w:rPr>
        <w:t>[J].</w:t>
      </w:r>
      <w:r>
        <w:rPr>
          <w:rFonts w:ascii="Times New Roman" w:eastAsia="楷体" w:hAnsi="Times New Roman" w:cs="Times New Roman"/>
          <w:szCs w:val="18"/>
        </w:rPr>
        <w:t>刑事法评论</w:t>
      </w:r>
      <w:r>
        <w:rPr>
          <w:rFonts w:ascii="Times New Roman" w:eastAsia="楷体" w:hAnsi="Times New Roman" w:cs="Times New Roman"/>
          <w:szCs w:val="18"/>
        </w:rPr>
        <w:t>,2019(01):28-49.</w:t>
      </w:r>
    </w:p>
  </w:footnote>
  <w:footnote w:id="31">
    <w:p w14:paraId="78F0EC46"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陈兴良</w:t>
      </w:r>
      <w:r>
        <w:rPr>
          <w:rFonts w:ascii="Times New Roman" w:eastAsia="楷体" w:hAnsi="Times New Roman" w:cs="Times New Roman"/>
          <w:szCs w:val="18"/>
        </w:rPr>
        <w:t>.</w:t>
      </w:r>
      <w:r>
        <w:rPr>
          <w:rFonts w:ascii="Times New Roman" w:eastAsia="楷体" w:hAnsi="Times New Roman" w:cs="Times New Roman"/>
          <w:szCs w:val="18"/>
        </w:rPr>
        <w:t>作为犯罪构成要件的罪量要素</w:t>
      </w:r>
      <w:r>
        <w:rPr>
          <w:rFonts w:ascii="Times New Roman" w:eastAsia="楷体" w:hAnsi="Times New Roman" w:cs="Times New Roman"/>
          <w:szCs w:val="18"/>
        </w:rPr>
        <w:t>——</w:t>
      </w:r>
      <w:r>
        <w:rPr>
          <w:rFonts w:ascii="Times New Roman" w:eastAsia="楷体" w:hAnsi="Times New Roman" w:cs="Times New Roman"/>
          <w:szCs w:val="18"/>
        </w:rPr>
        <w:t>立足于中国刑法的探讨</w:t>
      </w:r>
      <w:r>
        <w:rPr>
          <w:rFonts w:ascii="Times New Roman" w:eastAsia="楷体" w:hAnsi="Times New Roman" w:cs="Times New Roman"/>
          <w:szCs w:val="18"/>
        </w:rPr>
        <w:t>[J].</w:t>
      </w:r>
      <w:r>
        <w:rPr>
          <w:rFonts w:ascii="Times New Roman" w:eastAsia="楷体" w:hAnsi="Times New Roman" w:cs="Times New Roman"/>
          <w:szCs w:val="18"/>
        </w:rPr>
        <w:t>法学研究</w:t>
      </w:r>
      <w:r>
        <w:rPr>
          <w:rFonts w:ascii="Times New Roman" w:eastAsia="楷体" w:hAnsi="Times New Roman" w:cs="Times New Roman"/>
          <w:szCs w:val="18"/>
        </w:rPr>
        <w:t>,2003(05):46-60.</w:t>
      </w:r>
    </w:p>
  </w:footnote>
  <w:footnote w:id="32">
    <w:p w14:paraId="4DA52BD8"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宣栋</w:t>
      </w:r>
      <w:r>
        <w:rPr>
          <w:rFonts w:ascii="Times New Roman" w:eastAsia="楷体" w:hAnsi="Times New Roman" w:cs="Times New Roman"/>
          <w:szCs w:val="18"/>
        </w:rPr>
        <w:t>.</w:t>
      </w:r>
      <w:r>
        <w:rPr>
          <w:rFonts w:ascii="Times New Roman" w:eastAsia="楷体" w:hAnsi="Times New Roman" w:cs="Times New Roman"/>
          <w:szCs w:val="18"/>
        </w:rPr>
        <w:t>药品管理秩序刑法保护的逻辑与限度</w:t>
      </w:r>
      <w:r>
        <w:rPr>
          <w:rFonts w:ascii="Times New Roman" w:eastAsia="楷体" w:hAnsi="Times New Roman" w:cs="Times New Roman"/>
          <w:szCs w:val="18"/>
        </w:rPr>
        <w:t>[J].</w:t>
      </w:r>
      <w:r>
        <w:rPr>
          <w:rFonts w:ascii="Times New Roman" w:eastAsia="楷体" w:hAnsi="Times New Roman" w:cs="Times New Roman"/>
          <w:szCs w:val="18"/>
        </w:rPr>
        <w:t>中国政法大学学报</w:t>
      </w:r>
      <w:r>
        <w:rPr>
          <w:rFonts w:ascii="Times New Roman" w:eastAsia="楷体" w:hAnsi="Times New Roman" w:cs="Times New Roman"/>
          <w:szCs w:val="18"/>
        </w:rPr>
        <w:t>,2023(06):265-279.</w:t>
      </w:r>
    </w:p>
  </w:footnote>
  <w:footnote w:id="33">
    <w:p w14:paraId="548FE565"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敦宁</w:t>
      </w:r>
      <w:r>
        <w:rPr>
          <w:rFonts w:ascii="Times New Roman" w:eastAsia="楷体" w:hAnsi="Times New Roman" w:cs="Times New Roman"/>
          <w:szCs w:val="18"/>
        </w:rPr>
        <w:t>.</w:t>
      </w:r>
      <w:r>
        <w:rPr>
          <w:rFonts w:ascii="Times New Roman" w:eastAsia="楷体" w:hAnsi="Times New Roman" w:cs="Times New Roman"/>
          <w:szCs w:val="18"/>
        </w:rPr>
        <w:t>妨害药品管理罪的法教义学分析</w:t>
      </w:r>
      <w:r>
        <w:rPr>
          <w:rFonts w:ascii="Times New Roman" w:eastAsia="楷体" w:hAnsi="Times New Roman" w:cs="Times New Roman"/>
          <w:szCs w:val="18"/>
        </w:rPr>
        <w:t>[J].</w:t>
      </w:r>
      <w:r>
        <w:rPr>
          <w:rFonts w:ascii="Times New Roman" w:eastAsia="楷体" w:hAnsi="Times New Roman" w:cs="Times New Roman"/>
          <w:szCs w:val="18"/>
        </w:rPr>
        <w:t>政治与法律</w:t>
      </w:r>
      <w:r>
        <w:rPr>
          <w:rFonts w:ascii="Times New Roman" w:eastAsia="楷体" w:hAnsi="Times New Roman" w:cs="Times New Roman"/>
          <w:szCs w:val="18"/>
        </w:rPr>
        <w:t>,2021(12):53-67.</w:t>
      </w:r>
    </w:p>
  </w:footnote>
  <w:footnote w:id="34">
    <w:p w14:paraId="2F602B0F"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任学婧</w:t>
      </w:r>
      <w:r>
        <w:rPr>
          <w:rFonts w:ascii="Times New Roman" w:eastAsia="楷体" w:hAnsi="Times New Roman" w:cs="Times New Roman"/>
          <w:szCs w:val="18"/>
        </w:rPr>
        <w:t>.</w:t>
      </w:r>
      <w:r>
        <w:rPr>
          <w:rFonts w:ascii="Times New Roman" w:eastAsia="楷体" w:hAnsi="Times New Roman" w:cs="Times New Roman"/>
          <w:szCs w:val="18"/>
        </w:rPr>
        <w:t>妨害药品管理行为刑法规制的目的与边界</w:t>
      </w:r>
      <w:r>
        <w:rPr>
          <w:rFonts w:ascii="Times New Roman" w:eastAsia="楷体" w:hAnsi="Times New Roman" w:cs="Times New Roman"/>
          <w:szCs w:val="18"/>
        </w:rPr>
        <w:t>[J].</w:t>
      </w:r>
      <w:r>
        <w:rPr>
          <w:rFonts w:ascii="Times New Roman" w:eastAsia="楷体" w:hAnsi="Times New Roman" w:cs="Times New Roman"/>
          <w:szCs w:val="18"/>
        </w:rPr>
        <w:t>华北理工大学学报</w:t>
      </w:r>
      <w:r>
        <w:rPr>
          <w:rFonts w:ascii="Times New Roman" w:eastAsia="楷体" w:hAnsi="Times New Roman" w:cs="Times New Roman"/>
          <w:szCs w:val="18"/>
        </w:rPr>
        <w:t>(</w:t>
      </w:r>
      <w:r>
        <w:rPr>
          <w:rFonts w:ascii="Times New Roman" w:eastAsia="楷体" w:hAnsi="Times New Roman" w:cs="Times New Roman"/>
          <w:szCs w:val="18"/>
        </w:rPr>
        <w:t>社会科学版</w:t>
      </w:r>
      <w:r>
        <w:rPr>
          <w:rFonts w:ascii="Times New Roman" w:eastAsia="楷体" w:hAnsi="Times New Roman" w:cs="Times New Roman"/>
          <w:szCs w:val="18"/>
        </w:rPr>
        <w:t>),2022,22(02):1-4+11.</w:t>
      </w:r>
    </w:p>
  </w:footnote>
  <w:footnote w:id="35">
    <w:p w14:paraId="1760B059"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参见赵运锋</w:t>
      </w:r>
      <w:r>
        <w:rPr>
          <w:rFonts w:ascii="Times New Roman" w:eastAsia="楷体" w:hAnsi="Times New Roman" w:cs="Times New Roman"/>
          <w:szCs w:val="18"/>
        </w:rPr>
        <w:t>.</w:t>
      </w:r>
      <w:r>
        <w:rPr>
          <w:rFonts w:ascii="Times New Roman" w:eastAsia="楷体" w:hAnsi="Times New Roman" w:cs="Times New Roman"/>
          <w:szCs w:val="18"/>
        </w:rPr>
        <w:t>妨害药品管理罪中</w:t>
      </w:r>
      <w:r>
        <w:rPr>
          <w:rFonts w:ascii="Times New Roman" w:eastAsia="楷体" w:hAnsi="Times New Roman" w:cs="Times New Roman"/>
          <w:szCs w:val="18"/>
        </w:rPr>
        <w:t>"</w:t>
      </w:r>
      <w:r>
        <w:rPr>
          <w:rFonts w:ascii="Times New Roman" w:eastAsia="楷体" w:hAnsi="Times New Roman" w:cs="Times New Roman"/>
          <w:szCs w:val="18"/>
        </w:rPr>
        <w:t>足以严重危害人体健康</w:t>
      </w:r>
      <w:r>
        <w:rPr>
          <w:rFonts w:ascii="Times New Roman" w:eastAsia="楷体" w:hAnsi="Times New Roman" w:cs="Times New Roman"/>
          <w:szCs w:val="18"/>
        </w:rPr>
        <w:t>"</w:t>
      </w:r>
      <w:r>
        <w:rPr>
          <w:rFonts w:ascii="Times New Roman" w:eastAsia="楷体" w:hAnsi="Times New Roman" w:cs="Times New Roman"/>
          <w:szCs w:val="18"/>
        </w:rPr>
        <w:t>研究</w:t>
      </w:r>
      <w:r>
        <w:rPr>
          <w:rFonts w:ascii="Times New Roman" w:eastAsia="楷体" w:hAnsi="Times New Roman" w:cs="Times New Roman"/>
          <w:szCs w:val="18"/>
        </w:rPr>
        <w:t>[J].</w:t>
      </w:r>
      <w:r>
        <w:rPr>
          <w:rFonts w:ascii="Times New Roman" w:eastAsia="楷体" w:hAnsi="Times New Roman" w:cs="Times New Roman"/>
          <w:szCs w:val="18"/>
        </w:rPr>
        <w:t>法学论坛</w:t>
      </w:r>
      <w:r>
        <w:rPr>
          <w:rFonts w:ascii="Times New Roman" w:eastAsia="楷体" w:hAnsi="Times New Roman" w:cs="Times New Roman"/>
          <w:szCs w:val="18"/>
        </w:rPr>
        <w:t>,2023,38(04):48-58.</w:t>
      </w:r>
    </w:p>
  </w:footnote>
  <w:footnote w:id="36">
    <w:p w14:paraId="735A0E43" w14:textId="77777777" w:rsidR="00344C2B" w:rsidRDefault="00000000">
      <w:pPr>
        <w:pStyle w:val="a9"/>
        <w:ind w:firstLine="360"/>
        <w:rPr>
          <w:rFonts w:ascii="Times New Roman" w:eastAsia="楷体" w:hAnsi="Times New Roman" w:cs="Times New Roman"/>
          <w:sz w:val="18"/>
          <w:szCs w:val="18"/>
        </w:rPr>
      </w:pPr>
      <w:r>
        <w:rPr>
          <w:rStyle w:val="a8"/>
          <w:rFonts w:ascii="Times New Roman" w:eastAsia="楷体" w:hAnsi="Times New Roman" w:cs="Times New Roman"/>
          <w:sz w:val="18"/>
          <w:szCs w:val="18"/>
        </w:rPr>
        <w:footnoteRef/>
      </w:r>
      <w:r>
        <w:rPr>
          <w:rFonts w:ascii="Times New Roman" w:eastAsia="楷体" w:hAnsi="Times New Roman" w:cs="Times New Roman"/>
          <w:sz w:val="18"/>
          <w:szCs w:val="18"/>
        </w:rPr>
        <w:t xml:space="preserve"> </w:t>
      </w:r>
      <w:r>
        <w:rPr>
          <w:rFonts w:ascii="Times New Roman" w:eastAsia="楷体" w:hAnsi="Times New Roman" w:cs="Times New Roman"/>
          <w:sz w:val="18"/>
          <w:szCs w:val="18"/>
        </w:rPr>
        <w:t>钱叶六</w:t>
      </w:r>
      <w:r>
        <w:rPr>
          <w:rFonts w:ascii="Times New Roman" w:eastAsia="楷体" w:hAnsi="Times New Roman" w:cs="Times New Roman"/>
          <w:sz w:val="18"/>
          <w:szCs w:val="18"/>
        </w:rPr>
        <w:t>,</w:t>
      </w:r>
      <w:r>
        <w:rPr>
          <w:rFonts w:ascii="Times New Roman" w:eastAsia="楷体" w:hAnsi="Times New Roman" w:cs="Times New Roman"/>
          <w:sz w:val="18"/>
          <w:szCs w:val="18"/>
        </w:rPr>
        <w:t>庄渊智</w:t>
      </w:r>
      <w:r>
        <w:rPr>
          <w:rFonts w:ascii="Times New Roman" w:eastAsia="楷体" w:hAnsi="Times New Roman" w:cs="Times New Roman"/>
          <w:sz w:val="18"/>
          <w:szCs w:val="18"/>
        </w:rPr>
        <w:t>.</w:t>
      </w:r>
      <w:r>
        <w:rPr>
          <w:rFonts w:ascii="Times New Roman" w:eastAsia="楷体" w:hAnsi="Times New Roman" w:cs="Times New Roman"/>
          <w:sz w:val="18"/>
          <w:szCs w:val="18"/>
        </w:rPr>
        <w:t>妨害药品管理罪危险犯性质的识别与判断</w:t>
      </w:r>
      <w:r>
        <w:rPr>
          <w:rFonts w:ascii="Times New Roman" w:eastAsia="楷体" w:hAnsi="Times New Roman" w:cs="Times New Roman"/>
          <w:sz w:val="18"/>
          <w:szCs w:val="18"/>
        </w:rPr>
        <w:t>[J].</w:t>
      </w:r>
      <w:r>
        <w:rPr>
          <w:rFonts w:ascii="Times New Roman" w:eastAsia="楷体" w:hAnsi="Times New Roman" w:cs="Times New Roman"/>
          <w:sz w:val="18"/>
          <w:szCs w:val="18"/>
        </w:rPr>
        <w:t>人民检察</w:t>
      </w:r>
      <w:r>
        <w:rPr>
          <w:rFonts w:ascii="Times New Roman" w:eastAsia="楷体" w:hAnsi="Times New Roman" w:cs="Times New Roman"/>
          <w:sz w:val="18"/>
          <w:szCs w:val="18"/>
        </w:rPr>
        <w:t>,2024,(02):12-17.</w:t>
      </w:r>
    </w:p>
  </w:footnote>
  <w:footnote w:id="37">
    <w:p w14:paraId="60E20890"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赵秉志</w:t>
      </w:r>
      <w:r>
        <w:rPr>
          <w:rFonts w:ascii="Times New Roman" w:eastAsia="楷体" w:hAnsi="Times New Roman" w:cs="Times New Roman"/>
          <w:szCs w:val="18"/>
        </w:rPr>
        <w:t>.</w:t>
      </w:r>
      <w:r>
        <w:rPr>
          <w:rFonts w:ascii="Times New Roman" w:eastAsia="楷体" w:hAnsi="Times New Roman" w:cs="Times New Roman"/>
          <w:szCs w:val="18"/>
        </w:rPr>
        <w:t>《刑法修正案（十一）》理解与适用</w:t>
      </w:r>
      <w:r>
        <w:rPr>
          <w:rFonts w:ascii="Times New Roman" w:eastAsia="楷体" w:hAnsi="Times New Roman" w:cs="Times New Roman"/>
          <w:szCs w:val="18"/>
        </w:rPr>
        <w:t>[M].</w:t>
      </w:r>
      <w:r>
        <w:rPr>
          <w:rFonts w:ascii="Times New Roman" w:eastAsia="楷体" w:hAnsi="Times New Roman" w:cs="Times New Roman"/>
          <w:szCs w:val="18"/>
        </w:rPr>
        <w:t>北京</w:t>
      </w:r>
      <w:r>
        <w:rPr>
          <w:rFonts w:ascii="Times New Roman" w:eastAsia="楷体" w:hAnsi="Times New Roman" w:cs="Times New Roman"/>
          <w:szCs w:val="18"/>
        </w:rPr>
        <w:t>:</w:t>
      </w:r>
      <w:r>
        <w:rPr>
          <w:rFonts w:ascii="Times New Roman" w:eastAsia="楷体" w:hAnsi="Times New Roman" w:cs="Times New Roman"/>
          <w:szCs w:val="18"/>
        </w:rPr>
        <w:t>中国人民大学出版社</w:t>
      </w:r>
      <w:r>
        <w:rPr>
          <w:rFonts w:ascii="Times New Roman" w:eastAsia="楷体" w:hAnsi="Times New Roman" w:cs="Times New Roman"/>
          <w:szCs w:val="18"/>
        </w:rPr>
        <w:t>,2021:96.</w:t>
      </w:r>
    </w:p>
  </w:footnote>
  <w:footnote w:id="38">
    <w:p w14:paraId="5A6F6FA0"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肖声鹏</w:t>
      </w:r>
      <w:r>
        <w:rPr>
          <w:rFonts w:ascii="Times New Roman" w:eastAsia="楷体" w:hAnsi="Times New Roman" w:cs="Times New Roman"/>
          <w:szCs w:val="18"/>
        </w:rPr>
        <w:t>,</w:t>
      </w:r>
      <w:r>
        <w:rPr>
          <w:rFonts w:ascii="Times New Roman" w:eastAsia="楷体" w:hAnsi="Times New Roman" w:cs="Times New Roman"/>
          <w:szCs w:val="18"/>
        </w:rPr>
        <w:t>孙绍伟</w:t>
      </w:r>
      <w:r>
        <w:rPr>
          <w:rFonts w:ascii="Times New Roman" w:eastAsia="楷体" w:hAnsi="Times New Roman" w:cs="Times New Roman"/>
          <w:szCs w:val="18"/>
        </w:rPr>
        <w:t>.</w:t>
      </w:r>
      <w:r>
        <w:rPr>
          <w:rFonts w:ascii="Times New Roman" w:eastAsia="楷体" w:hAnsi="Times New Roman" w:cs="Times New Roman"/>
          <w:szCs w:val="18"/>
        </w:rPr>
        <w:t>妨害药品管理行为的刑法规制</w:t>
      </w:r>
      <w:r>
        <w:rPr>
          <w:rFonts w:ascii="Times New Roman" w:eastAsia="楷体" w:hAnsi="Times New Roman" w:cs="Times New Roman"/>
          <w:szCs w:val="18"/>
        </w:rPr>
        <w:t>——</w:t>
      </w:r>
      <w:r>
        <w:rPr>
          <w:rFonts w:ascii="Times New Roman" w:eastAsia="楷体" w:hAnsi="Times New Roman" w:cs="Times New Roman"/>
          <w:szCs w:val="18"/>
        </w:rPr>
        <w:t>以《刑法修正案</w:t>
      </w:r>
      <w:r>
        <w:rPr>
          <w:rFonts w:ascii="Times New Roman" w:eastAsia="楷体" w:hAnsi="Times New Roman" w:cs="Times New Roman"/>
          <w:szCs w:val="18"/>
        </w:rPr>
        <w:t>(</w:t>
      </w:r>
      <w:r>
        <w:rPr>
          <w:rFonts w:ascii="Times New Roman" w:eastAsia="楷体" w:hAnsi="Times New Roman" w:cs="Times New Roman"/>
          <w:szCs w:val="18"/>
        </w:rPr>
        <w:t>十一</w:t>
      </w:r>
      <w:r>
        <w:rPr>
          <w:rFonts w:ascii="Times New Roman" w:eastAsia="楷体" w:hAnsi="Times New Roman" w:cs="Times New Roman"/>
          <w:szCs w:val="18"/>
        </w:rPr>
        <w:t>)</w:t>
      </w:r>
      <w:r>
        <w:rPr>
          <w:rFonts w:ascii="Times New Roman" w:eastAsia="楷体" w:hAnsi="Times New Roman" w:cs="Times New Roman"/>
          <w:szCs w:val="18"/>
        </w:rPr>
        <w:t>》为视角</w:t>
      </w:r>
      <w:r>
        <w:rPr>
          <w:rFonts w:ascii="Times New Roman" w:eastAsia="楷体" w:hAnsi="Times New Roman" w:cs="Times New Roman"/>
          <w:szCs w:val="18"/>
        </w:rPr>
        <w:t>[J].</w:t>
      </w:r>
      <w:r>
        <w:rPr>
          <w:rFonts w:ascii="Times New Roman" w:eastAsia="楷体" w:hAnsi="Times New Roman" w:cs="Times New Roman"/>
          <w:szCs w:val="18"/>
        </w:rPr>
        <w:t>卫生法学</w:t>
      </w:r>
      <w:r>
        <w:rPr>
          <w:rFonts w:ascii="Times New Roman" w:eastAsia="楷体" w:hAnsi="Times New Roman" w:cs="Times New Roman"/>
          <w:szCs w:val="18"/>
        </w:rPr>
        <w:t>,2025,33(01):84-91.</w:t>
      </w:r>
    </w:p>
  </w:footnote>
  <w:footnote w:id="39">
    <w:p w14:paraId="001A3BE0"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陈璇</w:t>
      </w:r>
      <w:r>
        <w:rPr>
          <w:rFonts w:ascii="Times New Roman" w:eastAsia="楷体" w:hAnsi="Times New Roman" w:cs="Times New Roman"/>
          <w:szCs w:val="18"/>
        </w:rPr>
        <w:t>.</w:t>
      </w:r>
      <w:r>
        <w:rPr>
          <w:rFonts w:ascii="Times New Roman" w:eastAsia="楷体" w:hAnsi="Times New Roman" w:cs="Times New Roman"/>
          <w:szCs w:val="18"/>
        </w:rPr>
        <w:t>法益概念与刑事立法正当性检验</w:t>
      </w:r>
      <w:r>
        <w:rPr>
          <w:rFonts w:ascii="Times New Roman" w:eastAsia="楷体" w:hAnsi="Times New Roman" w:cs="Times New Roman"/>
          <w:szCs w:val="18"/>
        </w:rPr>
        <w:t>[J].</w:t>
      </w:r>
      <w:r>
        <w:rPr>
          <w:rFonts w:ascii="Times New Roman" w:eastAsia="楷体" w:hAnsi="Times New Roman" w:cs="Times New Roman"/>
          <w:szCs w:val="18"/>
        </w:rPr>
        <w:t>比较法研究</w:t>
      </w:r>
      <w:r>
        <w:rPr>
          <w:rFonts w:ascii="Times New Roman" w:eastAsia="楷体" w:hAnsi="Times New Roman" w:cs="Times New Roman"/>
          <w:szCs w:val="18"/>
        </w:rPr>
        <w:t>,2020,(03):51-72.</w:t>
      </w:r>
    </w:p>
  </w:footnote>
  <w:footnote w:id="40">
    <w:p w14:paraId="09779F53" w14:textId="77777777" w:rsidR="00344C2B" w:rsidRDefault="00000000">
      <w:pPr>
        <w:pStyle w:val="a5"/>
        <w:rPr>
          <w:rFonts w:ascii="Times New Roman" w:eastAsia="楷体" w:hAnsi="Times New Roman" w:cs="Times New Roman"/>
          <w:color w:val="00B0F0"/>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德</w:t>
      </w:r>
      <w:r>
        <w:rPr>
          <w:rFonts w:ascii="Times New Roman" w:eastAsia="楷体" w:hAnsi="Times New Roman" w:cs="Times New Roman"/>
          <w:szCs w:val="18"/>
        </w:rPr>
        <w:t>]</w:t>
      </w:r>
      <w:r>
        <w:rPr>
          <w:rFonts w:ascii="Times New Roman" w:eastAsia="楷体" w:hAnsi="Times New Roman" w:cs="Times New Roman"/>
          <w:szCs w:val="18"/>
        </w:rPr>
        <w:t>哈特穆特・毛雷尔</w:t>
      </w:r>
      <w:r>
        <w:rPr>
          <w:rFonts w:ascii="Times New Roman" w:eastAsia="楷体" w:hAnsi="Times New Roman" w:cs="Times New Roman"/>
          <w:szCs w:val="18"/>
        </w:rPr>
        <w:t>.</w:t>
      </w:r>
      <w:r>
        <w:rPr>
          <w:rFonts w:ascii="Times New Roman" w:eastAsia="楷体" w:hAnsi="Times New Roman" w:cs="Times New Roman"/>
          <w:szCs w:val="18"/>
        </w:rPr>
        <w:t>行政法学总论</w:t>
      </w:r>
      <w:r>
        <w:rPr>
          <w:rFonts w:ascii="Times New Roman" w:eastAsia="楷体" w:hAnsi="Times New Roman" w:cs="Times New Roman"/>
          <w:szCs w:val="18"/>
        </w:rPr>
        <w:t>[M].</w:t>
      </w:r>
      <w:r>
        <w:rPr>
          <w:rFonts w:ascii="Times New Roman" w:eastAsia="楷体" w:hAnsi="Times New Roman" w:cs="Times New Roman"/>
          <w:szCs w:val="18"/>
        </w:rPr>
        <w:t>高家伟译</w:t>
      </w:r>
      <w:r>
        <w:rPr>
          <w:rFonts w:ascii="Times New Roman" w:eastAsia="楷体" w:hAnsi="Times New Roman" w:cs="Times New Roman"/>
          <w:szCs w:val="18"/>
        </w:rPr>
        <w:t>.</w:t>
      </w:r>
      <w:r>
        <w:rPr>
          <w:rFonts w:ascii="Times New Roman" w:eastAsia="楷体" w:hAnsi="Times New Roman" w:cs="Times New Roman"/>
          <w:szCs w:val="18"/>
        </w:rPr>
        <w:t>北京</w:t>
      </w:r>
      <w:r>
        <w:rPr>
          <w:rFonts w:ascii="Times New Roman" w:eastAsia="楷体" w:hAnsi="Times New Roman" w:cs="Times New Roman"/>
          <w:szCs w:val="18"/>
        </w:rPr>
        <w:t>;</w:t>
      </w:r>
      <w:r>
        <w:rPr>
          <w:rFonts w:ascii="Times New Roman" w:eastAsia="楷体" w:hAnsi="Times New Roman" w:cs="Times New Roman"/>
          <w:szCs w:val="18"/>
        </w:rPr>
        <w:t>法律出版社</w:t>
      </w:r>
      <w:r>
        <w:rPr>
          <w:rFonts w:ascii="Times New Roman" w:eastAsia="楷体" w:hAnsi="Times New Roman" w:cs="Times New Roman"/>
          <w:szCs w:val="18"/>
        </w:rPr>
        <w:t>,2000: 106.</w:t>
      </w:r>
    </w:p>
  </w:footnote>
  <w:footnote w:id="41">
    <w:p w14:paraId="4D27E74E"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姜涛</w:t>
      </w:r>
      <w:r>
        <w:rPr>
          <w:rFonts w:ascii="Times New Roman" w:eastAsia="楷体" w:hAnsi="Times New Roman" w:cs="Times New Roman"/>
          <w:szCs w:val="18"/>
        </w:rPr>
        <w:t>.</w:t>
      </w:r>
      <w:r>
        <w:rPr>
          <w:rFonts w:ascii="Times New Roman" w:eastAsia="楷体" w:hAnsi="Times New Roman" w:cs="Times New Roman"/>
          <w:szCs w:val="18"/>
        </w:rPr>
        <w:t>比例原则的刑法学再造</w:t>
      </w:r>
      <w:r>
        <w:rPr>
          <w:rFonts w:ascii="Times New Roman" w:eastAsia="楷体" w:hAnsi="Times New Roman" w:cs="Times New Roman"/>
          <w:szCs w:val="18"/>
        </w:rPr>
        <w:t>[J].</w:t>
      </w:r>
      <w:r>
        <w:rPr>
          <w:rFonts w:ascii="Times New Roman" w:eastAsia="楷体" w:hAnsi="Times New Roman" w:cs="Times New Roman"/>
          <w:szCs w:val="18"/>
        </w:rPr>
        <w:t>法学家</w:t>
      </w:r>
      <w:r>
        <w:rPr>
          <w:rFonts w:ascii="Times New Roman" w:eastAsia="楷体" w:hAnsi="Times New Roman" w:cs="Times New Roman"/>
          <w:szCs w:val="18"/>
        </w:rPr>
        <w:t>,2026,(01):96-111+193-194.</w:t>
      </w:r>
    </w:p>
  </w:footnote>
  <w:footnote w:id="42">
    <w:p w14:paraId="0EE16D60"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安凯</w:t>
      </w:r>
      <w:r>
        <w:rPr>
          <w:rFonts w:ascii="Times New Roman" w:eastAsia="楷体" w:hAnsi="Times New Roman" w:cs="Times New Roman"/>
          <w:szCs w:val="18"/>
        </w:rPr>
        <w:t>.</w:t>
      </w:r>
      <w:r>
        <w:rPr>
          <w:rFonts w:ascii="Times New Roman" w:eastAsia="楷体" w:hAnsi="Times New Roman" w:cs="Times New Roman"/>
          <w:szCs w:val="18"/>
        </w:rPr>
        <w:t>行政犯行政违法性认识错误之属性界定</w:t>
      </w:r>
      <w:r>
        <w:rPr>
          <w:rFonts w:ascii="Times New Roman" w:eastAsia="楷体" w:hAnsi="Times New Roman" w:cs="Times New Roman"/>
          <w:szCs w:val="18"/>
        </w:rPr>
        <w:t>[J].</w:t>
      </w:r>
      <w:r>
        <w:rPr>
          <w:rFonts w:ascii="Times New Roman" w:eastAsia="楷体" w:hAnsi="Times New Roman" w:cs="Times New Roman"/>
          <w:szCs w:val="18"/>
        </w:rPr>
        <w:t>法治论坛</w:t>
      </w:r>
      <w:r>
        <w:rPr>
          <w:rFonts w:ascii="Times New Roman" w:eastAsia="楷体" w:hAnsi="Times New Roman" w:cs="Times New Roman"/>
          <w:szCs w:val="18"/>
        </w:rPr>
        <w:t>,2025,(02):419-435.</w:t>
      </w:r>
    </w:p>
  </w:footnote>
  <w:footnote w:id="43">
    <w:p w14:paraId="792DC274"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马鞍山</w:t>
      </w:r>
      <w:r>
        <w:rPr>
          <w:rFonts w:ascii="Times New Roman" w:eastAsia="楷体" w:hAnsi="Times New Roman" w:cs="Times New Roman"/>
          <w:szCs w:val="18"/>
        </w:rPr>
        <w:t>“</w:t>
      </w:r>
      <w:r>
        <w:rPr>
          <w:rFonts w:ascii="Times New Roman" w:eastAsia="楷体" w:hAnsi="Times New Roman" w:cs="Times New Roman"/>
          <w:szCs w:val="18"/>
        </w:rPr>
        <w:t>药神</w:t>
      </w:r>
      <w:r>
        <w:rPr>
          <w:rFonts w:ascii="Times New Roman" w:eastAsia="楷体" w:hAnsi="Times New Roman" w:cs="Times New Roman"/>
          <w:szCs w:val="18"/>
        </w:rPr>
        <w:t>”</w:t>
      </w:r>
      <w:r>
        <w:rPr>
          <w:rFonts w:ascii="Times New Roman" w:eastAsia="楷体" w:hAnsi="Times New Roman" w:cs="Times New Roman"/>
          <w:szCs w:val="18"/>
        </w:rPr>
        <w:t>秦才东案始末：他真的能攻克癌症吗？</w:t>
      </w:r>
      <w:r>
        <w:rPr>
          <w:rFonts w:ascii="Times New Roman" w:eastAsia="楷体" w:hAnsi="Times New Roman" w:cs="Times New Roman"/>
          <w:szCs w:val="18"/>
        </w:rPr>
        <w:t>[OL][2023-01-15].</w:t>
      </w:r>
      <w:r>
        <w:rPr>
          <w:rFonts w:ascii="Times New Roman" w:eastAsia="楷体" w:hAnsi="Times New Roman" w:cs="Times New Roman"/>
          <w:szCs w:val="18"/>
        </w:rPr>
        <w:t>观察者网</w:t>
      </w:r>
      <w:r>
        <w:rPr>
          <w:rFonts w:ascii="Times New Roman" w:eastAsia="楷体" w:hAnsi="Times New Roman" w:cs="Times New Roman"/>
          <w:szCs w:val="18"/>
        </w:rPr>
        <w:t>, https://www.guancha.cn/politics/2023_01_15_676023_s.shtml.</w:t>
      </w:r>
    </w:p>
  </w:footnote>
  <w:footnote w:id="44">
    <w:p w14:paraId="6B89E063"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辛佳东</w:t>
      </w:r>
      <w:r>
        <w:rPr>
          <w:rFonts w:ascii="Times New Roman" w:eastAsia="楷体" w:hAnsi="Times New Roman" w:cs="Times New Roman"/>
          <w:szCs w:val="18"/>
        </w:rPr>
        <w:t>.</w:t>
      </w:r>
      <w:r>
        <w:rPr>
          <w:rFonts w:ascii="Times New Roman" w:eastAsia="楷体" w:hAnsi="Times New Roman" w:cs="Times New Roman"/>
          <w:szCs w:val="18"/>
        </w:rPr>
        <w:t>行刑反向衔接</w:t>
      </w:r>
      <w:r>
        <w:rPr>
          <w:rFonts w:ascii="Times New Roman" w:eastAsia="楷体" w:hAnsi="Times New Roman" w:cs="Times New Roman"/>
          <w:szCs w:val="18"/>
        </w:rPr>
        <w:t>“</w:t>
      </w:r>
      <w:r>
        <w:rPr>
          <w:rFonts w:ascii="Times New Roman" w:eastAsia="楷体" w:hAnsi="Times New Roman" w:cs="Times New Roman"/>
          <w:szCs w:val="18"/>
        </w:rPr>
        <w:t>必要性</w:t>
      </w:r>
      <w:r>
        <w:rPr>
          <w:rFonts w:ascii="Times New Roman" w:eastAsia="楷体" w:hAnsi="Times New Roman" w:cs="Times New Roman"/>
          <w:szCs w:val="18"/>
        </w:rPr>
        <w:t>”</w:t>
      </w:r>
      <w:r>
        <w:rPr>
          <w:rFonts w:ascii="Times New Roman" w:eastAsia="楷体" w:hAnsi="Times New Roman" w:cs="Times New Roman"/>
          <w:szCs w:val="18"/>
        </w:rPr>
        <w:t>审查的困境反思与进路构建</w:t>
      </w:r>
      <w:r>
        <w:rPr>
          <w:rFonts w:ascii="Times New Roman" w:eastAsia="楷体" w:hAnsi="Times New Roman" w:cs="Times New Roman"/>
          <w:szCs w:val="18"/>
        </w:rPr>
        <w:t>[J].</w:t>
      </w:r>
      <w:r>
        <w:rPr>
          <w:rFonts w:ascii="Times New Roman" w:eastAsia="楷体" w:hAnsi="Times New Roman" w:cs="Times New Roman"/>
          <w:szCs w:val="18"/>
        </w:rPr>
        <w:t>西部法学评论</w:t>
      </w:r>
      <w:r>
        <w:rPr>
          <w:rFonts w:ascii="Times New Roman" w:eastAsia="楷体" w:hAnsi="Times New Roman" w:cs="Times New Roman"/>
          <w:szCs w:val="18"/>
        </w:rPr>
        <w:t>,2025,(05):62-75.</w:t>
      </w:r>
    </w:p>
  </w:footnote>
  <w:footnote w:id="45">
    <w:p w14:paraId="237226BC"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蔡培如</w:t>
      </w:r>
      <w:r>
        <w:rPr>
          <w:rFonts w:ascii="Times New Roman" w:eastAsia="楷体" w:hAnsi="Times New Roman" w:cs="Times New Roman"/>
          <w:szCs w:val="18"/>
        </w:rPr>
        <w:t>.</w:t>
      </w:r>
      <w:r>
        <w:rPr>
          <w:rFonts w:ascii="Times New Roman" w:eastAsia="楷体" w:hAnsi="Times New Roman" w:cs="Times New Roman"/>
          <w:szCs w:val="18"/>
        </w:rPr>
        <w:t>均衡性原则司法适用解读及适用路径的精致化构造</w:t>
      </w:r>
      <w:r>
        <w:rPr>
          <w:rFonts w:ascii="Times New Roman" w:eastAsia="楷体" w:hAnsi="Times New Roman" w:cs="Times New Roman"/>
          <w:szCs w:val="18"/>
        </w:rPr>
        <w:t>——</w:t>
      </w:r>
      <w:r>
        <w:rPr>
          <w:rFonts w:ascii="Times New Roman" w:eastAsia="楷体" w:hAnsi="Times New Roman" w:cs="Times New Roman"/>
          <w:szCs w:val="18"/>
        </w:rPr>
        <w:t>以四个案例为出发点</w:t>
      </w:r>
      <w:r>
        <w:rPr>
          <w:rFonts w:ascii="Times New Roman" w:eastAsia="楷体" w:hAnsi="Times New Roman" w:cs="Times New Roman"/>
          <w:szCs w:val="18"/>
        </w:rPr>
        <w:t>[J].</w:t>
      </w:r>
      <w:r>
        <w:rPr>
          <w:rFonts w:ascii="Times New Roman" w:eastAsia="楷体" w:hAnsi="Times New Roman" w:cs="Times New Roman"/>
          <w:szCs w:val="18"/>
        </w:rPr>
        <w:t>行政法论丛</w:t>
      </w:r>
      <w:r>
        <w:rPr>
          <w:rFonts w:ascii="Times New Roman" w:eastAsia="楷体" w:hAnsi="Times New Roman" w:cs="Times New Roman"/>
          <w:szCs w:val="18"/>
        </w:rPr>
        <w:t>,2016,19(00):237-253.</w:t>
      </w:r>
    </w:p>
  </w:footnote>
  <w:footnote w:id="46">
    <w:p w14:paraId="6D44BC02" w14:textId="77777777" w:rsidR="00344C2B" w:rsidRDefault="00000000">
      <w:pPr>
        <w:pStyle w:val="a5"/>
        <w:rPr>
          <w:rFonts w:ascii="Times New Roman" w:eastAsia="楷体" w:hAnsi="Times New Roman" w:cs="Times New Roman"/>
          <w:szCs w:val="18"/>
        </w:rPr>
      </w:pPr>
      <w:r>
        <w:rPr>
          <w:rStyle w:val="a8"/>
          <w:rFonts w:ascii="Times New Roman" w:eastAsia="楷体" w:hAnsi="Times New Roman" w:cs="Times New Roman"/>
          <w:szCs w:val="18"/>
        </w:rPr>
        <w:footnoteRef/>
      </w:r>
      <w:r>
        <w:rPr>
          <w:rFonts w:ascii="Times New Roman" w:eastAsia="楷体" w:hAnsi="Times New Roman" w:cs="Times New Roman"/>
          <w:szCs w:val="18"/>
        </w:rPr>
        <w:t xml:space="preserve"> </w:t>
      </w:r>
      <w:r>
        <w:rPr>
          <w:rFonts w:ascii="Times New Roman" w:eastAsia="楷体" w:hAnsi="Times New Roman" w:cs="Times New Roman"/>
          <w:szCs w:val="18"/>
        </w:rPr>
        <w:t>浙江省金华市婺城区人民法院</w:t>
      </w:r>
      <w:r>
        <w:rPr>
          <w:rFonts w:ascii="Times New Roman" w:eastAsia="楷体" w:hAnsi="Times New Roman" w:cs="Times New Roman"/>
          <w:szCs w:val="18"/>
        </w:rPr>
        <w:t xml:space="preserve">( 2013) </w:t>
      </w:r>
      <w:r>
        <w:rPr>
          <w:rFonts w:ascii="Times New Roman" w:eastAsia="楷体" w:hAnsi="Times New Roman" w:cs="Times New Roman"/>
          <w:szCs w:val="18"/>
        </w:rPr>
        <w:t>浙金刑二终字第</w:t>
      </w:r>
      <w:r>
        <w:rPr>
          <w:rFonts w:ascii="Times New Roman" w:eastAsia="楷体" w:hAnsi="Times New Roman" w:cs="Times New Roman"/>
          <w:szCs w:val="18"/>
        </w:rPr>
        <w:t xml:space="preserve"> 202 </w:t>
      </w:r>
      <w:r>
        <w:rPr>
          <w:rFonts w:ascii="Times New Roman" w:eastAsia="楷体" w:hAnsi="Times New Roman" w:cs="Times New Roman"/>
          <w:szCs w:val="18"/>
        </w:rPr>
        <w:t>号刑事判决书。</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140575"/>
    <w:multiLevelType w:val="singleLevel"/>
    <w:tmpl w:val="31140575"/>
    <w:lvl w:ilvl="0">
      <w:start w:val="1"/>
      <w:numFmt w:val="decimal"/>
      <w:lvlText w:val="(%1."/>
      <w:lvlJc w:val="left"/>
      <w:pPr>
        <w:tabs>
          <w:tab w:val="left" w:pos="312"/>
        </w:tabs>
      </w:pPr>
    </w:lvl>
  </w:abstractNum>
  <w:num w:numId="1" w16cid:durableId="1020280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FE29E0"/>
    <w:rsid w:val="BB961A64"/>
    <w:rsid w:val="BFF3CE4F"/>
    <w:rsid w:val="C7D77F65"/>
    <w:rsid w:val="EB7F8597"/>
    <w:rsid w:val="F7DB6FB4"/>
    <w:rsid w:val="F7EF0AE2"/>
    <w:rsid w:val="FCFB1E17"/>
    <w:rsid w:val="00114695"/>
    <w:rsid w:val="001222E3"/>
    <w:rsid w:val="001561B4"/>
    <w:rsid w:val="00167E4F"/>
    <w:rsid w:val="002A7AB2"/>
    <w:rsid w:val="00341EA8"/>
    <w:rsid w:val="00344C2B"/>
    <w:rsid w:val="003617E6"/>
    <w:rsid w:val="003E0CDD"/>
    <w:rsid w:val="004255FA"/>
    <w:rsid w:val="004B7EC2"/>
    <w:rsid w:val="0051376B"/>
    <w:rsid w:val="00531C40"/>
    <w:rsid w:val="00707354"/>
    <w:rsid w:val="00850647"/>
    <w:rsid w:val="009C1BBF"/>
    <w:rsid w:val="00A02AA9"/>
    <w:rsid w:val="00A3029F"/>
    <w:rsid w:val="00B630D3"/>
    <w:rsid w:val="00C0445C"/>
    <w:rsid w:val="00D90382"/>
    <w:rsid w:val="00E8238B"/>
    <w:rsid w:val="00FD7F71"/>
    <w:rsid w:val="01C0275C"/>
    <w:rsid w:val="021B7382"/>
    <w:rsid w:val="024A7E87"/>
    <w:rsid w:val="028F142C"/>
    <w:rsid w:val="02B72181"/>
    <w:rsid w:val="02E85867"/>
    <w:rsid w:val="030A6CC4"/>
    <w:rsid w:val="03483D46"/>
    <w:rsid w:val="0353105C"/>
    <w:rsid w:val="03BA61F3"/>
    <w:rsid w:val="0451447E"/>
    <w:rsid w:val="046571C3"/>
    <w:rsid w:val="04F512B6"/>
    <w:rsid w:val="05527000"/>
    <w:rsid w:val="05880374"/>
    <w:rsid w:val="059D1D92"/>
    <w:rsid w:val="060025E6"/>
    <w:rsid w:val="060C4B01"/>
    <w:rsid w:val="06766CC7"/>
    <w:rsid w:val="067A06E4"/>
    <w:rsid w:val="06C83909"/>
    <w:rsid w:val="06F15BC2"/>
    <w:rsid w:val="06F31EC1"/>
    <w:rsid w:val="077F58F8"/>
    <w:rsid w:val="079F7479"/>
    <w:rsid w:val="08041D5A"/>
    <w:rsid w:val="085F2EA4"/>
    <w:rsid w:val="08AE231F"/>
    <w:rsid w:val="08E24F8B"/>
    <w:rsid w:val="08E46C80"/>
    <w:rsid w:val="09A63B0F"/>
    <w:rsid w:val="0A0C47E3"/>
    <w:rsid w:val="0A71175D"/>
    <w:rsid w:val="0AC01D4C"/>
    <w:rsid w:val="0B795A6F"/>
    <w:rsid w:val="0B827C10"/>
    <w:rsid w:val="0BAA1A3D"/>
    <w:rsid w:val="0BD416EA"/>
    <w:rsid w:val="0C3C7EA2"/>
    <w:rsid w:val="0C925D93"/>
    <w:rsid w:val="0C9C5EA0"/>
    <w:rsid w:val="0D9C27DD"/>
    <w:rsid w:val="0DB25311"/>
    <w:rsid w:val="0DEF769D"/>
    <w:rsid w:val="0E24585D"/>
    <w:rsid w:val="0EB40B73"/>
    <w:rsid w:val="0EE52096"/>
    <w:rsid w:val="0EE77F1D"/>
    <w:rsid w:val="0EFD4E36"/>
    <w:rsid w:val="0F3C0BA0"/>
    <w:rsid w:val="0F3D2203"/>
    <w:rsid w:val="0F5C575C"/>
    <w:rsid w:val="0F667861"/>
    <w:rsid w:val="0F8F5F37"/>
    <w:rsid w:val="0FC95811"/>
    <w:rsid w:val="10AF1616"/>
    <w:rsid w:val="10F443D4"/>
    <w:rsid w:val="11685955"/>
    <w:rsid w:val="11EF78E3"/>
    <w:rsid w:val="129005AF"/>
    <w:rsid w:val="129A3494"/>
    <w:rsid w:val="12DB0AB0"/>
    <w:rsid w:val="13027C92"/>
    <w:rsid w:val="134A7BAE"/>
    <w:rsid w:val="141421F8"/>
    <w:rsid w:val="15305E74"/>
    <w:rsid w:val="155A19C1"/>
    <w:rsid w:val="15804975"/>
    <w:rsid w:val="16CF122B"/>
    <w:rsid w:val="17656C4D"/>
    <w:rsid w:val="189741F6"/>
    <w:rsid w:val="18B14505"/>
    <w:rsid w:val="18D051AF"/>
    <w:rsid w:val="197C0C98"/>
    <w:rsid w:val="19F35798"/>
    <w:rsid w:val="1A533F73"/>
    <w:rsid w:val="1A9058A9"/>
    <w:rsid w:val="1A960F86"/>
    <w:rsid w:val="1ADA74DD"/>
    <w:rsid w:val="1B2D36A2"/>
    <w:rsid w:val="1B672287"/>
    <w:rsid w:val="1BE063BC"/>
    <w:rsid w:val="1C043B7D"/>
    <w:rsid w:val="1C0A6E33"/>
    <w:rsid w:val="1C0F195E"/>
    <w:rsid w:val="1C2E7A4C"/>
    <w:rsid w:val="1C8F6270"/>
    <w:rsid w:val="1CA70134"/>
    <w:rsid w:val="1CF00880"/>
    <w:rsid w:val="1DA149CE"/>
    <w:rsid w:val="1DB11B5A"/>
    <w:rsid w:val="1DE6523D"/>
    <w:rsid w:val="1E236A34"/>
    <w:rsid w:val="1E811DDB"/>
    <w:rsid w:val="1F1A5B00"/>
    <w:rsid w:val="1F407AE5"/>
    <w:rsid w:val="1F8B27BE"/>
    <w:rsid w:val="1FA6757A"/>
    <w:rsid w:val="2094555A"/>
    <w:rsid w:val="20F4351F"/>
    <w:rsid w:val="21AB3DC0"/>
    <w:rsid w:val="21C05AA9"/>
    <w:rsid w:val="2277030A"/>
    <w:rsid w:val="2337207D"/>
    <w:rsid w:val="23690F67"/>
    <w:rsid w:val="24347028"/>
    <w:rsid w:val="25B70BA4"/>
    <w:rsid w:val="25C1100C"/>
    <w:rsid w:val="260C3966"/>
    <w:rsid w:val="261B11FA"/>
    <w:rsid w:val="263341B4"/>
    <w:rsid w:val="2695597B"/>
    <w:rsid w:val="27356764"/>
    <w:rsid w:val="276103E0"/>
    <w:rsid w:val="277B56A8"/>
    <w:rsid w:val="27EF4E0D"/>
    <w:rsid w:val="27FB235A"/>
    <w:rsid w:val="28BA46BC"/>
    <w:rsid w:val="29477939"/>
    <w:rsid w:val="2993419F"/>
    <w:rsid w:val="29A03EF6"/>
    <w:rsid w:val="29B010AD"/>
    <w:rsid w:val="2A0B6FEB"/>
    <w:rsid w:val="2A144198"/>
    <w:rsid w:val="2A891D19"/>
    <w:rsid w:val="2C212804"/>
    <w:rsid w:val="2C6134D9"/>
    <w:rsid w:val="2C6A7FEB"/>
    <w:rsid w:val="2C8348CD"/>
    <w:rsid w:val="2CE32018"/>
    <w:rsid w:val="2CF367F5"/>
    <w:rsid w:val="2DCF3E14"/>
    <w:rsid w:val="2DE7182C"/>
    <w:rsid w:val="2DFBCC98"/>
    <w:rsid w:val="2E444AD0"/>
    <w:rsid w:val="2E52037F"/>
    <w:rsid w:val="2E7476F8"/>
    <w:rsid w:val="2EFA68A7"/>
    <w:rsid w:val="2F3521E3"/>
    <w:rsid w:val="2F462582"/>
    <w:rsid w:val="2F6509D0"/>
    <w:rsid w:val="2F8C0FDE"/>
    <w:rsid w:val="30063908"/>
    <w:rsid w:val="300D65A9"/>
    <w:rsid w:val="307C37BB"/>
    <w:rsid w:val="309A6171"/>
    <w:rsid w:val="30C560EC"/>
    <w:rsid w:val="30EF0E8C"/>
    <w:rsid w:val="315F0073"/>
    <w:rsid w:val="32276868"/>
    <w:rsid w:val="324C4353"/>
    <w:rsid w:val="32676D99"/>
    <w:rsid w:val="327515D8"/>
    <w:rsid w:val="32A91C41"/>
    <w:rsid w:val="32DC3654"/>
    <w:rsid w:val="334A7032"/>
    <w:rsid w:val="33764B40"/>
    <w:rsid w:val="33FA18C0"/>
    <w:rsid w:val="34155BB1"/>
    <w:rsid w:val="34F42AC0"/>
    <w:rsid w:val="34F61058"/>
    <w:rsid w:val="355D259A"/>
    <w:rsid w:val="356F6E89"/>
    <w:rsid w:val="35DA584C"/>
    <w:rsid w:val="361C4805"/>
    <w:rsid w:val="36C36256"/>
    <w:rsid w:val="36D37D96"/>
    <w:rsid w:val="36EE5663"/>
    <w:rsid w:val="37533A8E"/>
    <w:rsid w:val="3760457E"/>
    <w:rsid w:val="377B565A"/>
    <w:rsid w:val="37FE29E0"/>
    <w:rsid w:val="38B46F8C"/>
    <w:rsid w:val="38B72EED"/>
    <w:rsid w:val="394C376D"/>
    <w:rsid w:val="39CA6052"/>
    <w:rsid w:val="39F8055B"/>
    <w:rsid w:val="3A2920B6"/>
    <w:rsid w:val="3A4601D1"/>
    <w:rsid w:val="3AB807D8"/>
    <w:rsid w:val="3B343171"/>
    <w:rsid w:val="3B6441EC"/>
    <w:rsid w:val="3BFA0413"/>
    <w:rsid w:val="3C453ECF"/>
    <w:rsid w:val="3D506D1F"/>
    <w:rsid w:val="3D5272CC"/>
    <w:rsid w:val="3DF72371"/>
    <w:rsid w:val="3E433CDC"/>
    <w:rsid w:val="3E451585"/>
    <w:rsid w:val="3E483694"/>
    <w:rsid w:val="3E7762B4"/>
    <w:rsid w:val="3EDF4E5E"/>
    <w:rsid w:val="3F2350B4"/>
    <w:rsid w:val="3FCA3D68"/>
    <w:rsid w:val="403E105E"/>
    <w:rsid w:val="41BB4199"/>
    <w:rsid w:val="422A630C"/>
    <w:rsid w:val="422F678A"/>
    <w:rsid w:val="425E3AD9"/>
    <w:rsid w:val="42B00171"/>
    <w:rsid w:val="4337252C"/>
    <w:rsid w:val="43550040"/>
    <w:rsid w:val="437F2728"/>
    <w:rsid w:val="44CD5807"/>
    <w:rsid w:val="44D96539"/>
    <w:rsid w:val="44FF33CD"/>
    <w:rsid w:val="453B4476"/>
    <w:rsid w:val="45594C4E"/>
    <w:rsid w:val="456E1F6D"/>
    <w:rsid w:val="458645A0"/>
    <w:rsid w:val="45F45C41"/>
    <w:rsid w:val="463C0DC1"/>
    <w:rsid w:val="46612455"/>
    <w:rsid w:val="466D12BF"/>
    <w:rsid w:val="47266AD6"/>
    <w:rsid w:val="473B5EFA"/>
    <w:rsid w:val="47A2575F"/>
    <w:rsid w:val="48A909E4"/>
    <w:rsid w:val="495B6ED7"/>
    <w:rsid w:val="496025C5"/>
    <w:rsid w:val="49644F2A"/>
    <w:rsid w:val="4A1D1CE5"/>
    <w:rsid w:val="4AE97256"/>
    <w:rsid w:val="4B4F641C"/>
    <w:rsid w:val="4BA32068"/>
    <w:rsid w:val="4BBC556E"/>
    <w:rsid w:val="4CA27DCB"/>
    <w:rsid w:val="4D8E361A"/>
    <w:rsid w:val="4DB03590"/>
    <w:rsid w:val="4DD747A7"/>
    <w:rsid w:val="4DE35714"/>
    <w:rsid w:val="4DF94646"/>
    <w:rsid w:val="4E303480"/>
    <w:rsid w:val="4EB126FF"/>
    <w:rsid w:val="4F6741A8"/>
    <w:rsid w:val="4FE8630A"/>
    <w:rsid w:val="50297707"/>
    <w:rsid w:val="50682B30"/>
    <w:rsid w:val="50B213CE"/>
    <w:rsid w:val="50E26A05"/>
    <w:rsid w:val="50EE4AFC"/>
    <w:rsid w:val="51022CCA"/>
    <w:rsid w:val="516369D5"/>
    <w:rsid w:val="524C46D1"/>
    <w:rsid w:val="526F7599"/>
    <w:rsid w:val="52BE645D"/>
    <w:rsid w:val="538E349F"/>
    <w:rsid w:val="53C833FD"/>
    <w:rsid w:val="54750FD3"/>
    <w:rsid w:val="548A2837"/>
    <w:rsid w:val="54946A24"/>
    <w:rsid w:val="54E4344B"/>
    <w:rsid w:val="54F170D6"/>
    <w:rsid w:val="551264BA"/>
    <w:rsid w:val="551417DA"/>
    <w:rsid w:val="5569306A"/>
    <w:rsid w:val="55B626EF"/>
    <w:rsid w:val="56CC53AE"/>
    <w:rsid w:val="56CF6D45"/>
    <w:rsid w:val="56D555C3"/>
    <w:rsid w:val="573174F0"/>
    <w:rsid w:val="57AE10A6"/>
    <w:rsid w:val="57F55992"/>
    <w:rsid w:val="58397A43"/>
    <w:rsid w:val="5886386C"/>
    <w:rsid w:val="58AF6687"/>
    <w:rsid w:val="596479EA"/>
    <w:rsid w:val="5A8321F2"/>
    <w:rsid w:val="5A964F8E"/>
    <w:rsid w:val="5BAE178A"/>
    <w:rsid w:val="5BD76A3D"/>
    <w:rsid w:val="5C1B251D"/>
    <w:rsid w:val="5C610796"/>
    <w:rsid w:val="5CC6692D"/>
    <w:rsid w:val="5CDA34F3"/>
    <w:rsid w:val="5D0B279C"/>
    <w:rsid w:val="5D3D3BE4"/>
    <w:rsid w:val="5D507756"/>
    <w:rsid w:val="5D902723"/>
    <w:rsid w:val="5DA34C67"/>
    <w:rsid w:val="5E056FE1"/>
    <w:rsid w:val="5E7F5C07"/>
    <w:rsid w:val="5E832A0C"/>
    <w:rsid w:val="5ED8390F"/>
    <w:rsid w:val="5F043C70"/>
    <w:rsid w:val="5F1550E1"/>
    <w:rsid w:val="5F3DB830"/>
    <w:rsid w:val="5F426528"/>
    <w:rsid w:val="5F5B5A84"/>
    <w:rsid w:val="5F7D5071"/>
    <w:rsid w:val="5FC04496"/>
    <w:rsid w:val="5FC66E0E"/>
    <w:rsid w:val="5FCD1F6F"/>
    <w:rsid w:val="603F71C1"/>
    <w:rsid w:val="60662D25"/>
    <w:rsid w:val="60E313A4"/>
    <w:rsid w:val="60ED23F3"/>
    <w:rsid w:val="614558FE"/>
    <w:rsid w:val="62B51E82"/>
    <w:rsid w:val="62F23454"/>
    <w:rsid w:val="63161698"/>
    <w:rsid w:val="64350C4C"/>
    <w:rsid w:val="644A6121"/>
    <w:rsid w:val="64A46FDC"/>
    <w:rsid w:val="653949C1"/>
    <w:rsid w:val="65AB2B63"/>
    <w:rsid w:val="663A5C95"/>
    <w:rsid w:val="664E58E8"/>
    <w:rsid w:val="66AB41DC"/>
    <w:rsid w:val="66DF2BDE"/>
    <w:rsid w:val="67177D85"/>
    <w:rsid w:val="673B1534"/>
    <w:rsid w:val="67EC55D0"/>
    <w:rsid w:val="67FD068A"/>
    <w:rsid w:val="67FF6F28"/>
    <w:rsid w:val="68B11F8E"/>
    <w:rsid w:val="68DE7E70"/>
    <w:rsid w:val="69061C08"/>
    <w:rsid w:val="691563FC"/>
    <w:rsid w:val="69675440"/>
    <w:rsid w:val="697671B6"/>
    <w:rsid w:val="6ADC74CF"/>
    <w:rsid w:val="6BB959DA"/>
    <w:rsid w:val="6BDE4BE8"/>
    <w:rsid w:val="6C164AAF"/>
    <w:rsid w:val="6C360CAD"/>
    <w:rsid w:val="6C4E249B"/>
    <w:rsid w:val="6DC5076F"/>
    <w:rsid w:val="6E450E6D"/>
    <w:rsid w:val="6E501759"/>
    <w:rsid w:val="6E96001B"/>
    <w:rsid w:val="6F5B3DBE"/>
    <w:rsid w:val="6F8561D3"/>
    <w:rsid w:val="6FDFA709"/>
    <w:rsid w:val="706D2D0D"/>
    <w:rsid w:val="71022CC3"/>
    <w:rsid w:val="71211228"/>
    <w:rsid w:val="71F44BD8"/>
    <w:rsid w:val="72037142"/>
    <w:rsid w:val="724F0D1A"/>
    <w:rsid w:val="727C345A"/>
    <w:rsid w:val="729474D2"/>
    <w:rsid w:val="73753E07"/>
    <w:rsid w:val="73815910"/>
    <w:rsid w:val="73FC7BAE"/>
    <w:rsid w:val="74434C06"/>
    <w:rsid w:val="74663E0E"/>
    <w:rsid w:val="74880200"/>
    <w:rsid w:val="75EB4974"/>
    <w:rsid w:val="79033ECC"/>
    <w:rsid w:val="7922554C"/>
    <w:rsid w:val="795B396B"/>
    <w:rsid w:val="798A7BB5"/>
    <w:rsid w:val="79A33BBA"/>
    <w:rsid w:val="7A6A323D"/>
    <w:rsid w:val="7B3B7BB1"/>
    <w:rsid w:val="7B4E716C"/>
    <w:rsid w:val="7BE302DB"/>
    <w:rsid w:val="7C8D4483"/>
    <w:rsid w:val="7CEE7F3B"/>
    <w:rsid w:val="7DEF005C"/>
    <w:rsid w:val="7EC32262"/>
    <w:rsid w:val="7F644BEA"/>
    <w:rsid w:val="7FD24FD1"/>
    <w:rsid w:val="7FDC64F3"/>
    <w:rsid w:val="7FEB77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70BAF6"/>
  <w15:docId w15:val="{30056311-EA40-4E2F-86ED-690DBAFB4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Title" w:uiPriority="10"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qFormat/>
    <w:pPr>
      <w:spacing w:before="240" w:after="60" w:line="312" w:lineRule="auto"/>
      <w:jc w:val="center"/>
      <w:outlineLvl w:val="1"/>
    </w:pPr>
    <w:rPr>
      <w:b/>
      <w:bCs/>
      <w:kern w:val="28"/>
      <w:sz w:val="32"/>
      <w:szCs w:val="32"/>
    </w:rPr>
  </w:style>
  <w:style w:type="paragraph" w:styleId="a5">
    <w:name w:val="footnote text"/>
    <w:basedOn w:val="a"/>
    <w:uiPriority w:val="99"/>
    <w:semiHidden/>
    <w:unhideWhenUsed/>
    <w:qFormat/>
    <w:pPr>
      <w:snapToGrid w:val="0"/>
      <w:jc w:val="left"/>
    </w:pPr>
    <w:rPr>
      <w:sz w:val="18"/>
    </w:rPr>
  </w:style>
  <w:style w:type="paragraph" w:styleId="a6">
    <w:name w:val="Title"/>
    <w:basedOn w:val="a"/>
    <w:next w:val="a"/>
    <w:uiPriority w:val="10"/>
    <w:qFormat/>
    <w:pPr>
      <w:spacing w:before="240" w:after="60"/>
      <w:jc w:val="center"/>
      <w:outlineLvl w:val="0"/>
    </w:pPr>
    <w:rPr>
      <w:rFonts w:asciiTheme="majorHAnsi" w:eastAsia="宋体" w:hAnsiTheme="majorHAnsi" w:cstheme="majorBidi"/>
      <w:b/>
      <w:bCs/>
      <w:sz w:val="32"/>
      <w:szCs w:val="32"/>
    </w:rPr>
  </w:style>
  <w:style w:type="character" w:styleId="a7">
    <w:name w:val="Hyperlink"/>
    <w:basedOn w:val="a0"/>
    <w:qFormat/>
    <w:rPr>
      <w:color w:val="0000FF"/>
      <w:u w:val="single"/>
    </w:rPr>
  </w:style>
  <w:style w:type="character" w:styleId="a8">
    <w:name w:val="footnote reference"/>
    <w:basedOn w:val="a0"/>
    <w:uiPriority w:val="99"/>
    <w:semiHidden/>
    <w:unhideWhenUsed/>
    <w:qFormat/>
    <w:rPr>
      <w:vertAlign w:val="superscript"/>
    </w:rPr>
  </w:style>
  <w:style w:type="paragraph" w:styleId="a9">
    <w:name w:val="List Paragraph"/>
    <w:basedOn w:val="a"/>
    <w:uiPriority w:val="34"/>
    <w:qFormat/>
    <w:pPr>
      <w:ind w:firstLine="420"/>
    </w:pPr>
  </w:style>
  <w:style w:type="character" w:customStyle="1" w:styleId="a4">
    <w:name w:val="副标题 字符"/>
    <w:basedOn w:val="a0"/>
    <w:link w:val="a3"/>
    <w:qFormat/>
    <w:rPr>
      <w:rFonts w:asciiTheme="minorHAnsi" w:eastAsiaTheme="minorEastAsia" w:hAnsiTheme="minorHAnsi" w:cstheme="minorBidi"/>
      <w:b/>
      <w:bCs/>
      <w:kern w:val="28"/>
      <w:sz w:val="32"/>
      <w:szCs w:val="32"/>
    </w:rPr>
  </w:style>
  <w:style w:type="character" w:styleId="aa">
    <w:name w:val="Unresolved Mention"/>
    <w:basedOn w:val="a0"/>
    <w:uiPriority w:val="99"/>
    <w:semiHidden/>
    <w:unhideWhenUsed/>
    <w:rsid w:val="002A7AB2"/>
    <w:rPr>
      <w:color w:val="605E5C"/>
      <w:shd w:val="clear" w:color="auto" w:fill="E1DFDD"/>
    </w:rPr>
  </w:style>
  <w:style w:type="paragraph" w:styleId="ab">
    <w:name w:val="header"/>
    <w:basedOn w:val="a"/>
    <w:link w:val="ac"/>
    <w:rsid w:val="003E0CDD"/>
    <w:pPr>
      <w:tabs>
        <w:tab w:val="center" w:pos="4153"/>
        <w:tab w:val="right" w:pos="8306"/>
      </w:tabs>
      <w:snapToGrid w:val="0"/>
      <w:jc w:val="center"/>
    </w:pPr>
    <w:rPr>
      <w:sz w:val="18"/>
      <w:szCs w:val="18"/>
    </w:rPr>
  </w:style>
  <w:style w:type="character" w:customStyle="1" w:styleId="ac">
    <w:name w:val="页眉 字符"/>
    <w:basedOn w:val="a0"/>
    <w:link w:val="ab"/>
    <w:rsid w:val="003E0CDD"/>
    <w:rPr>
      <w:rFonts w:asciiTheme="minorHAnsi" w:eastAsiaTheme="minorEastAsia" w:hAnsiTheme="minorHAnsi" w:cstheme="minorBidi"/>
      <w:kern w:val="2"/>
      <w:sz w:val="18"/>
      <w:szCs w:val="18"/>
    </w:rPr>
  </w:style>
  <w:style w:type="paragraph" w:styleId="ad">
    <w:name w:val="footer"/>
    <w:basedOn w:val="a"/>
    <w:link w:val="ae"/>
    <w:rsid w:val="003E0CDD"/>
    <w:pPr>
      <w:tabs>
        <w:tab w:val="center" w:pos="4153"/>
        <w:tab w:val="right" w:pos="8306"/>
      </w:tabs>
      <w:snapToGrid w:val="0"/>
      <w:jc w:val="left"/>
    </w:pPr>
    <w:rPr>
      <w:sz w:val="18"/>
      <w:szCs w:val="18"/>
    </w:rPr>
  </w:style>
  <w:style w:type="character" w:customStyle="1" w:styleId="ae">
    <w:name w:val="页脚 字符"/>
    <w:basedOn w:val="a0"/>
    <w:link w:val="ad"/>
    <w:rsid w:val="003E0CDD"/>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F72DD-6EED-4E76-8917-643844B53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14</Pages>
  <Words>9734</Words>
  <Characters>10904</Characters>
  <Application>Microsoft Office Word</Application>
  <DocSecurity>0</DocSecurity>
  <Lines>286</Lines>
  <Paragraphs>117</Paragraphs>
  <ScaleCrop>false</ScaleCrop>
  <Company/>
  <LinksUpToDate>false</LinksUpToDate>
  <CharactersWithSpaces>20521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孙胤博</dc:creator>
  <cp:lastModifiedBy>changchang changchang</cp:lastModifiedBy>
  <cp:revision>4</cp:revision>
  <dcterms:created xsi:type="dcterms:W3CDTF">2026-04-09T12:53:00Z</dcterms:created>
  <dcterms:modified xsi:type="dcterms:W3CDTF">2026-04-12T08:54:00Z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476EDDA33011471997BC3BEB16CACF53_13</vt:lpwstr>
  </property>
  <property fmtid="{D5CDD505-2E9C-101B-9397-08002B2CF9AE}" pid="4" name="KSOTemplateDocerSaveRecord">
    <vt:lpwstr>eyJoZGlkIjoiNmFiMmU0YjAzZDVlMTIxNmY5MTdkNDM2ZjAyNTRjMzAiLCJ1c2VySWQiOiIxNDAyMzIyNzI1In0=</vt:lpwstr>
  </property>
</Properties>
</file>