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5C38C0">
      <w:pPr>
        <w:spacing w:line="360" w:lineRule="auto"/>
        <w:jc w:val="center"/>
        <w:rPr>
          <w:rFonts w:hint="eastAsia" w:ascii="Times New Roman" w:hAnsi="Times New Roman"/>
          <w:b/>
          <w:bCs/>
          <w:sz w:val="30"/>
          <w:szCs w:val="30"/>
          <w:lang w:val="en-US" w:eastAsia="zh-CN"/>
        </w:rPr>
      </w:pPr>
      <w:r>
        <w:rPr>
          <w:rFonts w:hint="eastAsia" w:ascii="黑体" w:hAnsi="黑体" w:eastAsia="黑体" w:cs="黑体"/>
          <w:b/>
          <w:bCs/>
          <w:sz w:val="30"/>
          <w:szCs w:val="30"/>
          <w:lang w:val="en-US" w:eastAsia="zh-CN"/>
        </w:rPr>
        <w:t>位置商标可注册的正当性研究</w:t>
      </w:r>
    </w:p>
    <w:p w14:paraId="789F1461">
      <w:pPr>
        <w:spacing w:line="360" w:lineRule="auto"/>
        <w:jc w:val="center"/>
        <w:rPr>
          <w:rFonts w:hint="eastAsia" w:ascii="Times New Roman" w:hAnsi="Times New Roman"/>
          <w:b/>
          <w:bCs/>
          <w:sz w:val="24"/>
          <w:szCs w:val="24"/>
          <w:lang w:val="en-US" w:eastAsia="zh-CN"/>
        </w:rPr>
      </w:pPr>
      <w:r>
        <w:rPr>
          <w:rFonts w:hint="eastAsia" w:ascii="楷体" w:hAnsi="楷体" w:eastAsia="楷体" w:cs="楷体"/>
          <w:b w:val="0"/>
          <w:bCs w:val="0"/>
          <w:sz w:val="24"/>
          <w:szCs w:val="24"/>
          <w:lang w:val="en-US" w:eastAsia="zh-CN"/>
        </w:rPr>
        <w:t>——从符号学视角切入</w:t>
      </w:r>
    </w:p>
    <w:p w14:paraId="20C48AE6">
      <w:pPr>
        <w:spacing w:line="240" w:lineRule="auto"/>
        <w:jc w:val="both"/>
        <w:rPr>
          <w:rFonts w:hint="eastAsia" w:ascii="黑体" w:hAnsi="黑体" w:eastAsia="黑体" w:cs="黑体"/>
          <w:b w:val="0"/>
          <w:bCs w:val="0"/>
          <w:sz w:val="21"/>
          <w:szCs w:val="21"/>
          <w:lang w:val="en-US" w:eastAsia="zh-CN"/>
        </w:rPr>
      </w:pPr>
    </w:p>
    <w:p w14:paraId="307919BF">
      <w:pPr>
        <w:spacing w:line="240" w:lineRule="auto"/>
        <w:ind w:firstLine="420" w:firstLineChars="0"/>
        <w:jc w:val="both"/>
        <w:rPr>
          <w:rFonts w:hint="eastAsia" w:ascii="Times New Roman" w:hAnsi="Times New Roman" w:eastAsia="楷体" w:cs="楷体"/>
          <w:b w:val="0"/>
          <w:bCs w:val="0"/>
          <w:sz w:val="21"/>
          <w:szCs w:val="21"/>
          <w:highlight w:val="none"/>
          <w:lang w:val="en-US" w:eastAsia="zh-CN"/>
        </w:rPr>
      </w:pPr>
      <w:r>
        <w:rPr>
          <w:rFonts w:hint="eastAsia" w:ascii="黑体" w:hAnsi="黑体" w:eastAsia="黑体" w:cs="黑体"/>
          <w:b w:val="0"/>
          <w:bCs w:val="0"/>
          <w:sz w:val="21"/>
          <w:szCs w:val="21"/>
          <w:lang w:val="en-US" w:eastAsia="zh-CN"/>
        </w:rPr>
        <w:t>摘要：</w:t>
      </w:r>
      <w:r>
        <w:rPr>
          <w:rFonts w:hint="eastAsia" w:ascii="Times New Roman" w:hAnsi="Times New Roman" w:eastAsia="楷体" w:cs="楷体"/>
          <w:b w:val="0"/>
          <w:bCs w:val="0"/>
          <w:sz w:val="21"/>
          <w:szCs w:val="21"/>
          <w:lang w:val="en-US" w:eastAsia="zh-CN"/>
        </w:rPr>
        <w:t>位置商标能否获准注册，需要从符号学的视角对其内部结构进行系统分析。位置商标是固定于商品特定位置，用于区分商品来源的可视性标志。位置商标并未创设超越现行商标法的商标构成要素，而是通过标志所处位置的固定化使得标志整体具备作为商标的显著特征，“位置”实质上依附于标志的基础构成要素。将位置商标纳入我国商标法体系，兼具法理正当性与现实必要性。当位置商标的能指与所附着的对象相互独立，便不会构成对实用或美学特征的垄断，不会因具备功能性而被排除在商标法体系之外。对于显著性的审查，</w:t>
      </w:r>
      <w:r>
        <w:rPr>
          <w:rFonts w:hint="eastAsia" w:ascii="Times New Roman" w:hAnsi="Times New Roman" w:eastAsia="楷体" w:cs="楷体"/>
          <w:b w:val="0"/>
          <w:bCs w:val="0"/>
          <w:sz w:val="21"/>
          <w:szCs w:val="21"/>
          <w:highlight w:val="none"/>
          <w:lang w:val="en-US" w:eastAsia="zh-CN"/>
        </w:rPr>
        <w:t>应重视获得显著性作为商标发挥识别和区分作用的真正来源，并以相关公众的认知心理为首要标准，避免对位置商标施加过于严苛的审查标准。</w:t>
      </w:r>
    </w:p>
    <w:p w14:paraId="500E5FCF">
      <w:pPr>
        <w:spacing w:line="240" w:lineRule="auto"/>
        <w:ind w:firstLine="420" w:firstLineChars="0"/>
        <w:jc w:val="both"/>
        <w:rPr>
          <w:rFonts w:hint="eastAsia" w:ascii="Times New Roman" w:hAnsi="Times New Roman" w:eastAsia="楷体" w:cs="楷体"/>
          <w:sz w:val="21"/>
          <w:szCs w:val="21"/>
          <w:lang w:val="en-US" w:eastAsia="zh-CN"/>
        </w:rPr>
      </w:pPr>
      <w:r>
        <w:rPr>
          <w:rFonts w:hint="eastAsia" w:ascii="黑体" w:hAnsi="黑体" w:eastAsia="黑体" w:cs="黑体"/>
          <w:b w:val="0"/>
          <w:bCs w:val="0"/>
          <w:sz w:val="21"/>
          <w:szCs w:val="21"/>
          <w:lang w:val="en-US" w:eastAsia="zh-CN"/>
        </w:rPr>
        <w:t>关键词：</w:t>
      </w:r>
      <w:r>
        <w:rPr>
          <w:rFonts w:hint="eastAsia" w:ascii="Times New Roman" w:hAnsi="Times New Roman" w:eastAsia="楷体" w:cs="楷体"/>
          <w:sz w:val="21"/>
          <w:szCs w:val="21"/>
          <w:lang w:val="en-US" w:eastAsia="zh-CN"/>
        </w:rPr>
        <w:t>位置商标；符号学；可注册性；功能性；显著性</w:t>
      </w:r>
      <w:bookmarkStart w:id="0" w:name="_GoBack"/>
      <w:bookmarkEnd w:id="0"/>
    </w:p>
    <w:p w14:paraId="1A254FF9">
      <w:pPr>
        <w:spacing w:line="240" w:lineRule="auto"/>
        <w:ind w:firstLine="420" w:firstLineChars="0"/>
        <w:jc w:val="both"/>
        <w:rPr>
          <w:rFonts w:hint="eastAsia" w:ascii="Times New Roman" w:hAnsi="Times New Roman" w:eastAsia="楷体" w:cs="楷体"/>
          <w:sz w:val="21"/>
          <w:szCs w:val="21"/>
          <w:lang w:val="en-US" w:eastAsia="zh-CN"/>
        </w:rPr>
      </w:pPr>
    </w:p>
    <w:p w14:paraId="07C33C28">
      <w:pPr>
        <w:spacing w:line="360" w:lineRule="auto"/>
        <w:jc w:val="center"/>
        <w:rPr>
          <w:rFonts w:hint="default" w:ascii="Times New Roman" w:hAnsi="Times New Roman" w:eastAsia="楷体" w:cs="Times New Roman"/>
          <w:b w:val="0"/>
          <w:bCs w:val="0"/>
          <w:sz w:val="24"/>
          <w:szCs w:val="24"/>
          <w:lang w:eastAsia="zh-CN"/>
        </w:rPr>
      </w:pPr>
      <w:r>
        <w:rPr>
          <w:rFonts w:hint="default" w:ascii="Times New Roman" w:hAnsi="Times New Roman" w:eastAsia="Segoe UI" w:cs="Times New Roman"/>
          <w:i w:val="0"/>
          <w:iCs w:val="0"/>
          <w:caps w:val="0"/>
          <w:color w:val="0F1115"/>
          <w:spacing w:val="0"/>
          <w:sz w:val="24"/>
          <w:szCs w:val="24"/>
          <w:shd w:val="clear" w:fill="FFFFFF"/>
        </w:rPr>
        <w:t xml:space="preserve">A Study on the Justification of Registrability of Position </w:t>
      </w:r>
      <w:r>
        <w:rPr>
          <w:rFonts w:hint="eastAsia" w:ascii="Times New Roman" w:hAnsi="Times New Roman" w:eastAsia="宋体" w:cs="Times New Roman"/>
          <w:i w:val="0"/>
          <w:iCs w:val="0"/>
          <w:caps w:val="0"/>
          <w:color w:val="0F1115"/>
          <w:spacing w:val="0"/>
          <w:sz w:val="24"/>
          <w:szCs w:val="24"/>
          <w:shd w:val="clear" w:fill="FFFFFF"/>
          <w:lang w:val="en-US" w:eastAsia="zh-CN"/>
        </w:rPr>
        <w:t>Marks</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 From the Perspective of Semiotics</w:t>
      </w:r>
    </w:p>
    <w:p w14:paraId="31E33379">
      <w:pPr>
        <w:spacing w:line="240" w:lineRule="auto"/>
        <w:ind w:firstLine="420" w:firstLineChars="0"/>
        <w:jc w:val="both"/>
        <w:rPr>
          <w:rFonts w:hint="eastAsia" w:ascii="Times New Roman" w:hAnsi="Times New Roman" w:eastAsia="楷体" w:cs="楷体"/>
          <w:b/>
          <w:bCs/>
          <w:sz w:val="21"/>
          <w:szCs w:val="21"/>
          <w:lang w:val="en-US" w:eastAsia="zh-CN"/>
        </w:rPr>
      </w:pPr>
    </w:p>
    <w:p w14:paraId="18DEAFDD">
      <w:pPr>
        <w:spacing w:line="240" w:lineRule="auto"/>
        <w:ind w:firstLine="420" w:firstLineChars="0"/>
        <w:jc w:val="both"/>
        <w:rPr>
          <w:rFonts w:hint="eastAsia" w:ascii="Times New Roman" w:hAnsi="Times New Roman" w:eastAsia="楷体" w:cs="楷体"/>
          <w:sz w:val="21"/>
          <w:szCs w:val="21"/>
          <w:lang w:val="en-US" w:eastAsia="zh-CN"/>
        </w:rPr>
      </w:pPr>
      <w:r>
        <w:rPr>
          <w:rFonts w:hint="eastAsia" w:ascii="Times New Roman" w:hAnsi="Times New Roman" w:eastAsia="楷体" w:cs="楷体"/>
          <w:b/>
          <w:bCs/>
          <w:sz w:val="21"/>
          <w:szCs w:val="21"/>
          <w:lang w:val="en-US" w:eastAsia="zh-CN"/>
        </w:rPr>
        <w:t>Abstract:</w:t>
      </w:r>
      <w:r>
        <w:rPr>
          <w:rFonts w:hint="eastAsia" w:ascii="Times New Roman" w:hAnsi="Times New Roman" w:eastAsia="楷体" w:cs="楷体"/>
          <w:sz w:val="21"/>
          <w:szCs w:val="21"/>
          <w:lang w:val="en-US" w:eastAsia="zh-CN"/>
        </w:rPr>
        <w:t xml:space="preserve"> Whether a position mark can be registered requires a systematic analysis of its internal structure from the perspective of semiotics. A position mark is a visible sign fixed at a specific location on a product to distinguish the source of the goods. Position marks do not create new constituent elements beyond those already recognized under current Trademark Law; rather, the fixation of the sign</w:t>
      </w:r>
      <w:r>
        <w:rPr>
          <w:rFonts w:hint="default" w:ascii="Times New Roman" w:hAnsi="Times New Roman" w:eastAsia="楷体" w:cs="楷体"/>
          <w:sz w:val="21"/>
          <w:szCs w:val="21"/>
          <w:lang w:val="en-US" w:eastAsia="zh-CN"/>
        </w:rPr>
        <w:t>’</w:t>
      </w:r>
      <w:r>
        <w:rPr>
          <w:rFonts w:hint="eastAsia" w:ascii="Times New Roman" w:hAnsi="Times New Roman" w:eastAsia="楷体" w:cs="楷体"/>
          <w:sz w:val="21"/>
          <w:szCs w:val="21"/>
          <w:lang w:val="en-US" w:eastAsia="zh-CN"/>
        </w:rPr>
        <w:t xml:space="preserve">s position enables the mark as a whole to acquire distinctiveness as a trademark. The </w:t>
      </w:r>
      <w:r>
        <w:rPr>
          <w:rFonts w:hint="default" w:ascii="Times New Roman" w:hAnsi="Times New Roman" w:eastAsia="楷体" w:cs="楷体"/>
          <w:sz w:val="21"/>
          <w:szCs w:val="21"/>
          <w:lang w:val="en-US" w:eastAsia="zh-CN"/>
        </w:rPr>
        <w:t>“</w:t>
      </w:r>
      <w:r>
        <w:rPr>
          <w:rFonts w:hint="eastAsia" w:ascii="Times New Roman" w:hAnsi="Times New Roman" w:eastAsia="楷体" w:cs="楷体"/>
          <w:sz w:val="21"/>
          <w:szCs w:val="21"/>
          <w:lang w:val="en-US" w:eastAsia="zh-CN"/>
        </w:rPr>
        <w:t>position</w:t>
      </w:r>
      <w:r>
        <w:rPr>
          <w:rFonts w:hint="default" w:ascii="Times New Roman" w:hAnsi="Times New Roman" w:eastAsia="楷体" w:cs="楷体"/>
          <w:sz w:val="21"/>
          <w:szCs w:val="21"/>
          <w:lang w:val="en-US" w:eastAsia="zh-CN"/>
        </w:rPr>
        <w:t>”</w:t>
      </w:r>
      <w:r>
        <w:rPr>
          <w:rFonts w:hint="eastAsia" w:ascii="Times New Roman" w:hAnsi="Times New Roman" w:eastAsia="楷体" w:cs="楷体"/>
          <w:sz w:val="21"/>
          <w:szCs w:val="21"/>
          <w:lang w:val="en-US" w:eastAsia="zh-CN"/>
        </w:rPr>
        <w:t xml:space="preserve"> is essentially attached to the basic constituent elements of the sign. Incorporating position marks into Chinese trademark system is both legally justified and practically necessary. When the signifier of a position mark is independent of the object to which it is attached, it does not constitute a monopoly over utilitarian or aesthetic features and will not be excluded from the trademark system on grounds of functionality. In examining distinctiveness, emphasis should be placed on acquired distinctiveness as the true source of a trademark’s function in identifying and distinguishing goods, with the cognitive psychology of the relevant public serving as the primary criterion, so as to avoid imposing overly stringent examination standards on position marks.</w:t>
      </w:r>
    </w:p>
    <w:p w14:paraId="2AE776A9">
      <w:pPr>
        <w:spacing w:line="240" w:lineRule="auto"/>
        <w:ind w:firstLine="420" w:firstLineChars="0"/>
        <w:jc w:val="both"/>
        <w:rPr>
          <w:rFonts w:hint="eastAsia" w:ascii="Times New Roman" w:hAnsi="Times New Roman" w:eastAsia="楷体" w:cs="楷体"/>
          <w:sz w:val="21"/>
          <w:szCs w:val="21"/>
          <w:lang w:val="en-US" w:eastAsia="zh-CN"/>
        </w:rPr>
      </w:pPr>
      <w:r>
        <w:rPr>
          <w:rFonts w:hint="eastAsia" w:ascii="Times New Roman" w:hAnsi="Times New Roman" w:eastAsia="楷体" w:cs="楷体"/>
          <w:b/>
          <w:bCs/>
          <w:sz w:val="21"/>
          <w:szCs w:val="21"/>
          <w:lang w:val="en-US" w:eastAsia="zh-CN"/>
        </w:rPr>
        <w:t>Keywords:</w:t>
      </w:r>
      <w:r>
        <w:rPr>
          <w:rFonts w:hint="eastAsia" w:ascii="Times New Roman" w:hAnsi="Times New Roman" w:eastAsia="楷体" w:cs="楷体"/>
          <w:sz w:val="21"/>
          <w:szCs w:val="21"/>
          <w:lang w:val="en-US" w:eastAsia="zh-CN"/>
        </w:rPr>
        <w:t xml:space="preserve"> position mark; semiotics; registrability; functionality; distinctiveness</w:t>
      </w:r>
    </w:p>
    <w:p w14:paraId="08DC2DE1">
      <w:pPr>
        <w:spacing w:line="360" w:lineRule="auto"/>
        <w:ind w:firstLine="480" w:firstLineChars="200"/>
        <w:jc w:val="both"/>
        <w:rPr>
          <w:rFonts w:hint="default" w:ascii="Times New Roman" w:hAnsi="Times New Roman" w:eastAsia="楷体" w:cs="楷体"/>
          <w:sz w:val="24"/>
          <w:szCs w:val="24"/>
          <w:lang w:val="en-US" w:eastAsia="zh-CN"/>
        </w:rPr>
      </w:pPr>
    </w:p>
    <w:p w14:paraId="2B9C125B">
      <w:pPr>
        <w:spacing w:line="360" w:lineRule="auto"/>
        <w:ind w:firstLine="480" w:firstLineChars="200"/>
        <w:jc w:val="both"/>
        <w:rPr>
          <w:rFonts w:hint="default" w:ascii="Times New Roman" w:hAnsi="Times New Roman" w:eastAsia="楷体" w:cs="楷体"/>
          <w:sz w:val="24"/>
          <w:szCs w:val="24"/>
          <w:lang w:val="en-US" w:eastAsia="zh-CN"/>
        </w:rPr>
      </w:pPr>
    </w:p>
    <w:p w14:paraId="4E52C359">
      <w:pPr>
        <w:spacing w:line="360" w:lineRule="auto"/>
        <w:ind w:firstLine="480" w:firstLineChars="200"/>
        <w:jc w:val="both"/>
        <w:rPr>
          <w:rFonts w:hint="default" w:ascii="Times New Roman" w:hAnsi="Times New Roman" w:eastAsia="楷体" w:cs="楷体"/>
          <w:sz w:val="24"/>
          <w:szCs w:val="24"/>
          <w:lang w:val="en-US" w:eastAsia="zh-CN"/>
        </w:rPr>
      </w:pPr>
    </w:p>
    <w:p w14:paraId="197E168C">
      <w:pPr>
        <w:spacing w:line="360" w:lineRule="auto"/>
        <w:ind w:firstLine="480" w:firstLineChars="200"/>
        <w:jc w:val="both"/>
        <w:rPr>
          <w:rFonts w:hint="default" w:ascii="Times New Roman" w:hAnsi="Times New Roman" w:eastAsia="楷体" w:cs="楷体"/>
          <w:sz w:val="24"/>
          <w:szCs w:val="24"/>
          <w:lang w:val="en-US" w:eastAsia="zh-CN"/>
        </w:rPr>
      </w:pPr>
    </w:p>
    <w:p w14:paraId="17EE0A32">
      <w:pPr>
        <w:spacing w:line="360" w:lineRule="auto"/>
        <w:ind w:firstLine="480" w:firstLineChars="200"/>
        <w:jc w:val="both"/>
        <w:rPr>
          <w:rFonts w:hint="default" w:ascii="Times New Roman" w:hAnsi="Times New Roman" w:eastAsia="楷体" w:cs="楷体"/>
          <w:sz w:val="24"/>
          <w:szCs w:val="24"/>
          <w:lang w:val="en-US" w:eastAsia="zh-CN"/>
        </w:rPr>
      </w:pPr>
    </w:p>
    <w:p w14:paraId="2DEA86C0">
      <w:pPr>
        <w:spacing w:line="360" w:lineRule="auto"/>
        <w:ind w:firstLine="480" w:firstLineChars="200"/>
        <w:jc w:val="both"/>
        <w:rPr>
          <w:rFonts w:hint="default" w:ascii="Times New Roman" w:hAnsi="Times New Roman" w:eastAsia="楷体" w:cs="楷体"/>
          <w:sz w:val="24"/>
          <w:szCs w:val="24"/>
          <w:lang w:val="en-US" w:eastAsia="zh-CN"/>
        </w:rPr>
      </w:pPr>
    </w:p>
    <w:p w14:paraId="2EF6B222">
      <w:pPr>
        <w:spacing w:line="360" w:lineRule="auto"/>
        <w:ind w:firstLine="480" w:firstLineChars="200"/>
        <w:jc w:val="both"/>
        <w:rPr>
          <w:rFonts w:hint="default" w:ascii="Times New Roman" w:hAnsi="Times New Roman" w:eastAsia="楷体" w:cs="楷体"/>
          <w:sz w:val="24"/>
          <w:szCs w:val="24"/>
          <w:lang w:val="en-US" w:eastAsia="zh-CN"/>
        </w:rPr>
      </w:pPr>
    </w:p>
    <w:p w14:paraId="126D4669">
      <w:pPr>
        <w:numPr>
          <w:ilvl w:val="0"/>
          <w:numId w:val="1"/>
        </w:numPr>
        <w:spacing w:line="360" w:lineRule="auto"/>
        <w:ind w:left="420" w:leftChars="0"/>
        <w:jc w:val="left"/>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引言</w:t>
      </w:r>
    </w:p>
    <w:p w14:paraId="33BC31BB">
      <w:pPr>
        <w:numPr>
          <w:ilvl w:val="0"/>
          <w:numId w:val="0"/>
        </w:numPr>
        <w:spacing w:line="240" w:lineRule="auto"/>
        <w:ind w:firstLine="420" w:firstLineChars="200"/>
        <w:rPr>
          <w:rFonts w:hint="default" w:ascii="Times New Roman" w:hAnsi="Times New Roman" w:eastAsia="宋体"/>
          <w:sz w:val="21"/>
          <w:szCs w:val="21"/>
          <w:lang w:val="en-US" w:eastAsia="zh-CN"/>
        </w:rPr>
      </w:pPr>
      <w:r>
        <w:rPr>
          <w:rFonts w:hint="eastAsia" w:ascii="Times New Roman" w:hAnsi="Times New Roman" w:eastAsia="宋体"/>
          <w:sz w:val="21"/>
          <w:szCs w:val="21"/>
          <w:lang w:val="en-US" w:eastAsia="zh-CN"/>
        </w:rPr>
        <w:t>随着商标经济的发展，各种形态的非传统商标逐渐兴起。位置商标作为非传统商标的一种，自20世纪末出现于欧美市场，并逐渐获得国际层面的承认和保护。</w:t>
      </w:r>
    </w:p>
    <w:p w14:paraId="050BA3CB">
      <w:pPr>
        <w:numPr>
          <w:ilvl w:val="0"/>
          <w:numId w:val="0"/>
        </w:numPr>
        <w:spacing w:line="240" w:lineRule="auto"/>
        <w:ind w:firstLine="420" w:firstLineChars="200"/>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位置商标在我国的注册争议始于2010年，萨塔“喷漆枪把手蓝色标识”案</w:t>
      </w:r>
      <w:r>
        <w:rPr>
          <w:rStyle w:val="9"/>
          <w:rFonts w:hint="eastAsia" w:ascii="Times New Roman" w:hAnsi="Times New Roman" w:eastAsia="宋体"/>
          <w:sz w:val="21"/>
          <w:szCs w:val="21"/>
          <w:lang w:val="en-US" w:eastAsia="zh-CN"/>
        </w:rPr>
        <w:footnoteReference w:id="0"/>
      </w:r>
      <w:r>
        <w:rPr>
          <w:rFonts w:hint="eastAsia" w:ascii="Times New Roman" w:hAnsi="Times New Roman" w:eastAsia="宋体"/>
          <w:sz w:val="21"/>
          <w:szCs w:val="21"/>
          <w:lang w:val="en-US" w:eastAsia="zh-CN"/>
        </w:rPr>
        <w:t>和阿迪达斯“三道杠”案</w:t>
      </w:r>
      <w:r>
        <w:rPr>
          <w:rStyle w:val="9"/>
          <w:rFonts w:hint="eastAsia" w:ascii="Times New Roman" w:hAnsi="Times New Roman" w:eastAsia="宋体"/>
          <w:sz w:val="21"/>
          <w:szCs w:val="21"/>
          <w:lang w:val="en-US" w:eastAsia="zh-CN"/>
        </w:rPr>
        <w:footnoteReference w:id="1"/>
      </w:r>
      <w:r>
        <w:rPr>
          <w:rFonts w:hint="eastAsia" w:ascii="Times New Roman" w:hAnsi="Times New Roman" w:eastAsia="宋体"/>
          <w:sz w:val="21"/>
          <w:szCs w:val="21"/>
          <w:lang w:val="en-US" w:eastAsia="zh-CN"/>
        </w:rPr>
        <w:t>向人民法院提出了位置商标是否可注册以及如何审查的问题。对此，人民法院或以申请注册的标志不具备作为商标的显著特征，或在对相关标志错误归类的基础上，否认了其注册可能性。路铂廷（Christian Louboutin）“红鞋底”案</w:t>
      </w:r>
      <w:r>
        <w:rPr>
          <w:rStyle w:val="9"/>
          <w:rFonts w:hint="eastAsia" w:ascii="Times New Roman" w:hAnsi="Times New Roman" w:eastAsia="宋体"/>
          <w:sz w:val="21"/>
          <w:szCs w:val="21"/>
          <w:lang w:val="en-US" w:eastAsia="zh-CN"/>
        </w:rPr>
        <w:footnoteReference w:id="2"/>
      </w:r>
      <w:r>
        <w:rPr>
          <w:rFonts w:hint="eastAsia" w:ascii="Times New Roman" w:hAnsi="Times New Roman" w:eastAsia="宋体"/>
          <w:sz w:val="21"/>
          <w:szCs w:val="21"/>
          <w:lang w:val="en-US" w:eastAsia="zh-CN"/>
        </w:rPr>
        <w:t>则是目前历经最多审级、经过最充分讨论的位置商标注册案：克里斯提·鲁布托于2010年4月通过领土延伸方式就“红鞋底”标志向商标局提出商标注册申请，该商标由申请图样中实线勾勒并由红色（潘通号18.1663TIP）填充的鞋底构成，图样还用虚线勾勒了高跟鞋的外围轮廓，用以表明“高跟鞋的外形不属于商标的一部分，仅用于指示商标的位置”。该商标指定使用的商品为第25类的女高跟鞋。从商评委到北京市知识产权法院，再到北京市高级人民法院，对“红鞋底”标志的定性经历了从图形商标到三维标志再到“限定了使用位置的单一颜色商标”的过程。其中，北京高院首次明确了我国《商标法》第八条所列举的商标构成要素并不会对可注册的商标类型构成限制，从而为位置商标在我国获得注册与保护创造了可能性——最高人民法院对此予以认可，提出商评委应当在正确认定审查对象的基础上，就诉争商标是否具备显著特征重新作出认定。然而，2023年7月，商评委以“红鞋底”识别功能不足、颜色识别困难和鞋底的红色设计具有功能性为由，认为该标志缺乏显著特征而拒绝予以注册。</w:t>
      </w:r>
      <w:r>
        <w:rPr>
          <w:rStyle w:val="9"/>
          <w:rFonts w:hint="eastAsia" w:ascii="Times New Roman" w:hAnsi="Times New Roman" w:eastAsia="宋体"/>
          <w:sz w:val="21"/>
          <w:szCs w:val="21"/>
          <w:lang w:val="en-US" w:eastAsia="zh-CN"/>
        </w:rPr>
        <w:footnoteReference w:id="3"/>
      </w:r>
      <w:r>
        <w:rPr>
          <w:rFonts w:hint="eastAsia" w:ascii="Times New Roman" w:hAnsi="Times New Roman" w:eastAsia="宋体"/>
          <w:sz w:val="21"/>
          <w:szCs w:val="21"/>
          <w:lang w:val="en-US" w:eastAsia="zh-CN"/>
        </w:rPr>
        <w:t>就在去年，斯拉姆“自行车飞轮红色环状标识”案再次明确了“限定使用位置的单一颜色商标”的注册性可能性，</w:t>
      </w:r>
      <w:r>
        <w:rPr>
          <w:rStyle w:val="9"/>
          <w:rFonts w:hint="eastAsia" w:ascii="Times New Roman" w:hAnsi="Times New Roman" w:eastAsia="宋体"/>
          <w:sz w:val="21"/>
          <w:szCs w:val="21"/>
          <w:lang w:val="en-US" w:eastAsia="zh-CN"/>
        </w:rPr>
        <w:footnoteReference w:id="4"/>
      </w:r>
      <w:r>
        <w:rPr>
          <w:rFonts w:hint="eastAsia" w:ascii="Times New Roman" w:hAnsi="Times New Roman" w:eastAsia="宋体"/>
          <w:sz w:val="21"/>
          <w:szCs w:val="21"/>
          <w:lang w:val="en-US" w:eastAsia="zh-CN"/>
        </w:rPr>
        <w:t>商评委目前暂未作出再审决定。</w:t>
      </w:r>
    </w:p>
    <w:p w14:paraId="394C6A71">
      <w:pPr>
        <w:spacing w:line="240" w:lineRule="auto"/>
        <w:ind w:firstLine="420" w:firstLineChars="200"/>
        <w:rPr>
          <w:rFonts w:hint="default" w:ascii="Times New Roman" w:hAnsi="Times New Roman"/>
          <w:sz w:val="21"/>
          <w:szCs w:val="21"/>
          <w:lang w:val="en-US" w:eastAsia="zh-CN"/>
        </w:rPr>
      </w:pPr>
      <w:r>
        <w:rPr>
          <w:rFonts w:hint="eastAsia" w:ascii="Times New Roman" w:hAnsi="Times New Roman" w:eastAsia="宋体"/>
          <w:sz w:val="21"/>
          <w:szCs w:val="21"/>
          <w:lang w:val="en-US" w:eastAsia="zh-CN"/>
        </w:rPr>
        <w:t>通过对上述实践的列举可见，由于商标注册机构的保守姿态和司法实践中相关判例的有限性，位置商标的可注册性以及审查标准至今仍缺乏明确界定。现有关于位置商标的研究大多局限于对现行法律制度的解释和适用，研究方法较为单一。值得注意的是，商标法所调整的对象——商标——本身就是一种符号，它充当着企业和消费者之间信息传递的编码器和解码器。</w:t>
      </w:r>
      <w:r>
        <w:rPr>
          <w:rStyle w:val="9"/>
          <w:rFonts w:hint="eastAsia" w:ascii="Times New Roman" w:hAnsi="Times New Roman" w:eastAsia="宋体"/>
          <w:sz w:val="21"/>
          <w:szCs w:val="21"/>
          <w:lang w:val="en-US" w:eastAsia="zh-CN"/>
        </w:rPr>
        <w:footnoteReference w:id="5"/>
      </w:r>
      <w:r>
        <w:rPr>
          <w:rFonts w:hint="eastAsia" w:ascii="Times New Roman" w:hAnsi="Times New Roman" w:eastAsia="宋体"/>
          <w:sz w:val="21"/>
          <w:szCs w:val="21"/>
          <w:lang w:val="en-US" w:eastAsia="zh-CN"/>
        </w:rPr>
        <w:t>正因如此，商标法实质上是一种符号规则。符号学作为“专门研究符号及其意指活动之规律的科学”，</w:t>
      </w:r>
      <w:r>
        <w:rPr>
          <w:rStyle w:val="9"/>
          <w:rFonts w:hint="eastAsia" w:ascii="Times New Roman" w:hAnsi="Times New Roman"/>
          <w:sz w:val="21"/>
          <w:szCs w:val="21"/>
          <w:lang w:val="en-US" w:eastAsia="zh-CN"/>
        </w:rPr>
        <w:footnoteReference w:id="6"/>
      </w:r>
      <w:r>
        <w:rPr>
          <w:rFonts w:hint="eastAsia" w:ascii="Times New Roman" w:hAnsi="Times New Roman" w:eastAsia="宋体"/>
          <w:sz w:val="21"/>
          <w:szCs w:val="21"/>
          <w:lang w:val="en-US" w:eastAsia="zh-CN"/>
        </w:rPr>
        <w:t>为解读商标法提供了不可或缺的理论基础。将符号学原理作为分析工具，能够从符号结构的内部视角出发，系统解析商标所应具备的结构，进而明确商标权的客体范围，最终有效应对非传统商标为商标体系带来的挑战。</w:t>
      </w:r>
    </w:p>
    <w:p w14:paraId="7F71A58B">
      <w:pPr>
        <w:numPr>
          <w:ilvl w:val="0"/>
          <w:numId w:val="0"/>
        </w:numPr>
        <w:spacing w:line="240" w:lineRule="auto"/>
        <w:ind w:firstLine="420" w:firstLineChars="200"/>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本文将从符号学视角剖析位置商标的构成要件和符号特征。在此基础上，论证位置商标的可注册性既具备法理基础，亦符合现实需要，并进一步分析位置商标能通过现行商标法对标志</w:t>
      </w:r>
      <w:r>
        <w:rPr>
          <w:rFonts w:hint="default" w:ascii="Times New Roman" w:hAnsi="Times New Roman" w:eastAsia="宋体"/>
          <w:sz w:val="21"/>
          <w:szCs w:val="21"/>
          <w:lang w:eastAsia="zh-CN"/>
        </w:rPr>
        <w:t>功能性和</w:t>
      </w:r>
      <w:r>
        <w:rPr>
          <w:rFonts w:hint="eastAsia" w:ascii="Times New Roman" w:hAnsi="Times New Roman" w:eastAsia="宋体"/>
          <w:sz w:val="21"/>
          <w:szCs w:val="21"/>
          <w:lang w:val="en-US" w:eastAsia="zh-CN"/>
        </w:rPr>
        <w:t>显著性的审查，力图为我国对位置商标的注册、管理与保护提供理论支持。</w:t>
      </w:r>
    </w:p>
    <w:p w14:paraId="7CEB9AAB">
      <w:pPr>
        <w:numPr>
          <w:ilvl w:val="0"/>
          <w:numId w:val="0"/>
        </w:numPr>
        <w:spacing w:line="240" w:lineRule="auto"/>
        <w:ind w:firstLine="420" w:firstLineChars="200"/>
        <w:rPr>
          <w:rFonts w:hint="default" w:ascii="Times New Roman" w:hAnsi="Times New Roman" w:eastAsia="宋体"/>
          <w:sz w:val="21"/>
          <w:szCs w:val="21"/>
          <w:lang w:val="en-US" w:eastAsia="zh-CN"/>
        </w:rPr>
      </w:pPr>
    </w:p>
    <w:p w14:paraId="6BA8F6CA">
      <w:pPr>
        <w:numPr>
          <w:ilvl w:val="0"/>
          <w:numId w:val="1"/>
        </w:numPr>
        <w:spacing w:line="360" w:lineRule="auto"/>
        <w:ind w:left="420" w:leftChars="0"/>
        <w:jc w:val="left"/>
        <w:rPr>
          <w:rFonts w:hint="default"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位置商标的内涵</w:t>
      </w:r>
    </w:p>
    <w:p w14:paraId="32705801">
      <w:pPr>
        <w:widowControl w:val="0"/>
        <w:numPr>
          <w:ilvl w:val="0"/>
          <w:numId w:val="0"/>
        </w:numPr>
        <w:spacing w:line="240" w:lineRule="auto"/>
        <w:ind w:firstLine="420" w:firstLineChars="200"/>
        <w:jc w:val="both"/>
        <w:rPr>
          <w:rFonts w:hint="default" w:ascii="Times New Roman" w:hAnsi="Times New Roman"/>
          <w:sz w:val="21"/>
          <w:szCs w:val="21"/>
          <w:lang w:val="en-US" w:eastAsia="zh-CN"/>
        </w:rPr>
      </w:pPr>
      <w:r>
        <w:rPr>
          <w:rFonts w:hint="eastAsia" w:ascii="Times New Roman" w:hAnsi="Times New Roman" w:eastAsia="宋体"/>
          <w:sz w:val="21"/>
          <w:szCs w:val="21"/>
          <w:lang w:val="en-US" w:eastAsia="zh-CN"/>
        </w:rPr>
        <w:t>明确位置商标的内涵，是构建理论框架的起点。位置商标具备作为符号的基本结构，其核心特征在于标志被固定于特定位置。“位置”这一商标属性的定位对理解这类商标至关重要，此亦有助于辨析位置商标与其他类型商标的差异与关联。</w:t>
      </w:r>
    </w:p>
    <w:p w14:paraId="3038AFF3">
      <w:pPr>
        <w:numPr>
          <w:ilvl w:val="0"/>
          <w:numId w:val="2"/>
        </w:numPr>
        <w:spacing w:line="240" w:lineRule="auto"/>
        <w:ind w:left="420" w:leftChars="0"/>
        <w:rPr>
          <w:rFonts w:hint="eastAsia" w:ascii="楷体" w:hAnsi="楷体" w:eastAsia="楷体" w:cs="楷体"/>
          <w:b w:val="0"/>
          <w:bCs w:val="0"/>
          <w:sz w:val="21"/>
          <w:szCs w:val="21"/>
          <w:lang w:val="en-US" w:eastAsia="zh-CN"/>
        </w:rPr>
      </w:pPr>
      <w:r>
        <w:rPr>
          <w:rFonts w:hint="eastAsia" w:ascii="楷体" w:hAnsi="楷体" w:eastAsia="楷体" w:cs="楷体"/>
          <w:b w:val="0"/>
          <w:bCs w:val="0"/>
          <w:sz w:val="21"/>
          <w:szCs w:val="21"/>
          <w:lang w:val="en-US" w:eastAsia="zh-CN"/>
        </w:rPr>
        <w:t>位置商标的结构剖析</w:t>
      </w:r>
    </w:p>
    <w:p w14:paraId="197250EF">
      <w:pPr>
        <w:numPr>
          <w:ilvl w:val="0"/>
          <w:numId w:val="0"/>
        </w:numPr>
        <w:spacing w:line="240" w:lineRule="auto"/>
        <w:ind w:firstLine="420" w:firstLineChars="200"/>
        <w:rPr>
          <w:rFonts w:hint="eastAsia" w:ascii="Times New Roman" w:hAnsi="Times New Roman" w:eastAsia="宋体"/>
          <w:sz w:val="21"/>
          <w:szCs w:val="21"/>
          <w:lang w:val="en-US" w:eastAsia="zh-CN"/>
        </w:rPr>
      </w:pPr>
      <w:r>
        <w:rPr>
          <w:rFonts w:hint="default" w:ascii="Times New Roman" w:hAnsi="Times New Roman" w:eastAsia="宋体"/>
          <w:sz w:val="21"/>
          <w:szCs w:val="21"/>
          <w:lang w:val="en-US" w:eastAsia="zh-CN"/>
        </w:rPr>
        <w:t>位置商标（Positionierungsmarke）</w:t>
      </w:r>
      <w:r>
        <w:rPr>
          <w:rFonts w:hint="eastAsia" w:ascii="Times New Roman" w:hAnsi="Times New Roman" w:eastAsia="宋体"/>
          <w:sz w:val="21"/>
          <w:szCs w:val="21"/>
          <w:lang w:val="en-US" w:eastAsia="zh-CN"/>
        </w:rPr>
        <w:t>的概念</w:t>
      </w:r>
      <w:r>
        <w:rPr>
          <w:rFonts w:hint="default" w:ascii="Times New Roman" w:hAnsi="Times New Roman" w:eastAsia="宋体"/>
          <w:sz w:val="21"/>
          <w:szCs w:val="21"/>
          <w:lang w:val="en-US" w:eastAsia="zh-CN"/>
        </w:rPr>
        <w:t>首次出现于德国联邦专利法院的判决中，</w:t>
      </w:r>
      <w:r>
        <w:rPr>
          <w:rStyle w:val="9"/>
          <w:rFonts w:hint="default" w:ascii="Times New Roman" w:hAnsi="Times New Roman" w:eastAsia="宋体"/>
          <w:sz w:val="21"/>
          <w:szCs w:val="21"/>
          <w:lang w:val="en-US" w:eastAsia="zh-CN"/>
        </w:rPr>
        <w:footnoteReference w:id="7"/>
      </w:r>
      <w:r>
        <w:rPr>
          <w:rFonts w:hint="eastAsia" w:ascii="Times New Roman" w:hAnsi="Times New Roman" w:eastAsia="宋体"/>
          <w:sz w:val="21"/>
          <w:szCs w:val="21"/>
          <w:lang w:val="en-US" w:eastAsia="zh-CN"/>
        </w:rPr>
        <w:t>德国法学界认为，位置商标是一种“布局或贴附于产品特定位置的特殊标志”</w:t>
      </w:r>
      <w:r>
        <w:rPr>
          <w:rFonts w:hint="default" w:ascii="Times New Roman" w:hAnsi="Times New Roman" w:eastAsia="宋体"/>
          <w:sz w:val="21"/>
          <w:szCs w:val="21"/>
          <w:lang w:val="en-US" w:eastAsia="zh-CN"/>
        </w:rPr>
        <w:t>。</w:t>
      </w:r>
      <w:r>
        <w:rPr>
          <w:rStyle w:val="9"/>
          <w:rFonts w:hint="default" w:ascii="Times New Roman" w:hAnsi="Times New Roman" w:eastAsia="宋体"/>
          <w:sz w:val="21"/>
          <w:szCs w:val="21"/>
          <w:lang w:val="en-US" w:eastAsia="zh-CN"/>
        </w:rPr>
        <w:footnoteReference w:id="8"/>
      </w:r>
      <w:r>
        <w:rPr>
          <w:rFonts w:hint="eastAsia" w:ascii="Times New Roman" w:hAnsi="Times New Roman" w:eastAsia="宋体"/>
          <w:sz w:val="21"/>
          <w:szCs w:val="21"/>
          <w:lang w:val="en-US" w:eastAsia="zh-CN"/>
        </w:rPr>
        <w:t>为了规范这类日渐兴起的商业标识，EUIPO（欧盟知识产权局）采纳了上述位置商标的定义，并在《商标指南》中将位置商标定义为“将标志以特定方式置于或附着于商品上的商标”。</w:t>
      </w:r>
      <w:r>
        <w:rPr>
          <w:rStyle w:val="9"/>
          <w:rFonts w:hint="eastAsia" w:ascii="Times New Roman" w:hAnsi="Times New Roman" w:eastAsia="宋体"/>
          <w:sz w:val="21"/>
          <w:szCs w:val="21"/>
          <w:lang w:val="en-US" w:eastAsia="zh-CN"/>
        </w:rPr>
        <w:footnoteReference w:id="9"/>
      </w:r>
      <w:r>
        <w:rPr>
          <w:rFonts w:hint="eastAsia" w:ascii="Times New Roman" w:hAnsi="Times New Roman" w:eastAsia="宋体"/>
          <w:sz w:val="21"/>
          <w:szCs w:val="21"/>
          <w:lang w:val="en-US" w:eastAsia="zh-CN"/>
        </w:rPr>
        <w:t>日本特许厅认为位置商标是“将在特定商品上添附文字或图形标志的位置特定的商标”。</w:t>
      </w:r>
      <w:r>
        <w:rPr>
          <w:rStyle w:val="9"/>
          <w:rFonts w:hint="eastAsia" w:ascii="Times New Roman" w:hAnsi="Times New Roman" w:eastAsia="宋体"/>
          <w:sz w:val="21"/>
          <w:szCs w:val="21"/>
          <w:lang w:val="en-US" w:eastAsia="zh-CN"/>
        </w:rPr>
        <w:footnoteReference w:id="10"/>
      </w:r>
      <w:r>
        <w:rPr>
          <w:rFonts w:hint="eastAsia" w:ascii="Times New Roman" w:hAnsi="Times New Roman" w:eastAsia="宋体"/>
          <w:sz w:val="21"/>
          <w:szCs w:val="21"/>
          <w:lang w:val="en-US" w:eastAsia="zh-CN"/>
        </w:rPr>
        <w:t>韩国知识产权局</w:t>
      </w:r>
      <w:r>
        <w:rPr>
          <w:rFonts w:hint="default" w:ascii="Times New Roman" w:hAnsi="Times New Roman" w:eastAsia="宋体"/>
          <w:sz w:val="21"/>
          <w:szCs w:val="21"/>
          <w:lang w:val="en-US" w:eastAsia="zh-CN"/>
        </w:rPr>
        <w:t>商标设计审查局</w:t>
      </w:r>
      <w:r>
        <w:rPr>
          <w:rFonts w:hint="eastAsia" w:ascii="Times New Roman" w:hAnsi="Times New Roman" w:eastAsia="宋体"/>
          <w:sz w:val="21"/>
          <w:szCs w:val="21"/>
          <w:lang w:val="en-US" w:eastAsia="zh-CN"/>
        </w:rPr>
        <w:t>在《商标审查标准》“非传统商标”部分对位置商标予以专章设置并指出，位置商标是指“通过符号、文字、图形或其结合，形成特定形状或图案，并通过该特定形状或图案被固定在指定商品的特定位置上，从而用于区分商品来源的标识”。</w:t>
      </w:r>
      <w:r>
        <w:rPr>
          <w:rStyle w:val="9"/>
          <w:rFonts w:hint="eastAsia" w:ascii="Times New Roman" w:hAnsi="Times New Roman" w:eastAsia="宋体"/>
          <w:sz w:val="21"/>
          <w:szCs w:val="21"/>
          <w:lang w:val="en-US" w:eastAsia="zh-CN"/>
        </w:rPr>
        <w:footnoteReference w:id="11"/>
      </w:r>
    </w:p>
    <w:p w14:paraId="3A8605AA">
      <w:pPr>
        <w:numPr>
          <w:ilvl w:val="0"/>
          <w:numId w:val="0"/>
        </w:numPr>
        <w:spacing w:line="240" w:lineRule="auto"/>
        <w:ind w:firstLine="420" w:firstLineChars="200"/>
        <w:rPr>
          <w:rFonts w:hint="eastAsia" w:ascii="Times New Roman" w:hAnsi="Times New Roman" w:eastAsia="宋体" w:cs="宋体"/>
          <w:sz w:val="21"/>
          <w:szCs w:val="21"/>
          <w:lang w:val="en-US" w:eastAsia="zh-CN"/>
        </w:rPr>
      </w:pPr>
      <w:r>
        <w:rPr>
          <w:rFonts w:hint="eastAsia" w:ascii="Times New Roman" w:hAnsi="Times New Roman" w:eastAsia="宋体"/>
          <w:sz w:val="21"/>
          <w:szCs w:val="21"/>
          <w:lang w:val="en-US" w:eastAsia="zh-CN"/>
        </w:rPr>
        <w:t>结合上述国家和地区对位置商标的理解，综观国内学者对位置商标的定义，本文从“构成要件”和“商标功能”两</w:t>
      </w:r>
      <w:r>
        <w:rPr>
          <w:rFonts w:hint="eastAsia" w:ascii="Times New Roman" w:hAnsi="Times New Roman" w:eastAsia="宋体" w:cs="宋体"/>
          <w:sz w:val="21"/>
          <w:szCs w:val="21"/>
          <w:lang w:val="en-US" w:eastAsia="zh-CN"/>
        </w:rPr>
        <w:t>个层面理解位置商标。</w:t>
      </w:r>
      <w:r>
        <w:rPr>
          <w:rStyle w:val="9"/>
          <w:rFonts w:hint="eastAsia" w:ascii="Times New Roman" w:hAnsi="Times New Roman" w:eastAsia="宋体" w:cs="宋体"/>
          <w:sz w:val="21"/>
          <w:szCs w:val="21"/>
          <w:lang w:val="en-US" w:eastAsia="zh-CN"/>
        </w:rPr>
        <w:footnoteReference w:id="12"/>
      </w:r>
      <w:r>
        <w:rPr>
          <w:rFonts w:hint="eastAsia" w:ascii="Times New Roman" w:hAnsi="Times New Roman" w:eastAsia="宋体" w:cs="宋体"/>
          <w:sz w:val="21"/>
          <w:szCs w:val="21"/>
          <w:lang w:val="en-US" w:eastAsia="zh-CN"/>
        </w:rPr>
        <w:t>位置商标的“构成要件”有二：一是标志，二是该标志处于特定位置。</w:t>
      </w:r>
      <w:r>
        <w:rPr>
          <w:rStyle w:val="9"/>
          <w:rFonts w:hint="eastAsia" w:ascii="Times New Roman" w:hAnsi="Times New Roman" w:eastAsia="宋体" w:cs="宋体"/>
          <w:sz w:val="21"/>
          <w:szCs w:val="21"/>
          <w:lang w:val="en-US" w:eastAsia="zh-CN"/>
        </w:rPr>
        <w:footnoteReference w:id="13"/>
      </w:r>
      <w:r>
        <w:rPr>
          <w:rFonts w:hint="eastAsia" w:ascii="Times New Roman" w:hAnsi="Times New Roman" w:eastAsia="宋体" w:cs="宋体"/>
          <w:sz w:val="21"/>
          <w:szCs w:val="21"/>
          <w:lang w:val="en-US" w:eastAsia="zh-CN"/>
        </w:rPr>
        <w:t>其中，“标志”主要包括可视性标志，这类标志一般没有显著性或者显著性太弱而无法独立获得商标注册的标志。本身具有足够显著性的商标完全可以独立获得注册，并在商品或服务的任何位置加以使用，而不具有限定位置的必要。</w:t>
      </w:r>
      <w:r>
        <w:rPr>
          <w:rStyle w:val="9"/>
          <w:rFonts w:hint="eastAsia" w:ascii="Times New Roman" w:hAnsi="Times New Roman" w:eastAsia="宋体" w:cs="宋体"/>
          <w:sz w:val="21"/>
          <w:szCs w:val="21"/>
          <w:lang w:val="en-US" w:eastAsia="zh-CN"/>
        </w:rPr>
        <w:footnoteReference w:id="14"/>
      </w:r>
      <w:r>
        <w:rPr>
          <w:rFonts w:hint="eastAsia" w:ascii="Times New Roman" w:hAnsi="Times New Roman" w:eastAsia="宋体" w:cs="宋体"/>
          <w:sz w:val="21"/>
          <w:szCs w:val="21"/>
          <w:lang w:val="en-US" w:eastAsia="zh-CN"/>
        </w:rPr>
        <w:t>当然，对于已具备显著性的标志，申请人可自行选择是通过将该标志与位置结合申请位置商标，还是通过该标志本身申请其他商标。</w:t>
      </w:r>
      <w:r>
        <w:rPr>
          <w:rStyle w:val="9"/>
          <w:rFonts w:hint="eastAsia" w:ascii="Times New Roman" w:hAnsi="Times New Roman" w:eastAsia="宋体" w:cs="宋体"/>
          <w:sz w:val="21"/>
          <w:szCs w:val="21"/>
          <w:lang w:val="en-US" w:eastAsia="zh-CN"/>
        </w:rPr>
        <w:footnoteReference w:id="15"/>
      </w:r>
      <w:r>
        <w:rPr>
          <w:rFonts w:hint="eastAsia" w:ascii="Times New Roman" w:hAnsi="Times New Roman" w:eastAsia="宋体" w:cs="宋体"/>
          <w:sz w:val="21"/>
          <w:szCs w:val="21"/>
          <w:lang w:val="en-US" w:eastAsia="zh-CN"/>
        </w:rPr>
        <w:t>“商标功能”则是对商标普遍而本质的要求，</w:t>
      </w:r>
      <w:r>
        <w:rPr>
          <w:rStyle w:val="9"/>
          <w:rFonts w:hint="eastAsia" w:ascii="Times New Roman" w:hAnsi="Times New Roman" w:eastAsia="宋体" w:cs="宋体"/>
          <w:sz w:val="21"/>
          <w:szCs w:val="21"/>
          <w:lang w:val="en-US" w:eastAsia="zh-CN"/>
        </w:rPr>
        <w:footnoteReference w:id="16"/>
      </w:r>
      <w:r>
        <w:rPr>
          <w:rFonts w:hint="eastAsia" w:ascii="Times New Roman" w:hAnsi="Times New Roman" w:eastAsia="宋体" w:cs="宋体"/>
          <w:sz w:val="21"/>
          <w:szCs w:val="21"/>
          <w:lang w:val="en-US" w:eastAsia="zh-CN"/>
        </w:rPr>
        <w:t>即位置商标必须能够发挥区分商品来源的作用。</w:t>
      </w:r>
      <w:r>
        <w:rPr>
          <w:rStyle w:val="9"/>
          <w:rFonts w:hint="eastAsia" w:ascii="Times New Roman" w:hAnsi="Times New Roman" w:eastAsia="宋体" w:cs="宋体"/>
          <w:sz w:val="21"/>
          <w:szCs w:val="21"/>
          <w:lang w:val="en-US" w:eastAsia="zh-CN"/>
        </w:rPr>
        <w:footnoteReference w:id="17"/>
      </w:r>
      <w:r>
        <w:rPr>
          <w:rFonts w:hint="eastAsia" w:ascii="Times New Roman" w:hAnsi="Times New Roman" w:eastAsia="宋体" w:cs="宋体"/>
          <w:sz w:val="21"/>
          <w:szCs w:val="21"/>
          <w:lang w:val="en-US" w:eastAsia="zh-CN"/>
        </w:rPr>
        <w:t>从这两个层面界定位置商标，方显周延。</w:t>
      </w:r>
    </w:p>
    <w:p w14:paraId="5E3D0FFC">
      <w:pPr>
        <w:numPr>
          <w:ilvl w:val="0"/>
          <w:numId w:val="0"/>
        </w:numPr>
        <w:spacing w:line="240" w:lineRule="auto"/>
        <w:ind w:firstLine="420" w:firstLineChars="200"/>
        <w:rPr>
          <w:rFonts w:hint="default" w:ascii="Times New Roman" w:hAnsi="Times New Roman" w:eastAsia="宋体" w:cs="宋体"/>
          <w:sz w:val="21"/>
          <w:szCs w:val="21"/>
          <w:lang w:val="en-US" w:eastAsia="zh-CN"/>
        </w:rPr>
      </w:pPr>
      <w:r>
        <w:rPr>
          <w:rFonts w:hint="eastAsia" w:ascii="Times New Roman" w:hAnsi="Times New Roman" w:eastAsia="宋体" w:cs="宋体"/>
          <w:sz w:val="21"/>
          <w:szCs w:val="21"/>
          <w:lang w:val="en-US" w:eastAsia="zh-CN"/>
        </w:rPr>
        <w:t>从符号学的视角出发，位置商标具备符号的基本结构，存在被纳入商标体系的可能。对于符号内部结构的研究离不开</w:t>
      </w:r>
      <w:r>
        <w:rPr>
          <w:rFonts w:hint="eastAsia" w:ascii="Times New Roman" w:hAnsi="Times New Roman" w:eastAsia="宋体" w:cs="宋体"/>
          <w:sz w:val="21"/>
          <w:szCs w:val="21"/>
          <w:shd w:val="clear" w:color="auto" w:fill="auto"/>
          <w:lang w:val="en-US" w:eastAsia="zh-CN"/>
        </w:rPr>
        <w:t>索绪尔的二元符号论和皮尔士的三元符号论。</w:t>
      </w:r>
      <w:r>
        <w:rPr>
          <w:rFonts w:hint="default" w:ascii="Times New Roman" w:hAnsi="Times New Roman" w:eastAsia="宋体" w:cs="宋体"/>
          <w:sz w:val="21"/>
          <w:szCs w:val="21"/>
          <w:shd w:val="clear" w:color="auto" w:fill="auto"/>
          <w:lang w:val="en-US" w:eastAsia="zh-CN"/>
        </w:rPr>
        <w:t>索绪尔认为，符号是由能指（Signifier）与所指（Signified）组成的二元实体。</w:t>
      </w:r>
      <w:r>
        <w:rPr>
          <w:rFonts w:hint="eastAsia" w:ascii="Times New Roman" w:hAnsi="Times New Roman" w:eastAsia="宋体" w:cs="宋体"/>
          <w:sz w:val="21"/>
          <w:szCs w:val="21"/>
          <w:shd w:val="clear" w:color="auto" w:fill="auto"/>
          <w:lang w:val="en-US" w:eastAsia="zh-CN"/>
        </w:rPr>
        <w:t>“</w:t>
      </w:r>
      <w:r>
        <w:rPr>
          <w:rFonts w:hint="default" w:ascii="Times New Roman" w:hAnsi="Times New Roman" w:eastAsia="宋体" w:cs="宋体"/>
          <w:sz w:val="21"/>
          <w:szCs w:val="21"/>
          <w:shd w:val="clear" w:color="auto" w:fill="auto"/>
          <w:lang w:val="en-US" w:eastAsia="zh-CN"/>
        </w:rPr>
        <w:t>能指</w:t>
      </w:r>
      <w:r>
        <w:rPr>
          <w:rFonts w:hint="eastAsia" w:ascii="Times New Roman" w:hAnsi="Times New Roman" w:eastAsia="宋体" w:cs="宋体"/>
          <w:sz w:val="21"/>
          <w:szCs w:val="21"/>
          <w:shd w:val="clear" w:color="auto" w:fill="auto"/>
          <w:lang w:val="en-US" w:eastAsia="zh-CN"/>
        </w:rPr>
        <w:t>”</w:t>
      </w:r>
      <w:r>
        <w:rPr>
          <w:rFonts w:hint="default" w:ascii="Times New Roman" w:hAnsi="Times New Roman" w:eastAsia="宋体" w:cs="宋体"/>
          <w:sz w:val="21"/>
          <w:szCs w:val="21"/>
          <w:shd w:val="clear" w:color="auto" w:fill="auto"/>
          <w:lang w:val="en-US" w:eastAsia="zh-CN"/>
        </w:rPr>
        <w:t>是指可以被感知的形式，它可以是单词读音、图案、气味；</w:t>
      </w:r>
      <w:r>
        <w:rPr>
          <w:rFonts w:hint="eastAsia" w:ascii="Times New Roman" w:hAnsi="Times New Roman" w:eastAsia="宋体" w:cs="宋体"/>
          <w:sz w:val="21"/>
          <w:szCs w:val="21"/>
          <w:shd w:val="clear" w:color="auto" w:fill="auto"/>
          <w:lang w:val="en-US" w:eastAsia="zh-CN"/>
        </w:rPr>
        <w:t>“</w:t>
      </w:r>
      <w:r>
        <w:rPr>
          <w:rFonts w:hint="default" w:ascii="Times New Roman" w:hAnsi="Times New Roman" w:eastAsia="宋体" w:cs="宋体"/>
          <w:sz w:val="21"/>
          <w:szCs w:val="21"/>
          <w:shd w:val="clear" w:color="auto" w:fill="auto"/>
          <w:lang w:val="en-US" w:eastAsia="zh-CN"/>
        </w:rPr>
        <w:t>所指</w:t>
      </w:r>
      <w:r>
        <w:rPr>
          <w:rFonts w:hint="eastAsia" w:ascii="Times New Roman" w:hAnsi="Times New Roman" w:eastAsia="宋体" w:cs="宋体"/>
          <w:sz w:val="21"/>
          <w:szCs w:val="21"/>
          <w:shd w:val="clear" w:color="auto" w:fill="auto"/>
          <w:lang w:val="en-US" w:eastAsia="zh-CN"/>
        </w:rPr>
        <w:t>”</w:t>
      </w:r>
      <w:r>
        <w:rPr>
          <w:rFonts w:hint="default" w:ascii="Times New Roman" w:hAnsi="Times New Roman" w:eastAsia="宋体" w:cs="宋体"/>
          <w:sz w:val="21"/>
          <w:szCs w:val="21"/>
          <w:shd w:val="clear" w:color="auto" w:fill="auto"/>
          <w:lang w:val="en-US" w:eastAsia="zh-CN"/>
        </w:rPr>
        <w:t>则是由上述可被感知的形式所代表的特定心理概念构成。两要素相互依存，正如水是氢和氧的结合，符号是能指和所指的结合，脱离任何一个要素，符号就不复存在。</w:t>
      </w:r>
      <w:r>
        <w:rPr>
          <w:rStyle w:val="9"/>
          <w:rFonts w:hint="default" w:ascii="Times New Roman" w:hAnsi="Times New Roman" w:eastAsia="宋体" w:cs="宋体"/>
          <w:sz w:val="21"/>
          <w:szCs w:val="21"/>
          <w:shd w:val="clear" w:color="auto" w:fill="auto"/>
          <w:lang w:val="en-US" w:eastAsia="zh-CN"/>
        </w:rPr>
        <w:footnoteReference w:id="18"/>
      </w:r>
      <w:r>
        <w:rPr>
          <w:rFonts w:hint="default" w:ascii="Times New Roman" w:hAnsi="Times New Roman" w:eastAsia="宋体" w:cs="宋体"/>
          <w:sz w:val="21"/>
          <w:szCs w:val="21"/>
          <w:shd w:val="clear" w:color="auto" w:fill="auto"/>
          <w:lang w:val="en-US" w:eastAsia="zh-CN"/>
        </w:rPr>
        <w:t>皮尔士则提出符号由符形（Representation）、对象（Object）和解释项（Interpretant）三个要素构成。具体而言，</w:t>
      </w:r>
      <w:r>
        <w:rPr>
          <w:rFonts w:hint="eastAsia" w:ascii="Times New Roman" w:hAnsi="Times New Roman" w:eastAsia="宋体" w:cs="宋体"/>
          <w:sz w:val="21"/>
          <w:szCs w:val="21"/>
          <w:shd w:val="clear" w:color="auto" w:fill="auto"/>
          <w:lang w:val="en-US" w:eastAsia="zh-CN"/>
        </w:rPr>
        <w:t>“</w:t>
      </w:r>
      <w:r>
        <w:rPr>
          <w:rFonts w:hint="default" w:ascii="Times New Roman" w:hAnsi="Times New Roman" w:eastAsia="宋体" w:cs="宋体"/>
          <w:sz w:val="21"/>
          <w:szCs w:val="21"/>
          <w:shd w:val="clear" w:color="auto" w:fill="auto"/>
          <w:lang w:val="en-US" w:eastAsia="zh-CN"/>
        </w:rPr>
        <w:t>符形</w:t>
      </w:r>
      <w:r>
        <w:rPr>
          <w:rFonts w:hint="eastAsia" w:ascii="Times New Roman" w:hAnsi="Times New Roman" w:eastAsia="宋体" w:cs="宋体"/>
          <w:sz w:val="21"/>
          <w:szCs w:val="21"/>
          <w:shd w:val="clear" w:color="auto" w:fill="auto"/>
          <w:lang w:val="en-US" w:eastAsia="zh-CN"/>
        </w:rPr>
        <w:t>”</w:t>
      </w:r>
      <w:r>
        <w:rPr>
          <w:rFonts w:hint="default" w:ascii="Times New Roman" w:hAnsi="Times New Roman" w:eastAsia="宋体" w:cs="宋体"/>
          <w:sz w:val="21"/>
          <w:szCs w:val="21"/>
          <w:shd w:val="clear" w:color="auto" w:fill="auto"/>
          <w:lang w:val="en-US" w:eastAsia="zh-CN"/>
        </w:rPr>
        <w:t>相当于索绪尔理论中的</w:t>
      </w:r>
      <w:r>
        <w:rPr>
          <w:rFonts w:hint="eastAsia" w:ascii="Times New Roman" w:hAnsi="Times New Roman" w:eastAsia="宋体" w:cs="宋体"/>
          <w:sz w:val="21"/>
          <w:szCs w:val="21"/>
          <w:shd w:val="clear" w:color="auto" w:fill="auto"/>
          <w:lang w:val="en-US" w:eastAsia="zh-CN"/>
        </w:rPr>
        <w:t>“</w:t>
      </w:r>
      <w:r>
        <w:rPr>
          <w:rFonts w:hint="default" w:ascii="Times New Roman" w:hAnsi="Times New Roman" w:eastAsia="宋体" w:cs="宋体"/>
          <w:sz w:val="21"/>
          <w:szCs w:val="21"/>
          <w:shd w:val="clear" w:color="auto" w:fill="auto"/>
          <w:lang w:val="en-US" w:eastAsia="zh-CN"/>
        </w:rPr>
        <w:t>能指</w:t>
      </w:r>
      <w:r>
        <w:rPr>
          <w:rFonts w:hint="eastAsia" w:ascii="Times New Roman" w:hAnsi="Times New Roman" w:eastAsia="宋体" w:cs="宋体"/>
          <w:sz w:val="21"/>
          <w:szCs w:val="21"/>
          <w:shd w:val="clear" w:color="auto" w:fill="auto"/>
          <w:lang w:val="en-US" w:eastAsia="zh-CN"/>
        </w:rPr>
        <w:t>”，“</w:t>
      </w:r>
      <w:r>
        <w:rPr>
          <w:rFonts w:hint="default" w:ascii="Times New Roman" w:hAnsi="Times New Roman" w:eastAsia="宋体" w:cs="宋体"/>
          <w:sz w:val="21"/>
          <w:szCs w:val="21"/>
          <w:shd w:val="clear" w:color="auto" w:fill="auto"/>
          <w:lang w:val="en-US" w:eastAsia="zh-CN"/>
        </w:rPr>
        <w:t>对象</w:t>
      </w:r>
      <w:r>
        <w:rPr>
          <w:rFonts w:hint="eastAsia" w:ascii="Times New Roman" w:hAnsi="Times New Roman" w:eastAsia="宋体" w:cs="宋体"/>
          <w:sz w:val="21"/>
          <w:szCs w:val="21"/>
          <w:shd w:val="clear" w:color="auto" w:fill="auto"/>
          <w:lang w:val="en-US" w:eastAsia="zh-CN"/>
        </w:rPr>
        <w:t>”</w:t>
      </w:r>
      <w:r>
        <w:rPr>
          <w:rFonts w:hint="default" w:ascii="Times New Roman" w:hAnsi="Times New Roman" w:eastAsia="宋体" w:cs="宋体"/>
          <w:sz w:val="21"/>
          <w:szCs w:val="21"/>
          <w:shd w:val="clear" w:color="auto" w:fill="auto"/>
          <w:lang w:val="en-US" w:eastAsia="zh-CN"/>
        </w:rPr>
        <w:t>是指现实世</w:t>
      </w:r>
      <w:r>
        <w:rPr>
          <w:rFonts w:hint="default" w:ascii="Times New Roman" w:hAnsi="Times New Roman" w:eastAsia="宋体" w:cs="宋体"/>
          <w:sz w:val="21"/>
          <w:szCs w:val="21"/>
          <w:lang w:val="en-US" w:eastAsia="zh-CN"/>
        </w:rPr>
        <w:t>界中的物理对象或思维中的心理实体</w:t>
      </w:r>
      <w:r>
        <w:rPr>
          <w:rFonts w:hint="eastAsia" w:ascii="Times New Roman" w:hAnsi="Times New Roman" w:eastAsia="宋体" w:cs="宋体"/>
          <w:sz w:val="21"/>
          <w:szCs w:val="21"/>
          <w:lang w:val="en-US" w:eastAsia="zh-CN"/>
        </w:rPr>
        <w:t>，“解释项”</w:t>
      </w:r>
      <w:r>
        <w:rPr>
          <w:rFonts w:hint="default" w:ascii="Times New Roman" w:hAnsi="Times New Roman" w:eastAsia="宋体" w:cs="宋体"/>
          <w:sz w:val="21"/>
          <w:szCs w:val="21"/>
          <w:lang w:val="en-US" w:eastAsia="zh-CN"/>
        </w:rPr>
        <w:t>则是在符号在解释者心目中</w:t>
      </w:r>
      <w:r>
        <w:rPr>
          <w:rFonts w:hint="eastAsia" w:ascii="Times New Roman" w:hAnsi="Times New Roman" w:eastAsia="宋体" w:cs="宋体"/>
          <w:sz w:val="21"/>
          <w:szCs w:val="21"/>
          <w:lang w:val="en-US" w:eastAsia="zh-CN"/>
        </w:rPr>
        <w:t>显现</w:t>
      </w:r>
      <w:r>
        <w:rPr>
          <w:rFonts w:hint="default" w:ascii="Times New Roman" w:hAnsi="Times New Roman" w:eastAsia="宋体" w:cs="宋体"/>
          <w:sz w:val="21"/>
          <w:szCs w:val="21"/>
          <w:lang w:val="en-US" w:eastAsia="zh-CN"/>
        </w:rPr>
        <w:t>的东西，可以被理解为一种心理效应</w:t>
      </w:r>
      <w:r>
        <w:rPr>
          <w:rFonts w:hint="eastAsia" w:ascii="Times New Roman" w:hAnsi="Times New Roman" w:eastAsia="宋体" w:cs="宋体"/>
          <w:sz w:val="21"/>
          <w:szCs w:val="21"/>
          <w:lang w:val="en-US" w:eastAsia="zh-CN"/>
        </w:rPr>
        <w:t>，相当于索绪尔口中的“所指”</w:t>
      </w:r>
      <w:r>
        <w:rPr>
          <w:rFonts w:hint="default" w:ascii="Times New Roman" w:hAnsi="Times New Roman" w:eastAsia="宋体" w:cs="宋体"/>
          <w:sz w:val="21"/>
          <w:szCs w:val="21"/>
          <w:lang w:val="en-US" w:eastAsia="zh-CN"/>
        </w:rPr>
        <w:t>。这</w:t>
      </w:r>
      <w:r>
        <w:rPr>
          <w:rFonts w:hint="eastAsia" w:ascii="Times New Roman" w:hAnsi="Times New Roman" w:eastAsia="宋体" w:cs="宋体"/>
          <w:sz w:val="21"/>
          <w:szCs w:val="21"/>
          <w:lang w:val="en-US" w:eastAsia="zh-CN"/>
        </w:rPr>
        <w:t>几</w:t>
      </w:r>
      <w:r>
        <w:rPr>
          <w:rFonts w:hint="default" w:ascii="Times New Roman" w:hAnsi="Times New Roman" w:eastAsia="宋体" w:cs="宋体"/>
          <w:sz w:val="21"/>
          <w:szCs w:val="21"/>
          <w:lang w:val="en-US" w:eastAsia="zh-CN"/>
        </w:rPr>
        <w:t>个要素构成一个稳定的三角关系。在此关系中，对象决定符形，符形决定解释项。符形作为中介，被动产生于其于对象之间的指涉关系，同时又主动定义和构建着解释项。</w:t>
      </w:r>
      <w:r>
        <w:rPr>
          <w:rStyle w:val="9"/>
          <w:rFonts w:hint="default" w:ascii="Times New Roman" w:hAnsi="Times New Roman" w:eastAsia="宋体" w:cs="宋体"/>
          <w:sz w:val="21"/>
          <w:szCs w:val="21"/>
          <w:lang w:val="en-US" w:eastAsia="zh-CN"/>
        </w:rPr>
        <w:footnoteReference w:id="19"/>
      </w:r>
    </w:p>
    <w:p w14:paraId="5F0D09F4">
      <w:pPr>
        <w:numPr>
          <w:ilvl w:val="0"/>
          <w:numId w:val="0"/>
        </w:numPr>
        <w:spacing w:line="240" w:lineRule="auto"/>
        <w:ind w:firstLine="420" w:firstLineChars="200"/>
        <w:rPr>
          <w:rFonts w:hint="default" w:ascii="Times New Roman" w:hAnsi="Times New Roman" w:eastAsia="宋体" w:cs="宋体"/>
          <w:sz w:val="21"/>
          <w:szCs w:val="21"/>
          <w:lang w:val="en-US" w:eastAsia="zh-CN"/>
        </w:rPr>
      </w:pPr>
      <w:r>
        <w:rPr>
          <w:rFonts w:hint="eastAsia" w:ascii="Times New Roman" w:hAnsi="Times New Roman" w:eastAsia="宋体" w:cs="宋体"/>
          <w:sz w:val="21"/>
          <w:szCs w:val="21"/>
          <w:lang w:val="en-US" w:eastAsia="zh-CN"/>
        </w:rPr>
        <w:t>通过比较两种符号结构可以发现，符号总是包含“某事物代表某事物”的关系，商标作为一种符号，得以成为企业和消费者之间信息传输的媒介。两种结构的不同之处则在于，索绪尔的二元论忽略了“对象”这一客观存在的实体。这一区别的根本原因在于二者研究的侧重点不同。</w:t>
      </w:r>
      <w:r>
        <w:rPr>
          <w:rStyle w:val="9"/>
          <w:rFonts w:hint="eastAsia" w:ascii="Times New Roman" w:hAnsi="Times New Roman"/>
          <w:sz w:val="21"/>
          <w:szCs w:val="21"/>
          <w:lang w:val="en-US" w:eastAsia="zh-CN"/>
        </w:rPr>
        <w:footnoteReference w:id="20"/>
      </w:r>
      <w:r>
        <w:rPr>
          <w:rFonts w:hint="eastAsia" w:ascii="Times New Roman" w:hAnsi="Times New Roman" w:eastAsia="宋体" w:cs="宋体"/>
          <w:sz w:val="21"/>
          <w:szCs w:val="21"/>
          <w:lang w:val="en-US" w:eastAsia="zh-CN"/>
        </w:rPr>
        <w:t>索绪尔将符号视为表达和交流的工具，在该视角下，语言符号连接的并非事物与名称，而是概念与音响形象，因此其符号研究的核心在于能指与所指的关系。也正因如此，索绪尔的符号论属于社会心理学的范畴，主要应用于社会人文科学。皮尔士则将符号学的应用范围扩大到包括一切事物的意指作用的科学，符号活动成为人类进行认知和思维活动的过程。从符形到对象再到解释项，构成了符号认知的一个相对完整的过程，三个要素缺一不可。三元符号结构是对诠释商标的经典方式，</w:t>
      </w:r>
      <w:r>
        <w:rPr>
          <w:rStyle w:val="9"/>
          <w:rFonts w:hint="eastAsia" w:ascii="Times New Roman" w:hAnsi="Times New Roman" w:eastAsia="宋体" w:cs="宋体"/>
          <w:sz w:val="21"/>
          <w:szCs w:val="21"/>
          <w:lang w:val="en-US" w:eastAsia="zh-CN"/>
        </w:rPr>
        <w:footnoteReference w:id="21"/>
      </w:r>
      <w:r>
        <w:rPr>
          <w:rFonts w:hint="eastAsia" w:ascii="Times New Roman" w:hAnsi="Times New Roman" w:eastAsia="宋体" w:cs="宋体"/>
          <w:sz w:val="21"/>
          <w:szCs w:val="21"/>
          <w:lang w:val="en-US" w:eastAsia="zh-CN"/>
        </w:rPr>
        <w:t>尤其在分析某类标志的过程中涉及某个具体的物理对象时，三元论能够实现清晰而准确的指代。</w:t>
      </w:r>
      <w:r>
        <w:rPr>
          <w:rStyle w:val="9"/>
          <w:rFonts w:hint="eastAsia" w:ascii="Times New Roman" w:hAnsi="Times New Roman" w:eastAsia="宋体" w:cs="宋体"/>
          <w:sz w:val="21"/>
          <w:szCs w:val="21"/>
          <w:lang w:val="en-US" w:eastAsia="zh-CN"/>
        </w:rPr>
        <w:footnoteReference w:id="22"/>
      </w:r>
      <w:r>
        <w:rPr>
          <w:rFonts w:hint="eastAsia" w:ascii="Times New Roman" w:hAnsi="Times New Roman" w:eastAsia="宋体" w:cs="宋体"/>
          <w:sz w:val="21"/>
          <w:szCs w:val="21"/>
          <w:lang w:val="en-US" w:eastAsia="zh-CN"/>
        </w:rPr>
        <w:t>在符号三元模型下，商标的能指是可以被感知的商标标志，所指是商品或服务的来源出处、商誉等信息，对象即标志所指代的商品或服务。位置商标具备作为符号的三元结构。</w:t>
      </w:r>
    </w:p>
    <w:p w14:paraId="166331E8">
      <w:pPr>
        <w:numPr>
          <w:ilvl w:val="0"/>
          <w:numId w:val="0"/>
        </w:numPr>
        <w:spacing w:line="240" w:lineRule="auto"/>
        <w:ind w:firstLine="420" w:firstLineChars="200"/>
        <w:rPr>
          <w:rFonts w:hint="default" w:ascii="Times New Roman" w:hAnsi="Times New Roman"/>
          <w:sz w:val="21"/>
          <w:szCs w:val="21"/>
          <w:lang w:val="en-US" w:eastAsia="zh-CN"/>
        </w:rPr>
      </w:pPr>
      <w:r>
        <w:rPr>
          <w:rFonts w:hint="eastAsia" w:ascii="Times New Roman" w:hAnsi="Times New Roman" w:eastAsia="宋体" w:cs="宋体"/>
          <w:sz w:val="21"/>
          <w:szCs w:val="21"/>
          <w:lang w:val="en-US" w:eastAsia="zh-CN"/>
        </w:rPr>
        <w:t>值得注意的是，二元符号论和三元符号论并非矛盾，而是不同视角下对符号的解构。在不同的符号活动中，所适用的符号结构理论不同。在符号消费盛行的今天，商标凭借其象征意义而成为人际交流和意义传递的媒介，接近于一种社会语言符号。</w:t>
      </w:r>
      <w:r>
        <w:rPr>
          <w:rStyle w:val="9"/>
          <w:rFonts w:hint="eastAsia" w:ascii="Times New Roman" w:hAnsi="Times New Roman" w:eastAsia="宋体" w:cs="宋体"/>
          <w:sz w:val="21"/>
          <w:szCs w:val="21"/>
          <w:lang w:val="en-US" w:eastAsia="zh-CN"/>
        </w:rPr>
        <w:footnoteReference w:id="23"/>
      </w:r>
      <w:r>
        <w:rPr>
          <w:rFonts w:hint="eastAsia" w:ascii="Times New Roman" w:hAnsi="Times New Roman" w:eastAsia="宋体" w:cs="宋体"/>
          <w:sz w:val="21"/>
          <w:szCs w:val="21"/>
          <w:lang w:val="en-US" w:eastAsia="zh-CN"/>
        </w:rPr>
        <w:t>在此情境下，能指与对象发生融合，演变为商标符号的二元结构，这使得索绪尔的二元论在此类分析中更具解释力。</w:t>
      </w:r>
    </w:p>
    <w:p w14:paraId="5BDF5026">
      <w:pPr>
        <w:numPr>
          <w:ilvl w:val="0"/>
          <w:numId w:val="2"/>
        </w:numPr>
        <w:spacing w:line="240" w:lineRule="auto"/>
        <w:ind w:left="420" w:leftChars="0"/>
        <w:rPr>
          <w:rFonts w:hint="default" w:ascii="楷体" w:hAnsi="楷体" w:eastAsia="楷体" w:cs="楷体"/>
          <w:b w:val="0"/>
          <w:bCs w:val="0"/>
          <w:sz w:val="21"/>
          <w:szCs w:val="21"/>
          <w:lang w:val="en-US" w:eastAsia="zh-CN"/>
        </w:rPr>
      </w:pPr>
      <w:r>
        <w:rPr>
          <w:rFonts w:hint="eastAsia" w:ascii="楷体" w:hAnsi="楷体" w:eastAsia="楷体" w:cs="楷体"/>
          <w:b w:val="0"/>
          <w:bCs w:val="0"/>
          <w:sz w:val="21"/>
          <w:szCs w:val="21"/>
          <w:lang w:val="en-US" w:eastAsia="zh-CN"/>
        </w:rPr>
        <w:t>“位置”属性的定位</w:t>
      </w:r>
    </w:p>
    <w:p w14:paraId="07458D8E">
      <w:pPr>
        <w:widowControl w:val="0"/>
        <w:numPr>
          <w:ilvl w:val="0"/>
          <w:numId w:val="0"/>
        </w:numPr>
        <w:spacing w:line="240" w:lineRule="auto"/>
        <w:ind w:firstLine="420" w:firstLineChars="200"/>
        <w:jc w:val="both"/>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“标志位于特定位置”是位置商标不同于其他类型商标的一大属性。对于“位置”这一属性的定位，将直接影响位置商标的归类和后续的注册审查。</w:t>
      </w:r>
    </w:p>
    <w:p w14:paraId="079A2C55">
      <w:pPr>
        <w:widowControl w:val="0"/>
        <w:numPr>
          <w:ilvl w:val="0"/>
          <w:numId w:val="0"/>
        </w:numPr>
        <w:spacing w:line="240" w:lineRule="auto"/>
        <w:ind w:firstLine="420" w:firstLineChars="200"/>
        <w:jc w:val="both"/>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国内有观点认为，“位置”与文字、图形、字母、数字等同属于商标的构成要素。</w:t>
      </w:r>
      <w:r>
        <w:rPr>
          <w:rStyle w:val="9"/>
          <w:rFonts w:hint="eastAsia" w:ascii="Times New Roman" w:hAnsi="Times New Roman" w:eastAsia="宋体"/>
          <w:sz w:val="21"/>
          <w:szCs w:val="21"/>
          <w:lang w:val="en-US" w:eastAsia="zh-CN"/>
        </w:rPr>
        <w:footnoteReference w:id="24"/>
      </w:r>
      <w:r>
        <w:rPr>
          <w:rFonts w:hint="eastAsia" w:ascii="Times New Roman" w:hAnsi="Times New Roman" w:eastAsia="宋体"/>
          <w:sz w:val="21"/>
          <w:szCs w:val="21"/>
          <w:lang w:val="en-US" w:eastAsia="zh-CN"/>
        </w:rPr>
        <w:t>导致这一误区的因素有二：其一，源于国内类型化的商标审查和管理，我国的审查机构通常先行对商标进行分类，再依据类别设定审查规则。在此框架下，对于这类被安排在特定位置的标志，部分学者基于“位置”这一特性将这类标志与文字、图形、三维标志、声音等传统及非传统商标类型并列视之。其二，受传统命名构造的思维惯性影响，作为外来概念的“position mark”被直译为“位置商标”，该称谓诱导学者沿袭“文字商标”“图形商标”等传统命名模式来理解这一新概念，进而误认为“位置”本身亦构成一种独立的商标构成要素。</w:t>
      </w:r>
      <w:r>
        <w:rPr>
          <w:rStyle w:val="9"/>
          <w:rFonts w:hint="eastAsia" w:ascii="Times New Roman" w:hAnsi="Times New Roman" w:eastAsia="宋体"/>
          <w:sz w:val="21"/>
          <w:szCs w:val="21"/>
          <w:lang w:val="en-US" w:eastAsia="zh-CN"/>
        </w:rPr>
        <w:footnoteReference w:id="25"/>
      </w:r>
    </w:p>
    <w:p w14:paraId="5422112A">
      <w:pPr>
        <w:widowControl w:val="0"/>
        <w:numPr>
          <w:ilvl w:val="0"/>
          <w:numId w:val="0"/>
        </w:numPr>
        <w:spacing w:line="240" w:lineRule="auto"/>
        <w:ind w:firstLine="420" w:firstLineChars="200"/>
        <w:jc w:val="both"/>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事实上，“位置商标”并非我国商标法体系下的分类概念。国外学者使用“position mark”的称谓，旨在强调处于特定位置的标志可以成为具有显著性的商标。</w:t>
      </w:r>
      <w:r>
        <w:rPr>
          <w:rStyle w:val="9"/>
          <w:rFonts w:hint="eastAsia" w:ascii="Times New Roman" w:hAnsi="Times New Roman" w:eastAsia="宋体"/>
          <w:sz w:val="21"/>
          <w:szCs w:val="21"/>
          <w:lang w:val="en-US" w:eastAsia="zh-CN"/>
        </w:rPr>
        <w:footnoteReference w:id="26"/>
      </w:r>
      <w:r>
        <w:rPr>
          <w:rFonts w:hint="eastAsia" w:ascii="Times New Roman" w:hAnsi="Times New Roman" w:eastAsia="宋体"/>
          <w:sz w:val="21"/>
          <w:szCs w:val="21"/>
          <w:lang w:val="en-US" w:eastAsia="zh-CN"/>
        </w:rPr>
        <w:t>国际及域外实践中对“position mark”的定义与理解，都未赋予“位置”以商标构成要素的地位。世界知识产权组织（WIPO）在2006年组织各成员国缔结的《商标法新加坡条约》及其《实施细则》中，虽未直接承认位置商标的可注册性，但细则三的第八点对位置商标的注册形式要件作出了程序性规定：要求商标图样包含能够体现标志在商品上位置的视图，必要时申请人还需提交一份文字说明，以对商标相对于商品的位置加以解释。</w:t>
      </w:r>
      <w:r>
        <w:rPr>
          <w:rStyle w:val="9"/>
          <w:rFonts w:hint="eastAsia" w:ascii="Times New Roman" w:hAnsi="Times New Roman" w:eastAsia="宋体"/>
          <w:sz w:val="21"/>
          <w:szCs w:val="21"/>
          <w:lang w:val="en-US" w:eastAsia="zh-CN"/>
        </w:rPr>
        <w:footnoteReference w:id="27"/>
      </w:r>
      <w:r>
        <w:rPr>
          <w:rFonts w:hint="eastAsia" w:ascii="Times New Roman" w:hAnsi="Times New Roman" w:eastAsia="宋体"/>
          <w:sz w:val="21"/>
          <w:szCs w:val="21"/>
          <w:lang w:val="en-US" w:eastAsia="zh-CN"/>
        </w:rPr>
        <w:t>此规定在默认其可注册性的同时，清晰表明“位置”仅为标志的属性特征——相关表述中未出现如颜色商标、声音商标相关规则中常见的“构成”字样。同样，欧盟知识产权局（EUIPO）对位置商标的定义亦以“商业标识”为核心前提，</w:t>
      </w:r>
      <w:r>
        <w:rPr>
          <w:rStyle w:val="9"/>
          <w:rFonts w:hint="eastAsia" w:ascii="Times New Roman" w:hAnsi="Times New Roman" w:eastAsia="宋体"/>
          <w:sz w:val="21"/>
          <w:szCs w:val="21"/>
          <w:lang w:val="en-US" w:eastAsia="zh-CN"/>
        </w:rPr>
        <w:footnoteReference w:id="28"/>
      </w:r>
      <w:r>
        <w:rPr>
          <w:rFonts w:hint="eastAsia" w:ascii="Times New Roman" w:hAnsi="Times New Roman" w:eastAsia="宋体"/>
          <w:sz w:val="21"/>
          <w:szCs w:val="21"/>
          <w:lang w:val="en-US" w:eastAsia="zh-CN"/>
        </w:rPr>
        <w:t>即其必须包含现有规定所认可的构成要素，仅额外要求该要素须固定于商品的特定位置。</w:t>
      </w:r>
    </w:p>
    <w:p w14:paraId="41897E0B">
      <w:pPr>
        <w:widowControl w:val="0"/>
        <w:numPr>
          <w:ilvl w:val="0"/>
          <w:numId w:val="0"/>
        </w:numPr>
        <w:spacing w:line="240" w:lineRule="auto"/>
        <w:ind w:firstLine="420" w:firstLineChars="200"/>
        <w:jc w:val="both"/>
        <w:rPr>
          <w:rFonts w:hint="default" w:ascii="Times New Roman" w:hAnsi="Times New Roman"/>
          <w:sz w:val="21"/>
          <w:szCs w:val="21"/>
          <w:lang w:val="en-US" w:eastAsia="zh-CN"/>
        </w:rPr>
      </w:pPr>
      <w:r>
        <w:rPr>
          <w:rFonts w:hint="eastAsia" w:ascii="Times New Roman" w:hAnsi="Times New Roman" w:eastAsia="宋体"/>
          <w:sz w:val="21"/>
          <w:szCs w:val="21"/>
          <w:lang w:val="en-US" w:eastAsia="zh-CN"/>
        </w:rPr>
        <w:t>综上，“位置”不同于文字、图形、颜色、声音等商标构成要素，其本身无法独立存在并被直接感知，唯有依附于商标构成要素方能被察觉。因此，本文将</w:t>
      </w:r>
      <w:r>
        <w:rPr>
          <w:rFonts w:hint="eastAsia" w:ascii="Times New Roman" w:hAnsi="Times New Roman" w:eastAsia="宋体" w:cs="宋体"/>
          <w:sz w:val="21"/>
          <w:szCs w:val="21"/>
          <w:lang w:val="en-US" w:eastAsia="zh-CN"/>
        </w:rPr>
        <w:t>“位置”界定为商标构成要素的的一种空间属性特征。</w:t>
      </w:r>
      <w:r>
        <w:rPr>
          <w:rFonts w:hint="eastAsia" w:ascii="Times New Roman" w:hAnsi="Times New Roman" w:eastAsia="宋体"/>
          <w:sz w:val="21"/>
          <w:szCs w:val="21"/>
          <w:lang w:val="en-US" w:eastAsia="zh-CN"/>
        </w:rPr>
        <w:t>位置商标的创设价值，在于使得本身无法获得商标法保护的标志，通过特定位置的呈现方式获得显著性以及相应的保护。</w:t>
      </w:r>
    </w:p>
    <w:p w14:paraId="3F4C673B">
      <w:pPr>
        <w:numPr>
          <w:ilvl w:val="0"/>
          <w:numId w:val="2"/>
        </w:numPr>
        <w:spacing w:line="240" w:lineRule="auto"/>
        <w:ind w:left="420" w:leftChars="0"/>
        <w:rPr>
          <w:rFonts w:hint="eastAsia" w:ascii="楷体" w:hAnsi="楷体" w:eastAsia="楷体" w:cs="楷体"/>
          <w:b w:val="0"/>
          <w:bCs w:val="0"/>
          <w:sz w:val="21"/>
          <w:szCs w:val="21"/>
          <w:lang w:val="en-US" w:eastAsia="zh-CN"/>
        </w:rPr>
      </w:pPr>
      <w:r>
        <w:rPr>
          <w:rFonts w:hint="eastAsia" w:ascii="楷体" w:hAnsi="楷体" w:eastAsia="楷体" w:cs="楷体"/>
          <w:b w:val="0"/>
          <w:bCs w:val="0"/>
          <w:sz w:val="21"/>
          <w:szCs w:val="21"/>
          <w:lang w:val="en-US" w:eastAsia="zh-CN"/>
        </w:rPr>
        <w:t>位置商标与其他类型商标的关系</w:t>
      </w:r>
    </w:p>
    <w:p w14:paraId="6CA34EAE">
      <w:pPr>
        <w:numPr>
          <w:ilvl w:val="0"/>
          <w:numId w:val="0"/>
        </w:numPr>
        <w:spacing w:line="240" w:lineRule="auto"/>
        <w:ind w:firstLine="420" w:firstLineChars="200"/>
        <w:rPr>
          <w:rFonts w:hint="default" w:ascii="Times New Roman" w:hAnsi="Times New Roman"/>
          <w:sz w:val="21"/>
          <w:szCs w:val="21"/>
          <w:lang w:val="en-US" w:eastAsia="zh-CN"/>
        </w:rPr>
      </w:pPr>
      <w:r>
        <w:rPr>
          <w:rFonts w:hint="eastAsia" w:ascii="Times New Roman" w:hAnsi="Times New Roman"/>
          <w:sz w:val="21"/>
          <w:szCs w:val="21"/>
          <w:lang w:val="en-US" w:eastAsia="zh-CN"/>
        </w:rPr>
        <w:t>符号学强调结构主义的研究范式，其考察的重点在于符号的差异性，区别先于同一。</w:t>
      </w:r>
      <w:r>
        <w:rPr>
          <w:rStyle w:val="9"/>
          <w:rFonts w:hint="eastAsia" w:ascii="Times New Roman" w:hAnsi="Times New Roman"/>
          <w:sz w:val="21"/>
          <w:szCs w:val="21"/>
          <w:lang w:val="en-US" w:eastAsia="zh-CN"/>
        </w:rPr>
        <w:footnoteReference w:id="29"/>
      </w:r>
      <w:r>
        <w:rPr>
          <w:rFonts w:hint="eastAsia" w:ascii="Times New Roman" w:hAnsi="Times New Roman"/>
          <w:sz w:val="21"/>
          <w:szCs w:val="21"/>
          <w:lang w:val="en-US" w:eastAsia="zh-CN"/>
        </w:rPr>
        <w:t>通过符号学的视角观察位置商标区别于其他类型商标的特点，得以对位置商标有更为清晰的定位。从符号结构来看，位置商标的独特之处并非创造了一个新的符号构成要素，而是对现有构成要素施加了特定的空间安排。</w:t>
      </w:r>
    </w:p>
    <w:p w14:paraId="7DEEBED1">
      <w:pPr>
        <w:numPr>
          <w:ilvl w:val="0"/>
          <w:numId w:val="0"/>
        </w:numPr>
        <w:spacing w:line="240" w:lineRule="auto"/>
        <w:ind w:firstLine="420" w:firstLineChars="200"/>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正如商标评审部何潇所指出的，</w:t>
      </w:r>
      <w:r>
        <w:rPr>
          <w:rFonts w:hint="eastAsia" w:ascii="Times New Roman" w:hAnsi="Times New Roman" w:eastAsia="宋体" w:cs="宋体"/>
          <w:sz w:val="21"/>
          <w:szCs w:val="21"/>
          <w:lang w:val="en-US" w:eastAsia="zh-CN"/>
        </w:rPr>
        <w:t>位置商标并未创设超出我国现行《商标法》框架内的构成要素，从而不具备作为单独的商标类型予以核准注册的必要性。</w:t>
      </w:r>
      <w:r>
        <w:rPr>
          <w:rStyle w:val="9"/>
          <w:rFonts w:hint="eastAsia" w:ascii="Times New Roman" w:hAnsi="Times New Roman" w:eastAsia="宋体" w:cs="宋体"/>
          <w:sz w:val="21"/>
          <w:szCs w:val="21"/>
          <w:lang w:val="en-US" w:eastAsia="zh-CN"/>
        </w:rPr>
        <w:footnoteReference w:id="30"/>
      </w:r>
      <w:r>
        <w:rPr>
          <w:rFonts w:hint="eastAsia" w:ascii="Times New Roman" w:hAnsi="Times New Roman" w:eastAsia="宋体" w:cs="宋体"/>
          <w:sz w:val="21"/>
          <w:szCs w:val="21"/>
          <w:lang w:val="en-US" w:eastAsia="zh-CN"/>
        </w:rPr>
        <w:t>位置商标与文字商标、图形商标、颜色商标、立体商标等其他类型的商标并非相互排斥的关系，而存在重叠的可能。</w:t>
      </w:r>
      <w:r>
        <w:rPr>
          <w:rStyle w:val="9"/>
          <w:rFonts w:hint="eastAsia" w:ascii="Times New Roman" w:hAnsi="Times New Roman" w:eastAsia="宋体" w:cs="宋体"/>
          <w:sz w:val="21"/>
          <w:szCs w:val="21"/>
          <w:lang w:val="en-US" w:eastAsia="zh-CN"/>
        </w:rPr>
        <w:footnoteReference w:id="31"/>
      </w:r>
      <w:r>
        <w:rPr>
          <w:rFonts w:hint="eastAsia" w:ascii="Times New Roman" w:hAnsi="Times New Roman" w:eastAsia="宋体" w:cs="宋体"/>
          <w:sz w:val="21"/>
          <w:szCs w:val="21"/>
          <w:lang w:val="en-US" w:eastAsia="zh-CN"/>
        </w:rPr>
        <w:t>根据其所以来的商标构成要素（如文字、颜色、三维标志），位置商标可以划分为文字位置商标、颜色位置商标、三维位置商标等类别。</w:t>
      </w:r>
      <w:r>
        <w:rPr>
          <w:rStyle w:val="9"/>
          <w:rFonts w:hint="eastAsia" w:ascii="Times New Roman" w:hAnsi="Times New Roman" w:eastAsia="宋体" w:cs="宋体"/>
          <w:sz w:val="21"/>
          <w:szCs w:val="21"/>
          <w:lang w:val="en-US" w:eastAsia="zh-CN"/>
        </w:rPr>
        <w:footnoteReference w:id="32"/>
      </w:r>
      <w:r>
        <w:rPr>
          <w:rFonts w:hint="eastAsia" w:ascii="Times New Roman" w:hAnsi="Times New Roman" w:eastAsia="宋体"/>
          <w:sz w:val="21"/>
          <w:szCs w:val="21"/>
          <w:lang w:val="en-US" w:eastAsia="zh-CN"/>
        </w:rPr>
        <w:t>相应地，对此类商标的审查与保护，应参考其基础构成要素所属商标类型对应的法律规则与审查标准。</w:t>
      </w:r>
    </w:p>
    <w:p w14:paraId="3D1B5C6E">
      <w:pPr>
        <w:numPr>
          <w:ilvl w:val="0"/>
          <w:numId w:val="0"/>
        </w:numPr>
        <w:spacing w:line="240" w:lineRule="auto"/>
        <w:ind w:firstLine="420" w:firstLineChars="200"/>
        <w:rPr>
          <w:rFonts w:hint="default" w:ascii="Times New Roman" w:hAnsi="Times New Roman" w:eastAsia="宋体"/>
          <w:sz w:val="21"/>
          <w:szCs w:val="21"/>
          <w:lang w:val="en-US" w:eastAsia="zh-CN"/>
        </w:rPr>
      </w:pPr>
    </w:p>
    <w:p w14:paraId="34B174E8">
      <w:pPr>
        <w:numPr>
          <w:ilvl w:val="0"/>
          <w:numId w:val="1"/>
        </w:numPr>
        <w:spacing w:line="360" w:lineRule="auto"/>
        <w:ind w:left="420" w:leftChars="0"/>
        <w:jc w:val="left"/>
        <w:rPr>
          <w:rFonts w:hint="default"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位置商标获准注册的合理性</w:t>
      </w:r>
    </w:p>
    <w:p w14:paraId="62648B49">
      <w:pPr>
        <w:numPr>
          <w:ilvl w:val="0"/>
          <w:numId w:val="3"/>
        </w:numPr>
        <w:spacing w:line="240" w:lineRule="auto"/>
        <w:ind w:left="420" w:leftChars="0"/>
        <w:rPr>
          <w:rFonts w:hint="eastAsia" w:ascii="楷体" w:hAnsi="楷体" w:eastAsia="楷体" w:cs="楷体"/>
          <w:b w:val="0"/>
          <w:bCs w:val="0"/>
          <w:sz w:val="21"/>
          <w:szCs w:val="21"/>
          <w:lang w:val="en-US" w:eastAsia="zh-CN"/>
        </w:rPr>
      </w:pPr>
      <w:r>
        <w:rPr>
          <w:rFonts w:hint="eastAsia" w:ascii="楷体" w:hAnsi="楷体" w:eastAsia="楷体" w:cs="楷体"/>
          <w:b w:val="0"/>
          <w:bCs w:val="0"/>
          <w:sz w:val="21"/>
          <w:szCs w:val="21"/>
          <w:lang w:val="en-US" w:eastAsia="zh-CN"/>
        </w:rPr>
        <w:t>《商标法》第八条及相关实践已为容纳位置商标创造空间</w:t>
      </w:r>
    </w:p>
    <w:p w14:paraId="3D985592">
      <w:pPr>
        <w:numPr>
          <w:ilvl w:val="0"/>
          <w:numId w:val="0"/>
        </w:numPr>
        <w:spacing w:line="240" w:lineRule="auto"/>
        <w:ind w:firstLine="420" w:firstLineChars="200"/>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位置商标获准注册，须以符合我国《商标法》对商标的定义为前提。《商标法》第八条规定：“任何能够将自然人、法人或者其他组织的商品与他人的商品区别开的标志，包括文字、图形、字母、数字、三维标志、颜色组合和声音等，以及上述要素的组合，均可以作为商标申请注册。”</w:t>
      </w:r>
      <w:r>
        <w:rPr>
          <w:rStyle w:val="9"/>
          <w:rFonts w:hint="eastAsia" w:ascii="Times New Roman" w:hAnsi="Times New Roman" w:eastAsia="宋体"/>
          <w:sz w:val="21"/>
          <w:szCs w:val="21"/>
          <w:lang w:val="en-US" w:eastAsia="zh-CN"/>
        </w:rPr>
        <w:footnoteReference w:id="33"/>
      </w:r>
      <w:r>
        <w:rPr>
          <w:rFonts w:hint="eastAsia" w:ascii="Times New Roman" w:hAnsi="Times New Roman" w:eastAsia="宋体"/>
          <w:sz w:val="21"/>
          <w:szCs w:val="21"/>
          <w:lang w:val="en-US" w:eastAsia="zh-CN"/>
        </w:rPr>
        <w:t>该条的要求可以析分为两部分：“任何……的标志”是对可注册商标的概括性界定，核心在于其必须具备识别来源功能。“包括……等，以及上述要素的组合”则列举了可准予注册的若干具体的商标构成要素及其符合形态。对于该条中“等”字的解释，国内学界存在分歧，以周波法官为代表的观点主张此为“等内等”，认为现行法对商标构成要素范围采封闭式结构；李超光等学者则持主流意见，主张“等外等”，认为该列举具有开放性，并据此试图将位置商标纳入可保护的商标范围。</w:t>
      </w:r>
    </w:p>
    <w:p w14:paraId="588757A1">
      <w:pPr>
        <w:numPr>
          <w:ilvl w:val="0"/>
          <w:numId w:val="0"/>
        </w:numPr>
        <w:spacing w:line="240" w:lineRule="auto"/>
        <w:ind w:firstLine="420" w:firstLineChars="200"/>
        <w:rPr>
          <w:rFonts w:hint="eastAsia" w:ascii="Times New Roman" w:hAnsi="Times New Roman" w:eastAsia="宋体" w:cs="宋体"/>
          <w:sz w:val="21"/>
          <w:szCs w:val="21"/>
          <w:lang w:val="en-US" w:eastAsia="zh-CN"/>
        </w:rPr>
      </w:pPr>
      <w:r>
        <w:rPr>
          <w:rFonts w:hint="eastAsia" w:ascii="Times New Roman" w:hAnsi="Times New Roman" w:eastAsia="宋体"/>
          <w:sz w:val="21"/>
          <w:szCs w:val="21"/>
          <w:lang w:val="en-US" w:eastAsia="zh-CN"/>
        </w:rPr>
        <w:t>然而，基于上文对位置商标内涵的阐明可知，“位置”与商标构成要素并不具有同质性，位置商标已然具备文字、图形、字母等可视化标志，且完全处于《商标法》第八条后半部分所列举的构成要素或其组合的范围之内。因此，重点仍在于位于特定位置的可视化标志能否发挥识别来源的作用。质言之，</w:t>
      </w:r>
      <w:r>
        <w:rPr>
          <w:rFonts w:hint="eastAsia" w:ascii="Times New Roman" w:hAnsi="Times New Roman" w:eastAsia="宋体" w:cs="宋体"/>
          <w:sz w:val="21"/>
          <w:szCs w:val="21"/>
          <w:lang w:val="en-US" w:eastAsia="zh-CN"/>
        </w:rPr>
        <w:t>位置商标正当性的法理基础在于该条</w:t>
      </w:r>
      <w:r>
        <w:rPr>
          <w:rFonts w:hint="default" w:ascii="Times New Roman" w:hAnsi="Times New Roman" w:eastAsia="宋体"/>
          <w:sz w:val="21"/>
          <w:szCs w:val="21"/>
          <w:lang w:val="en-US" w:eastAsia="zh-CN"/>
        </w:rPr>
        <w:t>前半部分</w:t>
      </w:r>
      <w:r>
        <w:rPr>
          <w:rFonts w:hint="eastAsia" w:ascii="Times New Roman" w:hAnsi="Times New Roman" w:eastAsia="宋体"/>
          <w:sz w:val="21"/>
          <w:szCs w:val="21"/>
          <w:lang w:val="en-US" w:eastAsia="zh-CN"/>
        </w:rPr>
        <w:t>的概括性规定</w:t>
      </w:r>
      <w:r>
        <w:rPr>
          <w:rFonts w:hint="eastAsia" w:ascii="Times New Roman" w:hAnsi="Times New Roman" w:eastAsia="宋体" w:cs="宋体"/>
          <w:sz w:val="21"/>
          <w:szCs w:val="21"/>
          <w:lang w:val="en-US" w:eastAsia="zh-CN"/>
        </w:rPr>
        <w:t>，即位置商标能够符合“任何能够将自然人、法人或者其他组织的商品与他人的商品区别开的标志”之要求。</w:t>
      </w:r>
      <w:r>
        <w:rPr>
          <w:rStyle w:val="9"/>
          <w:rFonts w:hint="eastAsia" w:ascii="Times New Roman" w:hAnsi="Times New Roman" w:eastAsia="宋体" w:cs="宋体"/>
          <w:sz w:val="21"/>
          <w:szCs w:val="21"/>
          <w:lang w:val="en-US" w:eastAsia="zh-CN"/>
        </w:rPr>
        <w:footnoteReference w:id="34"/>
      </w:r>
    </w:p>
    <w:p w14:paraId="148DB6EC">
      <w:pPr>
        <w:numPr>
          <w:ilvl w:val="0"/>
          <w:numId w:val="0"/>
        </w:numPr>
        <w:spacing w:line="240" w:lineRule="auto"/>
        <w:ind w:firstLine="420" w:firstLineChars="200"/>
        <w:rPr>
          <w:rStyle w:val="9"/>
          <w:rFonts w:hint="default" w:ascii="Times New Roman" w:hAnsi="Times New Roman" w:eastAsia="宋体"/>
          <w:sz w:val="21"/>
          <w:szCs w:val="21"/>
          <w:lang w:val="en-US" w:eastAsia="zh-CN"/>
        </w:rPr>
      </w:pPr>
      <w:r>
        <w:rPr>
          <w:rFonts w:hint="eastAsia" w:ascii="Times New Roman" w:hAnsi="Times New Roman" w:eastAsia="宋体" w:cs="宋体"/>
          <w:sz w:val="21"/>
          <w:szCs w:val="21"/>
          <w:lang w:val="en-US" w:eastAsia="zh-CN"/>
        </w:rPr>
        <w:t>我国涉及位置商标的实践足以表明对位置商标准予注册的开放性。关于这类位置申请注册的现有案例中，法院多以缺乏显著性为由驳回相关申请。以</w:t>
      </w:r>
      <w:r>
        <w:rPr>
          <w:rFonts w:hint="eastAsia" w:ascii="Times New Roman" w:hAnsi="Times New Roman" w:eastAsia="宋体"/>
          <w:sz w:val="21"/>
          <w:szCs w:val="21"/>
          <w:lang w:val="en-US" w:eastAsia="zh-CN"/>
        </w:rPr>
        <w:t>路铂廷“红鞋底”案为例，尽管当时施行的《商标审查及审理标准》原则上禁止单一颜色商标注册，</w:t>
      </w:r>
      <w:r>
        <w:rPr>
          <w:rStyle w:val="9"/>
          <w:rFonts w:hint="eastAsia" w:ascii="Times New Roman" w:hAnsi="Times New Roman" w:eastAsia="宋体"/>
          <w:sz w:val="21"/>
          <w:szCs w:val="21"/>
          <w:lang w:val="en-US" w:eastAsia="zh-CN"/>
        </w:rPr>
        <w:footnoteReference w:id="35"/>
      </w:r>
      <w:r>
        <w:rPr>
          <w:rFonts w:hint="eastAsia" w:ascii="Times New Roman" w:hAnsi="Times New Roman" w:eastAsia="宋体"/>
          <w:sz w:val="21"/>
          <w:szCs w:val="21"/>
          <w:lang w:val="en-US" w:eastAsia="zh-CN"/>
        </w:rPr>
        <w:t>但北京高院在判决中将“红鞋底”标志界定为“限定了特定位置的单一颜色商标”，并通过对《商标法》第八条作开放性解释，间接认可了位置商标的注册可能性。</w:t>
      </w:r>
      <w:r>
        <w:rPr>
          <w:rStyle w:val="9"/>
          <w:rFonts w:hint="eastAsia" w:ascii="Times New Roman" w:hAnsi="Times New Roman" w:eastAsia="宋体"/>
          <w:sz w:val="21"/>
          <w:szCs w:val="21"/>
          <w:lang w:val="en-US" w:eastAsia="zh-CN"/>
        </w:rPr>
        <w:footnoteReference w:id="36"/>
      </w:r>
      <w:r>
        <w:rPr>
          <w:rFonts w:hint="eastAsia" w:ascii="Times New Roman" w:hAnsi="Times New Roman" w:eastAsia="宋体"/>
          <w:sz w:val="21"/>
          <w:szCs w:val="21"/>
          <w:lang w:val="en-US" w:eastAsia="zh-CN"/>
        </w:rPr>
        <w:t>商评委在后续所作的重审决定中，亦以“红鞋底”标志尚未通过使用获得显著特征，而维持不予注册的结论。</w:t>
      </w:r>
      <w:r>
        <w:rPr>
          <w:rStyle w:val="9"/>
          <w:rFonts w:hint="eastAsia" w:ascii="Times New Roman" w:hAnsi="Times New Roman" w:eastAsia="宋体"/>
          <w:sz w:val="21"/>
          <w:szCs w:val="21"/>
          <w:lang w:val="en-US" w:eastAsia="zh-CN"/>
        </w:rPr>
        <w:footnoteReference w:id="37"/>
      </w:r>
      <w:r>
        <w:rPr>
          <w:rFonts w:hint="eastAsia" w:ascii="Times New Roman" w:hAnsi="Times New Roman" w:eastAsia="宋体"/>
          <w:sz w:val="21"/>
          <w:szCs w:val="21"/>
          <w:lang w:val="en-US" w:eastAsia="zh-CN"/>
        </w:rPr>
        <w:t>这一系列处理表明，司法机关和行政机构在实践中并未对位置商标的申请注册予以全盘否定。而且，国知局在最新的《商标审查审理指南》第七章“颜色组合商标的审查审理”中指出，颜色组合商标保护对象是“以特定方式使用的颜色组合本身”，且颜色组合商标可以用在商品或商品包装的“部分”。该规定实质上</w:t>
      </w:r>
      <w:r>
        <w:rPr>
          <w:rFonts w:hint="default" w:ascii="Times New Roman" w:hAnsi="Times New Roman" w:eastAsia="宋体"/>
          <w:sz w:val="21"/>
          <w:szCs w:val="21"/>
          <w:lang w:val="en-US" w:eastAsia="zh-CN"/>
        </w:rPr>
        <w:t>间接承认</w:t>
      </w:r>
      <w:r>
        <w:rPr>
          <w:rFonts w:hint="eastAsia" w:ascii="Times New Roman" w:hAnsi="Times New Roman" w:eastAsia="宋体"/>
          <w:sz w:val="21"/>
          <w:szCs w:val="21"/>
          <w:lang w:val="en-US" w:eastAsia="zh-CN"/>
        </w:rPr>
        <w:t>了“</w:t>
      </w:r>
      <w:r>
        <w:rPr>
          <w:rFonts w:hint="default" w:ascii="Times New Roman" w:hAnsi="Times New Roman" w:eastAsia="宋体"/>
          <w:sz w:val="21"/>
          <w:szCs w:val="21"/>
          <w:lang w:val="en-US" w:eastAsia="zh-CN"/>
        </w:rPr>
        <w:t>颜色组合位置商标</w:t>
      </w:r>
      <w:r>
        <w:rPr>
          <w:rFonts w:hint="eastAsia" w:ascii="Times New Roman" w:hAnsi="Times New Roman" w:eastAsia="宋体"/>
          <w:sz w:val="21"/>
          <w:szCs w:val="21"/>
          <w:lang w:val="en-US" w:eastAsia="zh-CN"/>
        </w:rPr>
        <w:t>”的可</w:t>
      </w:r>
      <w:r>
        <w:rPr>
          <w:rFonts w:hint="default" w:ascii="Times New Roman" w:hAnsi="Times New Roman" w:eastAsia="宋体"/>
          <w:sz w:val="21"/>
          <w:szCs w:val="21"/>
          <w:lang w:val="en-US" w:eastAsia="zh-CN"/>
        </w:rPr>
        <w:t>注册</w:t>
      </w:r>
      <w:r>
        <w:rPr>
          <w:rFonts w:hint="eastAsia" w:ascii="Times New Roman" w:hAnsi="Times New Roman" w:eastAsia="宋体"/>
          <w:sz w:val="21"/>
          <w:szCs w:val="21"/>
          <w:lang w:val="en-US" w:eastAsia="zh-CN"/>
        </w:rPr>
        <w:t>性</w:t>
      </w:r>
      <w:r>
        <w:rPr>
          <w:rFonts w:hint="default" w:ascii="Times New Roman" w:hAnsi="Times New Roman" w:eastAsia="宋体"/>
          <w:sz w:val="21"/>
          <w:szCs w:val="21"/>
          <w:lang w:val="en-US" w:eastAsia="zh-CN"/>
        </w:rPr>
        <w:t>，并将其纳入现行颜色组合商标的审查框架之内。</w:t>
      </w:r>
      <w:r>
        <w:rPr>
          <w:rStyle w:val="9"/>
          <w:rFonts w:hint="default" w:ascii="Times New Roman" w:hAnsi="Times New Roman" w:eastAsia="宋体"/>
          <w:sz w:val="21"/>
          <w:szCs w:val="21"/>
          <w:lang w:val="en-US" w:eastAsia="zh-CN"/>
        </w:rPr>
        <w:footnoteReference w:id="38"/>
      </w:r>
    </w:p>
    <w:p w14:paraId="42127061">
      <w:pPr>
        <w:numPr>
          <w:ilvl w:val="0"/>
          <w:numId w:val="3"/>
        </w:numPr>
        <w:spacing w:line="240" w:lineRule="auto"/>
        <w:ind w:left="420" w:leftChars="0"/>
        <w:rPr>
          <w:rFonts w:hint="eastAsia" w:ascii="楷体" w:hAnsi="楷体" w:eastAsia="楷体" w:cs="楷体"/>
          <w:b w:val="0"/>
          <w:bCs w:val="0"/>
          <w:sz w:val="21"/>
          <w:szCs w:val="21"/>
          <w:lang w:val="en-US" w:eastAsia="zh-CN"/>
        </w:rPr>
      </w:pPr>
      <w:r>
        <w:rPr>
          <w:rFonts w:hint="eastAsia" w:ascii="楷体" w:hAnsi="楷体" w:eastAsia="楷体" w:cs="楷体"/>
          <w:b w:val="0"/>
          <w:bCs w:val="0"/>
          <w:sz w:val="21"/>
          <w:szCs w:val="21"/>
          <w:lang w:val="en-US" w:eastAsia="zh-CN"/>
        </w:rPr>
        <w:t>位置商标获准注册具有现实意义</w:t>
      </w:r>
    </w:p>
    <w:p w14:paraId="693561D3">
      <w:pPr>
        <w:numPr>
          <w:ilvl w:val="0"/>
          <w:numId w:val="0"/>
        </w:numPr>
        <w:spacing w:line="240" w:lineRule="auto"/>
        <w:ind w:firstLine="420" w:firstLineChars="200"/>
        <w:rPr>
          <w:rFonts w:hint="default" w:ascii="Times New Roman" w:hAnsi="Times New Roman" w:eastAsia="宋体"/>
          <w:sz w:val="21"/>
          <w:szCs w:val="21"/>
          <w:lang w:val="en-US" w:eastAsia="zh-CN"/>
        </w:rPr>
      </w:pPr>
      <w:r>
        <w:rPr>
          <w:rFonts w:hint="eastAsia" w:ascii="Times New Roman" w:hAnsi="Times New Roman" w:eastAsia="宋体"/>
          <w:sz w:val="21"/>
          <w:szCs w:val="21"/>
          <w:lang w:val="en-US" w:eastAsia="zh-CN"/>
        </w:rPr>
        <w:t>对位置商标予以承认与保护，具有多重积极意义。</w:t>
      </w:r>
    </w:p>
    <w:p w14:paraId="2BBDA512">
      <w:pPr>
        <w:numPr>
          <w:ilvl w:val="0"/>
          <w:numId w:val="0"/>
        </w:numPr>
        <w:spacing w:line="240" w:lineRule="auto"/>
        <w:ind w:firstLine="420" w:firstLineChars="200"/>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首先，将位置商标纳入我国可注册商标的范畴，能够扩充我国现有的商标体量，丰富商标体系，为国内商标行业注入活力。对于欠缺固有显著性的可视化传统商标，通过承认其能够通过在特定商品位置的固定化而达到显著性标准，能够为国内的商标注册创造更多的选择和机会，同时降低重复商标注册的可能。以颜色组合商标为例，通过限定商标所固定在商品上的位置，加之商品的形状或构造各异，商标注册的可能性将不断扩大，且在划定清晰的权利边界的情况下，能够稀释商标混淆的可能性。</w:t>
      </w:r>
      <w:r>
        <w:rPr>
          <w:rStyle w:val="9"/>
          <w:rFonts w:hint="eastAsia" w:ascii="Times New Roman" w:hAnsi="Times New Roman" w:eastAsia="宋体"/>
          <w:sz w:val="21"/>
          <w:szCs w:val="21"/>
          <w:lang w:val="en-US" w:eastAsia="zh-CN"/>
        </w:rPr>
        <w:footnoteReference w:id="39"/>
      </w:r>
      <w:r>
        <w:rPr>
          <w:rFonts w:hint="eastAsia" w:ascii="Times New Roman" w:hAnsi="Times New Roman" w:eastAsia="宋体"/>
          <w:sz w:val="21"/>
          <w:szCs w:val="21"/>
          <w:lang w:val="en-US" w:eastAsia="zh-CN"/>
        </w:rPr>
        <w:t>又以单一颜色标志为例，确立位置商标的可注册性，能够为单一颜色商标提供获准注册的可行路径。原本属于公共领域的某一种颜色，在被固定于特定位置上并大量使用后，得以具备商标注册所需的显著特征。承认单一颜色的位置商标足以避免颜色垄断的问题，且在后续的商标侵权认定的过程中，“位置”这一商标特性能够有效提高商标混淆判断的准确性和效率。</w:t>
      </w:r>
      <w:r>
        <w:rPr>
          <w:rStyle w:val="9"/>
          <w:rFonts w:hint="eastAsia" w:ascii="Times New Roman" w:hAnsi="Times New Roman" w:eastAsia="宋体"/>
          <w:sz w:val="21"/>
          <w:szCs w:val="21"/>
          <w:lang w:val="en-US" w:eastAsia="zh-CN"/>
        </w:rPr>
        <w:footnoteReference w:id="40"/>
      </w:r>
    </w:p>
    <w:p w14:paraId="54B64460">
      <w:pPr>
        <w:numPr>
          <w:ilvl w:val="0"/>
          <w:numId w:val="0"/>
        </w:numPr>
        <w:spacing w:line="240" w:lineRule="auto"/>
        <w:ind w:firstLine="420" w:firstLineChars="200"/>
        <w:rPr>
          <w:rFonts w:hint="default" w:ascii="Times New Roman" w:hAnsi="Times New Roman" w:eastAsia="宋体"/>
          <w:sz w:val="21"/>
          <w:szCs w:val="21"/>
          <w:lang w:val="en-US" w:eastAsia="zh-CN"/>
        </w:rPr>
      </w:pPr>
      <w:r>
        <w:rPr>
          <w:rFonts w:hint="eastAsia" w:ascii="Times New Roman" w:hAnsi="Times New Roman" w:eastAsia="宋体"/>
          <w:sz w:val="21"/>
          <w:szCs w:val="21"/>
          <w:lang w:val="en-US" w:eastAsia="zh-CN"/>
        </w:rPr>
        <w:t>其次，位置商标能够满足现代商品价值功能转变的现实需要，创造更多购买力。</w:t>
      </w:r>
      <w:r>
        <w:rPr>
          <w:rStyle w:val="9"/>
          <w:rFonts w:hint="eastAsia" w:ascii="Times New Roman" w:hAnsi="Times New Roman" w:eastAsia="宋体"/>
          <w:sz w:val="21"/>
          <w:szCs w:val="21"/>
          <w:lang w:val="en-US" w:eastAsia="zh-CN"/>
        </w:rPr>
        <w:footnoteReference w:id="41"/>
      </w:r>
      <w:r>
        <w:rPr>
          <w:rFonts w:hint="eastAsia" w:ascii="Times New Roman" w:hAnsi="Times New Roman" w:eastAsia="宋体"/>
          <w:sz w:val="21"/>
          <w:szCs w:val="21"/>
          <w:lang w:val="en-US" w:eastAsia="zh-CN"/>
        </w:rPr>
        <w:t>不同的历史发展时期，商标在社会生活中所起的作用各有不同。前现代商标在古代社会中主要发挥识别功能；随着商品经济的发展，市场经营者意识到可以通过商标向消费者指示相应产品具有稳定品质，且能够积累并传播自身的商业信誉，商标的品质保证功能与广告宣传功能才逐渐在现代形成。</w:t>
      </w:r>
      <w:r>
        <w:rPr>
          <w:rStyle w:val="9"/>
          <w:rFonts w:hint="eastAsia" w:ascii="Times New Roman" w:hAnsi="Times New Roman" w:eastAsia="宋体"/>
          <w:sz w:val="21"/>
          <w:szCs w:val="21"/>
          <w:lang w:val="en-US" w:eastAsia="zh-CN"/>
        </w:rPr>
        <w:footnoteReference w:id="42"/>
      </w:r>
      <w:r>
        <w:rPr>
          <w:rFonts w:hint="eastAsia" w:ascii="Times New Roman" w:hAnsi="Times New Roman" w:eastAsia="宋体"/>
          <w:sz w:val="21"/>
          <w:szCs w:val="21"/>
          <w:lang w:val="en-US" w:eastAsia="zh-CN"/>
        </w:rPr>
        <w:t>尤其是在消费主义盛行的今天，商标被视为商品社会文化意义的化身，而形成了符号表彰功能，极大推动了消费者购买力的提升。以阿迪达斯“三道杠”为代表的位置商标，在发挥识别来源这一基础功能的同时，更以其简约而富有力量美的独特设计吸引消费者的注意，向消费者传达时尚与运动相结合的生活理念，从而引导消费者对商品形成积极正面的主观判断和消费选择。</w:t>
      </w:r>
    </w:p>
    <w:p w14:paraId="5EF1192C">
      <w:pPr>
        <w:numPr>
          <w:ilvl w:val="0"/>
          <w:numId w:val="0"/>
        </w:numPr>
        <w:spacing w:line="240" w:lineRule="auto"/>
        <w:ind w:firstLine="420" w:firstLineChars="200"/>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最后，接纳并保护位置商标能够顺应国际趋势。《商标法新加坡条约》及其《实施细则》已承认包括位置商标在内的非传统商标的可注册性，虽然我国尚未批准该条约，但国际层面对位置商标的包容态度应当为我国所考量。美国</w:t>
      </w:r>
      <w:r>
        <w:rPr>
          <w:rStyle w:val="9"/>
          <w:rFonts w:hint="eastAsia" w:ascii="Times New Roman" w:hAnsi="Times New Roman" w:eastAsia="宋体"/>
          <w:sz w:val="21"/>
          <w:szCs w:val="21"/>
          <w:lang w:val="en-US" w:eastAsia="zh-CN"/>
        </w:rPr>
        <w:footnoteReference w:id="43"/>
      </w:r>
      <w:r>
        <w:rPr>
          <w:rFonts w:hint="eastAsia" w:ascii="Times New Roman" w:hAnsi="Times New Roman" w:eastAsia="宋体"/>
          <w:sz w:val="21"/>
          <w:szCs w:val="21"/>
          <w:lang w:val="en-US" w:eastAsia="zh-CN"/>
        </w:rPr>
        <w:t>和欧盟</w:t>
      </w:r>
      <w:r>
        <w:rPr>
          <w:rStyle w:val="9"/>
          <w:rFonts w:hint="eastAsia" w:ascii="Times New Roman" w:hAnsi="Times New Roman" w:eastAsia="宋体"/>
          <w:sz w:val="21"/>
          <w:szCs w:val="21"/>
          <w:lang w:val="en-US" w:eastAsia="zh-CN"/>
        </w:rPr>
        <w:footnoteReference w:id="44"/>
      </w:r>
      <w:r>
        <w:rPr>
          <w:rFonts w:hint="eastAsia" w:ascii="Times New Roman" w:hAnsi="Times New Roman" w:eastAsia="宋体"/>
          <w:sz w:val="21"/>
          <w:szCs w:val="21"/>
          <w:lang w:val="en-US" w:eastAsia="zh-CN"/>
        </w:rPr>
        <w:t>在对商标注册类型采开放式立法的同时，都已在实践中对一些位置商标予以注册并保护</w:t>
      </w:r>
      <w:r>
        <w:rPr>
          <w:rStyle w:val="9"/>
          <w:rFonts w:hint="eastAsia" w:ascii="Times New Roman" w:hAnsi="Times New Roman" w:eastAsia="宋体"/>
          <w:sz w:val="21"/>
          <w:szCs w:val="21"/>
          <w:lang w:val="en-US" w:eastAsia="zh-CN"/>
        </w:rPr>
        <w:footnoteReference w:id="45"/>
      </w:r>
      <w:r>
        <w:rPr>
          <w:rFonts w:hint="eastAsia" w:ascii="Times New Roman" w:hAnsi="Times New Roman" w:eastAsia="宋体"/>
          <w:sz w:val="21"/>
          <w:szCs w:val="21"/>
          <w:lang w:val="en-US" w:eastAsia="zh-CN"/>
        </w:rPr>
        <w:t>。日本</w:t>
      </w:r>
      <w:r>
        <w:rPr>
          <w:rStyle w:val="9"/>
          <w:rFonts w:hint="eastAsia" w:ascii="Times New Roman" w:hAnsi="Times New Roman" w:eastAsia="宋体"/>
          <w:sz w:val="21"/>
          <w:szCs w:val="21"/>
          <w:lang w:val="en-US" w:eastAsia="zh-CN"/>
        </w:rPr>
        <w:footnoteReference w:id="46"/>
      </w:r>
      <w:r>
        <w:rPr>
          <w:rFonts w:hint="eastAsia" w:ascii="Times New Roman" w:hAnsi="Times New Roman" w:eastAsia="宋体"/>
          <w:sz w:val="21"/>
          <w:szCs w:val="21"/>
          <w:lang w:val="en-US" w:eastAsia="zh-CN"/>
        </w:rPr>
        <w:t>、韩国</w:t>
      </w:r>
      <w:r>
        <w:rPr>
          <w:rStyle w:val="9"/>
          <w:rFonts w:hint="eastAsia" w:ascii="Times New Roman" w:hAnsi="Times New Roman" w:eastAsia="宋体"/>
          <w:sz w:val="21"/>
          <w:szCs w:val="21"/>
          <w:lang w:val="en-US" w:eastAsia="zh-CN"/>
        </w:rPr>
        <w:footnoteReference w:id="47"/>
      </w:r>
      <w:r>
        <w:rPr>
          <w:rFonts w:hint="eastAsia" w:ascii="Times New Roman" w:hAnsi="Times New Roman" w:eastAsia="宋体"/>
          <w:sz w:val="21"/>
          <w:szCs w:val="21"/>
          <w:lang w:val="en-US" w:eastAsia="zh-CN"/>
        </w:rPr>
        <w:t>以及我国台湾地区</w:t>
      </w:r>
      <w:r>
        <w:rPr>
          <w:rStyle w:val="9"/>
          <w:rFonts w:hint="eastAsia" w:ascii="Times New Roman" w:hAnsi="Times New Roman" w:eastAsia="宋体"/>
          <w:sz w:val="21"/>
          <w:szCs w:val="21"/>
          <w:lang w:val="en-US" w:eastAsia="zh-CN"/>
        </w:rPr>
        <w:footnoteReference w:id="48"/>
      </w:r>
      <w:r>
        <w:rPr>
          <w:rFonts w:hint="eastAsia" w:ascii="Times New Roman" w:hAnsi="Times New Roman" w:eastAsia="宋体"/>
          <w:sz w:val="21"/>
          <w:szCs w:val="21"/>
          <w:lang w:val="en-US" w:eastAsia="zh-CN"/>
        </w:rPr>
        <w:t>都已通过法律文本的形式承认位置商标的可注册性，并对申请要求予以细化。随着位置商标在国际市场的不断涌现，允许位置商标的注册是与国际商标体系接轨的必要之举。</w:t>
      </w:r>
    </w:p>
    <w:p w14:paraId="084F19A6">
      <w:pPr>
        <w:numPr>
          <w:ilvl w:val="0"/>
          <w:numId w:val="0"/>
        </w:numPr>
        <w:spacing w:line="240" w:lineRule="auto"/>
        <w:ind w:firstLine="420" w:firstLineChars="200"/>
        <w:rPr>
          <w:rFonts w:hint="default" w:ascii="Times New Roman" w:hAnsi="Times New Roman" w:eastAsia="宋体"/>
          <w:sz w:val="21"/>
          <w:szCs w:val="21"/>
          <w:lang w:val="en-US" w:eastAsia="zh-CN"/>
        </w:rPr>
      </w:pPr>
    </w:p>
    <w:p w14:paraId="5B05FAEF">
      <w:pPr>
        <w:numPr>
          <w:ilvl w:val="0"/>
          <w:numId w:val="1"/>
        </w:numPr>
        <w:spacing w:line="360" w:lineRule="auto"/>
        <w:ind w:left="420" w:leftChars="0"/>
        <w:jc w:val="left"/>
        <w:rPr>
          <w:rFonts w:hint="default"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位置商标的规范路径探索</w:t>
      </w:r>
    </w:p>
    <w:p w14:paraId="494BF825">
      <w:pPr>
        <w:numPr>
          <w:ilvl w:val="0"/>
          <w:numId w:val="0"/>
        </w:numPr>
        <w:tabs>
          <w:tab w:val="left" w:pos="3064"/>
        </w:tabs>
        <w:spacing w:line="240" w:lineRule="auto"/>
        <w:ind w:firstLine="420" w:firstLineChars="200"/>
        <w:rPr>
          <w:rFonts w:hint="default" w:ascii="Times New Roman" w:hAnsi="Times New Roman" w:eastAsia="宋体"/>
          <w:sz w:val="21"/>
          <w:szCs w:val="24"/>
          <w:lang w:val="en-US" w:eastAsia="zh-CN"/>
        </w:rPr>
      </w:pPr>
      <w:r>
        <w:rPr>
          <w:rFonts w:hint="eastAsia" w:ascii="Times New Roman" w:hAnsi="Times New Roman" w:eastAsia="宋体"/>
          <w:sz w:val="21"/>
          <w:szCs w:val="21"/>
          <w:lang w:val="en-US" w:eastAsia="zh-CN"/>
        </w:rPr>
        <w:t>位置商标并未引入新的商标构成要素，故对这类商标的审查标准应当与一般的商标审查标准保持一致。换言之，我国对位置商标的注册审查应当侧重实质审查，只要相关标志不具有功能性，且能发挥识别来源功能，都应当具有可注册性。</w:t>
      </w:r>
      <w:r>
        <w:rPr>
          <w:rStyle w:val="9"/>
          <w:rFonts w:hint="eastAsia" w:ascii="Times New Roman" w:hAnsi="Times New Roman" w:eastAsia="宋体"/>
          <w:sz w:val="21"/>
          <w:szCs w:val="21"/>
          <w:lang w:val="en-US" w:eastAsia="zh-CN"/>
        </w:rPr>
        <w:footnoteReference w:id="49"/>
      </w:r>
    </w:p>
    <w:p w14:paraId="62AC0F63">
      <w:pPr>
        <w:numPr>
          <w:ilvl w:val="0"/>
          <w:numId w:val="4"/>
        </w:numPr>
        <w:spacing w:line="240" w:lineRule="auto"/>
        <w:ind w:left="420" w:leftChars="0"/>
        <w:rPr>
          <w:rFonts w:hint="eastAsia" w:ascii="楷体" w:hAnsi="楷体" w:eastAsia="楷体" w:cs="楷体"/>
          <w:b w:val="0"/>
          <w:bCs w:val="0"/>
          <w:sz w:val="21"/>
          <w:szCs w:val="24"/>
          <w:lang w:val="en-US" w:eastAsia="zh-CN"/>
        </w:rPr>
      </w:pPr>
      <w:r>
        <w:rPr>
          <w:rFonts w:hint="eastAsia" w:ascii="楷体" w:hAnsi="楷体" w:eastAsia="楷体" w:cs="楷体"/>
          <w:b w:val="0"/>
          <w:bCs w:val="0"/>
          <w:sz w:val="21"/>
          <w:szCs w:val="24"/>
          <w:lang w:val="en-US" w:eastAsia="zh-CN"/>
        </w:rPr>
        <w:t>位置商标应接受功能性审查</w:t>
      </w:r>
    </w:p>
    <w:p w14:paraId="0F8D34A9">
      <w:pPr>
        <w:numPr>
          <w:ilvl w:val="0"/>
          <w:numId w:val="0"/>
        </w:numPr>
        <w:spacing w:line="240" w:lineRule="auto"/>
        <w:ind w:firstLine="420" w:firstLineChars="200"/>
        <w:rPr>
          <w:rFonts w:hint="default" w:ascii="Times New Roman" w:hAnsi="Times New Roman" w:eastAsia="宋体"/>
          <w:sz w:val="21"/>
          <w:szCs w:val="21"/>
          <w:lang w:val="en-US" w:eastAsia="zh-CN"/>
        </w:rPr>
      </w:pPr>
      <w:r>
        <w:rPr>
          <w:rFonts w:hint="eastAsia" w:ascii="Times New Roman" w:hAnsi="Times New Roman" w:eastAsia="宋体"/>
          <w:sz w:val="21"/>
          <w:szCs w:val="21"/>
          <w:lang w:val="en-US" w:eastAsia="zh-CN"/>
        </w:rPr>
        <w:t>位置商标在平面商标和立体商标的基础上限定了标志的使用位置，故其必然与商标的外部立体形态相关联，因此可以参考适用三维标志的功能性原则。</w:t>
      </w:r>
      <w:r>
        <w:rPr>
          <w:rStyle w:val="9"/>
          <w:rFonts w:hint="eastAsia" w:ascii="Times New Roman" w:hAnsi="Times New Roman" w:eastAsia="宋体"/>
          <w:b w:val="0"/>
          <w:bCs w:val="0"/>
          <w:sz w:val="21"/>
          <w:szCs w:val="21"/>
          <w:lang w:val="en-US" w:eastAsia="zh-CN"/>
        </w:rPr>
        <w:footnoteReference w:id="50"/>
      </w:r>
      <w:r>
        <w:rPr>
          <w:rFonts w:hint="default" w:ascii="Times New Roman" w:hAnsi="Times New Roman" w:eastAsia="宋体"/>
          <w:sz w:val="21"/>
          <w:szCs w:val="21"/>
          <w:lang w:val="en-US" w:eastAsia="zh-CN"/>
        </w:rPr>
        <w:t>《商标法》第十二条规定，如果三维标志</w:t>
      </w:r>
      <w:r>
        <w:rPr>
          <w:rFonts w:hint="eastAsia" w:ascii="Times New Roman" w:hAnsi="Times New Roman" w:eastAsia="宋体"/>
          <w:sz w:val="21"/>
          <w:szCs w:val="21"/>
          <w:lang w:val="en-US" w:eastAsia="zh-CN"/>
        </w:rPr>
        <w:t>的形状“</w:t>
      </w:r>
      <w:r>
        <w:rPr>
          <w:rFonts w:hint="default" w:ascii="Times New Roman" w:hAnsi="Times New Roman" w:eastAsia="宋体"/>
          <w:sz w:val="21"/>
          <w:szCs w:val="21"/>
          <w:lang w:val="en-US" w:eastAsia="zh-CN"/>
        </w:rPr>
        <w:t>仅由商品自身的性质产生、为获得技术效果所必需或</w:t>
      </w:r>
      <w:r>
        <w:rPr>
          <w:rFonts w:hint="eastAsia" w:ascii="Times New Roman" w:hAnsi="Times New Roman" w:eastAsia="宋体"/>
          <w:sz w:val="21"/>
          <w:szCs w:val="21"/>
          <w:lang w:val="en-US" w:eastAsia="zh-CN"/>
        </w:rPr>
        <w:t>者</w:t>
      </w:r>
      <w:r>
        <w:rPr>
          <w:rFonts w:hint="default" w:ascii="Times New Roman" w:hAnsi="Times New Roman" w:eastAsia="宋体"/>
          <w:sz w:val="21"/>
          <w:szCs w:val="21"/>
          <w:lang w:val="en-US" w:eastAsia="zh-CN"/>
        </w:rPr>
        <w:t>使商品具有实质性价值</w:t>
      </w:r>
      <w:r>
        <w:rPr>
          <w:rFonts w:hint="eastAsia" w:ascii="Times New Roman" w:hAnsi="Times New Roman" w:eastAsia="宋体"/>
          <w:sz w:val="21"/>
          <w:szCs w:val="21"/>
          <w:lang w:val="en-US" w:eastAsia="zh-CN"/>
        </w:rPr>
        <w:t>”</w:t>
      </w:r>
      <w:r>
        <w:rPr>
          <w:rFonts w:hint="default" w:ascii="Times New Roman" w:hAnsi="Times New Roman" w:eastAsia="宋体"/>
          <w:sz w:val="21"/>
          <w:szCs w:val="21"/>
          <w:lang w:val="en-US" w:eastAsia="zh-CN"/>
        </w:rPr>
        <w:t>，则构成不予注册的绝对理由。</w:t>
      </w:r>
      <w:r>
        <w:rPr>
          <w:rStyle w:val="9"/>
          <w:rFonts w:hint="eastAsia" w:ascii="Times New Roman" w:hAnsi="Times New Roman" w:eastAsia="宋体"/>
          <w:sz w:val="21"/>
          <w:szCs w:val="21"/>
          <w:lang w:val="en-US" w:eastAsia="zh-CN"/>
        </w:rPr>
        <w:footnoteReference w:id="51"/>
      </w:r>
    </w:p>
    <w:p w14:paraId="4DB21BB3">
      <w:pPr>
        <w:spacing w:line="240" w:lineRule="auto"/>
        <w:ind w:firstLine="420" w:firstLineChars="200"/>
        <w:rPr>
          <w:rFonts w:hint="eastAsia" w:ascii="Times New Roman" w:hAnsi="Times New Roman"/>
          <w:sz w:val="21"/>
          <w:szCs w:val="21"/>
          <w:lang w:val="en-US" w:eastAsia="zh-CN"/>
        </w:rPr>
      </w:pPr>
      <w:r>
        <w:rPr>
          <w:rFonts w:hint="eastAsia" w:ascii="Times New Roman" w:hAnsi="Times New Roman" w:eastAsia="宋体"/>
          <w:sz w:val="21"/>
          <w:szCs w:val="21"/>
          <w:lang w:val="en-US" w:eastAsia="zh-CN"/>
        </w:rPr>
        <w:t>在符号的三元模型下，三要素在相互联系的同时，相互之间还必须保持一定的距离。正基于此，商标法提出了功能性原则。</w:t>
      </w:r>
      <w:r>
        <w:rPr>
          <w:rFonts w:hint="eastAsia" w:ascii="Times New Roman" w:hAnsi="Times New Roman"/>
          <w:sz w:val="21"/>
          <w:szCs w:val="21"/>
          <w:lang w:val="en-US" w:eastAsia="zh-CN"/>
        </w:rPr>
        <w:t>功能性原则本质上是对商标能指的非功能性要求，即商标标志在功能意义上必须独立于商品本身，二者不能过度重叠，以至于趋于同一。功能性原则的设立旨在实现商标保护与更广泛的公共利益之间的平衡。商标法的核心宗旨在于保护商业标志识别来源的功能，即通过向消费者传递商品信息，降低其搜索成本，而非赋予经营者对产品实用功能或竞争优势的永久垄断权。通过排除对产品功能性特征的商标保护，该原则使得竞争者能够自由地利用、借鉴和改进已有的产品功能特征，在自由竞争中推动产品的持续创新和升级，最终提升消费者福利。此外，功能性原则在制度结构层面发挥着重要作用，它将商标的能指与专利和版权的客体区分开来，防止经营者借助商标制度规避专利和版权制度更为严格的实质性审查与有限保护期限的要求，进而维护知识产权体系内部各专门法律之间的协调与分工。</w:t>
      </w:r>
      <w:r>
        <w:rPr>
          <w:rStyle w:val="9"/>
          <w:rFonts w:hint="eastAsia" w:ascii="Times New Roman" w:hAnsi="Times New Roman"/>
          <w:sz w:val="21"/>
          <w:szCs w:val="21"/>
          <w:lang w:val="en-US" w:eastAsia="zh-CN"/>
        </w:rPr>
        <w:footnoteReference w:id="52"/>
      </w:r>
    </w:p>
    <w:p w14:paraId="056755BD">
      <w:pPr>
        <w:spacing w:line="240" w:lineRule="auto"/>
        <w:ind w:firstLine="420" w:firstLineChars="200"/>
        <w:rPr>
          <w:rFonts w:hint="default" w:ascii="Times New Roman" w:hAnsi="Times New Roman"/>
          <w:sz w:val="21"/>
          <w:szCs w:val="21"/>
          <w:lang w:val="en-US" w:eastAsia="zh-CN"/>
        </w:rPr>
      </w:pPr>
      <w:r>
        <w:rPr>
          <w:rFonts w:hint="eastAsia" w:ascii="Times New Roman" w:hAnsi="Times New Roman"/>
          <w:sz w:val="21"/>
          <w:szCs w:val="21"/>
          <w:lang w:val="en-US" w:eastAsia="zh-CN"/>
        </w:rPr>
        <w:t>具体而言，如果商标所附着的对象中有某些特征，对商品用途至关重要或为市场竞争所必需，则无法作为商标获准注册。</w:t>
      </w:r>
      <w:r>
        <w:rPr>
          <w:rStyle w:val="9"/>
          <w:rFonts w:hint="eastAsia" w:ascii="Times New Roman" w:hAnsi="Times New Roman"/>
          <w:sz w:val="21"/>
          <w:szCs w:val="21"/>
          <w:lang w:val="en-US" w:eastAsia="zh-CN"/>
        </w:rPr>
        <w:footnoteReference w:id="53"/>
      </w:r>
      <w:r>
        <w:rPr>
          <w:rFonts w:hint="eastAsia" w:ascii="Times New Roman" w:hAnsi="Times New Roman"/>
          <w:sz w:val="21"/>
          <w:szCs w:val="21"/>
          <w:lang w:val="en-US" w:eastAsia="zh-CN"/>
        </w:rPr>
        <w:t>前述两种情况分别对应“实用功能性”和“美学功能性”。前者主要涉及满足新颖性、创造性、实用性的标准，而能够作为发明或实用新型获得专利保护的产品特征。早在1904年的马弗尔诉波尔案中，针对一种注射器的技术方案，美国第二巡回法院即指出对产品实际运转至关重要的特征，或是用于提高产品实际效能的特征不能被垄断。</w:t>
      </w:r>
      <w:r>
        <w:rPr>
          <w:rStyle w:val="9"/>
          <w:rFonts w:hint="eastAsia" w:ascii="Times New Roman" w:hAnsi="Times New Roman"/>
          <w:sz w:val="21"/>
          <w:szCs w:val="21"/>
          <w:lang w:val="en-US" w:eastAsia="zh-CN"/>
        </w:rPr>
        <w:footnoteReference w:id="54"/>
      </w:r>
      <w:r>
        <w:rPr>
          <w:rFonts w:hint="eastAsia" w:ascii="Times New Roman" w:hAnsi="Times New Roman"/>
          <w:sz w:val="21"/>
          <w:szCs w:val="21"/>
          <w:lang w:val="en-US" w:eastAsia="zh-CN"/>
        </w:rPr>
        <w:t>后者则是针对符合新颖性或独创性要求而有权作为外观设计或作品，分别受专利法或版权法保护的产品设计。商标的能指如果不具备可专利性或者可版权性，或者未申请专利、已过专利或版权保护期，就应当处于公共领域，供所有市场主体自主使用。</w:t>
      </w:r>
      <w:r>
        <w:rPr>
          <w:rStyle w:val="9"/>
          <w:rFonts w:hint="eastAsia" w:ascii="Times New Roman" w:hAnsi="Times New Roman"/>
          <w:sz w:val="21"/>
          <w:szCs w:val="21"/>
          <w:lang w:val="en-US" w:eastAsia="zh-CN"/>
        </w:rPr>
        <w:footnoteReference w:id="55"/>
      </w:r>
      <w:r>
        <w:rPr>
          <w:rFonts w:hint="eastAsia" w:ascii="Times New Roman" w:hAnsi="Times New Roman"/>
          <w:sz w:val="21"/>
          <w:szCs w:val="21"/>
          <w:lang w:val="en-US" w:eastAsia="zh-CN"/>
        </w:rPr>
        <w:t>相比之下，“美学功能性”标准的适用更为复杂：其一，产品的美学特征不同于实用功能，其价值无法根据客观效能予以准确判定，由于公众的审美偏好各异，某一美学特征并不必然吸引所有消费者前来购买该产品。但不可否认的是，并非所有的外观特征都会带来美感，当产品的外观特征会对其消费价值起决定性作用时——例如花纹精美的瓷器</w:t>
      </w:r>
      <w:r>
        <w:rPr>
          <w:rStyle w:val="9"/>
          <w:rFonts w:hint="eastAsia" w:ascii="Times New Roman" w:hAnsi="Times New Roman"/>
          <w:sz w:val="21"/>
          <w:szCs w:val="21"/>
          <w:lang w:val="en-US" w:eastAsia="zh-CN"/>
        </w:rPr>
        <w:footnoteReference w:id="56"/>
      </w:r>
      <w:r>
        <w:rPr>
          <w:rFonts w:hint="eastAsia" w:ascii="Times New Roman" w:hAnsi="Times New Roman"/>
          <w:sz w:val="21"/>
          <w:szCs w:val="21"/>
          <w:lang w:val="en-US" w:eastAsia="zh-CN"/>
        </w:rPr>
        <w:t>、形状优美的银器</w:t>
      </w:r>
      <w:r>
        <w:rPr>
          <w:rStyle w:val="9"/>
          <w:rFonts w:hint="eastAsia" w:ascii="Times New Roman" w:hAnsi="Times New Roman"/>
          <w:sz w:val="21"/>
          <w:szCs w:val="21"/>
          <w:lang w:val="en-US" w:eastAsia="zh-CN"/>
        </w:rPr>
        <w:footnoteReference w:id="57"/>
      </w:r>
      <w:r>
        <w:rPr>
          <w:rFonts w:hint="eastAsia" w:ascii="Times New Roman" w:hAnsi="Times New Roman"/>
          <w:sz w:val="21"/>
          <w:szCs w:val="21"/>
          <w:lang w:val="en-US" w:eastAsia="zh-CN"/>
        </w:rPr>
        <w:t>——应当适用“美学功能性”标准。不以这种方式起核心作用的外观特征则不应被禁止。其二，美学功能和识别来源功能往往共存于一项产品设计上。有些饱受争议的外观特征，其价值恰恰在于它们能够标识来源。</w:t>
      </w:r>
      <w:r>
        <w:rPr>
          <w:rStyle w:val="9"/>
          <w:rFonts w:hint="eastAsia" w:ascii="Times New Roman" w:hAnsi="Times New Roman"/>
          <w:sz w:val="21"/>
          <w:szCs w:val="21"/>
          <w:lang w:val="en-US" w:eastAsia="zh-CN"/>
        </w:rPr>
        <w:footnoteReference w:id="58"/>
      </w:r>
      <w:r>
        <w:rPr>
          <w:rFonts w:hint="eastAsia" w:ascii="Times New Roman" w:hAnsi="Times New Roman"/>
          <w:sz w:val="21"/>
          <w:szCs w:val="21"/>
          <w:lang w:val="en-US" w:eastAsia="zh-CN"/>
        </w:rPr>
        <w:t>以“红鞋底”为例，在高跟鞋底铺满正红色的行为虽然可以被视作对商品的装饰，但这一设计，通过鞋底本身的明亮色彩及其与鞋身的强烈颜色对比，同时发挥着识别商品来源的作用。商评委对“红鞋底”作为商标获准注册会造成对红色这一功能性颜色垄断的担忧并不成立。在时尚行业，设计师拥有几乎无限的颜色和图样设计选择来装饰鞋底，以使其产品具有美感和竞争力。“红鞋底”的简单设计并未为高跟鞋提供显著的审美或装饰价值，且其所产生的识别来源效果远超于其中的美学价值，授予其商标权并不会给予申请人不当的竞争优势，甚至阻碍市场自由竞争。</w:t>
      </w:r>
    </w:p>
    <w:p w14:paraId="4D7849B2">
      <w:pPr>
        <w:numPr>
          <w:ilvl w:val="0"/>
          <w:numId w:val="0"/>
        </w:numPr>
        <w:spacing w:line="240" w:lineRule="auto"/>
        <w:ind w:firstLine="420" w:firstLineChars="200"/>
        <w:rPr>
          <w:rFonts w:hint="default" w:ascii="Times New Roman" w:hAnsi="Times New Roman" w:eastAsia="宋体"/>
          <w:sz w:val="21"/>
          <w:szCs w:val="21"/>
          <w:lang w:val="en-US" w:eastAsia="zh-CN"/>
        </w:rPr>
      </w:pPr>
      <w:r>
        <w:rPr>
          <w:rFonts w:hint="eastAsia" w:ascii="Times New Roman" w:hAnsi="Times New Roman" w:eastAsia="宋体"/>
          <w:sz w:val="21"/>
          <w:szCs w:val="21"/>
          <w:lang w:val="en-US" w:eastAsia="zh-CN"/>
        </w:rPr>
        <w:t>总而言之，商标能指虽然可以包含对象的某些特征，但其与对象之间必须保持相对清晰的界限。若商标标志覆盖了商品的全部或者关键特征，便会造成二者的同一，破坏商标三元结构的稳定性，阻碍其指涉作用的发挥。</w:t>
      </w:r>
      <w:r>
        <w:rPr>
          <w:rStyle w:val="9"/>
          <w:rFonts w:hint="eastAsia" w:ascii="Times New Roman" w:hAnsi="Times New Roman"/>
          <w:sz w:val="21"/>
          <w:szCs w:val="21"/>
          <w:lang w:val="en-US" w:eastAsia="zh-CN"/>
        </w:rPr>
        <w:footnoteReference w:id="59"/>
      </w:r>
      <w:r>
        <w:rPr>
          <w:rFonts w:hint="eastAsia" w:ascii="Times New Roman" w:hAnsi="Times New Roman" w:eastAsia="宋体"/>
          <w:sz w:val="21"/>
          <w:szCs w:val="21"/>
          <w:lang w:val="en-US" w:eastAsia="zh-CN"/>
        </w:rPr>
        <w:t>位置商标在进入显著性审查之前，应当首先确保其标志的非功能性。</w:t>
      </w:r>
    </w:p>
    <w:p w14:paraId="0096A351">
      <w:pPr>
        <w:numPr>
          <w:ilvl w:val="0"/>
          <w:numId w:val="4"/>
        </w:numPr>
        <w:spacing w:line="240" w:lineRule="auto"/>
        <w:ind w:left="420" w:leftChars="0"/>
        <w:rPr>
          <w:rFonts w:hint="eastAsia" w:ascii="楷体" w:hAnsi="楷体" w:eastAsia="楷体" w:cs="楷体"/>
          <w:b w:val="0"/>
          <w:bCs w:val="0"/>
          <w:sz w:val="21"/>
          <w:szCs w:val="24"/>
          <w:lang w:val="en-US" w:eastAsia="zh-CN"/>
        </w:rPr>
      </w:pPr>
      <w:r>
        <w:rPr>
          <w:rFonts w:hint="eastAsia" w:ascii="楷体" w:hAnsi="楷体" w:eastAsia="楷体" w:cs="楷体"/>
          <w:b w:val="0"/>
          <w:bCs w:val="0"/>
          <w:sz w:val="21"/>
          <w:szCs w:val="24"/>
          <w:lang w:val="en-US" w:eastAsia="zh-CN"/>
        </w:rPr>
        <w:t>位置商标能够满足显著性标准</w:t>
      </w:r>
    </w:p>
    <w:p w14:paraId="18714E7D">
      <w:pPr>
        <w:numPr>
          <w:ilvl w:val="0"/>
          <w:numId w:val="0"/>
        </w:numPr>
        <w:spacing w:line="240" w:lineRule="auto"/>
        <w:ind w:firstLine="420" w:firstLineChars="200"/>
        <w:rPr>
          <w:rFonts w:hint="eastAsia" w:ascii="Times New Roman" w:hAnsi="Times New Roman" w:eastAsia="宋体"/>
          <w:sz w:val="21"/>
          <w:szCs w:val="21"/>
          <w:lang w:val="en-US" w:eastAsia="zh-CN"/>
        </w:rPr>
      </w:pPr>
      <w:r>
        <w:rPr>
          <w:rFonts w:hint="default" w:ascii="Times New Roman" w:hAnsi="Times New Roman" w:eastAsia="宋体"/>
          <w:sz w:val="21"/>
          <w:szCs w:val="21"/>
          <w:lang w:val="en-US" w:eastAsia="zh-CN"/>
        </w:rPr>
        <w:t>位置商标获准注册必须具有商标的核心特征，即显著性。</w:t>
      </w:r>
      <w:r>
        <w:rPr>
          <w:rFonts w:hint="eastAsia" w:ascii="Times New Roman" w:hAnsi="Times New Roman" w:eastAsia="宋体"/>
          <w:sz w:val="21"/>
          <w:szCs w:val="21"/>
          <w:lang w:val="en-US" w:eastAsia="zh-CN"/>
        </w:rPr>
        <w:t>传统理论将显著性分为固有显著性和获得显著性，并通常认为具有固有显著性的商标优于经过使用才获得显著性的商标，因此其对新型可视化商标采取消极保守甚至歧视性的审查态度。</w:t>
      </w:r>
      <w:r>
        <w:rPr>
          <w:rStyle w:val="9"/>
          <w:rFonts w:hint="eastAsia" w:ascii="Times New Roman" w:hAnsi="Times New Roman" w:eastAsia="宋体"/>
          <w:sz w:val="21"/>
          <w:szCs w:val="21"/>
          <w:lang w:val="en-US" w:eastAsia="zh-CN"/>
        </w:rPr>
        <w:footnoteReference w:id="60"/>
      </w:r>
      <w:r>
        <w:rPr>
          <w:rFonts w:hint="eastAsia" w:ascii="Times New Roman" w:hAnsi="Times New Roman" w:eastAsia="宋体"/>
          <w:sz w:val="21"/>
          <w:szCs w:val="21"/>
          <w:lang w:val="en-US" w:eastAsia="zh-CN"/>
        </w:rPr>
        <w:t>然而，从索绪尔的符号任意性原则看，能指与所指的联系都是无理据的，现实中不存在一种符号语言，其词与观念之间存在固有的关联。</w:t>
      </w:r>
      <w:r>
        <w:rPr>
          <w:rStyle w:val="9"/>
          <w:rFonts w:hint="eastAsia" w:ascii="Times New Roman" w:hAnsi="Times New Roman" w:eastAsia="宋体"/>
          <w:sz w:val="21"/>
          <w:szCs w:val="21"/>
          <w:lang w:val="en-US" w:eastAsia="zh-CN"/>
        </w:rPr>
        <w:footnoteReference w:id="61"/>
      </w:r>
      <w:r>
        <w:rPr>
          <w:rFonts w:hint="eastAsia" w:ascii="Times New Roman" w:hAnsi="Times New Roman" w:eastAsia="宋体"/>
          <w:sz w:val="21"/>
          <w:szCs w:val="21"/>
          <w:lang w:val="en-US" w:eastAsia="zh-CN"/>
        </w:rPr>
        <w:t>商标作为一种符号语言亦是如此，“没有天生的商标，即便是具备固有显著性的标志在注册或使用之初，也不可能立即自动被消费者认同为商标。”</w:t>
      </w:r>
      <w:r>
        <w:rPr>
          <w:rStyle w:val="9"/>
          <w:rFonts w:hint="eastAsia" w:ascii="Times New Roman" w:hAnsi="Times New Roman" w:eastAsia="宋体"/>
          <w:sz w:val="21"/>
          <w:szCs w:val="21"/>
          <w:lang w:val="en-US" w:eastAsia="zh-CN"/>
        </w:rPr>
        <w:footnoteReference w:id="62"/>
      </w:r>
    </w:p>
    <w:p w14:paraId="5E54E0AC">
      <w:pPr>
        <w:numPr>
          <w:ilvl w:val="0"/>
          <w:numId w:val="0"/>
        </w:numPr>
        <w:spacing w:line="240" w:lineRule="auto"/>
        <w:ind w:firstLine="420" w:firstLineChars="200"/>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商标的显著性只有通过市场中的使用和营销才能真正被获得。在语言学的视角下，获得显著性才是真正的显著性。相比之下，固有显著性仅仅是对商标能指与对象之间的否定性描述，即二者不能具有过于直接的关联，但这并不必然保证该商标能够实际发挥标示和区分的作用。当然，在商标注册实践中，对这两种显著性的区分能够带来操作上的便利。具有固有显著性的标志，在权利人管理得当的情况下，往往能很快获得显著性，故对其予以优先承认，存在一定合理性。</w:t>
      </w:r>
      <w:r>
        <w:rPr>
          <w:rStyle w:val="9"/>
          <w:rFonts w:hint="eastAsia" w:ascii="Times New Roman" w:hAnsi="Times New Roman" w:eastAsia="宋体"/>
          <w:sz w:val="21"/>
          <w:szCs w:val="21"/>
          <w:lang w:val="en-US" w:eastAsia="zh-CN"/>
        </w:rPr>
        <w:footnoteReference w:id="63"/>
      </w:r>
    </w:p>
    <w:p w14:paraId="5DC99C46">
      <w:pPr>
        <w:spacing w:line="240" w:lineRule="auto"/>
        <w:ind w:firstLine="420" w:firstLineChars="200"/>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对位置商标的显著性判断应当适用一般规则，同时结合相关标志的多重具体因素进行综合考量。</w:t>
      </w:r>
      <w:r>
        <w:rPr>
          <w:rStyle w:val="9"/>
          <w:rFonts w:hint="eastAsia" w:ascii="Times New Roman" w:hAnsi="Times New Roman" w:eastAsia="宋体"/>
          <w:sz w:val="21"/>
          <w:szCs w:val="21"/>
          <w:lang w:val="en-US" w:eastAsia="zh-CN"/>
        </w:rPr>
        <w:footnoteReference w:id="64"/>
      </w:r>
      <w:r>
        <w:rPr>
          <w:rFonts w:hint="eastAsia" w:ascii="Times New Roman" w:hAnsi="Times New Roman" w:eastAsia="宋体"/>
          <w:sz w:val="21"/>
          <w:szCs w:val="21"/>
          <w:lang w:val="en-US" w:eastAsia="zh-CN"/>
        </w:rPr>
        <w:t>位置商标的显著性既可基于该商标本身所产生，也可以通过使用获得显著特征。</w:t>
      </w:r>
    </w:p>
    <w:p w14:paraId="4DE56560">
      <w:pPr>
        <w:spacing w:line="240" w:lineRule="auto"/>
        <w:ind w:firstLine="420" w:firstLineChars="200"/>
        <w:rPr>
          <w:rFonts w:hint="eastAsia" w:ascii="Times New Roman" w:hAnsi="Times New Roman" w:eastAsia="宋体"/>
          <w:sz w:val="21"/>
          <w:szCs w:val="21"/>
          <w:u w:val="none"/>
          <w:lang w:val="en-US" w:eastAsia="zh-CN"/>
        </w:rPr>
      </w:pPr>
      <w:r>
        <w:rPr>
          <w:rFonts w:hint="eastAsia" w:ascii="Times New Roman" w:hAnsi="Times New Roman" w:eastAsia="宋体"/>
          <w:sz w:val="21"/>
          <w:szCs w:val="21"/>
          <w:lang w:val="en-US" w:eastAsia="zh-CN"/>
        </w:rPr>
        <w:t>对于固有显著性，排除标志本身具有足够显著性的个别情况，位置商标的显著性往往在于其特定“位置”的选择，标志与特定位置的结合能够因其强烈的臆造性而具备固有显著性。</w:t>
      </w:r>
      <w:r>
        <w:rPr>
          <w:rStyle w:val="9"/>
          <w:rFonts w:hint="eastAsia" w:ascii="Times New Roman" w:hAnsi="Times New Roman" w:eastAsia="宋体"/>
          <w:sz w:val="21"/>
          <w:szCs w:val="21"/>
          <w:lang w:val="en-US" w:eastAsia="zh-CN"/>
        </w:rPr>
        <w:footnoteReference w:id="65"/>
      </w:r>
      <w:r>
        <w:rPr>
          <w:rFonts w:hint="eastAsia" w:ascii="Times New Roman" w:hAnsi="Times New Roman" w:eastAsia="宋体"/>
          <w:sz w:val="21"/>
          <w:szCs w:val="21"/>
          <w:lang w:val="en-US" w:eastAsia="zh-CN"/>
        </w:rPr>
        <w:t>对此，首先应当考察相关公众是否将这类固定于特定位置特定标志认知为商标。正如美国法兰克福特法官所言，“商标保护意味着法律对于符号心理功能的认可。”显著性的判断归根结底取决于消费大众的认知心理。当相关公众看到在商品特定位置上使用的某一标志，即能认定该标志用于识别该商品或服务的来源，从而借此在选择商品或服务时区分来源，那么该标志就具有显著性。</w:t>
      </w:r>
      <w:r>
        <w:rPr>
          <w:rStyle w:val="9"/>
          <w:rFonts w:hint="eastAsia" w:ascii="Times New Roman" w:hAnsi="Times New Roman" w:eastAsia="宋体"/>
          <w:sz w:val="21"/>
          <w:szCs w:val="21"/>
          <w:lang w:val="en-US" w:eastAsia="zh-CN"/>
        </w:rPr>
        <w:footnoteReference w:id="66"/>
      </w:r>
      <w:r>
        <w:rPr>
          <w:rFonts w:hint="eastAsia" w:ascii="Times New Roman" w:hAnsi="Times New Roman" w:eastAsia="宋体"/>
          <w:sz w:val="21"/>
          <w:szCs w:val="21"/>
          <w:lang w:val="en-US" w:eastAsia="zh-CN"/>
        </w:rPr>
        <w:t>对于一项由纵横交错的波纹组成的图形标志，欧盟法院曾指出：这种由重复元素组成的图形标志被用于商品表面，消费者倾向于将其认定为商品外观难以分离的一部分，即商品表面的纹路，而不会将其用于识别来源，故缺乏显著性。</w:t>
      </w:r>
      <w:r>
        <w:rPr>
          <w:rStyle w:val="9"/>
          <w:rFonts w:hint="eastAsia" w:ascii="Times New Roman" w:hAnsi="Times New Roman" w:eastAsia="宋体"/>
          <w:sz w:val="21"/>
          <w:szCs w:val="21"/>
          <w:lang w:val="en-US" w:eastAsia="zh-CN"/>
        </w:rPr>
        <w:footnoteReference w:id="67"/>
      </w:r>
      <w:r>
        <w:rPr>
          <w:rFonts w:hint="eastAsia" w:ascii="Times New Roman" w:hAnsi="Times New Roman" w:eastAsia="宋体"/>
          <w:sz w:val="21"/>
          <w:szCs w:val="21"/>
          <w:lang w:val="en-US" w:eastAsia="zh-CN"/>
        </w:rPr>
        <w:t>判断附于商品表面特定位置的标志能否发挥识别来源作用，需要结合所属行业的实践和惯例，对相关公众的注意力水平进行评估。相关公众的注意力水平越高，处于特定位置的标志越容易产生显著性。反之，消费者往往将该标志视为商品装饰的一部分，而不认为是商标。</w:t>
      </w:r>
      <w:r>
        <w:rPr>
          <w:rStyle w:val="9"/>
          <w:rFonts w:hint="eastAsia" w:ascii="Times New Roman" w:hAnsi="Times New Roman" w:eastAsia="宋体"/>
          <w:sz w:val="21"/>
          <w:szCs w:val="21"/>
          <w:lang w:val="en-US" w:eastAsia="zh-CN"/>
        </w:rPr>
        <w:footnoteReference w:id="68"/>
      </w:r>
      <w:r>
        <w:rPr>
          <w:rFonts w:hint="eastAsia" w:ascii="Times New Roman" w:hAnsi="Times New Roman" w:eastAsia="宋体"/>
          <w:sz w:val="21"/>
          <w:szCs w:val="21"/>
          <w:lang w:val="en-US" w:eastAsia="zh-CN"/>
        </w:rPr>
        <w:t>在运动鞋包类和服装行业，</w:t>
      </w:r>
      <w:r>
        <w:rPr>
          <w:rFonts w:hint="eastAsia" w:ascii="Times New Roman" w:hAnsi="Times New Roman" w:eastAsia="宋体"/>
          <w:sz w:val="21"/>
          <w:szCs w:val="21"/>
          <w:u w:val="none"/>
          <w:lang w:val="en-US" w:eastAsia="zh-CN"/>
        </w:rPr>
        <w:t>因为在商品的特定位置贴附简单文字、图形或颜色属于行业惯例（Norms and customs），消费者对这些标识具有更高程度的注意力，而往往认为这些标识用于识别商品来源。但仍应当注意的是，若相关标志处于对应商品的必要组成部分，且所占比例较小时，相关公众将该标志认定为商标的可能性将有所降低。</w:t>
      </w:r>
      <w:r>
        <w:rPr>
          <w:rStyle w:val="9"/>
          <w:rFonts w:hint="eastAsia" w:ascii="Times New Roman" w:hAnsi="Times New Roman" w:eastAsia="宋体"/>
          <w:sz w:val="21"/>
          <w:szCs w:val="21"/>
          <w:u w:val="none"/>
          <w:lang w:val="en-US" w:eastAsia="zh-CN"/>
        </w:rPr>
        <w:footnoteReference w:id="69"/>
      </w:r>
      <w:r>
        <w:rPr>
          <w:rFonts w:hint="eastAsia" w:ascii="Times New Roman" w:hAnsi="Times New Roman" w:eastAsia="宋体"/>
          <w:sz w:val="21"/>
          <w:szCs w:val="21"/>
          <w:u w:val="none"/>
          <w:lang w:val="en-US" w:eastAsia="zh-CN"/>
        </w:rPr>
        <w:t>相比之下，当某一行业缺乏类似实践时，相关公众的注意力程度较低，便需要考察该标志的申请人是否为行业中唯一使用位置商标的主体。以“颜色组合位置商标”为例，将绿色和黄色的颜色组合标志作为商标申请注册在电砂轮机的主体部分和开关上使用，国知局指出，该颜色组合是电砂轮机的常用颜色组合形式，相关公众不易将其作为识别和区分商品来源的标志进行识别，缺乏作为商标的显著特征。</w:t>
      </w:r>
      <w:r>
        <w:rPr>
          <w:rStyle w:val="9"/>
          <w:rFonts w:hint="eastAsia" w:ascii="Times New Roman" w:hAnsi="Times New Roman" w:eastAsia="宋体"/>
          <w:sz w:val="21"/>
          <w:szCs w:val="21"/>
          <w:u w:val="none"/>
          <w:lang w:val="en-US" w:eastAsia="zh-CN"/>
        </w:rPr>
        <w:footnoteReference w:id="70"/>
      </w:r>
    </w:p>
    <w:p w14:paraId="3BF3B0F4">
      <w:pPr>
        <w:spacing w:line="240" w:lineRule="auto"/>
        <w:ind w:firstLine="420" w:firstLineChars="200"/>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获得显著性则意味着处于特定位置的标志经过长期使用和广告宣传后，获得了指示特定商品出处的含义，</w:t>
      </w:r>
      <w:r>
        <w:rPr>
          <w:rStyle w:val="9"/>
          <w:rFonts w:hint="eastAsia" w:ascii="Times New Roman" w:hAnsi="Times New Roman" w:eastAsia="宋体"/>
          <w:sz w:val="21"/>
          <w:szCs w:val="21"/>
          <w:lang w:val="en-US" w:eastAsia="zh-CN"/>
        </w:rPr>
        <w:footnoteReference w:id="71"/>
      </w:r>
      <w:r>
        <w:rPr>
          <w:rFonts w:hint="eastAsia" w:ascii="Times New Roman" w:hAnsi="Times New Roman" w:eastAsia="宋体"/>
          <w:sz w:val="21"/>
          <w:szCs w:val="21"/>
          <w:lang w:val="en-US" w:eastAsia="zh-CN"/>
        </w:rPr>
        <w:t>在商标的三元结构中，其直接对应商标能指与所指之间的连结关系。因为这类标志本身往往缺乏识别性、独特性，相关公众对其“固有”含义有较强认知，即相关公众通常会将相关标志认定为商品本身的颜色或装饰。使用者若希望相关公众对这类标志产生“商标”的认知，就必须使得该类标志的商标识别含义强于“固有”含义，往往在达到较高的知名度后，才有这一效果。</w:t>
      </w:r>
      <w:r>
        <w:rPr>
          <w:rStyle w:val="9"/>
          <w:rFonts w:hint="eastAsia" w:ascii="Times New Roman" w:hAnsi="Times New Roman" w:eastAsia="宋体"/>
          <w:sz w:val="21"/>
          <w:szCs w:val="21"/>
          <w:lang w:val="en-US" w:eastAsia="zh-CN"/>
        </w:rPr>
        <w:footnoteReference w:id="72"/>
      </w:r>
      <w:r>
        <w:rPr>
          <w:rFonts w:hint="eastAsia" w:ascii="Times New Roman" w:hAnsi="Times New Roman" w:eastAsia="宋体"/>
          <w:sz w:val="21"/>
          <w:szCs w:val="21"/>
          <w:lang w:val="en-US" w:eastAsia="zh-CN"/>
        </w:rPr>
        <w:t>认定获得显著性的因素包括标志本身的特性、标志的使用方式和使用情况、同行业使用情况、广告宣传情况及效果。总之，位置商标获得显著性的标准可直接参考一般标准。</w:t>
      </w:r>
    </w:p>
    <w:p w14:paraId="2AC16F34">
      <w:pPr>
        <w:spacing w:line="240" w:lineRule="auto"/>
        <w:ind w:firstLine="420" w:firstLineChars="200"/>
        <w:rPr>
          <w:rFonts w:hint="default" w:ascii="Times New Roman" w:hAnsi="Times New Roman" w:eastAsia="宋体"/>
          <w:sz w:val="21"/>
          <w:szCs w:val="21"/>
          <w:lang w:val="en-US" w:eastAsia="zh-CN"/>
        </w:rPr>
      </w:pPr>
    </w:p>
    <w:p w14:paraId="58474765">
      <w:pPr>
        <w:numPr>
          <w:ilvl w:val="0"/>
          <w:numId w:val="1"/>
        </w:numPr>
        <w:spacing w:line="360" w:lineRule="auto"/>
        <w:ind w:left="420" w:leftChars="0"/>
        <w:jc w:val="left"/>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结语</w:t>
      </w:r>
    </w:p>
    <w:p w14:paraId="4990BF0D">
      <w:pPr>
        <w:widowControl w:val="0"/>
        <w:numPr>
          <w:ilvl w:val="0"/>
          <w:numId w:val="0"/>
        </w:numPr>
        <w:spacing w:line="240" w:lineRule="auto"/>
        <w:ind w:firstLine="420" w:firstLineChars="200"/>
        <w:jc w:val="both"/>
        <w:rPr>
          <w:rFonts w:hint="default" w:ascii="Times New Roman" w:hAnsi="Times New Roman" w:eastAsia="宋体"/>
          <w:sz w:val="21"/>
          <w:szCs w:val="21"/>
          <w:lang w:val="en-US" w:eastAsia="zh-CN"/>
        </w:rPr>
      </w:pPr>
      <w:r>
        <w:rPr>
          <w:rFonts w:hint="default" w:ascii="Times New Roman" w:hAnsi="Times New Roman" w:eastAsia="宋体"/>
          <w:sz w:val="21"/>
          <w:szCs w:val="21"/>
          <w:lang w:val="en-US" w:eastAsia="zh-CN"/>
        </w:rPr>
        <w:t>随着位置商标在国际实践中逐渐获得认可，将其纳入我国商标法体系具有法理正当性</w:t>
      </w:r>
      <w:r>
        <w:rPr>
          <w:rFonts w:hint="eastAsia" w:ascii="Times New Roman" w:hAnsi="Times New Roman" w:eastAsia="宋体"/>
          <w:sz w:val="21"/>
          <w:szCs w:val="21"/>
          <w:lang w:val="en-US" w:eastAsia="zh-CN"/>
        </w:rPr>
        <w:t>与现实必要性</w:t>
      </w:r>
      <w:r>
        <w:rPr>
          <w:rFonts w:hint="default" w:ascii="Times New Roman" w:hAnsi="Times New Roman" w:eastAsia="宋体"/>
          <w:sz w:val="21"/>
          <w:szCs w:val="21"/>
          <w:lang w:val="en-US" w:eastAsia="zh-CN"/>
        </w:rPr>
        <w:t>。本文从符号学视角出发，通过对位置商标的符号结构进行</w:t>
      </w:r>
      <w:r>
        <w:rPr>
          <w:rFonts w:hint="eastAsia" w:ascii="Times New Roman" w:hAnsi="Times New Roman" w:eastAsia="宋体"/>
          <w:sz w:val="21"/>
          <w:szCs w:val="21"/>
          <w:lang w:val="en-US" w:eastAsia="zh-CN"/>
        </w:rPr>
        <w:t>剖析</w:t>
      </w:r>
      <w:r>
        <w:rPr>
          <w:rFonts w:hint="default" w:ascii="Times New Roman" w:hAnsi="Times New Roman" w:eastAsia="宋体"/>
          <w:sz w:val="21"/>
          <w:szCs w:val="21"/>
          <w:lang w:val="en-US" w:eastAsia="zh-CN"/>
        </w:rPr>
        <w:t>，明确其</w:t>
      </w:r>
      <w:r>
        <w:rPr>
          <w:rFonts w:hint="eastAsia" w:ascii="Times New Roman" w:hAnsi="Times New Roman" w:eastAsia="宋体"/>
          <w:sz w:val="21"/>
          <w:szCs w:val="21"/>
          <w:lang w:val="en-US" w:eastAsia="zh-CN"/>
        </w:rPr>
        <w:t>具备作为符</w:t>
      </w:r>
      <w:r>
        <w:rPr>
          <w:rFonts w:hint="eastAsia" w:ascii="Times New Roman" w:hAnsi="Times New Roman" w:eastAsiaTheme="minorEastAsia" w:cstheme="minorEastAsia"/>
          <w:sz w:val="21"/>
          <w:szCs w:val="21"/>
          <w:lang w:val="en-US" w:eastAsia="zh-CN"/>
        </w:rPr>
        <w:t>号语言“能指—所指—对象”三元结构的基本要</w:t>
      </w:r>
      <w:r>
        <w:rPr>
          <w:rFonts w:hint="default" w:ascii="Times New Roman" w:hAnsi="Times New Roman" w:eastAsia="宋体"/>
          <w:sz w:val="21"/>
          <w:szCs w:val="21"/>
          <w:lang w:val="en-US" w:eastAsia="zh-CN"/>
        </w:rPr>
        <w:t>求</w:t>
      </w:r>
      <w:r>
        <w:rPr>
          <w:rFonts w:hint="eastAsia" w:ascii="Times New Roman" w:hAnsi="Times New Roman" w:eastAsia="宋体"/>
          <w:sz w:val="21"/>
          <w:szCs w:val="21"/>
          <w:lang w:val="en-US" w:eastAsia="zh-CN"/>
        </w:rPr>
        <w:t>。在确立位置商标的微观结构后，位置商标的基本审查标准得以明了。</w:t>
      </w:r>
    </w:p>
    <w:p w14:paraId="0CF6AB2F">
      <w:pPr>
        <w:widowControl w:val="0"/>
        <w:numPr>
          <w:ilvl w:val="0"/>
          <w:numId w:val="0"/>
        </w:numPr>
        <w:spacing w:line="240" w:lineRule="auto"/>
        <w:ind w:firstLine="420" w:firstLineChars="200"/>
        <w:jc w:val="both"/>
        <w:rPr>
          <w:rFonts w:hint="default" w:ascii="Times New Roman" w:hAnsi="Times New Roman" w:eastAsia="宋体"/>
          <w:sz w:val="21"/>
          <w:szCs w:val="21"/>
          <w:lang w:val="en-US" w:eastAsia="zh-CN"/>
        </w:rPr>
      </w:pPr>
      <w:r>
        <w:rPr>
          <w:rFonts w:hint="default" w:ascii="Times New Roman" w:hAnsi="Times New Roman" w:eastAsia="宋体"/>
          <w:sz w:val="21"/>
          <w:szCs w:val="21"/>
          <w:lang w:val="en-US" w:eastAsia="zh-CN"/>
        </w:rPr>
        <w:t>商评委对</w:t>
      </w:r>
      <w:r>
        <w:rPr>
          <w:rFonts w:hint="eastAsia" w:ascii="Times New Roman" w:hAnsi="Times New Roman" w:eastAsia="宋体"/>
          <w:sz w:val="21"/>
          <w:szCs w:val="21"/>
          <w:lang w:val="en-US" w:eastAsia="zh-CN"/>
        </w:rPr>
        <w:t>“</w:t>
      </w:r>
      <w:r>
        <w:rPr>
          <w:rFonts w:hint="default" w:ascii="Times New Roman" w:hAnsi="Times New Roman" w:eastAsia="宋体"/>
          <w:sz w:val="21"/>
          <w:szCs w:val="21"/>
          <w:lang w:val="en-US" w:eastAsia="zh-CN"/>
        </w:rPr>
        <w:t>红鞋底</w:t>
      </w:r>
      <w:r>
        <w:rPr>
          <w:rFonts w:hint="eastAsia" w:ascii="Times New Roman" w:hAnsi="Times New Roman" w:eastAsia="宋体"/>
          <w:sz w:val="21"/>
          <w:szCs w:val="21"/>
          <w:lang w:val="en-US" w:eastAsia="zh-CN"/>
        </w:rPr>
        <w:t>”</w:t>
      </w:r>
      <w:r>
        <w:rPr>
          <w:rFonts w:hint="default" w:ascii="Times New Roman" w:hAnsi="Times New Roman" w:eastAsia="宋体"/>
          <w:sz w:val="21"/>
          <w:szCs w:val="21"/>
          <w:lang w:val="en-US" w:eastAsia="zh-CN"/>
        </w:rPr>
        <w:t>案中</w:t>
      </w:r>
      <w:r>
        <w:rPr>
          <w:rFonts w:hint="eastAsia" w:ascii="Times New Roman" w:hAnsi="Times New Roman" w:eastAsia="宋体"/>
          <w:sz w:val="21"/>
          <w:szCs w:val="21"/>
          <w:lang w:val="en-US" w:eastAsia="zh-CN"/>
        </w:rPr>
        <w:t>以</w:t>
      </w:r>
      <w:r>
        <w:rPr>
          <w:rFonts w:hint="default" w:ascii="Times New Roman" w:hAnsi="Times New Roman" w:eastAsia="宋体"/>
          <w:sz w:val="21"/>
          <w:szCs w:val="21"/>
          <w:lang w:val="en-US" w:eastAsia="zh-CN"/>
        </w:rPr>
        <w:t>缺乏显著性为由的驳回决定，仍有进一步探讨的空间。</w:t>
      </w:r>
      <w:r>
        <w:rPr>
          <w:rFonts w:hint="eastAsia" w:ascii="Times New Roman" w:hAnsi="Times New Roman" w:eastAsia="宋体"/>
          <w:sz w:val="21"/>
          <w:szCs w:val="21"/>
          <w:lang w:val="en-US" w:eastAsia="zh-CN"/>
        </w:rPr>
        <w:t>固然，铺满女高跟鞋底的单一红色标志，易被相关公众视为商品装饰的一部分，而非识别来源的商标。然而，历经十余年在中国大陆市场的持续推广和销售，奢侈品消费者及时尚敏感人群，作为对应商品的主要相关公众，具有较高注意力水平，能够对该标志建立作为商标的认知，“红鞋底”标志足以通过使用获得作为商标的显著特征。关于颜色标识的精确性问题：首先，潘通色号</w:t>
      </w:r>
      <w:r>
        <w:rPr>
          <w:rFonts w:hint="default" w:ascii="Times New Roman" w:hAnsi="Times New Roman" w:eastAsia="宋体"/>
          <w:sz w:val="21"/>
          <w:szCs w:val="21"/>
          <w:lang w:val="en-US" w:eastAsia="zh-CN"/>
        </w:rPr>
        <w:t>作为国际商标注册中广泛采纳的标准体系，足以精确界定受保护颜色的范围；</w:t>
      </w:r>
      <w:r>
        <w:rPr>
          <w:rFonts w:hint="eastAsia" w:ascii="Times New Roman" w:hAnsi="Times New Roman" w:eastAsia="宋体"/>
          <w:sz w:val="21"/>
          <w:szCs w:val="21"/>
          <w:lang w:val="en-US" w:eastAsia="zh-CN"/>
        </w:rPr>
        <w:t>其次</w:t>
      </w:r>
      <w:r>
        <w:rPr>
          <w:rFonts w:hint="default" w:ascii="Times New Roman" w:hAnsi="Times New Roman" w:eastAsia="宋体"/>
          <w:sz w:val="21"/>
          <w:szCs w:val="21"/>
          <w:lang w:val="en-US" w:eastAsia="zh-CN"/>
        </w:rPr>
        <w:t>，通过评估颜色本身特性、与商品其他部分的对比度等因素，可初步判断其是否具备被消费者清晰识别的可能性；在后续混淆可能性</w:t>
      </w:r>
      <w:r>
        <w:rPr>
          <w:rFonts w:hint="eastAsia" w:ascii="Times New Roman" w:hAnsi="Times New Roman" w:eastAsia="宋体"/>
          <w:sz w:val="21"/>
          <w:szCs w:val="21"/>
          <w:lang w:val="en-US" w:eastAsia="zh-CN"/>
        </w:rPr>
        <w:t>的</w:t>
      </w:r>
      <w:r>
        <w:rPr>
          <w:rFonts w:hint="default" w:ascii="Times New Roman" w:hAnsi="Times New Roman" w:eastAsia="宋体"/>
          <w:sz w:val="21"/>
          <w:szCs w:val="21"/>
          <w:lang w:val="en-US" w:eastAsia="zh-CN"/>
        </w:rPr>
        <w:t>判定中，亦可通过严格限定近似颜色的范围，有效防止商标权范围的过度扩张。</w:t>
      </w:r>
    </w:p>
    <w:p w14:paraId="349930C4">
      <w:pPr>
        <w:widowControl w:val="0"/>
        <w:numPr>
          <w:ilvl w:val="0"/>
          <w:numId w:val="0"/>
        </w:numPr>
        <w:spacing w:line="240" w:lineRule="auto"/>
        <w:ind w:firstLine="420" w:firstLineChars="200"/>
        <w:jc w:val="both"/>
        <w:rPr>
          <w:rFonts w:hint="default" w:ascii="Times New Roman" w:hAnsi="Times New Roman" w:eastAsia="宋体"/>
          <w:sz w:val="21"/>
          <w:szCs w:val="21"/>
          <w:lang w:val="en-US" w:eastAsia="zh-CN"/>
        </w:rPr>
      </w:pPr>
      <w:r>
        <w:rPr>
          <w:rFonts w:hint="default" w:ascii="Times New Roman" w:hAnsi="Times New Roman" w:eastAsia="宋体"/>
          <w:sz w:val="21"/>
          <w:szCs w:val="21"/>
          <w:lang w:val="en-US" w:eastAsia="zh-CN"/>
        </w:rPr>
        <w:t>展望未来，商评委对斯拉姆</w:t>
      </w:r>
      <w:r>
        <w:rPr>
          <w:rFonts w:hint="eastAsia" w:ascii="Times New Roman" w:hAnsi="Times New Roman" w:eastAsia="宋体"/>
          <w:sz w:val="21"/>
          <w:szCs w:val="21"/>
          <w:lang w:val="en-US" w:eastAsia="zh-CN"/>
        </w:rPr>
        <w:t>“</w:t>
      </w:r>
      <w:r>
        <w:rPr>
          <w:rFonts w:hint="default" w:ascii="Times New Roman" w:hAnsi="Times New Roman" w:eastAsia="宋体"/>
          <w:sz w:val="21"/>
          <w:szCs w:val="21"/>
          <w:lang w:val="en-US" w:eastAsia="zh-CN"/>
        </w:rPr>
        <w:t>自行车飞轮红色环状标识</w:t>
      </w:r>
      <w:r>
        <w:rPr>
          <w:rFonts w:hint="eastAsia" w:ascii="Times New Roman" w:hAnsi="Times New Roman" w:eastAsia="宋体"/>
          <w:sz w:val="21"/>
          <w:szCs w:val="21"/>
          <w:lang w:val="en-US" w:eastAsia="zh-CN"/>
        </w:rPr>
        <w:t>”</w:t>
      </w:r>
      <w:r>
        <w:rPr>
          <w:rFonts w:hint="default" w:ascii="Times New Roman" w:hAnsi="Times New Roman" w:eastAsia="宋体"/>
          <w:sz w:val="21"/>
          <w:szCs w:val="21"/>
          <w:lang w:val="en-US" w:eastAsia="zh-CN"/>
        </w:rPr>
        <w:t>案的审查结果，将为我国位置商标的注册实践提供重要参考。</w:t>
      </w:r>
      <w:r>
        <w:rPr>
          <w:rFonts w:hint="default" w:ascii="Times New Roman" w:hAnsi="Times New Roman" w:eastAsia="宋体"/>
          <w:sz w:val="21"/>
          <w:szCs w:val="21"/>
          <w:highlight w:val="none"/>
          <w:lang w:val="en-US" w:eastAsia="zh-CN"/>
        </w:rPr>
        <w:t>建议在审查中进一步明确</w:t>
      </w:r>
      <w:r>
        <w:rPr>
          <w:rFonts w:hint="eastAsia" w:ascii="Times New Roman" w:hAnsi="Times New Roman" w:eastAsia="宋体"/>
          <w:sz w:val="21"/>
          <w:szCs w:val="21"/>
          <w:highlight w:val="none"/>
          <w:lang w:val="en-US" w:eastAsia="zh-CN"/>
        </w:rPr>
        <w:t>“</w:t>
      </w:r>
      <w:r>
        <w:rPr>
          <w:rFonts w:hint="default" w:ascii="Times New Roman" w:hAnsi="Times New Roman" w:eastAsia="宋体"/>
          <w:sz w:val="21"/>
          <w:szCs w:val="21"/>
          <w:highlight w:val="none"/>
          <w:lang w:val="en-US" w:eastAsia="zh-CN"/>
        </w:rPr>
        <w:t>位置</w:t>
      </w:r>
      <w:r>
        <w:rPr>
          <w:rFonts w:hint="eastAsia" w:ascii="Times New Roman" w:hAnsi="Times New Roman" w:eastAsia="宋体"/>
          <w:sz w:val="21"/>
          <w:szCs w:val="21"/>
          <w:highlight w:val="none"/>
          <w:lang w:val="en-US" w:eastAsia="zh-CN"/>
        </w:rPr>
        <w:t>”</w:t>
      </w:r>
      <w:r>
        <w:rPr>
          <w:rFonts w:hint="default" w:ascii="Times New Roman" w:hAnsi="Times New Roman" w:eastAsia="宋体"/>
          <w:sz w:val="21"/>
          <w:szCs w:val="21"/>
          <w:highlight w:val="none"/>
          <w:lang w:val="en-US" w:eastAsia="zh-CN"/>
        </w:rPr>
        <w:t>作为商标空间属性的地位，</w:t>
      </w:r>
      <w:r>
        <w:rPr>
          <w:rFonts w:hint="default" w:ascii="Times New Roman" w:hAnsi="Times New Roman" w:eastAsia="宋体"/>
          <w:sz w:val="21"/>
          <w:szCs w:val="21"/>
          <w:lang w:val="en-US" w:eastAsia="zh-CN"/>
        </w:rPr>
        <w:t>完善</w:t>
      </w:r>
      <w:r>
        <w:rPr>
          <w:rFonts w:hint="eastAsia" w:ascii="Times New Roman" w:hAnsi="Times New Roman" w:eastAsia="宋体"/>
          <w:sz w:val="21"/>
          <w:szCs w:val="21"/>
          <w:lang w:val="en-US" w:eastAsia="zh-CN"/>
        </w:rPr>
        <w:t>位置商标</w:t>
      </w:r>
      <w:r>
        <w:rPr>
          <w:rFonts w:hint="default" w:ascii="Times New Roman" w:hAnsi="Times New Roman" w:eastAsia="宋体"/>
          <w:sz w:val="21"/>
          <w:szCs w:val="21"/>
          <w:lang w:val="en-US" w:eastAsia="zh-CN"/>
        </w:rPr>
        <w:t>的</w:t>
      </w:r>
      <w:r>
        <w:rPr>
          <w:rFonts w:hint="eastAsia" w:ascii="Times New Roman" w:hAnsi="Times New Roman" w:eastAsia="宋体"/>
          <w:sz w:val="21"/>
          <w:szCs w:val="21"/>
          <w:lang w:val="en-US" w:eastAsia="zh-CN"/>
        </w:rPr>
        <w:t>功能性、</w:t>
      </w:r>
      <w:r>
        <w:rPr>
          <w:rFonts w:hint="default" w:ascii="Times New Roman" w:hAnsi="Times New Roman" w:eastAsia="宋体"/>
          <w:sz w:val="21"/>
          <w:szCs w:val="21"/>
          <w:lang w:val="en-US" w:eastAsia="zh-CN"/>
        </w:rPr>
        <w:t>显著性审查标准，推动我国商标制度与国际接轨，更好地回应市场经</w:t>
      </w:r>
      <w:r>
        <w:rPr>
          <w:rFonts w:hint="eastAsia" w:ascii="Times New Roman" w:hAnsi="Times New Roman" w:eastAsia="宋体"/>
          <w:sz w:val="21"/>
          <w:szCs w:val="21"/>
          <w:lang w:val="en-US" w:eastAsia="zh-CN"/>
        </w:rPr>
        <w:t>发展</w:t>
      </w:r>
      <w:r>
        <w:rPr>
          <w:rFonts w:hint="default" w:ascii="Times New Roman" w:hAnsi="Times New Roman" w:eastAsia="宋体"/>
          <w:sz w:val="21"/>
          <w:szCs w:val="21"/>
          <w:lang w:val="en-US" w:eastAsia="zh-CN"/>
        </w:rPr>
        <w:t>济与新型</w:t>
      </w:r>
      <w:r>
        <w:rPr>
          <w:rFonts w:hint="eastAsia" w:ascii="Times New Roman" w:hAnsi="Times New Roman" w:eastAsia="宋体"/>
          <w:sz w:val="21"/>
          <w:szCs w:val="21"/>
          <w:lang w:val="en-US" w:eastAsia="zh-CN"/>
        </w:rPr>
        <w:t>商标</w:t>
      </w:r>
      <w:r>
        <w:rPr>
          <w:rFonts w:hint="default" w:ascii="Times New Roman" w:hAnsi="Times New Roman" w:eastAsia="宋体"/>
          <w:sz w:val="21"/>
          <w:szCs w:val="21"/>
          <w:lang w:val="en-US" w:eastAsia="zh-CN"/>
        </w:rPr>
        <w:t>保护</w:t>
      </w:r>
      <w:r>
        <w:rPr>
          <w:rFonts w:hint="eastAsia" w:ascii="Times New Roman" w:hAnsi="Times New Roman" w:eastAsia="宋体"/>
          <w:sz w:val="21"/>
          <w:szCs w:val="21"/>
          <w:lang w:val="en-US" w:eastAsia="zh-CN"/>
        </w:rPr>
        <w:t>的</w:t>
      </w:r>
      <w:r>
        <w:rPr>
          <w:rFonts w:hint="default" w:ascii="Times New Roman" w:hAnsi="Times New Roman" w:eastAsia="宋体"/>
          <w:sz w:val="21"/>
          <w:szCs w:val="21"/>
          <w:lang w:val="en-US" w:eastAsia="zh-CN"/>
        </w:rPr>
        <w:t>需求。</w:t>
      </w:r>
    </w:p>
    <w:p w14:paraId="13CF2E00">
      <w:pPr>
        <w:widowControl w:val="0"/>
        <w:numPr>
          <w:ilvl w:val="0"/>
          <w:numId w:val="0"/>
        </w:numPr>
        <w:spacing w:line="360" w:lineRule="auto"/>
        <w:ind w:firstLine="480" w:firstLineChars="200"/>
        <w:jc w:val="both"/>
        <w:rPr>
          <w:rFonts w:hint="default" w:ascii="Times New Roman" w:hAnsi="Times New Roman" w:eastAsia="宋体"/>
          <w:sz w:val="24"/>
          <w:szCs w:val="24"/>
          <w:lang w:val="en-US" w:eastAsia="zh-CN"/>
        </w:rPr>
      </w:pPr>
    </w:p>
    <w:sectPr>
      <w:footnotePr>
        <w:numFmt w:val="decimalEnclosedCircleChinese"/>
        <w:numRestart w:val="eachPage"/>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46">
    <w:p>
      <w:r>
        <w:separator/>
      </w:r>
    </w:p>
  </w:footnote>
  <w:footnote w:type="continuationSeparator" w:id="147">
    <w:p>
      <w:r>
        <w:continuationSeparator/>
      </w:r>
    </w:p>
  </w:footnote>
  <w:footnote w:id="0">
    <w:p w14:paraId="3D44AF1D">
      <w:pPr>
        <w:pStyle w:val="3"/>
        <w:snapToGrid w:val="0"/>
        <w:rPr>
          <w:rFonts w:ascii="Times New Roman" w:hAnsi="Times New Roman"/>
          <w:sz w:val="18"/>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rPr>
        <w:t>参见北京市高级人民法院（2010）高行终字第188号行政判决书</w:t>
      </w:r>
      <w:r>
        <w:rPr>
          <w:rFonts w:hint="eastAsia" w:ascii="Times New Roman" w:hAnsi="Times New Roman"/>
          <w:sz w:val="18"/>
          <w:lang w:eastAsia="zh-CN"/>
        </w:rPr>
        <w:t>。</w:t>
      </w:r>
    </w:p>
  </w:footnote>
  <w:footnote w:id="1">
    <w:p w14:paraId="6E5ED519">
      <w:pPr>
        <w:pStyle w:val="3"/>
        <w:snapToGrid w:val="0"/>
        <w:rPr>
          <w:rFonts w:ascii="Times New Roman" w:hAnsi="Times New Roman"/>
          <w:sz w:val="18"/>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w:t>
      </w:r>
      <w:r>
        <w:rPr>
          <w:rFonts w:hint="eastAsia" w:ascii="Times New Roman" w:hAnsi="Times New Roman"/>
          <w:sz w:val="18"/>
        </w:rPr>
        <w:t>北京市第一中级人民法院</w:t>
      </w:r>
      <w:r>
        <w:rPr>
          <w:rFonts w:hint="eastAsia" w:ascii="Times New Roman" w:hAnsi="Times New Roman"/>
          <w:sz w:val="18"/>
          <w:lang w:eastAsia="zh-CN"/>
        </w:rPr>
        <w:t>（</w:t>
      </w:r>
      <w:r>
        <w:rPr>
          <w:rFonts w:hint="eastAsia" w:ascii="Times New Roman" w:hAnsi="Times New Roman"/>
          <w:sz w:val="18"/>
        </w:rPr>
        <w:t>2010</w:t>
      </w:r>
      <w:r>
        <w:rPr>
          <w:rFonts w:hint="eastAsia" w:ascii="Times New Roman" w:hAnsi="Times New Roman"/>
          <w:sz w:val="18"/>
          <w:lang w:eastAsia="zh-CN"/>
        </w:rPr>
        <w:t>）</w:t>
      </w:r>
      <w:r>
        <w:rPr>
          <w:rFonts w:hint="eastAsia" w:ascii="Times New Roman" w:hAnsi="Times New Roman"/>
          <w:sz w:val="18"/>
        </w:rPr>
        <w:t>一中知行初字第1827号</w:t>
      </w:r>
      <w:r>
        <w:rPr>
          <w:rFonts w:hint="eastAsia" w:ascii="Times New Roman" w:hAnsi="Times New Roman"/>
          <w:sz w:val="18"/>
          <w:lang w:val="en-US" w:eastAsia="zh-CN"/>
        </w:rPr>
        <w:t>行政判决书；北京市高级人民法院（2011）高行终字第388号行政判决书。</w:t>
      </w:r>
    </w:p>
  </w:footnote>
  <w:footnote w:id="2">
    <w:p w14:paraId="31FA3C88">
      <w:pPr>
        <w:pStyle w:val="3"/>
        <w:snapToGrid w:val="0"/>
        <w:rPr>
          <w:rFonts w:ascii="Times New Roman" w:hAnsi="Times New Roman"/>
          <w:sz w:val="18"/>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rPr>
        <w:t>参见北京知识产权法院（2015）京知行初第03648号行政判决书；北京市高级人民法院（2018）京行终第2631号行政判决书；最高人民法院（2019）最高法行申5416号行政裁定书。</w:t>
      </w:r>
    </w:p>
  </w:footnote>
  <w:footnote w:id="3">
    <w:p w14:paraId="51AF1D9F">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rPr>
        <w:t>参见商评字[2015]第0000008356号重审第0000004156号</w:t>
      </w:r>
      <w:r>
        <w:rPr>
          <w:rFonts w:hint="eastAsia" w:ascii="Times New Roman" w:hAnsi="Times New Roman"/>
          <w:sz w:val="18"/>
          <w:lang w:eastAsia="zh-CN"/>
        </w:rPr>
        <w:t>《</w:t>
      </w:r>
      <w:r>
        <w:rPr>
          <w:rFonts w:hint="eastAsia" w:ascii="Times New Roman" w:hAnsi="Times New Roman"/>
          <w:sz w:val="18"/>
        </w:rPr>
        <w:t>关于国际注册第1031242号商标驳回复审决定书</w:t>
      </w:r>
      <w:r>
        <w:rPr>
          <w:rFonts w:hint="eastAsia" w:ascii="Times New Roman" w:hAnsi="Times New Roman"/>
          <w:sz w:val="18"/>
          <w:lang w:eastAsia="zh-CN"/>
        </w:rPr>
        <w:t>》</w:t>
      </w:r>
      <w:r>
        <w:rPr>
          <w:rFonts w:hint="eastAsia" w:ascii="Times New Roman" w:hAnsi="Times New Roman"/>
          <w:sz w:val="18"/>
        </w:rPr>
        <w:t>。</w:t>
      </w:r>
    </w:p>
  </w:footnote>
  <w:footnote w:id="4">
    <w:p w14:paraId="11CEAD91">
      <w:pPr>
        <w:pStyle w:val="3"/>
        <w:snapToGrid w:val="0"/>
        <w:rPr>
          <w:rFonts w:hint="eastAsia" w:ascii="Times New Roman" w:hAnsi="Times New Roman"/>
          <w:sz w:val="18"/>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rPr>
        <w:t>参见集佳知识产权：《捷报速递｜集佳代理斯拉姆（SRAM）“自行车飞轮”位置商标案一审获胜，再次明确“限定使用位置的单一颜色商标”的可注册性》，</w:t>
      </w:r>
      <w:r>
        <w:rPr>
          <w:rFonts w:hint="eastAsia" w:ascii="Times New Roman" w:hAnsi="Times New Roman"/>
          <w:sz w:val="18"/>
          <w:lang w:val="en-US" w:eastAsia="zh-CN"/>
        </w:rPr>
        <w:t>来源：</w:t>
      </w:r>
      <w:r>
        <w:rPr>
          <w:rFonts w:hint="eastAsia" w:ascii="Times New Roman" w:hAnsi="Times New Roman"/>
          <w:color w:val="auto"/>
          <w:sz w:val="18"/>
          <w:u w:val="none"/>
        </w:rPr>
        <w:t>https://mp.weixin.qq.com/s/DXqmBMi9g1QvkHl</w:t>
      </w:r>
    </w:p>
    <w:p w14:paraId="4F5CC096">
      <w:pPr>
        <w:pStyle w:val="3"/>
        <w:snapToGrid w:val="0"/>
        <w:rPr>
          <w:rFonts w:ascii="Times New Roman" w:hAnsi="Times New Roman"/>
          <w:sz w:val="18"/>
        </w:rPr>
      </w:pPr>
      <w:r>
        <w:rPr>
          <w:rFonts w:hint="eastAsia" w:ascii="Times New Roman" w:hAnsi="Times New Roman"/>
          <w:sz w:val="18"/>
        </w:rPr>
        <w:t>Rar3eqA，最后访问日期：2025年</w:t>
      </w:r>
      <w:r>
        <w:rPr>
          <w:rFonts w:hint="eastAsia" w:ascii="Times New Roman" w:hAnsi="Times New Roman"/>
          <w:sz w:val="18"/>
          <w:lang w:val="en-US" w:eastAsia="zh-CN"/>
        </w:rPr>
        <w:t>8</w:t>
      </w:r>
      <w:r>
        <w:rPr>
          <w:rFonts w:hint="eastAsia" w:ascii="Times New Roman" w:hAnsi="Times New Roman"/>
          <w:sz w:val="18"/>
        </w:rPr>
        <w:t>月</w:t>
      </w:r>
      <w:r>
        <w:rPr>
          <w:rFonts w:hint="eastAsia" w:ascii="Times New Roman" w:hAnsi="Times New Roman"/>
          <w:sz w:val="18"/>
          <w:lang w:val="en-US" w:eastAsia="zh-CN"/>
        </w:rPr>
        <w:t>19</w:t>
      </w:r>
      <w:r>
        <w:rPr>
          <w:rFonts w:hint="eastAsia" w:ascii="Times New Roman" w:hAnsi="Times New Roman"/>
          <w:sz w:val="18"/>
        </w:rPr>
        <w:t>日。</w:t>
      </w:r>
    </w:p>
  </w:footnote>
  <w:footnote w:id="5">
    <w:p w14:paraId="0A68024D">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参见王太平：《商标法研究的跨学科方法》，载《湘江青年法学》2015年第1期，第105页。</w:t>
      </w:r>
    </w:p>
  </w:footnote>
  <w:footnote w:id="6">
    <w:p w14:paraId="2C6553E8">
      <w:pPr>
        <w:pStyle w:val="3"/>
        <w:snapToGrid w:val="0"/>
        <w:rPr>
          <w:rFonts w:ascii="Times New Roman" w:hAnsi="Times New Roman"/>
          <w:sz w:val="18"/>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参见丁尔苏：《符号学研究——世界与中国》，载《中国比较文学》1994年第2期。</w:t>
      </w:r>
    </w:p>
  </w:footnote>
  <w:footnote w:id="7">
    <w:p w14:paraId="27E40106">
      <w:pPr>
        <w:pStyle w:val="3"/>
        <w:snapToGrid w:val="0"/>
        <w:rPr>
          <w:rFonts w:ascii="Times New Roman" w:hAnsi="Times New Roman"/>
          <w:sz w:val="18"/>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 xml:space="preserve">See </w:t>
      </w:r>
      <w:r>
        <w:rPr>
          <w:rFonts w:hint="eastAsia" w:ascii="Times New Roman" w:hAnsi="Times New Roman"/>
          <w:sz w:val="18"/>
        </w:rPr>
        <w:t>BPatG, decision of 13 October 1999, Case 28 W (pat) 66/99.</w:t>
      </w:r>
    </w:p>
  </w:footnote>
  <w:footnote w:id="8">
    <w:p w14:paraId="491DBEDB">
      <w:pPr>
        <w:pStyle w:val="3"/>
        <w:snapToGrid w:val="0"/>
        <w:rPr>
          <w:rFonts w:hint="eastAsia" w:ascii="Times New Roman" w:hAnsi="Times New Roman"/>
          <w:i/>
          <w:iCs/>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 xml:space="preserve">See </w:t>
      </w:r>
      <w:r>
        <w:rPr>
          <w:rFonts w:hint="eastAsia" w:ascii="Times New Roman" w:hAnsi="Times New Roman"/>
          <w:sz w:val="18"/>
        </w:rPr>
        <w:t>Camille Ridea</w:t>
      </w:r>
      <w:r>
        <w:rPr>
          <w:rFonts w:hint="eastAsia" w:ascii="Times New Roman" w:hAnsi="Times New Roman"/>
          <w:sz w:val="18"/>
          <w:lang w:val="en-US" w:eastAsia="zh-CN"/>
        </w:rPr>
        <w:t>u</w:t>
      </w:r>
      <w:r>
        <w:rPr>
          <w:rFonts w:hint="eastAsia" w:ascii="Times New Roman" w:hAnsi="Times New Roman"/>
          <w:sz w:val="18"/>
        </w:rPr>
        <w:t>,</w:t>
      </w:r>
      <w:r>
        <w:rPr>
          <w:rFonts w:hint="eastAsia" w:ascii="Times New Roman" w:hAnsi="Times New Roman"/>
          <w:sz w:val="18"/>
          <w:lang w:val="en-US" w:eastAsia="zh-CN"/>
        </w:rPr>
        <w:t xml:space="preserve"> </w:t>
      </w:r>
      <w:r>
        <w:rPr>
          <w:rFonts w:hint="eastAsia" w:ascii="Times New Roman" w:hAnsi="Times New Roman"/>
          <w:i/>
          <w:iCs/>
          <w:sz w:val="18"/>
        </w:rPr>
        <w:t>POSITION MARK: A Category of signs eligible for trade mark protection? Different</w:t>
      </w:r>
      <w:r>
        <w:rPr>
          <w:rFonts w:hint="eastAsia" w:ascii="Times New Roman" w:hAnsi="Times New Roman"/>
          <w:i/>
          <w:iCs/>
          <w:sz w:val="18"/>
          <w:lang w:val="en-US" w:eastAsia="zh-CN"/>
        </w:rPr>
        <w:t xml:space="preserve"> </w:t>
      </w:r>
      <w:r>
        <w:rPr>
          <w:rFonts w:hint="eastAsia" w:ascii="Times New Roman" w:hAnsi="Times New Roman"/>
          <w:i/>
          <w:iCs/>
          <w:sz w:val="18"/>
        </w:rPr>
        <w:t>stan</w:t>
      </w:r>
      <w:r>
        <w:rPr>
          <w:rFonts w:hint="eastAsia" w:ascii="Times New Roman" w:hAnsi="Times New Roman"/>
          <w:i/>
          <w:iCs/>
          <w:sz w:val="18"/>
          <w:lang w:val="en-US" w:eastAsia="zh-CN"/>
        </w:rPr>
        <w:t>-</w:t>
      </w:r>
    </w:p>
    <w:p w14:paraId="4EB0CE2B">
      <w:pPr>
        <w:pStyle w:val="3"/>
        <w:snapToGrid w:val="0"/>
        <w:rPr>
          <w:rFonts w:hint="default" w:ascii="Times New Roman" w:hAnsi="Times New Roman" w:eastAsiaTheme="minorEastAsia"/>
          <w:sz w:val="18"/>
          <w:lang w:val="en-US" w:eastAsia="zh-CN"/>
        </w:rPr>
      </w:pPr>
      <w:r>
        <w:rPr>
          <w:rFonts w:hint="eastAsia" w:ascii="Times New Roman" w:hAnsi="Times New Roman"/>
          <w:i/>
          <w:iCs/>
          <w:sz w:val="18"/>
        </w:rPr>
        <w:t>dards of examination, different scope of protection?</w:t>
      </w:r>
      <w:r>
        <w:rPr>
          <w:rFonts w:hint="eastAsia" w:ascii="Times New Roman" w:hAnsi="Times New Roman"/>
          <w:i/>
          <w:iCs/>
          <w:sz w:val="18"/>
          <w:lang w:val="en-US" w:eastAsia="zh-CN"/>
        </w:rPr>
        <w:t xml:space="preserve"> </w:t>
      </w:r>
      <w:r>
        <w:rPr>
          <w:rFonts w:hint="eastAsia" w:ascii="Times New Roman" w:hAnsi="Times New Roman"/>
          <w:i w:val="0"/>
          <w:iCs w:val="0"/>
          <w:sz w:val="18"/>
          <w:lang w:val="en-US" w:eastAsia="zh-CN"/>
        </w:rPr>
        <w:t xml:space="preserve">p. 5, </w:t>
      </w:r>
      <w:r>
        <w:rPr>
          <w:rFonts w:hint="eastAsia" w:ascii="Times New Roman" w:hAnsi="Times New Roman"/>
          <w:color w:val="auto"/>
          <w:sz w:val="18"/>
          <w:u w:val="none"/>
        </w:rPr>
        <w:t>http://oami.europa.eu/ows/core/search/advance</w:t>
      </w:r>
      <w:r>
        <w:rPr>
          <w:rFonts w:hint="eastAsia" w:ascii="Times New Roman" w:hAnsi="Times New Roman"/>
          <w:sz w:val="18"/>
        </w:rPr>
        <w:t>d.do</w:t>
      </w:r>
      <w:r>
        <w:rPr>
          <w:rFonts w:hint="eastAsia" w:ascii="Times New Roman" w:hAnsi="Times New Roman"/>
          <w:sz w:val="18"/>
          <w:lang w:val="en-US" w:eastAsia="zh-CN"/>
        </w:rPr>
        <w:t xml:space="preserve"> (</w:t>
      </w:r>
      <w:r>
        <w:rPr>
          <w:rFonts w:hint="eastAsia" w:ascii="Times New Roman" w:hAnsi="Times New Roman"/>
          <w:sz w:val="18"/>
          <w:lang w:eastAsia="zh-CN"/>
        </w:rPr>
        <w:t>last visited</w:t>
      </w:r>
      <w:r>
        <w:rPr>
          <w:rFonts w:hint="eastAsia" w:ascii="Times New Roman" w:hAnsi="Times New Roman"/>
          <w:sz w:val="18"/>
          <w:lang w:val="en-US" w:eastAsia="zh-CN"/>
        </w:rPr>
        <w:t xml:space="preserve"> June 21, 2025).</w:t>
      </w:r>
    </w:p>
  </w:footnote>
  <w:footnote w:id="9">
    <w:p w14:paraId="09971910">
      <w:pPr>
        <w:pStyle w:val="3"/>
        <w:snapToGrid w:val="0"/>
        <w:rPr>
          <w:rFonts w:hint="eastAsia" w:ascii="Times New Roman" w:hAnsi="Times New Roman"/>
          <w:sz w:val="18"/>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EUIPO: Trade Mark Guidelines (Edition2025),</w:t>
      </w:r>
      <w:r>
        <w:rPr>
          <w:rFonts w:hint="eastAsia" w:ascii="Times New Roman" w:hAnsi="Times New Roman"/>
          <w:sz w:val="18"/>
        </w:rPr>
        <w:t>https://guidelines.euipo.europa.eu/1922895/1789198/trade-mark</w:t>
      </w:r>
    </w:p>
    <w:p w14:paraId="468997EC">
      <w:pPr>
        <w:pStyle w:val="3"/>
        <w:snapToGrid w:val="0"/>
        <w:rPr>
          <w:rFonts w:hint="default" w:ascii="Times New Roman" w:hAnsi="Times New Roman" w:eastAsiaTheme="minorEastAsia"/>
          <w:sz w:val="18"/>
          <w:lang w:val="en-US" w:eastAsia="zh-CN"/>
        </w:rPr>
      </w:pPr>
      <w:r>
        <w:rPr>
          <w:rFonts w:hint="eastAsia" w:ascii="Times New Roman" w:hAnsi="Times New Roman"/>
          <w:sz w:val="18"/>
        </w:rPr>
        <w:t>-guidelines/11-position-marks</w:t>
      </w:r>
      <w:r>
        <w:rPr>
          <w:rFonts w:hint="eastAsia" w:ascii="Times New Roman" w:hAnsi="Times New Roman"/>
          <w:sz w:val="18"/>
          <w:lang w:val="en-US" w:eastAsia="zh-CN"/>
        </w:rPr>
        <w:t xml:space="preserve"> (last visited August 19, 2025).</w:t>
      </w:r>
    </w:p>
  </w:footnote>
  <w:footnote w:id="10">
    <w:p w14:paraId="382D2A8E">
      <w:pPr>
        <w:pStyle w:val="3"/>
        <w:snapToGrid w:val="0"/>
        <w:rPr>
          <w:rFonts w:hint="eastAsia" w:ascii="Times New Roman" w:hAnsi="Times New Roman"/>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参见日本特许厅：《新型商标保护制度》（新しいタイプの商標の保護制度），来源：https://www.jpo.go.jp/</w:t>
      </w:r>
    </w:p>
    <w:p w14:paraId="76341470">
      <w:pPr>
        <w:pStyle w:val="3"/>
        <w:snapToGrid w:val="0"/>
        <w:rPr>
          <w:rFonts w:hint="default" w:ascii="Times New Roman" w:hAnsi="Times New Roman" w:eastAsiaTheme="minorEastAsia"/>
          <w:sz w:val="18"/>
          <w:lang w:val="en-US" w:eastAsia="zh-CN"/>
        </w:rPr>
      </w:pPr>
      <w:r>
        <w:rPr>
          <w:rFonts w:hint="eastAsia" w:ascii="Times New Roman" w:hAnsi="Times New Roman"/>
          <w:sz w:val="18"/>
          <w:lang w:val="en-US" w:eastAsia="zh-CN"/>
        </w:rPr>
        <w:t>system/trademark/gaiyo/newtype/index.html，最后访问日期：2025年8月19日。</w:t>
      </w:r>
    </w:p>
  </w:footnote>
  <w:footnote w:id="11">
    <w:p w14:paraId="2B54F668">
      <w:pPr>
        <w:pStyle w:val="3"/>
        <w:snapToGrid w:val="0"/>
        <w:rPr>
          <w:rFonts w:hint="default" w:ascii="Times New Roman" w:hAnsi="Times New Roman" w:eastAsiaTheme="minorEastAsia"/>
          <w:sz w:val="18"/>
          <w:highlight w:val="yellow"/>
          <w:lang w:val="en-US" w:eastAsia="zh-CN"/>
        </w:rPr>
      </w:pPr>
      <w:r>
        <w:rPr>
          <w:rStyle w:val="9"/>
          <w:rFonts w:ascii="Times New Roman" w:hAnsi="Times New Roman"/>
          <w:sz w:val="18"/>
        </w:rPr>
        <w:footnoteRef/>
      </w:r>
      <w:r>
        <w:rPr>
          <w:rFonts w:ascii="Times New Roman" w:hAnsi="Times New Roman"/>
          <w:sz w:val="18"/>
          <w:highlight w:val="none"/>
        </w:rPr>
        <w:t xml:space="preserve"> </w:t>
      </w:r>
      <w:r>
        <w:rPr>
          <w:rFonts w:hint="eastAsia" w:ascii="Times New Roman" w:hAnsi="Times New Roman"/>
          <w:sz w:val="18"/>
          <w:highlight w:val="none"/>
          <w:lang w:val="en-US" w:eastAsia="zh-CN"/>
        </w:rPr>
        <w:t>参见</w:t>
      </w:r>
      <w:r>
        <w:rPr>
          <w:rFonts w:hint="eastAsia" w:ascii="Times New Roman" w:hAnsi="Times New Roman"/>
          <w:sz w:val="18"/>
          <w:highlight w:val="none"/>
        </w:rPr>
        <w:t>韩国知识产权局商标设计审查局</w:t>
      </w:r>
      <w:r>
        <w:rPr>
          <w:rFonts w:hint="eastAsia" w:ascii="Times New Roman" w:hAnsi="Times New Roman"/>
          <w:sz w:val="18"/>
          <w:highlight w:val="none"/>
          <w:lang w:eastAsia="zh-CN"/>
        </w:rPr>
        <w:t>：</w:t>
      </w:r>
      <w:r>
        <w:rPr>
          <w:rFonts w:hint="eastAsia" w:ascii="Times New Roman" w:hAnsi="Times New Roman"/>
          <w:sz w:val="18"/>
          <w:highlight w:val="none"/>
        </w:rPr>
        <w:t>《商标审查标准》</w:t>
      </w:r>
      <w:r>
        <w:rPr>
          <w:rFonts w:hint="eastAsia" w:ascii="Times New Roman" w:hAnsi="Times New Roman"/>
          <w:sz w:val="18"/>
          <w:highlight w:val="none"/>
          <w:lang w:eastAsia="zh-CN"/>
        </w:rPr>
        <w:t>（</w:t>
      </w:r>
      <w:r>
        <w:rPr>
          <w:rFonts w:hint="eastAsia" w:ascii="Times New Roman" w:hAnsi="Times New Roman"/>
          <w:sz w:val="18"/>
          <w:highlight w:val="none"/>
        </w:rPr>
        <w:t>2024年5月版</w:t>
      </w:r>
      <w:r>
        <w:rPr>
          <w:rFonts w:hint="eastAsia" w:ascii="Times New Roman" w:hAnsi="Times New Roman"/>
          <w:sz w:val="18"/>
          <w:highlight w:val="none"/>
          <w:lang w:eastAsia="zh-CN"/>
        </w:rPr>
        <w:t>）</w:t>
      </w:r>
      <w:r>
        <w:rPr>
          <w:rFonts w:hint="eastAsia" w:ascii="Times New Roman" w:hAnsi="Times New Roman"/>
          <w:sz w:val="18"/>
          <w:highlight w:val="none"/>
        </w:rPr>
        <w:t>。</w:t>
      </w:r>
    </w:p>
  </w:footnote>
  <w:footnote w:id="12">
    <w:p w14:paraId="16644B48">
      <w:pPr>
        <w:pStyle w:val="3"/>
        <w:snapToGrid w:val="0"/>
        <w:rPr>
          <w:rFonts w:ascii="Times New Roman" w:hAnsi="Times New Roman"/>
          <w:sz w:val="18"/>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参见孙国瑞：《从“红鞋底”商标案看我国“位置商标”的走向》，载《中华商标》2019年第2期，第21页。</w:t>
      </w:r>
    </w:p>
  </w:footnote>
  <w:footnote w:id="13">
    <w:p w14:paraId="1D910F7D">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参见朱冬梅：《位置商标获准注册的正当性研究》，载《中华商标》2022年第2期，第64页。</w:t>
      </w:r>
    </w:p>
  </w:footnote>
  <w:footnote w:id="14">
    <w:p w14:paraId="6F7225B4">
      <w:pPr>
        <w:pStyle w:val="3"/>
        <w:snapToGrid w:val="0"/>
        <w:rPr>
          <w:rFonts w:hint="eastAsia" w:ascii="Times New Roman" w:hAnsi="Times New Roman"/>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参见何潇：《位置商标不宜作为独立的商标类型——从“红鞋底”案谈起》，来源</w:t>
      </w:r>
      <w:r>
        <w:rPr>
          <w:rFonts w:hint="eastAsia" w:ascii="Times New Roman" w:hAnsi="Times New Roman"/>
          <w:color w:val="auto"/>
          <w:sz w:val="18"/>
          <w:u w:val="none"/>
          <w:lang w:val="en-US" w:eastAsia="zh-CN"/>
        </w:rPr>
        <w:t>https://mp.weixin.qq.com/s/</w:t>
      </w:r>
    </w:p>
    <w:p w14:paraId="44633941">
      <w:pPr>
        <w:pStyle w:val="3"/>
        <w:snapToGrid w:val="0"/>
        <w:rPr>
          <w:rFonts w:hint="default" w:ascii="Times New Roman" w:hAnsi="Times New Roman" w:eastAsiaTheme="minorEastAsia"/>
          <w:sz w:val="18"/>
          <w:lang w:val="en-US" w:eastAsia="zh-CN"/>
        </w:rPr>
      </w:pPr>
      <w:r>
        <w:rPr>
          <w:rFonts w:hint="eastAsia" w:ascii="Times New Roman" w:hAnsi="Times New Roman"/>
          <w:sz w:val="18"/>
          <w:lang w:val="en-US" w:eastAsia="zh-CN"/>
        </w:rPr>
        <w:t>gMQniDylnqKqVKUfFII9ig，最后访问日期：2025年6月21日；池欣欣：《论位置商标的特点及保护》，载《中华商标》2019年第2期，第25页。</w:t>
      </w:r>
    </w:p>
  </w:footnote>
  <w:footnote w:id="15">
    <w:p w14:paraId="156AB332">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参见张慧霞、李淑会：《位置商标可注册性浅析——以欧盟“Button in ear”案为例》，载《知识产权》2014年第12期，第20页。</w:t>
      </w:r>
    </w:p>
  </w:footnote>
  <w:footnote w:id="16">
    <w:p w14:paraId="1550B3AB">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参见王迁：《知识产权法教程》（第七版），中国人民大学出版社2021年版，第489页。</w:t>
      </w:r>
    </w:p>
  </w:footnote>
  <w:footnote w:id="17">
    <w:p w14:paraId="73EA0161">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参见周波：《“位置商标”注册申请的司法审查》，载《人民司法》2011年第24期，第35页；刘佳：《从“红底高跟鞋”案看中国位置商标的保护与发展》，载《中国艺术》2021年第1期，第108页。</w:t>
      </w:r>
    </w:p>
  </w:footnote>
  <w:footnote w:id="18">
    <w:p w14:paraId="7FBDAA5C">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参见索绪尔：《普通语言学教程》，高名凯译，商务印书馆2001年版，第105-106页。</w:t>
      </w:r>
    </w:p>
  </w:footnote>
  <w:footnote w:id="19">
    <w:p w14:paraId="07B130C4">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 xml:space="preserve">See Barton Beebe, </w:t>
      </w:r>
      <w:r>
        <w:rPr>
          <w:rFonts w:hint="eastAsia" w:ascii="Times New Roman" w:hAnsi="Times New Roman"/>
          <w:i/>
          <w:iCs/>
          <w:sz w:val="18"/>
          <w:lang w:val="en-US" w:eastAsia="zh-CN"/>
        </w:rPr>
        <w:t>The Semiotic Analysis of Trademark Law</w:t>
      </w:r>
      <w:r>
        <w:rPr>
          <w:rFonts w:hint="eastAsia" w:ascii="Times New Roman" w:hAnsi="Times New Roman"/>
          <w:sz w:val="18"/>
          <w:lang w:val="en-US" w:eastAsia="zh-CN"/>
        </w:rPr>
        <w:t>, 51 UCLA Law Review 621 (2004).</w:t>
      </w:r>
    </w:p>
  </w:footnote>
  <w:footnote w:id="20">
    <w:p w14:paraId="099F19CE">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参见徐聪颖：《论商标的符号表彰功能》，法律出版社2011年版，第72页。</w:t>
      </w:r>
    </w:p>
  </w:footnote>
  <w:footnote w:id="21">
    <w:p w14:paraId="3D3E61A3">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参见윤선희、陈芳鑫：《基于符号学理论的商标功能之重构——以本源功能与派生功能为中心》，载《浙江工商大学学报》2022年第2期，第29页。</w:t>
      </w:r>
    </w:p>
  </w:footnote>
  <w:footnote w:id="22">
    <w:p w14:paraId="40478C95">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 xml:space="preserve">See Pulos, Machael, </w:t>
      </w:r>
      <w:r>
        <w:rPr>
          <w:rFonts w:hint="eastAsia" w:ascii="Times New Roman" w:hAnsi="Times New Roman"/>
          <w:i/>
          <w:iCs/>
          <w:sz w:val="18"/>
          <w:lang w:val="en-US" w:eastAsia="zh-CN"/>
        </w:rPr>
        <w:t>A Semiotic Solution to the Propertization Problem of Trademark</w:t>
      </w:r>
      <w:r>
        <w:rPr>
          <w:rFonts w:hint="eastAsia" w:ascii="Times New Roman" w:hAnsi="Times New Roman"/>
          <w:sz w:val="18"/>
          <w:lang w:val="en-US" w:eastAsia="zh-CN"/>
        </w:rPr>
        <w:t>, 53 UCLA Law Review 833 (2006).</w:t>
      </w:r>
    </w:p>
  </w:footnote>
  <w:footnote w:id="23">
    <w:p w14:paraId="56D99C7F">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参见徐聪颖：《论商标的符号表彰功能》，法律出版社2011年版，第80-81页。</w:t>
      </w:r>
    </w:p>
  </w:footnote>
  <w:footnote w:id="24">
    <w:p w14:paraId="6E4EECC7">
      <w:pPr>
        <w:pStyle w:val="3"/>
        <w:snapToGrid w:val="0"/>
        <w:rPr>
          <w:rFonts w:ascii="Times New Roman" w:hAnsi="Times New Roman"/>
          <w:sz w:val="18"/>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rPr>
        <w:t>参见郭捧捧：《论位置商标的可注册性——以“红底鞋”案为例》，载《河南科技》2020年9月第27期，第91页；参见李扬：《商标法基本原理》，法律出版社2018年版，第4页。</w:t>
      </w:r>
    </w:p>
  </w:footnote>
  <w:footnote w:id="25">
    <w:p w14:paraId="2BB57252">
      <w:pPr>
        <w:pStyle w:val="3"/>
        <w:snapToGrid w:val="0"/>
        <w:rPr>
          <w:rFonts w:ascii="Times New Roman" w:hAnsi="Times New Roman"/>
          <w:sz w:val="18"/>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参见何莹、林星成：《位置商标概念重塑与规范完善——以“红鞋底”案切入》，载《科技与法律》2020年第5期，第51页。</w:t>
      </w:r>
    </w:p>
  </w:footnote>
  <w:footnote w:id="26">
    <w:p w14:paraId="4C2421D9">
      <w:pPr>
        <w:pStyle w:val="3"/>
        <w:snapToGrid w:val="0"/>
        <w:rPr>
          <w:rFonts w:hint="eastAsia" w:ascii="Times New Roman" w:hAnsi="Times New Roman"/>
          <w:i/>
          <w:iCs/>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 xml:space="preserve">See </w:t>
      </w:r>
      <w:r>
        <w:rPr>
          <w:rFonts w:hint="eastAsia" w:ascii="Times New Roman" w:hAnsi="Times New Roman"/>
          <w:sz w:val="18"/>
        </w:rPr>
        <w:t>Camille Ridea</w:t>
      </w:r>
      <w:r>
        <w:rPr>
          <w:rFonts w:hint="eastAsia" w:ascii="Times New Roman" w:hAnsi="Times New Roman"/>
          <w:sz w:val="18"/>
          <w:lang w:val="en-US" w:eastAsia="zh-CN"/>
        </w:rPr>
        <w:t>u</w:t>
      </w:r>
      <w:r>
        <w:rPr>
          <w:rFonts w:hint="eastAsia" w:ascii="Times New Roman" w:hAnsi="Times New Roman"/>
          <w:sz w:val="18"/>
        </w:rPr>
        <w:t>,</w:t>
      </w:r>
      <w:r>
        <w:rPr>
          <w:rFonts w:hint="eastAsia" w:ascii="Times New Roman" w:hAnsi="Times New Roman"/>
          <w:sz w:val="18"/>
          <w:lang w:val="en-US" w:eastAsia="zh-CN"/>
        </w:rPr>
        <w:t xml:space="preserve"> </w:t>
      </w:r>
      <w:r>
        <w:rPr>
          <w:rFonts w:hint="eastAsia" w:ascii="Times New Roman" w:hAnsi="Times New Roman"/>
          <w:i/>
          <w:iCs/>
          <w:sz w:val="18"/>
        </w:rPr>
        <w:t>POSITION MARK: A Category of signs eligible for trade mark protection? Different stan</w:t>
      </w:r>
      <w:r>
        <w:rPr>
          <w:rFonts w:hint="eastAsia" w:ascii="Times New Roman" w:hAnsi="Times New Roman"/>
          <w:i/>
          <w:iCs/>
          <w:sz w:val="18"/>
          <w:lang w:val="en-US" w:eastAsia="zh-CN"/>
        </w:rPr>
        <w:t>-</w:t>
      </w:r>
    </w:p>
    <w:p w14:paraId="5C78D7FA">
      <w:pPr>
        <w:pStyle w:val="3"/>
        <w:snapToGrid w:val="0"/>
        <w:rPr>
          <w:rFonts w:ascii="Times New Roman" w:hAnsi="Times New Roman"/>
          <w:sz w:val="18"/>
        </w:rPr>
      </w:pPr>
      <w:r>
        <w:rPr>
          <w:rFonts w:hint="eastAsia" w:ascii="Times New Roman" w:hAnsi="Times New Roman"/>
          <w:i/>
          <w:iCs/>
          <w:sz w:val="18"/>
        </w:rPr>
        <w:t>dards of examination, different scope of protection?</w:t>
      </w:r>
      <w:r>
        <w:rPr>
          <w:rFonts w:hint="eastAsia" w:ascii="Times New Roman" w:hAnsi="Times New Roman"/>
          <w:sz w:val="18"/>
        </w:rPr>
        <w:t xml:space="preserve"> p</w:t>
      </w:r>
      <w:r>
        <w:rPr>
          <w:rFonts w:hint="eastAsia" w:ascii="Times New Roman" w:hAnsi="Times New Roman"/>
          <w:sz w:val="18"/>
          <w:lang w:val="en-US" w:eastAsia="zh-CN"/>
        </w:rPr>
        <w:t>p</w:t>
      </w:r>
      <w:r>
        <w:rPr>
          <w:rFonts w:hint="eastAsia" w:ascii="Times New Roman" w:hAnsi="Times New Roman"/>
          <w:sz w:val="18"/>
        </w:rPr>
        <w:t>.</w:t>
      </w:r>
      <w:r>
        <w:rPr>
          <w:rFonts w:hint="eastAsia" w:ascii="Times New Roman" w:hAnsi="Times New Roman"/>
          <w:sz w:val="18"/>
          <w:lang w:val="en-US" w:eastAsia="zh-CN"/>
        </w:rPr>
        <w:t xml:space="preserve"> </w:t>
      </w:r>
      <w:r>
        <w:rPr>
          <w:rFonts w:hint="eastAsia" w:ascii="Times New Roman" w:hAnsi="Times New Roman"/>
          <w:sz w:val="18"/>
        </w:rPr>
        <w:t>5,</w:t>
      </w:r>
      <w:r>
        <w:rPr>
          <w:rFonts w:hint="eastAsia" w:ascii="Times New Roman" w:hAnsi="Times New Roman"/>
          <w:sz w:val="18"/>
          <w:lang w:val="en-US" w:eastAsia="zh-CN"/>
        </w:rPr>
        <w:t xml:space="preserve"> 7 </w:t>
      </w:r>
      <w:r>
        <w:rPr>
          <w:rFonts w:hint="eastAsia" w:ascii="Times New Roman" w:hAnsi="Times New Roman"/>
          <w:color w:val="auto"/>
          <w:sz w:val="18"/>
          <w:u w:val="none"/>
        </w:rPr>
        <w:t>http://oami.europa.eu/ows/core/search/advance</w:t>
      </w:r>
      <w:r>
        <w:rPr>
          <w:rFonts w:hint="eastAsia" w:ascii="Times New Roman" w:hAnsi="Times New Roman"/>
          <w:sz w:val="18"/>
        </w:rPr>
        <w:t>d.do</w:t>
      </w:r>
      <w:r>
        <w:rPr>
          <w:rFonts w:hint="eastAsia" w:ascii="Times New Roman" w:hAnsi="Times New Roman"/>
          <w:sz w:val="18"/>
          <w:lang w:val="en-US" w:eastAsia="zh-CN"/>
        </w:rPr>
        <w:t xml:space="preserve"> (</w:t>
      </w:r>
      <w:r>
        <w:rPr>
          <w:rFonts w:hint="eastAsia" w:ascii="Times New Roman" w:hAnsi="Times New Roman"/>
          <w:sz w:val="18"/>
          <w:lang w:eastAsia="zh-CN"/>
        </w:rPr>
        <w:t>last visited</w:t>
      </w:r>
      <w:r>
        <w:rPr>
          <w:rFonts w:hint="eastAsia" w:ascii="Times New Roman" w:hAnsi="Times New Roman"/>
          <w:sz w:val="18"/>
          <w:lang w:val="en-US" w:eastAsia="zh-CN"/>
        </w:rPr>
        <w:t xml:space="preserve"> June 21, 2025).</w:t>
      </w:r>
    </w:p>
  </w:footnote>
  <w:footnote w:id="27">
    <w:p w14:paraId="2DB920B6">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参见《商标法新加坡条约实施细则》第7页。</w:t>
      </w:r>
    </w:p>
  </w:footnote>
  <w:footnote w:id="28">
    <w:p w14:paraId="2C0B75C7">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EUIPO的《商标指南》规定，“position marks are trade marks consisting of the specific way in which the mark is placed on or affixed to the product”。</w:t>
      </w:r>
    </w:p>
  </w:footnote>
  <w:footnote w:id="29">
    <w:p w14:paraId="7E1BA485">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参见彭学龙：《商标法的符号学分析》，法律出版社2007年版，第22-23页。</w:t>
      </w:r>
    </w:p>
  </w:footnote>
  <w:footnote w:id="30">
    <w:p w14:paraId="3FB07896">
      <w:pPr>
        <w:pStyle w:val="3"/>
        <w:snapToGrid w:val="0"/>
        <w:rPr>
          <w:rFonts w:hint="eastAsia" w:ascii="Times New Roman" w:hAnsi="Times New Roman"/>
          <w:sz w:val="18"/>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rPr>
        <w:t>参见何潇：《位置商标不宜作为独立的商标类型——从“红鞋底”案谈起》，来源：https://mp.weixin.qq.</w:t>
      </w:r>
    </w:p>
    <w:p w14:paraId="0E2AFE1A">
      <w:pPr>
        <w:pStyle w:val="3"/>
        <w:snapToGrid w:val="0"/>
        <w:rPr>
          <w:rFonts w:ascii="Times New Roman" w:hAnsi="Times New Roman"/>
          <w:sz w:val="18"/>
        </w:rPr>
      </w:pPr>
      <w:r>
        <w:rPr>
          <w:rFonts w:hint="eastAsia" w:ascii="Times New Roman" w:hAnsi="Times New Roman"/>
          <w:sz w:val="18"/>
        </w:rPr>
        <w:t>com/s/gMQniDylnqKqVKUfFII9ig，最后访问日期：2025年6月21日。</w:t>
      </w:r>
    </w:p>
  </w:footnote>
  <w:footnote w:id="31">
    <w:p w14:paraId="011E178C">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周波：《“位置商标”注册申请的司法审查》，载《人民司法》2011年第24期，第35页；李超光：《位置商标的注册可能性辨析——从“阿迪达斯三道杠”到“红色鞋底”》，载《电子知识产权》2020年第1期，第65页。</w:t>
      </w:r>
    </w:p>
  </w:footnote>
  <w:footnote w:id="32">
    <w:p w14:paraId="52D3F295">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参见池欣欣：《论位置商标的特点及保护》，载《中华商标》2019年第2期，第25页。</w:t>
      </w:r>
    </w:p>
  </w:footnote>
  <w:footnote w:id="33">
    <w:p w14:paraId="2C9AA16B">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w:t>
      </w:r>
      <w:r>
        <w:rPr>
          <w:rFonts w:hint="eastAsia" w:ascii="Times New Roman" w:hAnsi="Times New Roman"/>
          <w:sz w:val="18"/>
          <w:lang w:eastAsia="zh-CN"/>
        </w:rPr>
        <w:t>《</w:t>
      </w:r>
      <w:r>
        <w:rPr>
          <w:rFonts w:hint="eastAsia" w:ascii="Times New Roman" w:hAnsi="Times New Roman"/>
          <w:sz w:val="18"/>
          <w:lang w:val="en-US" w:eastAsia="zh-CN"/>
        </w:rPr>
        <w:t>商标法》第八条。</w:t>
      </w:r>
    </w:p>
  </w:footnote>
  <w:footnote w:id="34">
    <w:p w14:paraId="56AE249E">
      <w:pPr>
        <w:pStyle w:val="3"/>
        <w:snapToGrid w:val="0"/>
        <w:rPr>
          <w:rFonts w:ascii="Times New Roman" w:hAnsi="Times New Roman"/>
          <w:sz w:val="18"/>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rPr>
        <w:t>参见何莹、林星成：《位置商标概念重塑与规范完善——以“红鞋底”案切入》，载《科技与法律》2020年第5期，第52页。</w:t>
      </w:r>
    </w:p>
  </w:footnote>
  <w:footnote w:id="35">
    <w:p w14:paraId="65C1A73E">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参见国家工商总局商标局：《商标审查及审理标准》（2016），第58页。</w:t>
      </w:r>
    </w:p>
  </w:footnote>
  <w:footnote w:id="36">
    <w:p w14:paraId="0B6E47E4">
      <w:pPr>
        <w:pStyle w:val="3"/>
        <w:snapToGrid w:val="0"/>
        <w:rPr>
          <w:rFonts w:hint="eastAsia"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w:t>
      </w:r>
      <w:r>
        <w:rPr>
          <w:rFonts w:hint="eastAsia" w:ascii="Times New Roman" w:hAnsi="Times New Roman"/>
          <w:sz w:val="18"/>
        </w:rPr>
        <w:t>北京市高级人民法院（2018）京行终第2631号行政判决书</w:t>
      </w:r>
      <w:r>
        <w:rPr>
          <w:rFonts w:hint="eastAsia" w:ascii="Times New Roman" w:hAnsi="Times New Roman"/>
          <w:sz w:val="18"/>
          <w:lang w:eastAsia="zh-CN"/>
        </w:rPr>
        <w:t>。</w:t>
      </w:r>
    </w:p>
  </w:footnote>
  <w:footnote w:id="37">
    <w:p w14:paraId="190DFFDE">
      <w:pPr>
        <w:pStyle w:val="3"/>
        <w:snapToGrid w:val="0"/>
        <w:rPr>
          <w:rFonts w:hint="eastAsia"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参见参见商评字[2015]第0000008356号重审第0000004156号《关于国际注册第1031242号商标驳回复审决定书》。</w:t>
      </w:r>
    </w:p>
  </w:footnote>
  <w:footnote w:id="38">
    <w:p w14:paraId="0B833B58">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参见国家知识产权局：《商标审查审理指南》（2021），第296页。</w:t>
      </w:r>
    </w:p>
  </w:footnote>
  <w:footnote w:id="39">
    <w:p w14:paraId="63B40480">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参见李超光：《位置商标的注册可能性辨析——从“阿迪达斯三道杠”到“红色鞋底”》，载《电子知识产权》2020年第1期，第63页。</w:t>
      </w:r>
    </w:p>
  </w:footnote>
  <w:footnote w:id="40">
    <w:p w14:paraId="58CE544E">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参见何莹、林星成：《位置商标概念重塑与规范完善——以“红鞋底”案切入》，载《科技与法律》2020年第5期，第53页。</w:t>
      </w:r>
    </w:p>
  </w:footnote>
  <w:footnote w:id="41">
    <w:p w14:paraId="3E026450">
      <w:pPr>
        <w:pStyle w:val="3"/>
        <w:snapToGrid w:val="0"/>
        <w:rPr>
          <w:rFonts w:ascii="Times New Roman" w:hAnsi="Times New Roman"/>
          <w:sz w:val="18"/>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参见李超光：《位置商标的注册可能性辨析——从“阿迪达斯三道杠”到“红色鞋底”》，载《电子知识产权》2020年第1期，第63-64页。</w:t>
      </w:r>
    </w:p>
  </w:footnote>
  <w:footnote w:id="42">
    <w:p w14:paraId="707F14CB">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参见徐聪颖：《论商标的符号表彰功能》，法律出版社2011年版，第56-59页。</w:t>
      </w:r>
    </w:p>
  </w:footnote>
  <w:footnote w:id="43">
    <w:p w14:paraId="239A53D3">
      <w:pPr>
        <w:pStyle w:val="3"/>
        <w:snapToGrid w:val="0"/>
        <w:rPr>
          <w:rFonts w:hint="eastAsia"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rPr>
        <w:t>《兰哈姆法》第45节规定：“商品商标、服务商标包括任何文字、名称、符号或图形，或其组合……能够识别或区分商标权利人提供的商品或者服务</w:t>
      </w:r>
      <w:r>
        <w:rPr>
          <w:rFonts w:hint="eastAsia" w:ascii="Times New Roman" w:hAnsi="Times New Roman"/>
          <w:sz w:val="18"/>
          <w:lang w:eastAsia="zh-CN"/>
        </w:rPr>
        <w:t>”</w:t>
      </w:r>
      <w:r>
        <w:rPr>
          <w:rFonts w:hint="eastAsia" w:ascii="Times New Roman" w:hAnsi="Times New Roman"/>
          <w:sz w:val="18"/>
        </w:rPr>
        <w:t>。</w:t>
      </w:r>
    </w:p>
  </w:footnote>
  <w:footnote w:id="44">
    <w:p w14:paraId="04B29588">
      <w:pPr>
        <w:pStyle w:val="3"/>
        <w:snapToGrid w:val="0"/>
        <w:rPr>
          <w:rFonts w:hint="eastAsia" w:ascii="Times New Roman" w:hAnsi="Times New Roman" w:eastAsiaTheme="minorEastAsia"/>
          <w:sz w:val="18"/>
          <w:lang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rPr>
        <w:t>《欧盟商标条例》第4条规定：“欧盟商标可以包括任何标志，特别是文字，包括个人姓名、设计、字母、数字、颜色、商品形状、商品的包装或声音，只要这些标志能够区分一项企业的商品或服务与其他企业的商品或服务……”</w:t>
      </w:r>
      <w:r>
        <w:rPr>
          <w:rFonts w:hint="eastAsia" w:ascii="Times New Roman" w:hAnsi="Times New Roman"/>
          <w:sz w:val="18"/>
          <w:lang w:eastAsia="zh-CN"/>
        </w:rPr>
        <w:t>。</w:t>
      </w:r>
    </w:p>
  </w:footnote>
  <w:footnote w:id="45">
    <w:p w14:paraId="208009E9">
      <w:pPr>
        <w:pStyle w:val="3"/>
        <w:snapToGrid w:val="0"/>
        <w:rPr>
          <w:rFonts w:hint="default" w:ascii="Times New Roman" w:hAnsi="Times New Roman" w:eastAsiaTheme="minorEastAsia"/>
          <w:sz w:val="18"/>
          <w:highlight w:val="yellow"/>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highlight w:val="none"/>
          <w:lang w:val="en-US" w:eastAsia="zh-CN"/>
        </w:rPr>
        <w:t>例如美国专利商标局于2005年准予注册的阿迪达斯“三道杠”商标（No 78539470）、欧盟知识产权局于2009年准予注册的比利时BVBA公司“鞋侧条纹”商标（No 008586489）。</w:t>
      </w:r>
    </w:p>
  </w:footnote>
  <w:footnote w:id="46">
    <w:p w14:paraId="5AC2CBAF">
      <w:pPr>
        <w:pStyle w:val="3"/>
        <w:snapToGrid w:val="0"/>
        <w:rPr>
          <w:rFonts w:hint="eastAsia" w:ascii="Times New Roman" w:hAnsi="Times New Roman"/>
          <w:sz w:val="18"/>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rPr>
        <w:t>参见日本特许厅：《关于新型商标保护制度的问答》（新しいタイプの商標の保護制度に関する Q&amp;A），</w:t>
      </w:r>
    </w:p>
    <w:p w14:paraId="7364C781">
      <w:pPr>
        <w:pStyle w:val="3"/>
        <w:snapToGrid w:val="0"/>
        <w:rPr>
          <w:rFonts w:hint="eastAsia" w:ascii="Times New Roman" w:hAnsi="Times New Roman" w:eastAsiaTheme="minorEastAsia"/>
          <w:sz w:val="18"/>
          <w:lang w:val="en-US" w:eastAsia="zh-CN"/>
        </w:rPr>
      </w:pPr>
      <w:r>
        <w:rPr>
          <w:rFonts w:hint="eastAsia" w:ascii="Times New Roman" w:hAnsi="Times New Roman"/>
          <w:sz w:val="18"/>
        </w:rPr>
        <w:t>http://www.jpo.go.jp/seido/s_shouhyou/new_shouhyou_faq.htm，最后访问日期：2019年9月30日。</w:t>
      </w:r>
    </w:p>
  </w:footnote>
  <w:footnote w:id="47">
    <w:p w14:paraId="093CA144">
      <w:pPr>
        <w:pStyle w:val="3"/>
        <w:snapToGrid w:val="0"/>
        <w:rPr>
          <w:rFonts w:hint="eastAsia" w:ascii="Times New Roman" w:hAnsi="Times New Roman" w:eastAsiaTheme="minorEastAsia"/>
          <w:sz w:val="18"/>
          <w:lang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highlight w:val="none"/>
        </w:rPr>
        <w:t>韩国知识产权局商标设计审查局</w:t>
      </w:r>
      <w:r>
        <w:rPr>
          <w:rFonts w:hint="eastAsia" w:ascii="Times New Roman" w:hAnsi="Times New Roman"/>
          <w:sz w:val="18"/>
          <w:highlight w:val="none"/>
          <w:lang w:val="en-US" w:eastAsia="zh-CN"/>
        </w:rPr>
        <w:t>于2024年5月</w:t>
      </w:r>
      <w:r>
        <w:rPr>
          <w:rFonts w:hint="eastAsia" w:ascii="Times New Roman" w:hAnsi="Times New Roman"/>
          <w:sz w:val="18"/>
          <w:highlight w:val="none"/>
        </w:rPr>
        <w:t>发布了最新的《商标审查标准》，并在第八部分“非传统商标”第五章专门设置了《位置商标（及其他可视觉识别的商标）》的章节</w:t>
      </w:r>
      <w:r>
        <w:rPr>
          <w:rFonts w:hint="eastAsia" w:ascii="Times New Roman" w:hAnsi="Times New Roman"/>
          <w:sz w:val="18"/>
          <w:highlight w:val="none"/>
          <w:lang w:eastAsia="zh-CN"/>
        </w:rPr>
        <w:t>。</w:t>
      </w:r>
    </w:p>
  </w:footnote>
  <w:footnote w:id="48">
    <w:p w14:paraId="12764E17">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rPr>
        <w:t>台湾</w:t>
      </w:r>
      <w:r>
        <w:rPr>
          <w:rFonts w:hint="eastAsia" w:ascii="Times New Roman" w:hAnsi="Times New Roman"/>
          <w:sz w:val="18"/>
          <w:lang w:val="en-US" w:eastAsia="zh-CN"/>
        </w:rPr>
        <w:t>经济部智慧财产局于2025年7月24日发布</w:t>
      </w:r>
      <w:r>
        <w:rPr>
          <w:rFonts w:hint="eastAsia" w:ascii="Times New Roman" w:hAnsi="Times New Roman"/>
          <w:sz w:val="18"/>
        </w:rPr>
        <w:t>《非传统商标审查基准》</w:t>
      </w:r>
      <w:r>
        <w:rPr>
          <w:rFonts w:hint="eastAsia" w:ascii="Times New Roman" w:hAnsi="Times New Roman"/>
          <w:sz w:val="18"/>
          <w:lang w:eastAsia="zh-CN"/>
        </w:rPr>
        <w:t>，</w:t>
      </w:r>
      <w:r>
        <w:rPr>
          <w:rFonts w:hint="eastAsia" w:ascii="Times New Roman" w:hAnsi="Times New Roman"/>
          <w:sz w:val="18"/>
          <w:lang w:val="en-US" w:eastAsia="zh-CN"/>
        </w:rPr>
        <w:t>其中第十章“其他非传统商标”中对位置商标予以定义和举例。</w:t>
      </w:r>
    </w:p>
  </w:footnote>
  <w:footnote w:id="49">
    <w:p w14:paraId="074DF0BB">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参见朱冬梅：《位置商标获准注册的正当性研究》，载《中华商标》2022年第2期，第67页。</w:t>
      </w:r>
    </w:p>
  </w:footnote>
  <w:footnote w:id="50">
    <w:p w14:paraId="4713C351">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参见何莹、林星成：《位置商标概念重塑与规范完善——以“红鞋底”案切入》，载《科技与法律》2020年第5期，第55页。</w:t>
      </w:r>
    </w:p>
  </w:footnote>
  <w:footnote w:id="51">
    <w:p w14:paraId="1C01D4A5">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参见《商标法》第十三条。</w:t>
      </w:r>
    </w:p>
  </w:footnote>
  <w:footnote w:id="52">
    <w:p w14:paraId="1C0D6249">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 xml:space="preserve">See Robert G. Bone, </w:t>
      </w:r>
      <w:r>
        <w:rPr>
          <w:rFonts w:hint="eastAsia" w:ascii="Times New Roman" w:hAnsi="Times New Roman"/>
          <w:i/>
          <w:iCs/>
          <w:sz w:val="18"/>
          <w:lang w:val="en-US" w:eastAsia="zh-CN"/>
        </w:rPr>
        <w:t>Trademark Functionality Reexamined</w:t>
      </w:r>
      <w:r>
        <w:rPr>
          <w:rFonts w:hint="eastAsia" w:ascii="Times New Roman" w:hAnsi="Times New Roman"/>
          <w:sz w:val="18"/>
          <w:lang w:val="en-US" w:eastAsia="zh-CN"/>
        </w:rPr>
        <w:t>, 7(1) Journal of Legal Analysis 183 (2015), p. 222.</w:t>
      </w:r>
    </w:p>
  </w:footnote>
  <w:footnote w:id="53">
    <w:p w14:paraId="2D407FE3">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参见彭学龙：《商标法的符号学分析》，法律出版社2007年版，第67页。</w:t>
      </w:r>
    </w:p>
  </w:footnote>
  <w:footnote w:id="54">
    <w:p w14:paraId="6A7AE5A4">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See Marvel co. v. Pearl, 133 F. 160, 161-162 (2rd Cir. 1904).</w:t>
      </w:r>
    </w:p>
  </w:footnote>
  <w:footnote w:id="55">
    <w:p w14:paraId="47BB6906">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参见彭学龙：《商标法基本范畴的符号学分析》，载《法学研究》2007年第1期，第20页。</w:t>
      </w:r>
    </w:p>
  </w:footnote>
  <w:footnote w:id="56">
    <w:p w14:paraId="4271AFC1">
      <w:pPr>
        <w:pStyle w:val="3"/>
        <w:snapToGrid w:val="0"/>
        <w:rPr>
          <w:rFonts w:hint="eastAsia"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rPr>
        <w:t>See Pagliero</w:t>
      </w:r>
      <w:r>
        <w:rPr>
          <w:rFonts w:hint="eastAsia" w:ascii="Times New Roman" w:hAnsi="Times New Roman"/>
          <w:sz w:val="18"/>
          <w:lang w:val="en-US" w:eastAsia="zh-CN"/>
        </w:rPr>
        <w:t xml:space="preserve"> et al.</w:t>
      </w:r>
      <w:r>
        <w:rPr>
          <w:rFonts w:hint="eastAsia" w:ascii="Times New Roman" w:hAnsi="Times New Roman"/>
          <w:sz w:val="18"/>
        </w:rPr>
        <w:t xml:space="preserve"> v. Wallace China Co., 198 F.2d 339, 34</w:t>
      </w:r>
      <w:r>
        <w:rPr>
          <w:rFonts w:hint="eastAsia" w:ascii="Times New Roman" w:hAnsi="Times New Roman"/>
          <w:sz w:val="18"/>
          <w:lang w:val="en-US" w:eastAsia="zh-CN"/>
        </w:rPr>
        <w:t>3-</w:t>
      </w:r>
      <w:r>
        <w:rPr>
          <w:rFonts w:hint="eastAsia" w:ascii="Times New Roman" w:hAnsi="Times New Roman"/>
          <w:sz w:val="18"/>
        </w:rPr>
        <w:t>344 (9</w:t>
      </w:r>
      <w:r>
        <w:rPr>
          <w:rFonts w:hint="eastAsia" w:ascii="Times New Roman" w:hAnsi="Times New Roman"/>
          <w:sz w:val="18"/>
          <w:lang w:val="en-US" w:eastAsia="zh-CN"/>
        </w:rPr>
        <w:t xml:space="preserve">th </w:t>
      </w:r>
      <w:r>
        <w:rPr>
          <w:rFonts w:hint="eastAsia" w:ascii="Times New Roman" w:hAnsi="Times New Roman"/>
          <w:sz w:val="18"/>
        </w:rPr>
        <w:t>Cir. 1952)</w:t>
      </w:r>
      <w:r>
        <w:rPr>
          <w:rFonts w:hint="eastAsia" w:ascii="Times New Roman" w:hAnsi="Times New Roman"/>
          <w:sz w:val="18"/>
          <w:lang w:val="en-US" w:eastAsia="zh-CN"/>
        </w:rPr>
        <w:t>.</w:t>
      </w:r>
    </w:p>
  </w:footnote>
  <w:footnote w:id="57">
    <w:p w14:paraId="166CC0BF">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See Wallace Int</w:t>
      </w:r>
      <w:r>
        <w:rPr>
          <w:rFonts w:hint="default" w:ascii="Times New Roman" w:hAnsi="Times New Roman"/>
          <w:sz w:val="18"/>
          <w:lang w:val="en-US" w:eastAsia="zh-CN"/>
        </w:rPr>
        <w:t>’</w:t>
      </w:r>
      <w:r>
        <w:rPr>
          <w:rFonts w:hint="eastAsia" w:ascii="Times New Roman" w:hAnsi="Times New Roman"/>
          <w:sz w:val="18"/>
          <w:lang w:val="en-US" w:eastAsia="zh-CN"/>
        </w:rPr>
        <w:t>l Silversmiths, Inc. v. Godinger Silver Art Co., Inc., 916 F.2d 76 (2d Cir. 1990).</w:t>
      </w:r>
    </w:p>
  </w:footnote>
  <w:footnote w:id="58">
    <w:p w14:paraId="5B934328">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 xml:space="preserve">See Robert G. Bone, </w:t>
      </w:r>
      <w:r>
        <w:rPr>
          <w:rFonts w:hint="eastAsia" w:ascii="Times New Roman" w:hAnsi="Times New Roman"/>
          <w:i/>
          <w:iCs/>
          <w:sz w:val="18"/>
          <w:lang w:val="en-US" w:eastAsia="zh-CN"/>
        </w:rPr>
        <w:t>Trademark Functionality Reexamined</w:t>
      </w:r>
      <w:r>
        <w:rPr>
          <w:rFonts w:hint="eastAsia" w:ascii="Times New Roman" w:hAnsi="Times New Roman"/>
          <w:sz w:val="18"/>
          <w:lang w:val="en-US" w:eastAsia="zh-CN"/>
        </w:rPr>
        <w:t>, 7(1) Journal of Legal Analysis 183 (2015), pp. 238-239.</w:t>
      </w:r>
    </w:p>
  </w:footnote>
  <w:footnote w:id="59">
    <w:p w14:paraId="7BBCD7C0">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彭学龙：《商标法基本范畴的符号学分析》，载《法学研究》2007年第1期，第20页。</w:t>
      </w:r>
    </w:p>
  </w:footnote>
  <w:footnote w:id="60">
    <w:p w14:paraId="296D2AE3">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参见彭学龙：《商标法基本范畴的符号学分析》，载《法学研究》2007年第1期，第25页。</w:t>
      </w:r>
    </w:p>
  </w:footnote>
  <w:footnote w:id="61">
    <w:p w14:paraId="6BAE3F18">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参见彭学龙：《商标法的符号学分析》，法律出版社2007年版，第28页。</w:t>
      </w:r>
    </w:p>
  </w:footnote>
  <w:footnote w:id="62">
    <w:p w14:paraId="2FFD9E48">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彭学龙：《商标法基本范畴的符号学分析》，载《法学研究》2007年第1期，第24页。</w:t>
      </w:r>
    </w:p>
  </w:footnote>
  <w:footnote w:id="63">
    <w:p w14:paraId="2EE114AA">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参见彭学龙：《商标法基本范畴的符号学分析》，载《法学研究》2007年第1期，第24页。</w:t>
      </w:r>
    </w:p>
  </w:footnote>
  <w:footnote w:id="64">
    <w:p w14:paraId="75287157">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参见国家知识产权局：《关于非传统商标应当具有显著特征的指引》，第1-2页。</w:t>
      </w:r>
    </w:p>
  </w:footnote>
  <w:footnote w:id="65">
    <w:p w14:paraId="1FCBE9A5">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 xml:space="preserve">See Claire Lehr, Gabriele Engels, </w:t>
      </w:r>
      <w:r>
        <w:rPr>
          <w:rFonts w:hint="eastAsia" w:ascii="Times New Roman" w:hAnsi="Times New Roman"/>
          <w:i/>
          <w:iCs/>
          <w:sz w:val="18"/>
          <w:lang w:val="en-US" w:eastAsia="zh-CN"/>
        </w:rPr>
        <w:t>Taking a Position</w:t>
      </w:r>
      <w:r>
        <w:rPr>
          <w:rFonts w:hint="eastAsia" w:ascii="Times New Roman" w:hAnsi="Times New Roman"/>
          <w:sz w:val="18"/>
          <w:lang w:val="en-US" w:eastAsia="zh-CN"/>
        </w:rPr>
        <w:t>, 9(7) Journal of Intellectual Property Law &amp; Practice 607 (2014), pp. 608, 612.</w:t>
      </w:r>
    </w:p>
  </w:footnote>
  <w:footnote w:id="66">
    <w:p w14:paraId="43FF95A5">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参见王迁：《知识产权法教程》（第七版），中国人民大学出版社2021年版，第504页。</w:t>
      </w:r>
    </w:p>
  </w:footnote>
  <w:footnote w:id="67">
    <w:p w14:paraId="0455EA4A">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See Birkenstock Sales v. EUIPO, Case C-26/17 (2019), para. 41.</w:t>
      </w:r>
    </w:p>
  </w:footnote>
  <w:footnote w:id="68">
    <w:p w14:paraId="5C121B8B">
      <w:pPr>
        <w:pStyle w:val="3"/>
        <w:snapToGrid w:val="0"/>
        <w:rPr>
          <w:rFonts w:ascii="Times New Roman" w:hAnsi="Times New Roman"/>
          <w:sz w:val="18"/>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w:t>
      </w:r>
      <w:r>
        <w:rPr>
          <w:rFonts w:hint="eastAsia" w:ascii="Times New Roman" w:hAnsi="Times New Roman"/>
          <w:sz w:val="18"/>
        </w:rPr>
        <w:t>[韩]朴允石</w:t>
      </w:r>
      <w:r>
        <w:rPr>
          <w:rFonts w:hint="eastAsia" w:ascii="Times New Roman" w:hAnsi="Times New Roman"/>
          <w:sz w:val="18"/>
          <w:lang w:eastAsia="zh-CN"/>
        </w:rPr>
        <w:t>：《</w:t>
      </w:r>
      <w:r>
        <w:rPr>
          <w:rFonts w:hint="eastAsia" w:ascii="Times New Roman" w:hAnsi="Times New Roman"/>
          <w:sz w:val="18"/>
        </w:rPr>
        <w:t>位置商标显著性的案例研究</w:t>
      </w:r>
      <w:r>
        <w:rPr>
          <w:rFonts w:hint="eastAsia" w:ascii="Times New Roman" w:hAnsi="Times New Roman"/>
          <w:sz w:val="18"/>
          <w:lang w:eastAsia="zh-CN"/>
        </w:rPr>
        <w:t>》，</w:t>
      </w:r>
      <w:r>
        <w:rPr>
          <w:rFonts w:hint="eastAsia" w:ascii="Times New Roman" w:hAnsi="Times New Roman"/>
          <w:sz w:val="18"/>
          <w:lang w:val="en-US" w:eastAsia="zh-CN"/>
        </w:rPr>
        <w:t>载《</w:t>
      </w:r>
      <w:r>
        <w:rPr>
          <w:rFonts w:hint="eastAsia" w:ascii="Times New Roman" w:hAnsi="Times New Roman"/>
          <w:sz w:val="18"/>
        </w:rPr>
        <w:t>韩国法律评论</w:t>
      </w:r>
      <w:r>
        <w:rPr>
          <w:rFonts w:hint="eastAsia" w:ascii="Times New Roman" w:hAnsi="Times New Roman"/>
          <w:sz w:val="18"/>
          <w:lang w:eastAsia="zh-CN"/>
        </w:rPr>
        <w:t>》</w:t>
      </w:r>
      <w:r>
        <w:rPr>
          <w:rFonts w:hint="eastAsia" w:ascii="Times New Roman" w:hAnsi="Times New Roman"/>
          <w:sz w:val="18"/>
        </w:rPr>
        <w:t>2013</w:t>
      </w:r>
      <w:r>
        <w:rPr>
          <w:rFonts w:hint="eastAsia" w:ascii="Times New Roman" w:hAnsi="Times New Roman"/>
          <w:sz w:val="18"/>
          <w:lang w:val="en-US" w:eastAsia="zh-CN"/>
        </w:rPr>
        <w:t>年第</w:t>
      </w:r>
      <w:r>
        <w:rPr>
          <w:rFonts w:hint="eastAsia" w:ascii="Times New Roman" w:hAnsi="Times New Roman"/>
          <w:sz w:val="18"/>
        </w:rPr>
        <w:t>71</w:t>
      </w:r>
      <w:r>
        <w:rPr>
          <w:rFonts w:hint="eastAsia" w:ascii="Times New Roman" w:hAnsi="Times New Roman"/>
          <w:sz w:val="18"/>
          <w:lang w:val="en-US" w:eastAsia="zh-CN"/>
        </w:rPr>
        <w:t>期，第</w:t>
      </w:r>
      <w:r>
        <w:rPr>
          <w:rFonts w:hint="eastAsia" w:ascii="Times New Roman" w:hAnsi="Times New Roman"/>
          <w:sz w:val="18"/>
        </w:rPr>
        <w:t>3</w:t>
      </w:r>
      <w:r>
        <w:rPr>
          <w:rFonts w:hint="eastAsia" w:ascii="Times New Roman" w:hAnsi="Times New Roman"/>
          <w:sz w:val="18"/>
          <w:lang w:val="en-US" w:eastAsia="zh-CN"/>
        </w:rPr>
        <w:t>90页。</w:t>
      </w:r>
      <w:r>
        <w:rPr>
          <w:rFonts w:hint="eastAsia" w:ascii="Times New Roman" w:hAnsi="Times New Roman"/>
          <w:sz w:val="18"/>
        </w:rPr>
        <w:t>.</w:t>
      </w:r>
    </w:p>
  </w:footnote>
  <w:footnote w:id="69">
    <w:p w14:paraId="7776FB35">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参见国家知识产权局：《关于非传统商标应当具有显著特征的指引》，第2-3页。</w:t>
      </w:r>
    </w:p>
  </w:footnote>
  <w:footnote w:id="70">
    <w:p w14:paraId="2FB245F3">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参见国家知识产权局：《关于非传统商标应当具有显著特征的指引》，第7-8页。</w:t>
      </w:r>
    </w:p>
  </w:footnote>
  <w:footnote w:id="71">
    <w:p w14:paraId="77680DC5">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 xml:space="preserve">参见郝敏：《服装设计相关的知识产权保护模式探析》，载《知识产权》2019年第9期，第35页；See The Editorial Office, </w:t>
      </w:r>
      <w:r>
        <w:rPr>
          <w:rFonts w:hint="eastAsia" w:ascii="Times New Roman" w:hAnsi="Times New Roman"/>
          <w:i/>
          <w:iCs/>
          <w:sz w:val="18"/>
          <w:lang w:val="en-US" w:eastAsia="zh-CN"/>
        </w:rPr>
        <w:t>Assessing Whether a Position Mark Has Acquired Distinctiveness</w:t>
      </w:r>
      <w:r>
        <w:rPr>
          <w:rFonts w:hint="eastAsia" w:ascii="Times New Roman" w:hAnsi="Times New Roman"/>
          <w:sz w:val="18"/>
          <w:lang w:val="en-US" w:eastAsia="zh-CN"/>
        </w:rPr>
        <w:t>, 74(1) GRUR International 66 (2025), p. 69.</w:t>
      </w:r>
    </w:p>
  </w:footnote>
  <w:footnote w:id="72">
    <w:p w14:paraId="6345939D">
      <w:pPr>
        <w:pStyle w:val="3"/>
        <w:snapToGrid w:val="0"/>
        <w:rPr>
          <w:rFonts w:hint="default" w:ascii="Times New Roman" w:hAnsi="Times New Roman" w:eastAsiaTheme="minorEastAsia"/>
          <w:sz w:val="18"/>
          <w:highlight w:val="none"/>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highlight w:val="none"/>
          <w:lang w:val="en-US" w:eastAsia="zh-CN"/>
        </w:rPr>
        <w:t>参见孔祥俊：《商标法：原理与判例》，法律出版社2021年版（电子书版），第597页。</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DB5E77"/>
    <w:multiLevelType w:val="singleLevel"/>
    <w:tmpl w:val="99DB5E77"/>
    <w:lvl w:ilvl="0" w:tentative="0">
      <w:start w:val="1"/>
      <w:numFmt w:val="chineseCounting"/>
      <w:suff w:val="nothing"/>
      <w:lvlText w:val="%1、"/>
      <w:lvlJc w:val="left"/>
      <w:pPr>
        <w:ind w:left="420"/>
      </w:pPr>
      <w:rPr>
        <w:rFonts w:hint="eastAsia"/>
      </w:rPr>
    </w:lvl>
  </w:abstractNum>
  <w:abstractNum w:abstractNumId="1">
    <w:nsid w:val="B8873117"/>
    <w:multiLevelType w:val="singleLevel"/>
    <w:tmpl w:val="B8873117"/>
    <w:lvl w:ilvl="0" w:tentative="0">
      <w:start w:val="1"/>
      <w:numFmt w:val="chineseCounting"/>
      <w:suff w:val="nothing"/>
      <w:lvlText w:val="（%1）"/>
      <w:lvlJc w:val="left"/>
      <w:pPr>
        <w:ind w:left="420"/>
      </w:pPr>
      <w:rPr>
        <w:rFonts w:hint="eastAsia"/>
      </w:rPr>
    </w:lvl>
  </w:abstractNum>
  <w:abstractNum w:abstractNumId="2">
    <w:nsid w:val="51AB2E71"/>
    <w:multiLevelType w:val="singleLevel"/>
    <w:tmpl w:val="51AB2E71"/>
    <w:lvl w:ilvl="0" w:tentative="0">
      <w:start w:val="1"/>
      <w:numFmt w:val="chineseCounting"/>
      <w:suff w:val="nothing"/>
      <w:lvlText w:val="（%1）"/>
      <w:lvlJc w:val="left"/>
      <w:pPr>
        <w:ind w:left="420"/>
      </w:pPr>
      <w:rPr>
        <w:rFonts w:hint="eastAsia"/>
      </w:rPr>
    </w:lvl>
  </w:abstractNum>
  <w:abstractNum w:abstractNumId="3">
    <w:nsid w:val="5A40F5CE"/>
    <w:multiLevelType w:val="singleLevel"/>
    <w:tmpl w:val="5A40F5CE"/>
    <w:lvl w:ilvl="0" w:tentative="0">
      <w:start w:val="1"/>
      <w:numFmt w:val="chineseCounting"/>
      <w:suff w:val="nothing"/>
      <w:lvlText w:val="（%1）"/>
      <w:lvlJc w:val="left"/>
      <w:pPr>
        <w:ind w:left="420"/>
      </w:pPr>
      <w:rPr>
        <w:rFonts w:hint="eastAsia"/>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146"/>
    <w:footnote w:id="147"/>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0F328F"/>
    <w:rsid w:val="00215AA4"/>
    <w:rsid w:val="003F5F2A"/>
    <w:rsid w:val="00496DA9"/>
    <w:rsid w:val="00754848"/>
    <w:rsid w:val="007C0F2D"/>
    <w:rsid w:val="00951FEE"/>
    <w:rsid w:val="00D40D69"/>
    <w:rsid w:val="018E1063"/>
    <w:rsid w:val="01EA0118"/>
    <w:rsid w:val="02072A78"/>
    <w:rsid w:val="02557C87"/>
    <w:rsid w:val="03327FC8"/>
    <w:rsid w:val="04673CA2"/>
    <w:rsid w:val="04A15406"/>
    <w:rsid w:val="056C5A14"/>
    <w:rsid w:val="05D435B9"/>
    <w:rsid w:val="06055520"/>
    <w:rsid w:val="060E0879"/>
    <w:rsid w:val="06255BC2"/>
    <w:rsid w:val="06640499"/>
    <w:rsid w:val="06EE06AA"/>
    <w:rsid w:val="06FF4665"/>
    <w:rsid w:val="078801B7"/>
    <w:rsid w:val="07996868"/>
    <w:rsid w:val="07D7113E"/>
    <w:rsid w:val="07F7358F"/>
    <w:rsid w:val="08397703"/>
    <w:rsid w:val="08F04266"/>
    <w:rsid w:val="093D3223"/>
    <w:rsid w:val="09C86F91"/>
    <w:rsid w:val="09E638BB"/>
    <w:rsid w:val="0A261F09"/>
    <w:rsid w:val="0A595E3B"/>
    <w:rsid w:val="0AB276D5"/>
    <w:rsid w:val="0AE61DC4"/>
    <w:rsid w:val="0B1A7CC0"/>
    <w:rsid w:val="0B521208"/>
    <w:rsid w:val="0B6D6042"/>
    <w:rsid w:val="0B93537C"/>
    <w:rsid w:val="0B941820"/>
    <w:rsid w:val="0C71390F"/>
    <w:rsid w:val="0CCF4ADA"/>
    <w:rsid w:val="0D076022"/>
    <w:rsid w:val="0D7511DD"/>
    <w:rsid w:val="0DBF06AB"/>
    <w:rsid w:val="0EC341CA"/>
    <w:rsid w:val="0ECA5559"/>
    <w:rsid w:val="0F3F5F47"/>
    <w:rsid w:val="0F9A4F2B"/>
    <w:rsid w:val="0FA20284"/>
    <w:rsid w:val="10101691"/>
    <w:rsid w:val="10305890"/>
    <w:rsid w:val="10863702"/>
    <w:rsid w:val="10A90180"/>
    <w:rsid w:val="115B2DE0"/>
    <w:rsid w:val="11DE2D89"/>
    <w:rsid w:val="128F2D41"/>
    <w:rsid w:val="137D5290"/>
    <w:rsid w:val="14425B91"/>
    <w:rsid w:val="14D0319D"/>
    <w:rsid w:val="14E32ED1"/>
    <w:rsid w:val="14F25809"/>
    <w:rsid w:val="152F4368"/>
    <w:rsid w:val="15E50ECA"/>
    <w:rsid w:val="160B6B83"/>
    <w:rsid w:val="165322D8"/>
    <w:rsid w:val="175B58E8"/>
    <w:rsid w:val="17C92852"/>
    <w:rsid w:val="18C9062F"/>
    <w:rsid w:val="18ED431E"/>
    <w:rsid w:val="191A0E8B"/>
    <w:rsid w:val="192835A8"/>
    <w:rsid w:val="192B12EA"/>
    <w:rsid w:val="19341F4D"/>
    <w:rsid w:val="19526877"/>
    <w:rsid w:val="197607B7"/>
    <w:rsid w:val="19A54BF8"/>
    <w:rsid w:val="1A404921"/>
    <w:rsid w:val="1A4C59BC"/>
    <w:rsid w:val="1A6E5932"/>
    <w:rsid w:val="1A932AD1"/>
    <w:rsid w:val="1AFF658A"/>
    <w:rsid w:val="1B1A33C4"/>
    <w:rsid w:val="1BCD6688"/>
    <w:rsid w:val="1BF9122C"/>
    <w:rsid w:val="1C2C33AF"/>
    <w:rsid w:val="1C6F7740"/>
    <w:rsid w:val="1C737230"/>
    <w:rsid w:val="1C984EE8"/>
    <w:rsid w:val="1D0F328F"/>
    <w:rsid w:val="1D61177E"/>
    <w:rsid w:val="1DC1221D"/>
    <w:rsid w:val="1DE2466D"/>
    <w:rsid w:val="1E7828DC"/>
    <w:rsid w:val="1E7A2AF8"/>
    <w:rsid w:val="1E892D3B"/>
    <w:rsid w:val="1EB61656"/>
    <w:rsid w:val="1F8E612F"/>
    <w:rsid w:val="1FCB7383"/>
    <w:rsid w:val="20126D60"/>
    <w:rsid w:val="202F7912"/>
    <w:rsid w:val="204333BD"/>
    <w:rsid w:val="20686980"/>
    <w:rsid w:val="20EA3839"/>
    <w:rsid w:val="21B225A8"/>
    <w:rsid w:val="21F7445F"/>
    <w:rsid w:val="220628F4"/>
    <w:rsid w:val="2230171F"/>
    <w:rsid w:val="22680EB9"/>
    <w:rsid w:val="228026A7"/>
    <w:rsid w:val="22D8603F"/>
    <w:rsid w:val="22F369D5"/>
    <w:rsid w:val="23566F63"/>
    <w:rsid w:val="23D34A58"/>
    <w:rsid w:val="23ED78C8"/>
    <w:rsid w:val="24392B0D"/>
    <w:rsid w:val="24BB79C6"/>
    <w:rsid w:val="25050C41"/>
    <w:rsid w:val="25104604"/>
    <w:rsid w:val="26000D71"/>
    <w:rsid w:val="265005E2"/>
    <w:rsid w:val="274517C9"/>
    <w:rsid w:val="2758774E"/>
    <w:rsid w:val="29787C34"/>
    <w:rsid w:val="29A46C7B"/>
    <w:rsid w:val="29B64C00"/>
    <w:rsid w:val="29C60E25"/>
    <w:rsid w:val="2A110E94"/>
    <w:rsid w:val="2A225DF1"/>
    <w:rsid w:val="2A622692"/>
    <w:rsid w:val="2A905451"/>
    <w:rsid w:val="2B1E480B"/>
    <w:rsid w:val="2B485D2C"/>
    <w:rsid w:val="2B9351F9"/>
    <w:rsid w:val="2B960845"/>
    <w:rsid w:val="2BC25ADE"/>
    <w:rsid w:val="2C1D2D14"/>
    <w:rsid w:val="2C5C383D"/>
    <w:rsid w:val="2C6E17C2"/>
    <w:rsid w:val="2C8D7E9A"/>
    <w:rsid w:val="2D1660E1"/>
    <w:rsid w:val="2D3E73E6"/>
    <w:rsid w:val="2D4B38B1"/>
    <w:rsid w:val="2D85576E"/>
    <w:rsid w:val="2DD815E9"/>
    <w:rsid w:val="2E0F337C"/>
    <w:rsid w:val="2EA9088F"/>
    <w:rsid w:val="2EBA484A"/>
    <w:rsid w:val="2EBA6F40"/>
    <w:rsid w:val="2EC851B9"/>
    <w:rsid w:val="2F7215C9"/>
    <w:rsid w:val="2FAD2601"/>
    <w:rsid w:val="2FBC06EE"/>
    <w:rsid w:val="2FC702CC"/>
    <w:rsid w:val="2FD302BA"/>
    <w:rsid w:val="30562C99"/>
    <w:rsid w:val="305B205D"/>
    <w:rsid w:val="307A6987"/>
    <w:rsid w:val="31F42769"/>
    <w:rsid w:val="322A618B"/>
    <w:rsid w:val="3239017C"/>
    <w:rsid w:val="324A2389"/>
    <w:rsid w:val="32B51EF8"/>
    <w:rsid w:val="33242BDA"/>
    <w:rsid w:val="3330332D"/>
    <w:rsid w:val="33AF6948"/>
    <w:rsid w:val="343D03F7"/>
    <w:rsid w:val="348F6779"/>
    <w:rsid w:val="34B166F0"/>
    <w:rsid w:val="35327830"/>
    <w:rsid w:val="35A63D7A"/>
    <w:rsid w:val="35B53FBD"/>
    <w:rsid w:val="35CF1523"/>
    <w:rsid w:val="35D408E8"/>
    <w:rsid w:val="35E548A3"/>
    <w:rsid w:val="363B0967"/>
    <w:rsid w:val="36D30B9F"/>
    <w:rsid w:val="37182A56"/>
    <w:rsid w:val="37691503"/>
    <w:rsid w:val="378123A9"/>
    <w:rsid w:val="378E0F6A"/>
    <w:rsid w:val="37BE184F"/>
    <w:rsid w:val="390A63CE"/>
    <w:rsid w:val="393D2C48"/>
    <w:rsid w:val="39B20F40"/>
    <w:rsid w:val="39FA6443"/>
    <w:rsid w:val="3A217E73"/>
    <w:rsid w:val="3B4F27BE"/>
    <w:rsid w:val="3B677B08"/>
    <w:rsid w:val="3BD827B4"/>
    <w:rsid w:val="3CF67395"/>
    <w:rsid w:val="3D6407A3"/>
    <w:rsid w:val="3D7D1865"/>
    <w:rsid w:val="3DBA03C3"/>
    <w:rsid w:val="3E0C4997"/>
    <w:rsid w:val="3E80785E"/>
    <w:rsid w:val="3F0D4E6A"/>
    <w:rsid w:val="3F2A77CA"/>
    <w:rsid w:val="3F32667F"/>
    <w:rsid w:val="3F422D66"/>
    <w:rsid w:val="3F76656C"/>
    <w:rsid w:val="3FA56E51"/>
    <w:rsid w:val="404E74E8"/>
    <w:rsid w:val="4093139F"/>
    <w:rsid w:val="40A9471F"/>
    <w:rsid w:val="40C357E1"/>
    <w:rsid w:val="40CF0629"/>
    <w:rsid w:val="40D43E92"/>
    <w:rsid w:val="40E67721"/>
    <w:rsid w:val="41087697"/>
    <w:rsid w:val="41635215"/>
    <w:rsid w:val="41886A2A"/>
    <w:rsid w:val="421A58D4"/>
    <w:rsid w:val="42894808"/>
    <w:rsid w:val="42E934F8"/>
    <w:rsid w:val="43525542"/>
    <w:rsid w:val="4439400C"/>
    <w:rsid w:val="445332F4"/>
    <w:rsid w:val="447D65EE"/>
    <w:rsid w:val="44D75CFE"/>
    <w:rsid w:val="44FC7513"/>
    <w:rsid w:val="45617CBE"/>
    <w:rsid w:val="46144D30"/>
    <w:rsid w:val="46236D21"/>
    <w:rsid w:val="46396545"/>
    <w:rsid w:val="469519CD"/>
    <w:rsid w:val="46A165C4"/>
    <w:rsid w:val="46B362F7"/>
    <w:rsid w:val="471A0124"/>
    <w:rsid w:val="4734568A"/>
    <w:rsid w:val="47975C19"/>
    <w:rsid w:val="47A83982"/>
    <w:rsid w:val="47BB1907"/>
    <w:rsid w:val="47E50732"/>
    <w:rsid w:val="481334F1"/>
    <w:rsid w:val="481728B6"/>
    <w:rsid w:val="484C255F"/>
    <w:rsid w:val="48A26623"/>
    <w:rsid w:val="498055C8"/>
    <w:rsid w:val="499A379E"/>
    <w:rsid w:val="49C32CF5"/>
    <w:rsid w:val="4A08695A"/>
    <w:rsid w:val="4A4060F4"/>
    <w:rsid w:val="4A6A3171"/>
    <w:rsid w:val="4AF60EA8"/>
    <w:rsid w:val="4B223A4B"/>
    <w:rsid w:val="4BAE52DF"/>
    <w:rsid w:val="4BBF129A"/>
    <w:rsid w:val="4BE60F1D"/>
    <w:rsid w:val="4C172E84"/>
    <w:rsid w:val="4C52210E"/>
    <w:rsid w:val="4C5365B2"/>
    <w:rsid w:val="4C63431C"/>
    <w:rsid w:val="4C7765AE"/>
    <w:rsid w:val="4D4C3002"/>
    <w:rsid w:val="4D5A74CD"/>
    <w:rsid w:val="4DA90454"/>
    <w:rsid w:val="4DC4528E"/>
    <w:rsid w:val="4E1E674C"/>
    <w:rsid w:val="4EB3158A"/>
    <w:rsid w:val="4F0F42E7"/>
    <w:rsid w:val="4F195165"/>
    <w:rsid w:val="4F756840"/>
    <w:rsid w:val="50591CBD"/>
    <w:rsid w:val="5076286F"/>
    <w:rsid w:val="507765E7"/>
    <w:rsid w:val="50C3182D"/>
    <w:rsid w:val="50DB075E"/>
    <w:rsid w:val="51121E6C"/>
    <w:rsid w:val="52522E68"/>
    <w:rsid w:val="526037D7"/>
    <w:rsid w:val="5277467D"/>
    <w:rsid w:val="52C553E8"/>
    <w:rsid w:val="52EA12F3"/>
    <w:rsid w:val="533267F6"/>
    <w:rsid w:val="538C05FC"/>
    <w:rsid w:val="54091C4C"/>
    <w:rsid w:val="5472334E"/>
    <w:rsid w:val="554C1DF1"/>
    <w:rsid w:val="55DB40AE"/>
    <w:rsid w:val="55FD758F"/>
    <w:rsid w:val="560B3A5A"/>
    <w:rsid w:val="567C04B4"/>
    <w:rsid w:val="56E82E50"/>
    <w:rsid w:val="570566FB"/>
    <w:rsid w:val="571F7091"/>
    <w:rsid w:val="57234DD3"/>
    <w:rsid w:val="57803FD4"/>
    <w:rsid w:val="57825F9E"/>
    <w:rsid w:val="57917F8F"/>
    <w:rsid w:val="57B1418D"/>
    <w:rsid w:val="58443253"/>
    <w:rsid w:val="586438F5"/>
    <w:rsid w:val="5889510A"/>
    <w:rsid w:val="58BF0B2C"/>
    <w:rsid w:val="58CE0D6F"/>
    <w:rsid w:val="594D25DB"/>
    <w:rsid w:val="595B4CF8"/>
    <w:rsid w:val="59774765"/>
    <w:rsid w:val="59777658"/>
    <w:rsid w:val="59927FEE"/>
    <w:rsid w:val="59FE7432"/>
    <w:rsid w:val="5A4C63EF"/>
    <w:rsid w:val="5AD54636"/>
    <w:rsid w:val="5AED1980"/>
    <w:rsid w:val="5AF820D3"/>
    <w:rsid w:val="5B8118B9"/>
    <w:rsid w:val="5B9C5154"/>
    <w:rsid w:val="5B9E2C7A"/>
    <w:rsid w:val="5C25514A"/>
    <w:rsid w:val="5C3B671B"/>
    <w:rsid w:val="5C8400C2"/>
    <w:rsid w:val="5C877BB2"/>
    <w:rsid w:val="5DB93D9B"/>
    <w:rsid w:val="5E6D1695"/>
    <w:rsid w:val="5EA26F25"/>
    <w:rsid w:val="5EE4753E"/>
    <w:rsid w:val="5EE72B8A"/>
    <w:rsid w:val="5F28567D"/>
    <w:rsid w:val="5F4104EC"/>
    <w:rsid w:val="5F530220"/>
    <w:rsid w:val="5F557AF4"/>
    <w:rsid w:val="5F61293D"/>
    <w:rsid w:val="5FA40A7B"/>
    <w:rsid w:val="5FA7097C"/>
    <w:rsid w:val="600357A2"/>
    <w:rsid w:val="607448F1"/>
    <w:rsid w:val="610C4B2A"/>
    <w:rsid w:val="61135EB8"/>
    <w:rsid w:val="61B9080E"/>
    <w:rsid w:val="62CA07F9"/>
    <w:rsid w:val="62FF4946"/>
    <w:rsid w:val="632F1B4B"/>
    <w:rsid w:val="63554566"/>
    <w:rsid w:val="637F3391"/>
    <w:rsid w:val="6393508F"/>
    <w:rsid w:val="63AD6150"/>
    <w:rsid w:val="647E7AED"/>
    <w:rsid w:val="64FD6C64"/>
    <w:rsid w:val="65071890"/>
    <w:rsid w:val="654E74BF"/>
    <w:rsid w:val="65817895"/>
    <w:rsid w:val="65BF216B"/>
    <w:rsid w:val="65D26342"/>
    <w:rsid w:val="66521231"/>
    <w:rsid w:val="66B45A48"/>
    <w:rsid w:val="66B827C2"/>
    <w:rsid w:val="674E4256"/>
    <w:rsid w:val="678371C8"/>
    <w:rsid w:val="681F5143"/>
    <w:rsid w:val="69431305"/>
    <w:rsid w:val="6A1A02B8"/>
    <w:rsid w:val="6A470981"/>
    <w:rsid w:val="6A4A7E52"/>
    <w:rsid w:val="6C022DB1"/>
    <w:rsid w:val="6C9C4FB4"/>
    <w:rsid w:val="6DB427D1"/>
    <w:rsid w:val="6EAC5256"/>
    <w:rsid w:val="6F2B6AC3"/>
    <w:rsid w:val="6F5B1156"/>
    <w:rsid w:val="6F6D49E6"/>
    <w:rsid w:val="6F8A37EA"/>
    <w:rsid w:val="6F9401C4"/>
    <w:rsid w:val="6FB22D40"/>
    <w:rsid w:val="6FD902CD"/>
    <w:rsid w:val="6FEE1FCA"/>
    <w:rsid w:val="7040034C"/>
    <w:rsid w:val="705838E8"/>
    <w:rsid w:val="70B054D2"/>
    <w:rsid w:val="70CB2F25"/>
    <w:rsid w:val="71453E6C"/>
    <w:rsid w:val="71922E29"/>
    <w:rsid w:val="71D84CE0"/>
    <w:rsid w:val="7205184D"/>
    <w:rsid w:val="72473C14"/>
    <w:rsid w:val="729F57FE"/>
    <w:rsid w:val="72BD3ED6"/>
    <w:rsid w:val="72D336FA"/>
    <w:rsid w:val="72F5541E"/>
    <w:rsid w:val="735F0AE9"/>
    <w:rsid w:val="73852C46"/>
    <w:rsid w:val="74387CB8"/>
    <w:rsid w:val="74DA2B1D"/>
    <w:rsid w:val="74FF07D6"/>
    <w:rsid w:val="754E7067"/>
    <w:rsid w:val="759233F8"/>
    <w:rsid w:val="75E55C1E"/>
    <w:rsid w:val="75F6594A"/>
    <w:rsid w:val="761B163F"/>
    <w:rsid w:val="762A3631"/>
    <w:rsid w:val="765B7C8E"/>
    <w:rsid w:val="7698264D"/>
    <w:rsid w:val="76A41635"/>
    <w:rsid w:val="76D11CFE"/>
    <w:rsid w:val="781F25EC"/>
    <w:rsid w:val="7824194A"/>
    <w:rsid w:val="78320EC2"/>
    <w:rsid w:val="78395DAD"/>
    <w:rsid w:val="783E7867"/>
    <w:rsid w:val="78EF0B61"/>
    <w:rsid w:val="793622EC"/>
    <w:rsid w:val="794C38BE"/>
    <w:rsid w:val="79B06543"/>
    <w:rsid w:val="79DA711C"/>
    <w:rsid w:val="79FF6B82"/>
    <w:rsid w:val="7A114B3E"/>
    <w:rsid w:val="7A5C3FD5"/>
    <w:rsid w:val="7A6335B5"/>
    <w:rsid w:val="7AAF67FA"/>
    <w:rsid w:val="7B18614D"/>
    <w:rsid w:val="7BF2699E"/>
    <w:rsid w:val="7D0F17D2"/>
    <w:rsid w:val="7D40198C"/>
    <w:rsid w:val="7D935F5F"/>
    <w:rsid w:val="7DAC7021"/>
    <w:rsid w:val="7E5B702C"/>
    <w:rsid w:val="7E7A2C7B"/>
    <w:rsid w:val="7F0709B3"/>
    <w:rsid w:val="7F2D5F40"/>
    <w:rsid w:val="7FB623D9"/>
    <w:rsid w:val="7FF16F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note text"/>
    <w:basedOn w:val="1"/>
    <w:qFormat/>
    <w:uiPriority w:val="0"/>
    <w:pPr>
      <w:snapToGrid w:val="0"/>
      <w:jc w:val="left"/>
    </w:pPr>
    <w:rPr>
      <w:sz w:val="18"/>
    </w:rPr>
  </w:style>
  <w:style w:type="paragraph" w:styleId="4">
    <w:name w:val="Normal (Web)"/>
    <w:basedOn w:val="1"/>
    <w:qFormat/>
    <w:uiPriority w:val="0"/>
    <w:rPr>
      <w:sz w:val="24"/>
    </w:rPr>
  </w:style>
  <w:style w:type="character" w:styleId="7">
    <w:name w:val="Strong"/>
    <w:basedOn w:val="6"/>
    <w:qFormat/>
    <w:uiPriority w:val="0"/>
    <w:rPr>
      <w:b/>
    </w:rPr>
  </w:style>
  <w:style w:type="character" w:styleId="8">
    <w:name w:val="Emphasis"/>
    <w:basedOn w:val="6"/>
    <w:qFormat/>
    <w:uiPriority w:val="0"/>
    <w:rPr>
      <w:i/>
    </w:rPr>
  </w:style>
  <w:style w:type="character" w:styleId="9">
    <w:name w:val="footnote reference"/>
    <w:basedOn w:val="6"/>
    <w:qFormat/>
    <w:uiPriority w:val="0"/>
    <w:rPr>
      <w:vertAlign w:val="superscript"/>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10650</Words>
  <Characters>11829</Characters>
  <Lines>0</Lines>
  <Paragraphs>0</Paragraphs>
  <TotalTime>3</TotalTime>
  <ScaleCrop>false</ScaleCrop>
  <LinksUpToDate>false</LinksUpToDate>
  <CharactersWithSpaces>12048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2025-08-26T13:20:00Z</dcterms:created>
  <dc:creator>lxxxx</dc:creator>
  <cp:lastModifiedBy>lxxxx</cp:lastModifiedBy>
  <dcterms:modified xsi:type="dcterms:W3CDTF">2026-03-30T03:32:14Z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985D6B08ED1445A2BC34BE7A5CC75D0D_13</vt:lpwstr>
  </property>
  <property fmtid="{D5CDD505-2E9C-101B-9397-08002B2CF9AE}" pid="4" name="KSOTemplateDocerSaveRecord">
    <vt:lpwstr>eyJoZGlkIjoiN2YzNjBkOTgyNWQ1YTMxYzM3MzMwNWFiODNmOWIzYWMiLCJ1c2VySWQiOiIxMDYwMDY5NTEwIn0=</vt:lpwstr>
  </property>
</Properties>
</file>