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048A72FE">
      <w:pPr>
        <w:jc w:val="center"/>
        <w:rPr>
          <w:rFonts w:hint="eastAsia" w:asciiTheme="majorEastAsia" w:hAnsiTheme="majorEastAsia" w:eastAsiaTheme="majorEastAsia"/>
          <w:b/>
          <w:bCs/>
          <w:sz w:val="32"/>
          <w:szCs w:val="32"/>
        </w:rPr>
      </w:pPr>
      <w:commentRangeStart w:id="0"/>
      <w:r>
        <w:rPr>
          <w:rFonts w:hint="eastAsia" w:asciiTheme="majorEastAsia" w:hAnsiTheme="majorEastAsia" w:eastAsiaTheme="majorEastAsia"/>
          <w:b/>
          <w:bCs/>
          <w:sz w:val="32"/>
          <w:szCs w:val="32"/>
        </w:rPr>
        <w:t>有限公司设立时股东出资连带责任的制度困境与完善路径</w:t>
      </w:r>
      <w:commentRangeEnd w:id="0"/>
      <w:r>
        <w:commentReference w:id="0"/>
      </w:r>
    </w:p>
    <w:p w14:paraId="64C84FF5">
      <w:pPr>
        <w:rPr>
          <w:rFonts w:hint="eastAsia" w:asciiTheme="minorEastAsia" w:hAnsiTheme="minorEastAsia"/>
          <w:sz w:val="24"/>
          <w:szCs w:val="24"/>
        </w:rPr>
      </w:pPr>
    </w:p>
    <w:p w14:paraId="73D0021A">
      <w:pPr>
        <w:rPr>
          <w:rFonts w:hint="eastAsia" w:asciiTheme="minorEastAsia" w:hAnsiTheme="minorEastAsia"/>
          <w:sz w:val="24"/>
          <w:szCs w:val="24"/>
        </w:rPr>
      </w:pPr>
    </w:p>
    <w:p w14:paraId="46229F27">
      <w:pPr>
        <w:ind w:firstLine="482" w:firstLineChars="200"/>
        <w:rPr>
          <w:rFonts w:hint="eastAsia" w:asciiTheme="minorEastAsia" w:hAnsiTheme="minorEastAsia"/>
          <w:b/>
          <w:bCs/>
          <w:sz w:val="22"/>
        </w:rPr>
      </w:pPr>
      <w:r>
        <w:rPr>
          <w:rFonts w:hint="eastAsia" w:ascii="黑体" w:hAnsi="黑体" w:eastAsia="黑体"/>
          <w:b/>
          <w:bCs/>
          <w:sz w:val="24"/>
          <w:szCs w:val="24"/>
        </w:rPr>
        <w:t>摘要：</w:t>
      </w:r>
      <w:r>
        <w:rPr>
          <w:rFonts w:hint="eastAsia" w:ascii="楷体" w:hAnsi="楷体" w:eastAsia="楷体"/>
          <w:sz w:val="24"/>
          <w:szCs w:val="24"/>
        </w:rPr>
        <w:t>有限公司设立时股东资本充实连带责任规则作为强化出资义务履行、保护债权人的制度安排在个案适用中存在对股东间公平利益关注不足问题。作为设立时股东出资连带责任法理基础的合伙理论与风险分配理论均难以为这一连带责任的正当性提供充分依据；规则运行中也难逃</w:t>
      </w:r>
      <w:r>
        <w:rPr>
          <w:rFonts w:ascii="楷体" w:hAnsi="楷体" w:eastAsia="楷体"/>
          <w:sz w:val="24"/>
          <w:szCs w:val="24"/>
        </w:rPr>
        <w:t>动摇股东公平、瓦解有限责任、牵连无过错股东、滋长规避行为</w:t>
      </w:r>
      <w:r>
        <w:rPr>
          <w:rFonts w:hint="eastAsia" w:ascii="楷体" w:hAnsi="楷体" w:eastAsia="楷体"/>
          <w:sz w:val="24"/>
          <w:szCs w:val="24"/>
        </w:rPr>
        <w:t>之嫌。应合理平衡设立时股东与公司债权人、设立时股东之间利益，采纳实质化认定有限公司发起人思路，允许部分设立时股东举证未实质参与设立行为而豁免，同时限缩追究发起人出资连带责任权利的时间范围。</w:t>
      </w:r>
    </w:p>
    <w:p w14:paraId="632322DE">
      <w:pPr>
        <w:ind w:firstLine="482" w:firstLineChars="200"/>
        <w:rPr>
          <w:rFonts w:hint="eastAsia" w:ascii="黑体" w:hAnsi="黑体" w:eastAsia="黑体"/>
          <w:sz w:val="24"/>
          <w:szCs w:val="24"/>
        </w:rPr>
      </w:pPr>
      <w:r>
        <w:rPr>
          <w:rFonts w:hint="eastAsia" w:ascii="黑体" w:hAnsi="黑体" w:eastAsia="黑体"/>
          <w:b/>
          <w:bCs/>
          <w:sz w:val="24"/>
          <w:szCs w:val="24"/>
        </w:rPr>
        <w:t>关键词</w:t>
      </w:r>
      <w:r>
        <w:rPr>
          <w:rFonts w:hint="eastAsia" w:ascii="黑体" w:hAnsi="黑体" w:eastAsia="黑体"/>
          <w:sz w:val="24"/>
          <w:szCs w:val="24"/>
        </w:rPr>
        <w:t>：</w:t>
      </w:r>
      <w:r>
        <w:rPr>
          <w:rFonts w:hint="eastAsia" w:ascii="楷体" w:hAnsi="楷体" w:eastAsia="楷体"/>
          <w:sz w:val="24"/>
          <w:szCs w:val="24"/>
        </w:rPr>
        <w:t>设立时股东 资本充实 出资责任 连带责任 发起人</w:t>
      </w:r>
    </w:p>
    <w:p w14:paraId="282AF749">
      <w:pPr>
        <w:rPr>
          <w:rFonts w:hint="eastAsia" w:asciiTheme="minorEastAsia" w:hAnsiTheme="minorEastAsia"/>
          <w:sz w:val="22"/>
        </w:rPr>
      </w:pPr>
    </w:p>
    <w:p w14:paraId="4824F479">
      <w:pPr>
        <w:spacing w:line="440" w:lineRule="atLeast"/>
        <w:ind w:firstLine="482" w:firstLineChars="200"/>
        <w:rPr>
          <w:rFonts w:hint="eastAsia" w:asciiTheme="minorEastAsia" w:hAnsiTheme="minorEastAsia"/>
          <w:b/>
          <w:bCs/>
          <w:sz w:val="24"/>
          <w:szCs w:val="24"/>
        </w:rPr>
      </w:pPr>
      <w:commentRangeStart w:id="1"/>
      <w:r>
        <w:rPr>
          <w:rFonts w:hint="eastAsia" w:asciiTheme="minorEastAsia" w:hAnsiTheme="minorEastAsia"/>
          <w:b/>
          <w:bCs/>
          <w:sz w:val="24"/>
          <w:szCs w:val="24"/>
        </w:rPr>
        <w:t>一、问题的提出</w:t>
      </w:r>
      <w:commentRangeEnd w:id="1"/>
      <w:r>
        <w:commentReference w:id="1"/>
      </w:r>
    </w:p>
    <w:p w14:paraId="30AE73C2">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在我国公司法中，有限公司设立时股东出资连带责任的规定已有30余年。1993年公司法诞生伊始便确立了非货币财产出资不实下设立时其他股东的连带补足责任。然而这一责任在后续的公司法变迁中呈现进一步扩大的趋势，在司法适用中引发诸多有违公平之问题，在学理上也曾面临股东有限责任扩大化的质疑。</w:t>
      </w:r>
    </w:p>
    <w:p w14:paraId="6B76FC3F">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尤其在司法实践中，公司债权人在向公司求偿未果时便转而从公司背后之股东处寻求突破口，追究未出资到位股东对公司无法清偿债务之补充清偿责任，并同时附带性地要求设立时股东对此承担连带清偿责任。由于设立时股东出资连带责任的存在，对于债权人而言，在公司不能清偿其债权时，尽可能将更多股东纳入主张范围以充实可供清偿债务之责任财产范围、增强债务获偿可能性是其理性选择，尽管股东未必多多益善，但至少在同次诉讼中可以起诉多名股东的情形下多一名被告股东便增添一分债权清偿之可能，也不会使得已然逾期未实现之债权面临进一步恶化之风险。因此，站在债权人立场，要求瑕疵出资股东补充清偿以及主张设立时股东承担连带责任的做法是理性人的必然选择。</w:t>
      </w:r>
    </w:p>
    <w:p w14:paraId="6E392B75">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以下是一组真实发生的关于设立时股东承担出资连带责任的案例：</w:t>
      </w:r>
    </w:p>
    <w:p w14:paraId="6142558A">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高新公司</w:t>
      </w:r>
      <w:r>
        <w:rPr>
          <w:rFonts w:asciiTheme="minorEastAsia" w:hAnsiTheme="minorEastAsia"/>
          <w:sz w:val="24"/>
          <w:szCs w:val="24"/>
        </w:rPr>
        <w:t>注册资本5000万元</w:t>
      </w:r>
      <w:r>
        <w:rPr>
          <w:rFonts w:hint="eastAsia" w:asciiTheme="minorEastAsia" w:hAnsiTheme="minorEastAsia"/>
          <w:sz w:val="24"/>
          <w:szCs w:val="24"/>
        </w:rPr>
        <w:t>，由天普公司（认缴250万元，</w:t>
      </w:r>
      <w:r>
        <w:rPr>
          <w:rFonts w:asciiTheme="minorEastAsia" w:hAnsiTheme="minorEastAsia"/>
          <w:sz w:val="24"/>
          <w:szCs w:val="24"/>
        </w:rPr>
        <w:t>占5%</w:t>
      </w:r>
      <w:r>
        <w:rPr>
          <w:rFonts w:hint="eastAsia" w:asciiTheme="minorEastAsia" w:hAnsiTheme="minorEastAsia"/>
          <w:sz w:val="24"/>
          <w:szCs w:val="24"/>
        </w:rPr>
        <w:t>）、天河高新公司（认缴1750万元，</w:t>
      </w:r>
      <w:r>
        <w:rPr>
          <w:rFonts w:asciiTheme="minorEastAsia" w:hAnsiTheme="minorEastAsia"/>
          <w:sz w:val="24"/>
          <w:szCs w:val="24"/>
        </w:rPr>
        <w:t>占35%</w:t>
      </w:r>
      <w:r>
        <w:rPr>
          <w:rFonts w:hint="eastAsia" w:asciiTheme="minorEastAsia" w:hAnsiTheme="minorEastAsia"/>
          <w:sz w:val="24"/>
          <w:szCs w:val="24"/>
        </w:rPr>
        <w:t>）、化十公司（认缴1500万元，</w:t>
      </w:r>
      <w:r>
        <w:rPr>
          <w:rFonts w:asciiTheme="minorEastAsia" w:hAnsiTheme="minorEastAsia"/>
          <w:sz w:val="24"/>
          <w:szCs w:val="24"/>
        </w:rPr>
        <w:t>占30%</w:t>
      </w:r>
      <w:r>
        <w:rPr>
          <w:rFonts w:hint="eastAsia" w:asciiTheme="minorEastAsia" w:hAnsiTheme="minorEastAsia"/>
          <w:sz w:val="24"/>
          <w:szCs w:val="24"/>
        </w:rPr>
        <w:t>）及建行北京信托公司（认缴1500万元，</w:t>
      </w:r>
      <w:r>
        <w:rPr>
          <w:rFonts w:asciiTheme="minorEastAsia" w:hAnsiTheme="minorEastAsia"/>
          <w:sz w:val="24"/>
          <w:szCs w:val="24"/>
        </w:rPr>
        <w:t>占30%</w:t>
      </w:r>
      <w:r>
        <w:rPr>
          <w:rFonts w:hint="eastAsia" w:asciiTheme="minorEastAsia" w:hAnsiTheme="minorEastAsia"/>
          <w:sz w:val="24"/>
          <w:szCs w:val="24"/>
        </w:rPr>
        <w:t>）1994年共同出资设立，各股东均应以现金出资。后法院查明天普公司、天河高新公司、化十公司并未实际向高新投资公司投入注册资金。2003年股东建行北京信托公司被行政撤销。</w:t>
      </w:r>
      <w:r>
        <w:rPr>
          <w:rFonts w:asciiTheme="minorEastAsia" w:hAnsiTheme="minorEastAsia"/>
          <w:sz w:val="24"/>
          <w:szCs w:val="24"/>
        </w:rPr>
        <w:t>天普公司</w:t>
      </w:r>
      <w:r>
        <w:rPr>
          <w:rFonts w:hint="eastAsia" w:asciiTheme="minorEastAsia" w:hAnsiTheme="minorEastAsia"/>
          <w:sz w:val="24"/>
          <w:szCs w:val="24"/>
        </w:rPr>
        <w:t>后被强制执行250万元</w:t>
      </w:r>
      <w:r>
        <w:rPr>
          <w:rFonts w:asciiTheme="minorEastAsia" w:hAnsiTheme="minorEastAsia"/>
          <w:sz w:val="24"/>
          <w:szCs w:val="24"/>
        </w:rPr>
        <w:t>足额履行出资义务</w:t>
      </w:r>
      <w:r>
        <w:rPr>
          <w:rFonts w:hint="eastAsia" w:asciiTheme="minorEastAsia" w:hAnsiTheme="minorEastAsia"/>
          <w:sz w:val="24"/>
          <w:szCs w:val="24"/>
        </w:rPr>
        <w:t>，其他股东均未足额出资义务。</w:t>
      </w:r>
    </w:p>
    <w:p w14:paraId="48D86693">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高新公司债权人——粤财公司，2010年起诉请求股东天普公司、天河高新公司、化十公司在未履行出资义务的4750万元内对高新公司欠其的1000万元借款本金及其利息承担连带责任并获得法院支持。判决生效后，天普公司共替上述两股东对粤财公司履行包括本息在内的2755万余元债务。</w:t>
      </w:r>
      <w:r>
        <w:rPr>
          <w:rStyle w:val="20"/>
          <w:rFonts w:asciiTheme="minorEastAsia" w:hAnsiTheme="minorEastAsia"/>
          <w:sz w:val="24"/>
          <w:szCs w:val="24"/>
        </w:rPr>
        <w:footnoteReference w:id="0"/>
      </w:r>
    </w:p>
    <w:p w14:paraId="30E3EE45">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 xml:space="preserve"> 高新公司债权人——盛景公司，2013年起诉请求股东</w:t>
      </w:r>
      <w:r>
        <w:rPr>
          <w:rFonts w:asciiTheme="minorEastAsia" w:hAnsiTheme="minorEastAsia"/>
          <w:sz w:val="24"/>
          <w:szCs w:val="24"/>
        </w:rPr>
        <w:t>天河高新公司、化十公司</w:t>
      </w:r>
      <w:r>
        <w:rPr>
          <w:rFonts w:hint="eastAsia" w:asciiTheme="minorEastAsia" w:hAnsiTheme="minorEastAsia"/>
          <w:sz w:val="24"/>
          <w:szCs w:val="24"/>
        </w:rPr>
        <w:t>在未履行出资义务的本息范围内2460万余元债务承担补充责任，并要求作为发起人股东之一的天普公司对此承担连带责任，法院支持上述请求。</w:t>
      </w:r>
      <w:r>
        <w:rPr>
          <w:rStyle w:val="20"/>
          <w:rFonts w:asciiTheme="minorEastAsia" w:hAnsiTheme="minorEastAsia"/>
          <w:sz w:val="24"/>
          <w:szCs w:val="24"/>
        </w:rPr>
        <w:footnoteReference w:id="1"/>
      </w:r>
    </w:p>
    <w:p w14:paraId="1C1AC9FA">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 xml:space="preserve"> 高新公司2017年被裁定破产，请求股东</w:t>
      </w:r>
      <w:r>
        <w:rPr>
          <w:rFonts w:asciiTheme="minorEastAsia" w:hAnsiTheme="minorEastAsia"/>
          <w:sz w:val="24"/>
          <w:szCs w:val="24"/>
        </w:rPr>
        <w:t>天普公司、天河高新公司、化十公司</w:t>
      </w:r>
      <w:r>
        <w:rPr>
          <w:rFonts w:hint="eastAsia" w:asciiTheme="minorEastAsia" w:hAnsiTheme="minorEastAsia"/>
          <w:sz w:val="24"/>
          <w:szCs w:val="24"/>
        </w:rPr>
        <w:t>缴付未出资的本息。法院判决天普公司支付此前未履行出资义务的利息部分，天河高新公司、化十公司支付未履行的出资利息。三股东对以上判项承担连带责任。后天普公司代天河高新公司履行未出资本息2862万余元，代化十公司履行未出资本息</w:t>
      </w:r>
      <w:r>
        <w:rPr>
          <w:rFonts w:asciiTheme="minorEastAsia" w:hAnsiTheme="minorEastAsia"/>
          <w:sz w:val="24"/>
          <w:szCs w:val="24"/>
        </w:rPr>
        <w:t>2453</w:t>
      </w:r>
      <w:r>
        <w:rPr>
          <w:rFonts w:hint="eastAsia" w:asciiTheme="minorEastAsia" w:hAnsiTheme="minorEastAsia"/>
          <w:sz w:val="24"/>
          <w:szCs w:val="24"/>
        </w:rPr>
        <w:t>万余</w:t>
      </w:r>
      <w:r>
        <w:rPr>
          <w:rFonts w:asciiTheme="minorEastAsia" w:hAnsiTheme="minorEastAsia"/>
          <w:sz w:val="24"/>
          <w:szCs w:val="24"/>
        </w:rPr>
        <w:t>元</w:t>
      </w:r>
      <w:r>
        <w:rPr>
          <w:rFonts w:hint="eastAsia" w:asciiTheme="minorEastAsia" w:hAnsiTheme="minorEastAsia"/>
          <w:sz w:val="24"/>
          <w:szCs w:val="24"/>
        </w:rPr>
        <w:t>。</w:t>
      </w:r>
      <w:r>
        <w:rPr>
          <w:rStyle w:val="20"/>
          <w:rFonts w:asciiTheme="minorEastAsia" w:hAnsiTheme="minorEastAsia"/>
          <w:sz w:val="24"/>
          <w:szCs w:val="24"/>
        </w:rPr>
        <w:footnoteReference w:id="2"/>
      </w:r>
    </w:p>
    <w:p w14:paraId="1FA3D1C8">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由以上三个案例看出，天普公司作为仅占高新公司5%股份、从未实际参与高新公司经营管理且唯一在执行程序中履行了认缴出资义务的小股东（其他发起人股东均未履行全部出资义务），却由于其设立时股东的身份屡次对公司债务替其他未履行出资义务股东承担了远超过其认缴出资款的资本充实连带责任。在追索债权时，无论是公司还是公司债权人都瞄准天普公司这一资金状况良好、银行账户有富余流动资金的设立时股东，并选择对天普公司的银行账户进行诉前保全。天普公司曾在对其他发起人股东追偿诉讼中提出，由于天河高新公司和化十公司均怠于履行生效判决，天普公司为避免责任扩大而无奈承担本应由其他发起人股东履行的出资责任。</w:t>
      </w:r>
      <w:r>
        <w:rPr>
          <w:rStyle w:val="20"/>
          <w:rFonts w:asciiTheme="minorEastAsia" w:hAnsiTheme="minorEastAsia"/>
          <w:sz w:val="24"/>
          <w:szCs w:val="24"/>
        </w:rPr>
        <w:footnoteReference w:id="3"/>
      </w:r>
      <w:r>
        <w:rPr>
          <w:rFonts w:hint="eastAsia" w:asciiTheme="minorEastAsia" w:hAnsiTheme="minorEastAsia"/>
          <w:sz w:val="24"/>
          <w:szCs w:val="24"/>
        </w:rPr>
        <w:t>仅认缴并已实缴250万元的天普公司由于发起人的资本充实连带责任而总共替其他发起人股东履行了8000万余元的出资本息。类似案例还有诸如安徽星亚车业有限公司、徐星弟、周亚平等追收未缴出资纠纷案</w:t>
      </w:r>
      <w:r>
        <w:rPr>
          <w:rStyle w:val="20"/>
          <w:rFonts w:asciiTheme="minorEastAsia" w:hAnsiTheme="minorEastAsia"/>
          <w:sz w:val="24"/>
          <w:szCs w:val="24"/>
        </w:rPr>
        <w:footnoteReference w:id="4"/>
      </w:r>
      <w:r>
        <w:rPr>
          <w:rFonts w:hint="eastAsia" w:asciiTheme="minorEastAsia" w:hAnsiTheme="minorEastAsia"/>
          <w:sz w:val="24"/>
          <w:szCs w:val="24"/>
        </w:rPr>
        <w:t>，法院判决分别认缴600万并占股10%的两位小股东叶向阳、吴鸿维对认缴4800万占股80%的股东徐星弟未能对公司履行的3200万元出资款承担连带补足责任；任殊钢等与唐艳执行异议之诉案</w:t>
      </w:r>
      <w:r>
        <w:rPr>
          <w:rStyle w:val="20"/>
          <w:rFonts w:asciiTheme="minorEastAsia" w:hAnsiTheme="minorEastAsia"/>
          <w:sz w:val="24"/>
          <w:szCs w:val="24"/>
        </w:rPr>
        <w:footnoteReference w:id="5"/>
      </w:r>
      <w:r>
        <w:rPr>
          <w:rFonts w:hint="eastAsia" w:asciiTheme="minorEastAsia" w:hAnsiTheme="minorEastAsia"/>
          <w:sz w:val="24"/>
          <w:szCs w:val="24"/>
        </w:rPr>
        <w:t>中，一、二审法院均判决仅认缴出资10万元占股0.002%的设立时股东任殊钢对另一设立时股东牧康公司未履行的4990万元出资义务向债权人履行300万元的连带赔偿责任。</w:t>
      </w:r>
    </w:p>
    <w:p w14:paraId="114CF9AD">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这不禁引发对设立时股东资本充实责任制度潜在弊端与可能引发的不正义结果的质疑，即仅认缴较小比例资本、并未深度参与公司设立运营活动的部分设立时股东，由于资本充实连带责任的规定而在其他设立时股东未履行出资义务的范围内对公司或者债权人承担了远超出其认缴数额的责任，这种结果是否公平合理？或者说，设立时股东出资连带责任是否过分偏重对债权人的保护而忽视了部分设立时小股东合理的利益诉求与投资预期，使得初衷在于防止公司设立欺诈损害债权人利益的资本充实责任制度在实际运行过程中客观上造成了无视甚至牺牲了股东间责任公平的局面。因此，伴随着债权人保护的规则与理念日趋强化，设立时股东出资连带责任制度面临的更为重要的问题是如何在保护债权人的同时保护小股东合理预期与投资权益，进而在股东与债权人权益保护、大股东与小股东权责对等方面达成平衡。本文拟从这一问题出发，探讨有限公司设立时股东资本充实连带责任潜在弊端、解释适用与完善。</w:t>
      </w:r>
    </w:p>
    <w:p w14:paraId="0767EBF5">
      <w:pPr>
        <w:spacing w:line="440" w:lineRule="atLeast"/>
        <w:ind w:firstLine="480" w:firstLineChars="200"/>
        <w:rPr>
          <w:rFonts w:hint="eastAsia" w:asciiTheme="minorEastAsia" w:hAnsiTheme="minorEastAsia"/>
          <w:sz w:val="24"/>
          <w:szCs w:val="24"/>
        </w:rPr>
      </w:pPr>
    </w:p>
    <w:p w14:paraId="31F34DB1">
      <w:pPr>
        <w:spacing w:line="440" w:lineRule="atLeast"/>
        <w:ind w:firstLine="482" w:firstLineChars="200"/>
        <w:rPr>
          <w:rFonts w:hint="eastAsia" w:asciiTheme="minorEastAsia" w:hAnsiTheme="minorEastAsia"/>
          <w:b/>
          <w:bCs/>
          <w:sz w:val="24"/>
          <w:szCs w:val="24"/>
        </w:rPr>
      </w:pPr>
      <w:r>
        <w:rPr>
          <w:rFonts w:hint="eastAsia" w:asciiTheme="minorEastAsia" w:hAnsiTheme="minorEastAsia"/>
          <w:b/>
          <w:bCs/>
          <w:sz w:val="24"/>
          <w:szCs w:val="24"/>
        </w:rPr>
        <w:t>二、有限公司发起人出资连带责任规则的发展脉络与法理基础</w:t>
      </w:r>
    </w:p>
    <w:p w14:paraId="16B9494C">
      <w:pPr>
        <w:spacing w:line="440" w:lineRule="atLeast"/>
        <w:ind w:firstLine="482" w:firstLineChars="200"/>
        <w:rPr>
          <w:rFonts w:hint="eastAsia" w:asciiTheme="minorEastAsia" w:hAnsiTheme="minorEastAsia"/>
          <w:b/>
          <w:bCs/>
          <w:sz w:val="24"/>
          <w:szCs w:val="24"/>
        </w:rPr>
      </w:pPr>
      <w:commentRangeStart w:id="2"/>
      <w:r>
        <w:rPr>
          <w:rFonts w:hint="eastAsia" w:asciiTheme="minorEastAsia" w:hAnsiTheme="minorEastAsia"/>
          <w:b/>
          <w:bCs/>
          <w:sz w:val="24"/>
          <w:szCs w:val="24"/>
        </w:rPr>
        <w:t>（一）发展脉络</w:t>
      </w:r>
      <w:commentRangeEnd w:id="2"/>
      <w:r>
        <w:commentReference w:id="2"/>
      </w:r>
    </w:p>
    <w:p w14:paraId="5738779E">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 xml:space="preserve"> 首先，在适用类型上，呈现范围扩张的趋势。1993年公司法便确立了设立时其他股东对于非货币出资不实股东的连带补足责任，此后</w:t>
      </w:r>
      <w:commentRangeStart w:id="3"/>
      <w:r>
        <w:rPr>
          <w:rFonts w:hint="eastAsia" w:asciiTheme="minorEastAsia" w:hAnsiTheme="minorEastAsia"/>
          <w:sz w:val="24"/>
          <w:szCs w:val="24"/>
        </w:rPr>
        <w:t>改</w:t>
      </w:r>
      <w:commentRangeEnd w:id="3"/>
      <w:r>
        <w:commentReference w:id="3"/>
      </w:r>
      <w:r>
        <w:rPr>
          <w:rFonts w:hint="eastAsia" w:asciiTheme="minorEastAsia" w:hAnsiTheme="minorEastAsia"/>
          <w:sz w:val="24"/>
          <w:szCs w:val="24"/>
        </w:rPr>
        <w:t>规则一直延用至2018年公司法，其间条文表述并未发生实质性修改或者要件范围的变化。然而，2011年最高人民法院颁布的公司法司法解释三第13条第3款在适用情形上扩张了公司法本身对于该连带出资补足责任的范围，将有限公司发起人的连带责任扩大到货币出资瑕疵的情形。直至2023年公司法修订时，才正式从法律层面确立了设立时股东货币出资不到位时其他股东的连带责任。由此可见，设立时股东出资连带责任的规则从最初仅适用于非货币出资逐渐扩展至如今同时适用于所有出资瑕疵的情形。不过，结合不同时段我国公司法采取的资本制度的差异以及相关配套规则改革的背景，在全面实缴制的时代，由于货币出资必须在公司设立时全额实缴并经过验资程序，似乎已然使得出现货币出资瑕疵、要求设立时股东承担货币出资不足连带责任的情形极为狭窄，且在公司设立时经过验资的货币出资，待公司成立后再通过非法途径抽逃或者转出的行为也难以为设立时其他股东所监督控制。因此，在本就管制严格且有最低限额的全面实缴制下，仅要求设立时其他股东对非货币出资不实承担责任的规定也情有可原。2005年后，公司法逐渐放松对公司资本的诸多限制，从实缴制到认缴制，注册资本最低限额从降低走向取消，国家层面资本管制的宽松化同时伴随着债权人保护端对于股东出资责任追究方式需求的强化，货币出资瑕疵下设立时股东的连带补足责任逐渐由最初司法解释的扩张到最终2023年公司法的明确规定。</w:t>
      </w:r>
    </w:p>
    <w:p w14:paraId="5C438703">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 xml:space="preserve"> 其次，在适用时间上，存在由分歧走向共识的过程。由于法条表述的不周延性，设立时股东连带责任的范围是限于设立时实缴部分还是同时包括设立时认缴部分的分歧在学理和裁判实践中长期以来未形成一致的意见。1993年至2023年公司法修订前，条文关于设立时股东资本充实连带责任的范围表述一直为“公司成立后”，实践中既有法院不区分设立时实缴出资与认缴出资而笼统地认为设立时股东应当对其他设立时股东实缴与认缴的出资均承担连带责任，最高院似乎秉持了该立场。例如，在“东莞勤上光电股份有限公司等诉池州市工业发展投资公司借款合同纠纷案”中，最高院认为发起人连带责任范围包括设立时认缴的出资，因为无论是设立时需实缴还是设立时认缴的出资，均属于公司设立时所确定的出资义务。</w:t>
      </w:r>
      <w:r>
        <w:rPr>
          <w:rStyle w:val="20"/>
          <w:rFonts w:asciiTheme="minorEastAsia" w:hAnsiTheme="minorEastAsia"/>
          <w:sz w:val="24"/>
          <w:szCs w:val="24"/>
        </w:rPr>
        <w:footnoteReference w:id="6"/>
      </w:r>
      <w:r>
        <w:rPr>
          <w:rFonts w:hint="eastAsia" w:asciiTheme="minorEastAsia" w:hAnsiTheme="minorEastAsia"/>
          <w:sz w:val="24"/>
          <w:szCs w:val="24"/>
        </w:rPr>
        <w:t>也有法院认为设立时股东的连带责任仅限于设立时需实缴的出资部分。例如，在“上海润冉轴承五金有限公司与顾某中等股东损害公司债权人利益责任纠纷”案中，上海金山区法院认为发起人责任是基于公司设立阶段发起人之间的合伙关系，除非法律或当事人另有特别约定，发起人之间的合伙关系应于公司成立之时即告终止。因此在设立阶段认缴、但可以在公司成立后实缴的出资，发起人之间不应承担连带责任。</w:t>
      </w:r>
      <w:r>
        <w:rPr>
          <w:rStyle w:val="20"/>
          <w:rFonts w:asciiTheme="minorEastAsia" w:hAnsiTheme="minorEastAsia"/>
          <w:sz w:val="24"/>
          <w:szCs w:val="24"/>
        </w:rPr>
        <w:footnoteReference w:id="7"/>
      </w:r>
      <w:r>
        <w:rPr>
          <w:rFonts w:hint="eastAsia" w:asciiTheme="minorEastAsia" w:hAnsiTheme="minorEastAsia"/>
          <w:sz w:val="24"/>
          <w:szCs w:val="24"/>
        </w:rPr>
        <w:t xml:space="preserve"> 这一裁判观点分歧直至2023年公司法第50条将 “公司成立后”修改为“公司设立时”，结合第51条公司成立后董事的出资核查催缴义务进行体系解释，才在学理与司法层面形成设立时股东出资连带责任仅限于公司设立时应当实缴部分的共识。</w:t>
      </w:r>
      <w:r>
        <w:rPr>
          <w:rStyle w:val="20"/>
          <w:rFonts w:asciiTheme="minorEastAsia" w:hAnsiTheme="minorEastAsia"/>
          <w:sz w:val="24"/>
          <w:szCs w:val="24"/>
        </w:rPr>
        <w:footnoteReference w:id="8"/>
      </w:r>
    </w:p>
    <w:p w14:paraId="20DA6518">
      <w:pPr>
        <w:spacing w:line="440" w:lineRule="atLeast"/>
        <w:ind w:firstLine="480" w:firstLineChars="200"/>
        <w:rPr>
          <w:rFonts w:hint="eastAsia" w:asciiTheme="minorEastAsia" w:hAnsiTheme="minorEastAsia"/>
          <w:sz w:val="24"/>
          <w:szCs w:val="24"/>
        </w:rPr>
      </w:pPr>
    </w:p>
    <w:p w14:paraId="408A9753">
      <w:pPr>
        <w:spacing w:line="440" w:lineRule="atLeast"/>
        <w:ind w:firstLine="482" w:firstLineChars="200"/>
        <w:rPr>
          <w:rFonts w:hint="eastAsia" w:asciiTheme="minorEastAsia" w:hAnsiTheme="minorEastAsia"/>
          <w:b/>
          <w:bCs/>
          <w:sz w:val="24"/>
          <w:szCs w:val="24"/>
        </w:rPr>
      </w:pPr>
      <w:r>
        <w:rPr>
          <w:rFonts w:hint="eastAsia" w:asciiTheme="minorEastAsia" w:hAnsiTheme="minorEastAsia"/>
          <w:b/>
          <w:bCs/>
          <w:sz w:val="24"/>
          <w:szCs w:val="24"/>
        </w:rPr>
        <w:t>（二）法理基础</w:t>
      </w:r>
    </w:p>
    <w:p w14:paraId="72FB53EF">
      <w:pPr>
        <w:spacing w:line="440" w:lineRule="atLeast"/>
        <w:ind w:firstLine="482" w:firstLineChars="200"/>
        <w:rPr>
          <w:rFonts w:hint="eastAsia" w:asciiTheme="minorEastAsia" w:hAnsiTheme="minorEastAsia"/>
          <w:b/>
          <w:bCs/>
          <w:sz w:val="24"/>
          <w:szCs w:val="24"/>
        </w:rPr>
      </w:pPr>
      <w:r>
        <w:rPr>
          <w:rFonts w:hint="eastAsia" w:asciiTheme="minorEastAsia" w:hAnsiTheme="minorEastAsia"/>
          <w:b/>
          <w:bCs/>
          <w:sz w:val="24"/>
          <w:szCs w:val="24"/>
        </w:rPr>
        <w:t>1．合伙关系说</w:t>
      </w:r>
    </w:p>
    <w:p w14:paraId="3D74E447">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 xml:space="preserve"> 学界与司法裁判中不少观点都认为设立时股东之间是一种合伙关系</w:t>
      </w:r>
      <w:r>
        <w:rPr>
          <w:rStyle w:val="20"/>
          <w:rFonts w:asciiTheme="minorEastAsia" w:hAnsiTheme="minorEastAsia"/>
          <w:sz w:val="24"/>
          <w:szCs w:val="24"/>
        </w:rPr>
        <w:footnoteReference w:id="9"/>
      </w:r>
      <w:r>
        <w:rPr>
          <w:rFonts w:hint="eastAsia" w:asciiTheme="minorEastAsia" w:hAnsiTheme="minorEastAsia"/>
          <w:sz w:val="24"/>
          <w:szCs w:val="24"/>
        </w:rPr>
        <w:t>，基于合伙人之间共担风险、共享收益的原则，对合伙组织产生的对外债务应付连带清偿责任。</w:t>
      </w:r>
    </w:p>
    <w:p w14:paraId="342B7289">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 xml:space="preserve"> 发起人合伙关系的阶段性与转化性较好地解释了资本充实连带责任的时间范围为何须限制在公司设立时需要实缴的出资部分。设立时股东之间这一合伙关系的维持仅存续于公司设立过程中，当公司成立取得独立法人地位时，有限责任制度的保护使得正式取得股东身份的公司设立者之间的合伙关系已解除并转化为股东与公司之间的关系，设立时股东相互之间不再具有紧密协作、共享风险与收益的团体关系，随着设立阶段共同目的事业——公司成立，这一结果的实现而告一段落。此后，设立时股东主要经由公司章程以及公司法效力的调整对公司主张权利义务以实现投资目的而非继续依赖与其他股东的直接关系。因此，合伙关系说仅能用于解释公司成立前的设立阶段中设立时股东之间的相互关系与法律责任，当公司正式成立时，这一合伙关系即告终结。进而，在公司成立后产生的债务，包括原始股东认缴的在公司成立后一定时间内才须实际缴纳的出资、公司增资时认缴或实缴的出资均不属于发起人合伙关系存续期间产生的债权债务，自然无法在股东之间产生连带责任。 </w:t>
      </w:r>
    </w:p>
    <w:p w14:paraId="4D938DCC">
      <w:pPr>
        <w:spacing w:line="440" w:lineRule="atLeast"/>
        <w:ind w:firstLine="482" w:firstLineChars="200"/>
        <w:rPr>
          <w:rFonts w:hint="eastAsia" w:asciiTheme="minorEastAsia" w:hAnsiTheme="minorEastAsia"/>
          <w:b/>
          <w:bCs/>
          <w:sz w:val="24"/>
          <w:szCs w:val="24"/>
        </w:rPr>
      </w:pPr>
      <w:r>
        <w:rPr>
          <w:rFonts w:hint="eastAsia" w:asciiTheme="minorEastAsia" w:hAnsiTheme="minorEastAsia"/>
          <w:b/>
          <w:bCs/>
          <w:sz w:val="24"/>
          <w:szCs w:val="24"/>
        </w:rPr>
        <w:t>2．风险分配正义理论</w:t>
      </w:r>
    </w:p>
    <w:p w14:paraId="1EC4FEB8">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风险分配正义理论认为，制造风险、最有能力控制风险并从风险中受益的主体应当承担风险责任的不利后果。</w:t>
      </w:r>
      <w:r>
        <w:rPr>
          <w:rStyle w:val="20"/>
          <w:rFonts w:asciiTheme="minorEastAsia" w:hAnsiTheme="minorEastAsia"/>
          <w:sz w:val="24"/>
          <w:szCs w:val="24"/>
        </w:rPr>
        <w:footnoteReference w:id="10"/>
      </w:r>
    </w:p>
    <w:p w14:paraId="54D0BDB3">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发起人是最有可能通过设立欺诈、虚假出资等行为转嫁风险损害公司与债权人利益且最有能力控制风险产生与蔓延的主体。发起人应当慎重选择创业合作伙伴，不得通谋以设立公司之名行诈害债权人、违背诚信原则与商业道德之实，不仅根本没有投入公司经营所需的必要资本，还意欲借助公司独立法人与股东有限责任制度逃脱因公司经营产生风险而生的法律责任。尤其在非货币出资的场合，与公司发生交易或其他法律关系的外部债权人难以识别出资的真实性以及用作非货币出资的财物与公司注册资本的等价性与否，难以判断设立时股东实际向公司投入资本的价值是否能大致匹配或充分覆盖公司的正常经营活动可能产生的业务风险。发起人是公司设立风险的开启者，因其深度参与了公司成立前期各种设立行为，最有可能感知并识别出其他共同发起人参与设立公司行为之目的与性质，并及时制止其他发起人不当行为；有理由在充分评估公司欲开展之业务活动的性质与风险的基础上通过实际投入与其相适应的资本、合理规划公司经营范围等方式切断公司设立产生的风险源；且有能力督促其他设立时股东及时缴纳出资、谨慎选择将来公司管理者以对冲股东有限责任制度可能外溢向债权人的风险流。因此，让其承担连带的出资担保责任是符合风险分配正义原则的做法。</w:t>
      </w:r>
    </w:p>
    <w:p w14:paraId="69505649">
      <w:pPr>
        <w:spacing w:line="440" w:lineRule="atLeast"/>
        <w:ind w:firstLine="480" w:firstLineChars="200"/>
        <w:rPr>
          <w:rFonts w:hint="eastAsia" w:asciiTheme="minorEastAsia" w:hAnsiTheme="minorEastAsia"/>
          <w:sz w:val="24"/>
          <w:szCs w:val="24"/>
        </w:rPr>
      </w:pPr>
    </w:p>
    <w:p w14:paraId="2535589F">
      <w:pPr>
        <w:spacing w:line="440" w:lineRule="atLeast"/>
        <w:ind w:firstLine="482" w:firstLineChars="200"/>
        <w:rPr>
          <w:rFonts w:hint="eastAsia" w:asciiTheme="minorEastAsia" w:hAnsiTheme="minorEastAsia"/>
          <w:b/>
          <w:bCs/>
          <w:sz w:val="24"/>
          <w:szCs w:val="24"/>
        </w:rPr>
      </w:pPr>
      <w:r>
        <w:rPr>
          <w:rFonts w:hint="eastAsia" w:asciiTheme="minorEastAsia" w:hAnsiTheme="minorEastAsia"/>
          <w:b/>
          <w:bCs/>
          <w:sz w:val="24"/>
          <w:szCs w:val="24"/>
        </w:rPr>
        <w:t>三、发起人出资连带责任的理论检视与实践反思</w:t>
      </w:r>
    </w:p>
    <w:p w14:paraId="4BAA34DA">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发起人资本充实责任是一种法定责任、不以过错为要件的严格责任以及因他人不当行为而使责任人负担的非自己责任。这种责任的根源不在于责任主体自身的不当行为，而是基于特定身份而产生的对他人行为的代偿责任。“基于发起人在公司设立过程中的地位及特殊作用，公司依法成立时，通过苛以发起人资本充实责任寻求公司设立便宜性与债权人利益保护之间的平衡”。</w:t>
      </w:r>
      <w:r>
        <w:rPr>
          <w:rFonts w:asciiTheme="minorEastAsia" w:hAnsiTheme="minorEastAsia"/>
          <w:sz w:val="24"/>
          <w:szCs w:val="24"/>
          <w:vertAlign w:val="superscript"/>
        </w:rPr>
        <w:t xml:space="preserve"> </w:t>
      </w:r>
      <w:r>
        <w:rPr>
          <w:rFonts w:asciiTheme="minorEastAsia" w:hAnsiTheme="minorEastAsia"/>
          <w:sz w:val="24"/>
          <w:szCs w:val="24"/>
          <w:vertAlign w:val="superscript"/>
        </w:rPr>
        <w:footnoteReference w:id="11"/>
      </w:r>
      <w:r>
        <w:rPr>
          <w:rFonts w:hint="eastAsia" w:asciiTheme="minorEastAsia" w:hAnsiTheme="minorEastAsia"/>
          <w:sz w:val="24"/>
          <w:szCs w:val="24"/>
        </w:rPr>
        <w:t>换言之，此种责任更多来自于法律基于不同主体对风险信息掌握状况与风险防范控制能力的差异而作出的倾斜性责任配置安排，相对于公司、公司债权人以及后加入的股东，发起人股东之间的紧密结合关系使其彼此之间更容易知晓与防控公司设立机会主义行为，通过资本充实连带责任的约束倒逼其密切关注并及时制止合作伙伴的不当行为，从而有效减少发起人道德风险的外化可能。但此种出于权衡性与便宜性考虑而给发起人股东施加的责任负担在理论基础与实践运行中也不乏缺陷与弊端。</w:t>
      </w:r>
    </w:p>
    <w:p w14:paraId="33ECDBA1">
      <w:pPr>
        <w:spacing w:line="440" w:lineRule="atLeast"/>
        <w:ind w:firstLine="723" w:firstLineChars="300"/>
        <w:rPr>
          <w:rFonts w:hint="eastAsia" w:asciiTheme="minorEastAsia" w:hAnsiTheme="minorEastAsia"/>
          <w:b/>
          <w:bCs/>
          <w:sz w:val="24"/>
          <w:szCs w:val="24"/>
        </w:rPr>
      </w:pPr>
      <w:r>
        <w:rPr>
          <w:rFonts w:hint="eastAsia" w:asciiTheme="minorEastAsia" w:hAnsiTheme="minorEastAsia"/>
          <w:b/>
          <w:bCs/>
          <w:sz w:val="24"/>
          <w:szCs w:val="24"/>
        </w:rPr>
        <w:t>（一）理论基础检视</w:t>
      </w:r>
    </w:p>
    <w:p w14:paraId="02604547">
      <w:pPr>
        <w:pStyle w:val="34"/>
        <w:spacing w:line="440" w:lineRule="atLeast"/>
        <w:ind w:left="842"/>
        <w:rPr>
          <w:rFonts w:hint="eastAsia" w:asciiTheme="minorEastAsia" w:hAnsiTheme="minorEastAsia"/>
          <w:b/>
          <w:bCs/>
          <w:sz w:val="24"/>
          <w:szCs w:val="24"/>
        </w:rPr>
      </w:pPr>
      <w:r>
        <w:rPr>
          <w:rFonts w:hint="eastAsia" w:asciiTheme="minorEastAsia" w:hAnsiTheme="minorEastAsia"/>
          <w:b/>
          <w:bCs/>
          <w:sz w:val="24"/>
          <w:szCs w:val="24"/>
        </w:rPr>
        <w:t>1.合伙关系理论之不足</w:t>
      </w:r>
    </w:p>
    <w:p w14:paraId="0A981E39">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合伙组织或者企业之中，普通合伙人之间就合伙组织对外活动中产生的债务互负无限连带责任。但这种连带责任有明显的限制条件与成立范围。其一，须是合伙组织运营中产生的债务。这便要求债务产生的原因来自合伙这一组织形态、体现组织意志并旨在实现组织利益的种种组织行为或团体行为。合伙人以个人意志为依据、追求个人利益行为产生的债务不能归属于合伙组织债务或合伙人团体债务。其二，须是合伙组织的对外债务而非合伙人之间的内部债务。这便要求存在独立于合伙组织体的债务人，各合伙人对合伙组织的债务以及合伙人之间的债务都不属于合伙组织债务的范围。</w:t>
      </w:r>
    </w:p>
    <w:p w14:paraId="350DAB8A">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发起人或者设立时股东之间固然存在相较于公司成立后股东之间更为紧密的利益共同体关系，这主要表现在公司最终未能成立时，发起人之间须对因设立行为产生的对外债务共同负担连带清偿责任。</w:t>
      </w:r>
    </w:p>
    <w:p w14:paraId="43421D31">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但就发起人对公司的出资之债而言，其一，发起人股东出资义务指向的对象是将来之公司，而将来之公司是经由发起人之间达成设立协议、从事设立行为、完成设立程序等一系列行为结果产物，并非共同设立行为所生外部债务的债权人。类比于合伙关系，设立中公司或者发起人团体便是合伙组织体，将来正式成立的公司是由设立中公司这一合伙组织体转化而成的独立法人主体。无论是作为过渡形态的设立中公司还是作为转化形态的成立后公司，其与发起人或者股东的关系都很难评价为组织体与组织体外部债权人发生的债权债务关系，而是组织体与其成员之间的内部关系。组织体对其成员之间的债权债务关系属于内部关系而非合伙人之间互负连带责任的组织体与外部债权人关系。</w:t>
      </w:r>
    </w:p>
    <w:p w14:paraId="12FFEA16">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其二，法律之所以允许多人共同设立公司且实践中</w:t>
      </w:r>
      <w:commentRangeStart w:id="4"/>
      <w:r>
        <w:rPr>
          <w:rFonts w:hint="eastAsia" w:asciiTheme="minorEastAsia" w:hAnsiTheme="minorEastAsia"/>
          <w:sz w:val="24"/>
          <w:szCs w:val="24"/>
        </w:rPr>
        <w:t>2</w:t>
      </w:r>
      <w:commentRangeEnd w:id="4"/>
      <w:r>
        <w:commentReference w:id="4"/>
      </w:r>
      <w:r>
        <w:rPr>
          <w:rFonts w:hint="eastAsia" w:asciiTheme="minorEastAsia" w:hAnsiTheme="minorEastAsia"/>
          <w:sz w:val="24"/>
          <w:szCs w:val="24"/>
        </w:rPr>
        <w:t>人以上股东组成的公司而非一人公司为商业常态，这便充分说明公司需要且允许不同的股东各自履行存在差异化可能的出资义务以共同缔造这一由不同来源、不同形态资本所组成的商业组织，不同股东所负的出资义务相互之间是独立的，股东对公司的出资之债并非将所有的出资义务作为一个整体而视为设立时所有股东均为共同债务人的多数人之债，也并非发起人团体之债。因此不同于合伙组织作为一个整体对外所负的共同债务，难以直接类推适用关于合伙人连带责任的规定。</w:t>
      </w:r>
    </w:p>
    <w:p w14:paraId="5C7C376A">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故而，合伙关系理论中合伙人对合伙组织债务承担连带责任的规则与发起人出资连带责任之间并不能很好地兼容，内部关系与外部关系的界限不能消弭，组织之债与个体之债的区别不容混同。即便发起人之间的合伙关系属性得到肯定，也无法解释为何发起人之间需就因组织内部关系而生且不同股东个体对公司的相互独立的出资之债承担连带责任。</w:t>
      </w:r>
    </w:p>
    <w:p w14:paraId="7D381DF1">
      <w:pPr>
        <w:pStyle w:val="34"/>
        <w:spacing w:line="440" w:lineRule="atLeast"/>
        <w:ind w:left="842"/>
        <w:rPr>
          <w:rFonts w:hint="eastAsia" w:asciiTheme="minorEastAsia" w:hAnsiTheme="minorEastAsia"/>
          <w:b/>
          <w:bCs/>
          <w:sz w:val="24"/>
          <w:szCs w:val="24"/>
        </w:rPr>
      </w:pPr>
      <w:r>
        <w:rPr>
          <w:rFonts w:hint="eastAsia" w:asciiTheme="minorEastAsia" w:hAnsiTheme="minorEastAsia"/>
          <w:b/>
          <w:bCs/>
          <w:sz w:val="24"/>
          <w:szCs w:val="24"/>
        </w:rPr>
        <w:t>2.风险分配正义理论之不足</w:t>
      </w:r>
    </w:p>
    <w:p w14:paraId="4922CA4B">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风险分配正义理论符合经济理性。作为一个抽象的群体，公司发起人显然比公司债权人甚至公司成立后的经营管理者更有能力识别与控制公司设立可能产生的风险。但其不足在于，在我国法律未严格区分有限公司设立时股东与公司发起人的制度背景下无法实现个体之间的风险分配正义与公平，注重抽象的风险分配而忽视了对特定群体内部不同成员异质性的考察。我国现行公司法文本层面对于有限公司并未采用“发起人”这一概念而统一将履行设立职责、承担设立时出资连带责任的主体称为“设立时股东”；公司法司法解释三第1条对公司发起人所作的“……公司发起人，包括有限责任公司设立时的股东”界定表述中，有限股东设立时股东似乎在逻辑上被发起人所包含，即可以理解为，有限公司发起人包括但不限于设立时股东，设立时股东均为公司发起人。这一理解也是最高人民法院的所持的裁判立场</w:t>
      </w:r>
      <w:r>
        <w:rPr>
          <w:rStyle w:val="20"/>
          <w:rFonts w:asciiTheme="minorEastAsia" w:hAnsiTheme="minorEastAsia"/>
          <w:sz w:val="24"/>
          <w:szCs w:val="24"/>
        </w:rPr>
        <w:footnoteReference w:id="12"/>
      </w:r>
      <w:r>
        <w:rPr>
          <w:rFonts w:hint="eastAsia" w:asciiTheme="minorEastAsia" w:hAnsiTheme="minorEastAsia"/>
          <w:sz w:val="24"/>
          <w:szCs w:val="24"/>
        </w:rPr>
        <w:t>。但问题在于，对于股份公司在法律层面区分了发起人股东与设立时股东且前者为后者所包含，便说明实际履行公司设立职责、对公司设立过程具有实质影响力、控制力的发起人股东显然要少于或者等于设立时股东的数量。设立时股东未必都参与了公司设立行为，这一结论在事实逻辑上也是成立的。公司法第50条以及司法解释三第1条将有限公司设立时股东等同于发起人的做法似乎有几分不切实际地预设了有限公司所有设立时股东均实质参与或影响了公司设立行为，但真实情况可能并非如此。在这一将设立时股东不加区分地一概认定为公司发起人的规则背景下，风险分配正义理论仅在抽象的设立时股东与公司债权人两大群体层面实现了初次责任分配问题，却无法继续深入观察设立时股东内部不同个体的风险制造与控制能力之差异并进而精细化地在影响力、作用力不同的股东之间实现风险责任有无、大小、轻重等方面的矫正与再分配。</w:t>
      </w:r>
    </w:p>
    <w:p w14:paraId="31C843E4">
      <w:pPr>
        <w:spacing w:line="440" w:lineRule="atLeast"/>
        <w:ind w:firstLine="240" w:firstLineChars="100"/>
        <w:rPr>
          <w:rFonts w:hint="eastAsia" w:asciiTheme="minorEastAsia" w:hAnsiTheme="minorEastAsia"/>
          <w:b/>
          <w:bCs/>
          <w:sz w:val="24"/>
          <w:szCs w:val="24"/>
        </w:rPr>
      </w:pPr>
      <w:commentRangeStart w:id="5"/>
      <w:r>
        <w:rPr>
          <w:rFonts w:hint="eastAsia" w:asciiTheme="minorEastAsia" w:hAnsiTheme="minorEastAsia"/>
          <w:sz w:val="24"/>
          <w:szCs w:val="24"/>
        </w:rPr>
        <w:t>（二）</w:t>
      </w:r>
      <w:r>
        <w:rPr>
          <w:rFonts w:hint="eastAsia" w:asciiTheme="minorEastAsia" w:hAnsiTheme="minorEastAsia"/>
          <w:b/>
          <w:bCs/>
          <w:sz w:val="24"/>
          <w:szCs w:val="24"/>
        </w:rPr>
        <w:t>实践弊端反思</w:t>
      </w:r>
      <w:commentRangeEnd w:id="5"/>
      <w:r>
        <w:commentReference w:id="5"/>
      </w:r>
    </w:p>
    <w:p w14:paraId="4009A5B2">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其一，发起人资本充实连带责任的严格责任性质使得部分未实质参与设立行为的小股东蒙受牵连。发起人资本充实责任不以该发起人具有过错为要件，且不存在豁免事由，部分责任主体对于其他瑕疵出资的发起人股东行为可能并无充分的掌控力与影响力。尤其是认缴份额较少、在公司设立过程中以及公司成立后均对相关事务没有太多话语权与控制力的中小股东，在大股东独揽大权绝对主宰公司设立进程以及与之相关的各项事务时，所谓的作为发起人股东资本充实连带责任前提假设的发起人相互监督便利性其实并不成立，此时若不加区分地要求认缴比例较少或者仅作为财务投资者而不实际参与经营管理事务的设立时股东对认缴比例大、实际掌控公司设立进程的大股东的出资瑕疵行为承担连带补足责任其实有失公平，且正当性基础存疑。</w:t>
      </w:r>
    </w:p>
    <w:p w14:paraId="4D2682D1">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其二，设立时股东出资瑕疵的识别难度问题。有些瑕疵出资行为较为隐蔽，尤其是非货币出资的情形下对于非货币财产价值的评估与认定可能本身就极具争议，正如巴菲特所说，“价值评估既是艺术，又是科学”，尤其是对于某些与企业特性紧密结合专用性资产，意欲较为客观准确地对其价值作出合理的评估可能并非易事。即便是共同创业的发起人股东其内部在身份、投资目的、专业背景等方面也可能差异悬殊，判断其他发起人股东的非货币出资是否名副其实、是否出资适当亦有相当的专业难度，让其相互之间对彼此的出资瑕疵行为尤其是非货币出资不实的情形承担连带补足责任合理性有待商榷。</w:t>
      </w:r>
    </w:p>
    <w:p w14:paraId="13877338">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其三，发起人资本充实连带责任的配置可能使资产状况良好、流动资金充沛的发起人股东承受不合理不公平的负担，动摇股东有限责任根基。在公司成立后，公司以及公司债权人都可能成为请求发起人股东承担资本充实连带责任的主体，因为发起人股东之间对外负有连带责任，任一发起人股东都不得以其无过错或者认缴占比小为由抗辩拒绝连带责任的请求，理性的公司与债权人必然会优先选择财产状况更佳而非出资有过错的发起人股东承担瑕疵出资补足责任，如此极易导致资产实力更为雄厚或者现金流状况更佳的发起人股东承担了更多的出资责任与更大的投资风险，且其实际承担的责任范围远超认缴出资的数额，正如本文第一部分所列之案例，现实中不乏占股比例极小的股东被清算中公司或者公司债权人负担数额巨大、超出认缴出资数额极其多倍的场景，在资本充实连带责任的威力之下股东原本应享受的有限责任之保护荡然无存。</w:t>
      </w:r>
    </w:p>
    <w:p w14:paraId="6494770C">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其四，有限公司设立时股东出资连带责任极易通过有意的投资安排加以规避。一方面，无法正面激励股东尽早实际缴纳出资。由于设立时股东连带责任的范围限于公司成立时需要实缴的部分，因此只要设立时股东约定所有出资均在公司成立后缴纳，公司设立时只需认缴无须实缴便可集体规避设立时股东出资连带责任的规定。这样一来，设立时股东在公司成立时便实际缴纳出资的公司中，各发起人股东的责任反而远远重于设立时仅认缴却并未实际缴纳出资的公司，变相鼓励了公司设立时分文不实缴的股东行为。另一方面，无助于引导设立时股东合理确定出资数额。发起人资本充实义务以公司设立时需实缴的资本总额为上限，设立时股东之间为了减小责任范围也容易在安排设立时实缴出资数额时极为谨慎与保守，使得股东注入公司的资本难以与实际经营需求与偿债担保需要相匹配。</w:t>
      </w:r>
    </w:p>
    <w:p w14:paraId="3DC37A40">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 xml:space="preserve">  </w:t>
      </w:r>
    </w:p>
    <w:p w14:paraId="6DD2DB28">
      <w:pPr>
        <w:spacing w:line="440" w:lineRule="atLeast"/>
        <w:ind w:firstLine="482" w:firstLineChars="200"/>
        <w:rPr>
          <w:rFonts w:hint="eastAsia" w:asciiTheme="minorEastAsia" w:hAnsiTheme="minorEastAsia"/>
          <w:b/>
          <w:bCs/>
          <w:sz w:val="24"/>
          <w:szCs w:val="24"/>
        </w:rPr>
      </w:pPr>
      <w:r>
        <w:rPr>
          <w:rFonts w:hint="eastAsia" w:asciiTheme="minorEastAsia" w:hAnsiTheme="minorEastAsia"/>
          <w:b/>
          <w:bCs/>
          <w:sz w:val="24"/>
          <w:szCs w:val="24"/>
        </w:rPr>
        <w:t>四、发起人出资连带责任规则的适用与完善</w:t>
      </w:r>
    </w:p>
    <w:p w14:paraId="4D2E7E5F">
      <w:pPr>
        <w:spacing w:line="440" w:lineRule="atLeast"/>
        <w:ind w:firstLine="482" w:firstLineChars="200"/>
        <w:rPr>
          <w:rFonts w:hint="eastAsia" w:asciiTheme="minorEastAsia" w:hAnsiTheme="minorEastAsia"/>
          <w:b/>
          <w:bCs/>
          <w:sz w:val="24"/>
          <w:szCs w:val="24"/>
        </w:rPr>
      </w:pPr>
      <w:r>
        <w:rPr>
          <w:rFonts w:hint="eastAsia" w:asciiTheme="minorEastAsia" w:hAnsiTheme="minorEastAsia"/>
          <w:b/>
          <w:bCs/>
          <w:sz w:val="24"/>
          <w:szCs w:val="24"/>
        </w:rPr>
        <w:t>（一）需要平衡的利益关系</w:t>
      </w:r>
    </w:p>
    <w:p w14:paraId="6746B79C">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发起人出资连带责任的适用需要平衡多方主体的关系，既包括抽象层面的设立时股东群体与公司债权人群体间利益平衡，也需在设立时股东这一群体内部不同成员之间实现权责对等。</w:t>
      </w:r>
    </w:p>
    <w:p w14:paraId="44F02EEA">
      <w:pPr>
        <w:spacing w:line="440" w:lineRule="atLeast"/>
        <w:ind w:firstLine="482" w:firstLineChars="200"/>
        <w:rPr>
          <w:rFonts w:hint="eastAsia" w:asciiTheme="minorEastAsia" w:hAnsiTheme="minorEastAsia"/>
          <w:b/>
          <w:bCs/>
          <w:sz w:val="24"/>
          <w:szCs w:val="24"/>
        </w:rPr>
      </w:pPr>
      <w:r>
        <w:rPr>
          <w:rFonts w:hint="eastAsia" w:asciiTheme="minorEastAsia" w:hAnsiTheme="minorEastAsia"/>
          <w:b/>
          <w:bCs/>
          <w:sz w:val="24"/>
          <w:szCs w:val="24"/>
        </w:rPr>
        <w:t>1．发起人股东与债权人的利益平衡</w:t>
      </w:r>
    </w:p>
    <w:p w14:paraId="778F1CE7">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发起人资本充实责任制度的初衷是防止公司设立时股东虚假出资、恶意转嫁风险等机会主义行为损害公司债权人利益，通过对发起人课以严格的连带出资责任强化出资义务的履行约束，让公司拥有与其注册资本范围相当的真实资本作为经营活动、偿债行为的一般担保。这一制度以例外性突破有限责任原则为代价保障公司初始资金充实，从而使公司与到期未获清偿的债权人都能通过向发起人股东主张出资连带补足责任以增强其债权实现可能性。在设立时股东与公司外部债权人信息不对称的背景下，通过课以设立时股东之间监督义务及强化其出资责任在一定程度上得以矫正债权人相较于公司设立者的信息弱势地位，避免发起人借助公司独立法人地位与股东有限责任制度逃避对债权人的清偿责任。</w:t>
      </w:r>
    </w:p>
    <w:p w14:paraId="405ABCE5">
      <w:pPr>
        <w:spacing w:line="440" w:lineRule="atLeast"/>
        <w:ind w:firstLine="482" w:firstLineChars="200"/>
        <w:rPr>
          <w:rFonts w:hint="eastAsia" w:asciiTheme="minorEastAsia" w:hAnsiTheme="minorEastAsia"/>
          <w:b/>
          <w:bCs/>
          <w:sz w:val="24"/>
          <w:szCs w:val="24"/>
        </w:rPr>
      </w:pPr>
      <w:r>
        <w:rPr>
          <w:rFonts w:hint="eastAsia" w:asciiTheme="minorEastAsia" w:hAnsiTheme="minorEastAsia"/>
          <w:b/>
          <w:bCs/>
          <w:sz w:val="24"/>
          <w:szCs w:val="24"/>
        </w:rPr>
        <w:t>2.设立时股东内部的利益平衡</w:t>
      </w:r>
    </w:p>
    <w:p w14:paraId="35917A6A">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设立时股东内部的不同个体间利益平衡也是发起人资本充实责任制度在设计与运行中有所欠缺并有待关注的重要问题。设立时股东内部的差异性不容忽视，并非所有设立时股东都参与的发起行为或对公司设立相关事宜具有影响力，认缴资本占比不同的大小股东、是否参与设立活动、在公司成立后是否担任公司经营管理者等方面因素均影响着其在设立公司过程中不同的作用力与话语权，对所有设立时股东不加区分地同质化归以连带出资责任的重负必定致使内部个体间利益失衡，动摇股东公平与股东有限责任原则。因此，在适用发起人出资连带责任时应当处理好设立时股东内部的利益平衡问题。</w:t>
      </w:r>
    </w:p>
    <w:p w14:paraId="0BB2F1A2">
      <w:pPr>
        <w:spacing w:line="440" w:lineRule="atLeast"/>
        <w:ind w:firstLine="482" w:firstLineChars="200"/>
        <w:rPr>
          <w:rFonts w:hint="eastAsia" w:asciiTheme="minorEastAsia" w:hAnsiTheme="minorEastAsia"/>
          <w:b/>
          <w:bCs/>
          <w:sz w:val="24"/>
          <w:szCs w:val="24"/>
        </w:rPr>
      </w:pPr>
      <w:r>
        <w:rPr>
          <w:rFonts w:hint="eastAsia" w:asciiTheme="minorEastAsia" w:hAnsiTheme="minorEastAsia"/>
          <w:b/>
          <w:bCs/>
          <w:sz w:val="24"/>
          <w:szCs w:val="24"/>
        </w:rPr>
        <w:t>（二）实质化认定有限公司发起人</w:t>
      </w:r>
    </w:p>
    <w:p w14:paraId="13D3883B">
      <w:pPr>
        <w:spacing w:line="440" w:lineRule="atLeast"/>
        <w:ind w:firstLine="482" w:firstLineChars="200"/>
        <w:rPr>
          <w:rFonts w:hint="eastAsia" w:asciiTheme="minorEastAsia" w:hAnsiTheme="minorEastAsia"/>
          <w:b/>
          <w:bCs/>
          <w:sz w:val="24"/>
          <w:szCs w:val="24"/>
        </w:rPr>
      </w:pPr>
      <w:r>
        <w:rPr>
          <w:rFonts w:hint="eastAsia" w:asciiTheme="minorEastAsia" w:hAnsiTheme="minorEastAsia"/>
          <w:b/>
          <w:bCs/>
          <w:sz w:val="24"/>
          <w:szCs w:val="24"/>
        </w:rPr>
        <w:t>1．有限公司发起人认定规则之缺陷</w:t>
      </w:r>
    </w:p>
    <w:p w14:paraId="0F9EBB1C">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首先是概念使用的杂糅与混乱。法律层面的发起人概念原本仅在股份公司的语境下被使用，以区分设立过程中尤其是募集设立的场合下，承担设立职责、参与公司筹办事务的股东与其他仅出资认股而并不实质参与设立事务的认股人。《公司法》对有限公司的规定中并未使用发起人这一概念而统一将所有初始的出资者称为设立时股东。也就是说，法律仅有在募集设立股份公司的背景下，对于设立时股东才有发起人股东与非发起人股东之别，而在发起设立的方式之下并未对发起人与其他设立时股东进行区分，所有设立时股东均为发起人。因此，法律层面发起人概念的适用语境与范围内涵较为清晰。</w:t>
      </w:r>
    </w:p>
    <w:p w14:paraId="3FEE1793">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概念的杂糅始于公司法司法解释三第1条对于发起人的界定。该条规定，“</w:t>
      </w:r>
      <w:r>
        <w:rPr>
          <w:rFonts w:asciiTheme="minorEastAsia" w:hAnsiTheme="minorEastAsia"/>
          <w:sz w:val="24"/>
          <w:szCs w:val="24"/>
        </w:rPr>
        <w:t>为设立公司而签署公司章程、向公司认购出资或者股份并履行公司设立职责的人，应当认定为公司的发起人，包括有限责任公司设立时的股东。</w:t>
      </w:r>
      <w:r>
        <w:rPr>
          <w:rFonts w:hint="eastAsia" w:asciiTheme="minorEastAsia" w:hAnsiTheme="minorEastAsia"/>
          <w:sz w:val="24"/>
          <w:szCs w:val="24"/>
        </w:rPr>
        <w:t>”如上所述，原本发起人是只在股份公司语境下使用的概念，但司法解释却扩张性地将发起人的概念引入有限公司之中，一并将原本仅适用于股份公司发起人的相关责任规定类推式地施加于有限公司设立时股东之上。例如，在2023年新公司法实施前，《公司法》规定之下有限公司设立时股东仅对彼此之间非货币出资不实的部分承担资本充实连带责任，司法解释却将原本仅适用于股份公司发起人的货币出资连带责任也施加到有限公司所有设立时股东之上。如此便模糊了法律层面原本清晰的发起人概念的适用边界。</w:t>
      </w:r>
    </w:p>
    <w:p w14:paraId="6DD9E9CD">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其次是对有限公司发起人的认定采形式而非实质标准。无论是基于字面意思的解读，还是司法解释三第1条关于其特征的界定，发起人这一概念都体现了对于公司设立职责的实际承担以及对公司设立进程的推进作用，在概念内涵与外延上未必等同于所有设立时股东。而司法解释三第1条先指出了发起人应当具备的“设立目的”“签署章程”“认购出资或股份”并“履行设立职责”等特征，其中“履行设立职责”是相对实质化的认定标准，一般而言，从事了围绕履行设立职责展开的一系列设立行为的出资者便对于公司设立进程起到了推动与促进力量，发挥了发起作用。司法解释的制定者似乎是关注到了发起人不同于其他认股人在公司设立中起到的作用，在对发起人界定特征的表述中使用的措辞是“并”履行设立职责，这说明仅满足前述签署章程、认购出资或股份等形式特征的股东并非一定履行了发起人的设立职责。但问题在于对有限公司却没有坚持这一结合形式与实质特征综合认定发起人的思路，而将所有的设立时股东都不加区分地囊括在发起人的范围之内。出于有限公司强人合性的预设，立法者与最高司法机关认为所有设立时股东之间存在紧密的合作关系，彼此之间对于对方的行为具有监督义务与能力，因此默认设立时股东均需承担资本充实连带责任。</w:t>
      </w:r>
    </w:p>
    <w:p w14:paraId="6434DB7B">
      <w:pPr>
        <w:pStyle w:val="34"/>
        <w:spacing w:line="440" w:lineRule="atLeast"/>
        <w:ind w:left="842"/>
        <w:rPr>
          <w:rFonts w:hint="eastAsia" w:asciiTheme="minorEastAsia" w:hAnsiTheme="minorEastAsia"/>
          <w:b/>
          <w:bCs/>
          <w:sz w:val="24"/>
          <w:szCs w:val="24"/>
        </w:rPr>
      </w:pPr>
      <w:r>
        <w:rPr>
          <w:rFonts w:hint="eastAsia" w:asciiTheme="minorEastAsia" w:hAnsiTheme="minorEastAsia"/>
          <w:b/>
          <w:bCs/>
          <w:sz w:val="24"/>
          <w:szCs w:val="24"/>
        </w:rPr>
        <w:t>2.实质化认定发起人</w:t>
      </w:r>
    </w:p>
    <w:p w14:paraId="078803F3">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在有限公司发起人认定中同样采取实质化思路，并将资本充实连带责任的主体范围限于发起人而非所有设立时股东，是更能体现出资连带责任制度目的且更能有效避免牵连仅出资而不实质参与设立行为之股东的做法。</w:t>
      </w:r>
    </w:p>
    <w:p w14:paraId="16FCBEDA">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其一，对公司设立起到实质推动作用的原始股东才是发起人。如此可能将仅提供小部分资金而并未参与公司设立事务、对公司设立事项没有影响力的原始股东排除出发起人范围。实质的发起作用体现在，具体参与了公司设立相关事项的分工，以设立中公司名义或者为设立中公司利益进行必要设立行为，对未来公司经营范围、管理人员、发展战略等事项具有决定权等。值得注意的是，强调实质的发起作用，并非将“出资不出力”、不具体负责相关设立事务的股东完全排除发起人范围，因为资金的注入本身也是公司设立过程中的重要推动力量，设立行为的进行也无法脱离必要的物质基础而展开。对于仅出资而不管事的设立时股东，还应结合其投入资本的形态、大小、占股比例等因素综合判断是否具有实质推动作用。例如出资占比很小、相对于公司经营业务的性质来说微不足道的情形下，该股东若同时未参与具体设立行为分工，可以因其未起到实质发起作用而不将其认定为发起人。在本文开篇所引高新公司有关案例中，作为小股东的天普公司认缴出资250万元仅占股5%，单纯从认缴出资额看，250万恐怕很难说是一笔小数额，但结合出资仅占比5%且标的公司所从事的主营业务为创业投资与经济担保来看，天普公司250万元的出资未必能对于公司的成立有不可或缺的影响，也很难说在标的公司的设立过程中发挥了实质性推进作用。</w:t>
      </w:r>
    </w:p>
    <w:p w14:paraId="01F653FE">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当然，以上由于小股东出资数额少占比低而对设立过程没有实质推动力的判断只是基于经验与常识的推测，考虑到不同公司设立过程中的各异情况以及实质推动力这一标准的判断本身便存在十足的复杂性与抽象性，且法律对于有限公司强人合性的预设默认设立时股东均为起到发起作用的发起人做法具备实践基础与现实依据，若完全采用实质标准认定有限公司发起人，那么对公司设立过程无从知晓的外部债权人又将陷入极大的判断与举证困难，从而为设立时股东以未实质起到发起作用为由轻易逃脱出资责任约束提供法律通道，这显然顾此失彼且背离发起人资本充实责任制度之初衷。</w:t>
      </w:r>
    </w:p>
    <w:p w14:paraId="514E736B">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因此，本文认为一个可供参考的思路是采用“形式推定+实质认定”的具体操作标准，这一思路此前也有学者在反思我国发起人范围界定难题与破解思路时所提出。</w:t>
      </w:r>
      <w:r>
        <w:rPr>
          <w:rStyle w:val="20"/>
          <w:rFonts w:asciiTheme="minorEastAsia" w:hAnsiTheme="minorEastAsia"/>
          <w:sz w:val="24"/>
          <w:szCs w:val="24"/>
        </w:rPr>
        <w:footnoteReference w:id="13"/>
      </w:r>
      <w:r>
        <w:rPr>
          <w:rFonts w:hint="eastAsia" w:asciiTheme="minorEastAsia" w:hAnsiTheme="minorEastAsia"/>
          <w:sz w:val="24"/>
          <w:szCs w:val="24"/>
        </w:rPr>
        <w:t>即推定有限公司所有设立时股东均为发起人，公司或者债权人向发起人主张出资连带责任时可以一并起诉所有设立时股东，由认为自己并非发起人的设立时股东举证证明其未起到实质发起作用，法院结合当事人举证情况以及依职权调查情况综合认定该设立时股东是否起到实质发起作用。基于形式推定的原则做法以及司法长期的实践惯性，有限公司设立时股东举证证明并说服法院以实质判断打破推定标准并非易事，只有在个案中小股东明显脱离于公司设立过程的情形中实质判断的发起人排除作用才被触发，设立时股东发起人出资连带责任的豁免仍然属于小概率事件而非司法实践的常态。如此既能防止设立时股东通过否认发起人身份逃避资本充实责任损害债权人，又能让真正对公司设立过程没有实质影响力的小股东免受其他股东不当行为的牵连，兼顾债权人保护与股东权责对等的实现。</w:t>
      </w:r>
    </w:p>
    <w:p w14:paraId="25F67F34">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其二，应区分发起人与发起行为辅助人。发起人的范围不能大于设立时股东，其他为公司设立提供咨询代理服务的主体为发起行为辅助人，不宜认定为发起人。理由在于，只有在设立时认缴出资成为股东的人才享有将来之股东收益，而包括发起人资本充实责任在内的一系列规范发起人行为的制度旨在防止公司设立者利用有限责任制度通过设立公司转嫁风险的方式欺诈债权人而享有与其义务不对等的收益，发起行为辅助人作为为设立时股东提供咨询代理等服务的第三方主体，其以收取佣金而非享有股东权益的方式作为代为具体实施发起行为的对价，辅助人所做的发起辅助行为也不过是对发起人股东意志与指示的具体执行，从根本上说仍是发起人在决定着公司设立的进程、方向与内容。</w:t>
      </w:r>
    </w:p>
    <w:p w14:paraId="1DF5CE35">
      <w:pPr>
        <w:spacing w:line="440" w:lineRule="atLeast"/>
        <w:ind w:firstLine="482" w:firstLineChars="200"/>
        <w:rPr>
          <w:rFonts w:hint="eastAsia" w:asciiTheme="minorEastAsia" w:hAnsiTheme="minorEastAsia"/>
          <w:b/>
          <w:bCs/>
          <w:sz w:val="24"/>
          <w:szCs w:val="24"/>
        </w:rPr>
      </w:pPr>
      <w:r>
        <w:rPr>
          <w:rFonts w:hint="eastAsia" w:asciiTheme="minorEastAsia" w:hAnsiTheme="minorEastAsia"/>
          <w:b/>
          <w:bCs/>
          <w:sz w:val="24"/>
          <w:szCs w:val="24"/>
        </w:rPr>
        <w:t>（三）限缩发起人出资连带责任追究的时间范围</w:t>
      </w:r>
    </w:p>
    <w:p w14:paraId="251B4D73">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 xml:space="preserve"> 在以往的案例中，发起人出资连带责任的触发情形往往出现在公司成立较长时间后由未能如期实现清偿的公司债权人或者公司破产清算中由清算组以公司名义向发起人追究出资连带责任，距离公司成立之前的设立行为较为遥远。这引发的问题是，公司原始股东只能基于设立行为当时对于其他原始股东品行与能力的判断决定是否与其共事，在公司成立后较长的时间里，随着时间的变化、事态的发展当初的公司发起人在经济状况、品行能力等方面必然不同于设立时的模样，时过境迁，当初由于财力所限仅在小范围出资的股东可能在此后的市场竞争中抓住风口扭转乾坤，而认缴大额出资的股东可能错误地对公司发展以及自身财务状况抱有过分乐观的预期却无力改变二者江河日下的局面，公司成立多年以后债权人或者清算组找到当年的发起人要求其对未出资到位的部分承担连带责任时，原本负有出资义务而未出资到位的股东可能早已负债累累实在无力履行出资义务，此时出资连带责任的束缚使得未缴纳的出资补足负担无端落到资金状况较好的其他发起人身上，即使承担了资本充实连带责任的发起人对于未出资到位之设立时股东享有追偿权，但追偿权的实现仍然遥遥无期。</w:t>
      </w:r>
    </w:p>
    <w:p w14:paraId="3A16EC32">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 xml:space="preserve"> 因此，虽然资本充实义务在公司设立伊始股东未按承诺实际缴纳的时刻便已产生，但在公司成立后较长的时间段里，公司董事会未适当履行催缴职责及时向未出资股东以及发起人主张出资责任，非要等到公司资产状况恶化时才由清算组或者债权人回头追溯早已结束的设立阶段发起人之出资连带责任，未免使得发起人在长时间里处于可能被追究巨额连带出资责任的不安状态。</w:t>
      </w:r>
    </w:p>
    <w:p w14:paraId="5120A911">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本文认为更加妥当的处理办法是，参考请求权诉讼时效或是形成权除斥期间的规定，对于公司或者债权人向除瑕疵出资股东本人以外的其他发起人追究连带出资责任的权利设置一至二年的存续期间；同时为了保护发起人的责任预期以及财产安定状态，该种权利存续期间应为不变期间。若权利存续期间届满，公司或者债权人应当追究瑕疵出资股东本人以及未尽催缴义务之董事责任，或者借由其他债权保护制度寻求救济。</w:t>
      </w:r>
    </w:p>
    <w:p w14:paraId="020CA7CA">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发起人出资连带责任的追究时间不宜无限拉长演变为发起人挥之不去的终身责任阴影，否则导致发起人股东权利与责任的显著失衡会极大挫伤社会资本在公司设立阶段以初始出资方式对于摇篮阶段创新创造的投资积极性，转而出于投资安全的保守选择将资金以公司成立后增资方式投入那些已具备基本雏形的较为成熟的商业项目，初创公司的生存空间与融资机会被无情压缩。对追究发起人资本充实连带责任的权利设置必要且合理的存续期限，一来并未消减发起人负有的资本充实义务，能促使发起人股东之间形成相互催缴的监督局面；二来兼顾了发起人股东利益的保护，不再使一朝成为公司发起人之投资者终生被困于资本充实连带责任的牢笼，因其他设立时股东的错误行为遭受长时间无法摆脱的连带责任噩梦。</w:t>
      </w:r>
    </w:p>
    <w:p w14:paraId="5AC8008B">
      <w:pPr>
        <w:spacing w:line="440" w:lineRule="atLeast"/>
        <w:ind w:firstLine="480" w:firstLineChars="200"/>
        <w:rPr>
          <w:rFonts w:hint="eastAsia" w:asciiTheme="minorEastAsia" w:hAnsiTheme="minorEastAsia"/>
          <w:sz w:val="24"/>
          <w:szCs w:val="24"/>
        </w:rPr>
      </w:pPr>
    </w:p>
    <w:p w14:paraId="5718F497">
      <w:pPr>
        <w:spacing w:line="440" w:lineRule="atLeast"/>
        <w:ind w:firstLine="482" w:firstLineChars="200"/>
        <w:rPr>
          <w:rFonts w:hint="eastAsia" w:asciiTheme="minorEastAsia" w:hAnsiTheme="minorEastAsia"/>
          <w:b/>
          <w:bCs/>
          <w:sz w:val="24"/>
          <w:szCs w:val="24"/>
        </w:rPr>
      </w:pPr>
      <w:r>
        <w:rPr>
          <w:rFonts w:hint="eastAsia" w:asciiTheme="minorEastAsia" w:hAnsiTheme="minorEastAsia"/>
          <w:b/>
          <w:bCs/>
          <w:sz w:val="24"/>
          <w:szCs w:val="24"/>
        </w:rPr>
        <w:t>五、结论</w:t>
      </w:r>
    </w:p>
    <w:p w14:paraId="3CFAF1FE">
      <w:pPr>
        <w:spacing w:line="440" w:lineRule="atLeast"/>
        <w:ind w:firstLine="480" w:firstLineChars="200"/>
        <w:rPr>
          <w:rFonts w:hint="eastAsia" w:asciiTheme="minorEastAsia" w:hAnsiTheme="minorEastAsia"/>
          <w:sz w:val="24"/>
          <w:szCs w:val="24"/>
        </w:rPr>
      </w:pPr>
      <w:r>
        <w:rPr>
          <w:rFonts w:hint="eastAsia" w:asciiTheme="minorEastAsia" w:hAnsiTheme="minorEastAsia"/>
          <w:sz w:val="24"/>
          <w:szCs w:val="24"/>
        </w:rPr>
        <w:t>有限公司设立时股东出资连带规则在我国已有较长的历史，然而在规则表达与司法适用中时常面临个案不正义的困境，与之伴随的理论基础薄弱与实践弊端丛生问题也较为凸显。检视设立时股东出资连带责任的理论基础，合伙债务之连带性原理基于债务之团体性与对外性，无法兼容设立时股东的出资之债的团体内部性与个体性；风险分配正义理论仅在抽象的群体层面完成了债权人与设立时股东的责任初次分配，难以深入考察设立时股东内部不同个体的异质性从而实现内部责任的再分配问题。反思设立时股东出资连带规则的实践弊端，在个案中可能动摇股东公平、瓦解有限责任、牵连无过错股东、滋长规避行为等。为此，应在解释适用乃至规则构建中对设立时股东出资连带规则加以完善。首先，需要平衡好设立时股东与公司债权人的利益关系以及设立时股东内部不同个体的利益关系。其次，对有限公司发起人的认定需体现实质化思路，改变将设立时股东与发起人股东不加区分的做法，资本充实连带责任仅适用于发起人而非所有设立时股东；在具体操作标准上，采用“形式推定+实质认定”方法。最后，限缩发起人出资连带责任的权利追究期限，避免这一责任持久化、终身化。</w:t>
      </w:r>
    </w:p>
    <w:p w14:paraId="1294DA83"/>
    <w:sectPr>
      <w:footerReference r:id="rId6" w:type="default"/>
      <w:footnotePr>
        <w:numFmt w:val="decimalEnclosedCircleChinese"/>
        <w:numRestart w:val="eachSect"/>
      </w:foot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 w:date="2026-04-01T15:57:21Z" w:initials="ad">
    <w:p w14:paraId="1130FE46">
      <w:pPr>
        <w:pStyle w:val="11"/>
        <w:rPr>
          <w:rFonts w:hint="eastAsia"/>
          <w:lang w:val="en-US" w:eastAsia="zh-CN"/>
        </w:rPr>
      </w:pPr>
      <w:r>
        <w:rPr>
          <w:rFonts w:hint="eastAsia"/>
          <w:lang w:val="en-US" w:eastAsia="zh-CN"/>
        </w:rPr>
        <w:t>感谢来稿。本文有一些写作亮点，但就论述深度、写作创新性、选题等方面，还存在较大的不足。建议另投他刊。</w:t>
      </w:r>
    </w:p>
    <w:p w14:paraId="6357D31B">
      <w:pPr>
        <w:pStyle w:val="11"/>
        <w:rPr>
          <w:rFonts w:hint="default"/>
          <w:lang w:val="en-US" w:eastAsia="zh-CN"/>
        </w:rPr>
      </w:pPr>
    </w:p>
    <w:p w14:paraId="241652C4">
      <w:pPr>
        <w:pStyle w:val="11"/>
        <w:rPr>
          <w:rFonts w:hint="eastAsia"/>
          <w:lang w:val="en-US" w:eastAsia="zh-CN"/>
        </w:rPr>
      </w:pPr>
      <w:r>
        <w:rPr>
          <w:rFonts w:hint="eastAsia"/>
          <w:lang w:val="en-US" w:eastAsia="zh-CN"/>
        </w:rPr>
        <w:t>1.文献情况掌握不够全面，全文文献占有量少。作为一个较为传统陈旧的选题，现有的研究是不少的，论文、著作、域外研究，都需要全面挖掘。</w:t>
      </w:r>
    </w:p>
    <w:p w14:paraId="588D2E27">
      <w:pPr>
        <w:pStyle w:val="11"/>
        <w:rPr>
          <w:rFonts w:hint="eastAsia"/>
          <w:lang w:val="en-US" w:eastAsia="zh-CN"/>
        </w:rPr>
      </w:pPr>
    </w:p>
    <w:p w14:paraId="1A30643C">
      <w:pPr>
        <w:pStyle w:val="11"/>
        <w:rPr>
          <w:rFonts w:hint="default"/>
          <w:lang w:val="en-US" w:eastAsia="zh-CN"/>
        </w:rPr>
      </w:pPr>
      <w:r>
        <w:rPr>
          <w:rFonts w:hint="eastAsia"/>
          <w:lang w:val="en-US" w:eastAsia="zh-CN"/>
        </w:rPr>
        <w:t>2.文章论述深度方面，本文本质上是一篇立法论文章，认为现行资本充实连带责任是不合理的，需增设豁免规则、细化发起人股东的认定、增设责任期间。但就论证深度上存在不足。一篇立法论的文章，不仅仅需要论证现行立法存在的不足，还需要考察立法的目标，需证明这一制度既无法达成制度目标，也会造成不利的后果，或现有制度已可予以替代的制度等。资本充实连带责任确实是不利于其他股东的利益，但这本就是立法出于债权人保护所作出的利益选择。全文的表述知识密度有些小。</w:t>
      </w:r>
      <w:bookmarkStart w:id="0" w:name="_GoBack"/>
      <w:bookmarkEnd w:id="0"/>
    </w:p>
    <w:p w14:paraId="1681412E">
      <w:pPr>
        <w:pStyle w:val="11"/>
        <w:rPr>
          <w:rFonts w:hint="default"/>
          <w:lang w:val="en-US" w:eastAsia="zh-CN"/>
        </w:rPr>
      </w:pPr>
    </w:p>
    <w:p w14:paraId="53C7F021">
      <w:pPr>
        <w:pStyle w:val="11"/>
        <w:rPr>
          <w:rFonts w:hint="default"/>
          <w:lang w:val="en-US" w:eastAsia="zh-CN"/>
        </w:rPr>
      </w:pPr>
      <w:r>
        <w:rPr>
          <w:rFonts w:hint="eastAsia"/>
          <w:lang w:val="en-US" w:eastAsia="zh-CN"/>
        </w:rPr>
        <w:t>3.本文的创新性不太明显。分析的问题、所提出的解决方案，与现行研究相比都较为常规。这可能反映出作者的选题切入口有些小，为何仅局限于设立时的资本充实连带责任？实际上，新公司法在“股东就其他股东的出资瑕疵承担责任”这个问题上，是有所突破扩张的，催缴失权制度即是例证，其他股东对于失权股权，要承担一个兜底的按比例出资的责任，这个责任也很奇怪，不符合责任自负原则，原理上与发起设立阶段的这种资本充实很像。如果能扩张到研究股东对其他股东的这种责任，而不仅限于设立阶段，可能会更能有所突破。</w:t>
      </w:r>
    </w:p>
    <w:p w14:paraId="0AEC7DF8">
      <w:pPr>
        <w:pStyle w:val="11"/>
        <w:rPr>
          <w:rFonts w:hint="default"/>
          <w:lang w:val="en-US" w:eastAsia="zh-CN"/>
        </w:rPr>
      </w:pPr>
    </w:p>
  </w:comment>
  <w:comment w:id="1" w:author="ad" w:date="2026-04-01T15:58:56Z" w:initials="ad">
    <w:p w14:paraId="67A3A282">
      <w:pPr>
        <w:pStyle w:val="11"/>
        <w:rPr>
          <w:rFonts w:hint="default"/>
          <w:lang w:val="en-US" w:eastAsia="zh-CN"/>
        </w:rPr>
      </w:pPr>
      <w:r>
        <w:rPr>
          <w:rFonts w:hint="eastAsia"/>
          <w:lang w:val="en-US" w:eastAsia="zh-CN"/>
        </w:rPr>
        <w:t>问题的提出部分，引入一个很生动的实践案例，突出了选题的实践价值，写的不错</w:t>
      </w:r>
    </w:p>
  </w:comment>
  <w:comment w:id="2" w:author="ad" w:date="2026-04-01T16:02:26Z" w:initials="ad">
    <w:p w14:paraId="46AECDF0">
      <w:pPr>
        <w:pStyle w:val="11"/>
        <w:rPr>
          <w:rFonts w:hint="default" w:eastAsiaTheme="minorEastAsia"/>
          <w:lang w:val="en-US" w:eastAsia="zh-CN"/>
        </w:rPr>
      </w:pPr>
      <w:r>
        <w:rPr>
          <w:rFonts w:hint="eastAsia"/>
          <w:lang w:val="en-US" w:eastAsia="zh-CN"/>
        </w:rPr>
        <w:t>这部分的梳理、总结，也很不错，不仅停留在文本表面，提炼分析了两个重要的问题</w:t>
      </w:r>
    </w:p>
  </w:comment>
  <w:comment w:id="3" w:author="ad" w:date="2026-04-01T16:01:15Z" w:initials="ad">
    <w:p w14:paraId="60663734">
      <w:pPr>
        <w:pStyle w:val="11"/>
        <w:rPr>
          <w:rFonts w:hint="eastAsia"/>
          <w:lang w:val="en-US" w:eastAsia="zh-CN"/>
        </w:rPr>
      </w:pPr>
      <w:r>
        <w:rPr>
          <w:rFonts w:hint="eastAsia"/>
          <w:lang w:val="en-US" w:eastAsia="zh-CN"/>
        </w:rPr>
        <w:t>笔误</w:t>
      </w:r>
    </w:p>
    <w:p w14:paraId="12C6570F">
      <w:pPr>
        <w:pStyle w:val="11"/>
        <w:rPr>
          <w:rFonts w:hint="default"/>
          <w:lang w:val="en-US" w:eastAsia="zh-CN"/>
        </w:rPr>
      </w:pPr>
      <w:r>
        <w:rPr>
          <w:rFonts w:hint="eastAsia"/>
          <w:lang w:val="en-US" w:eastAsia="zh-CN"/>
        </w:rPr>
        <w:t>全文可再检查通读</w:t>
      </w:r>
    </w:p>
  </w:comment>
  <w:comment w:id="4" w:author="ad" w:date="2026-04-01T16:03:32Z" w:initials="ad">
    <w:p w14:paraId="70385A90">
      <w:pPr>
        <w:pStyle w:val="11"/>
        <w:rPr>
          <w:rFonts w:hint="eastAsia" w:eastAsiaTheme="minorEastAsia"/>
          <w:lang w:val="en-US" w:eastAsia="zh-CN"/>
        </w:rPr>
      </w:pPr>
      <w:r>
        <w:rPr>
          <w:rFonts w:hint="eastAsia"/>
          <w:lang w:val="en-US" w:eastAsia="zh-CN"/>
        </w:rPr>
        <w:t>两</w:t>
      </w:r>
    </w:p>
  </w:comment>
  <w:comment w:id="5" w:author="ad" w:date="2026-04-01T16:05:46Z" w:initials="ad">
    <w:p w14:paraId="095F9BC0">
      <w:pPr>
        <w:pStyle w:val="11"/>
        <w:rPr>
          <w:rFonts w:hint="eastAsia"/>
          <w:lang w:val="en-US" w:eastAsia="zh-CN"/>
        </w:rPr>
      </w:pPr>
      <w:r>
        <w:rPr>
          <w:rFonts w:hint="eastAsia"/>
          <w:lang w:val="en-US" w:eastAsia="zh-CN"/>
        </w:rPr>
        <w:t>这些其实都是表面的原因，不足以说明这个制度的不足。这种连带责任本身就是立法做出的选择，立法在债权人保护与股东保护之间选择了保护债权人，所以单纯以其他股东的利益受损为由，主张立法不足的，并非很好的切入点。本文列举的这些不足，本就是立法所能预料的。</w:t>
      </w:r>
    </w:p>
    <w:p w14:paraId="6270722A">
      <w:pPr>
        <w:pStyle w:val="11"/>
        <w:rPr>
          <w:rFonts w:hint="eastAsia"/>
          <w:lang w:val="en-US" w:eastAsia="zh-CN"/>
        </w:rPr>
      </w:pPr>
    </w:p>
    <w:p w14:paraId="6022186D">
      <w:pPr>
        <w:pStyle w:val="11"/>
        <w:rPr>
          <w:rFonts w:hint="default"/>
          <w:lang w:val="en-US" w:eastAsia="zh-CN"/>
        </w:rPr>
      </w:pPr>
      <w:r>
        <w:rPr>
          <w:rFonts w:hint="eastAsia"/>
          <w:lang w:val="en-US" w:eastAsia="zh-CN"/>
        </w:rPr>
        <w:t>在立法论上批判这个制度，或许可以参考：如立法做出利益选择后，未能配套相应的措施，减少承担责任股东的损失。比如非瑕疵股东承担连带责任后，对瑕疵出资股东的追偿问题？又比如说该制度与现行其他制度的冗余，已经有类似的其他制度可以实现目标所以无需这一制度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AEC7DF8" w15:done="0"/>
  <w15:commentEx w15:paraId="67A3A282" w15:done="0"/>
  <w15:commentEx w15:paraId="46AECDF0" w15:done="0"/>
  <w15:commentEx w15:paraId="12C6570F" w15:done="0"/>
  <w15:commentEx w15:paraId="70385A90" w15:done="0"/>
  <w15:commentEx w15:paraId="6022186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39850312"/>
      <w:docPartObj>
        <w:docPartGallery w:val="autotext"/>
      </w:docPartObj>
    </w:sdtPr>
    <w:sdtContent>
      <w:p w14:paraId="394E58F4">
        <w:pPr>
          <w:pStyle w:val="12"/>
          <w:jc w:val="center"/>
        </w:pPr>
        <w:r>
          <w:fldChar w:fldCharType="begin"/>
        </w:r>
        <w:r>
          <w:instrText xml:space="preserve">PAGE   \* MERGEFORMAT</w:instrText>
        </w:r>
        <w:r>
          <w:fldChar w:fldCharType="separate"/>
        </w:r>
        <w:r>
          <w:rPr>
            <w:lang w:val="zh-CN"/>
          </w:rPr>
          <w:t>2</w:t>
        </w:r>
        <w:r>
          <w:fldChar w:fldCharType="end"/>
        </w:r>
      </w:p>
    </w:sdtContent>
  </w:sdt>
  <w:p w14:paraId="772107CF">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8">
    <w:p>
      <w:r>
        <w:separator/>
      </w:r>
    </w:p>
  </w:footnote>
  <w:footnote w:type="continuationSeparator" w:id="29">
    <w:p>
      <w:r>
        <w:continuationSeparator/>
      </w:r>
    </w:p>
  </w:footnote>
  <w:footnote w:id="0">
    <w:p w14:paraId="4AC3452D">
      <w:pPr>
        <w:pStyle w:val="15"/>
      </w:pPr>
      <w:r>
        <w:rPr>
          <w:rStyle w:val="20"/>
        </w:rPr>
        <w:footnoteRef/>
      </w:r>
      <w:r>
        <w:t xml:space="preserve"> </w:t>
      </w:r>
      <w:r>
        <w:rPr>
          <w:rFonts w:hint="eastAsia"/>
        </w:rPr>
        <w:t>参见</w:t>
      </w:r>
      <w:r>
        <w:t>广东</w:t>
      </w:r>
      <w:r>
        <w:rPr>
          <w:rFonts w:hint="eastAsia"/>
        </w:rPr>
        <w:t>省广州市中级人民法院（2010）</w:t>
      </w:r>
      <w:r>
        <w:t>穗中法民二终字第2167号</w:t>
      </w:r>
      <w:r>
        <w:rPr>
          <w:rFonts w:hint="eastAsia"/>
        </w:rPr>
        <w:t>民事判决书。</w:t>
      </w:r>
    </w:p>
  </w:footnote>
  <w:footnote w:id="1">
    <w:p w14:paraId="4041A285">
      <w:pPr>
        <w:pStyle w:val="15"/>
      </w:pPr>
      <w:r>
        <w:rPr>
          <w:rStyle w:val="20"/>
        </w:rPr>
        <w:footnoteRef/>
      </w:r>
      <w:r>
        <w:t xml:space="preserve"> </w:t>
      </w:r>
      <w:r>
        <w:rPr>
          <w:rFonts w:hint="eastAsia"/>
        </w:rPr>
        <w:t>参见广东省广州市中级人民法院（2014）</w:t>
      </w:r>
      <w:r>
        <w:t>穗中法民二初字第44号</w:t>
      </w:r>
      <w:r>
        <w:rPr>
          <w:rFonts w:hint="eastAsia"/>
        </w:rPr>
        <w:t>民事判决书。</w:t>
      </w:r>
    </w:p>
  </w:footnote>
  <w:footnote w:id="2">
    <w:p w14:paraId="17A0034C">
      <w:pPr>
        <w:pStyle w:val="15"/>
      </w:pPr>
      <w:r>
        <w:rPr>
          <w:rStyle w:val="20"/>
        </w:rPr>
        <w:footnoteRef/>
      </w:r>
      <w:r>
        <w:t xml:space="preserve"> </w:t>
      </w:r>
      <w:r>
        <w:rPr>
          <w:rFonts w:hint="eastAsia"/>
        </w:rPr>
        <w:t>参见广东省广州市中级人民法院（2017）</w:t>
      </w:r>
      <w:r>
        <w:t>粤01民初286号</w:t>
      </w:r>
      <w:r>
        <w:rPr>
          <w:rFonts w:hint="eastAsia"/>
        </w:rPr>
        <w:t>民事判决书。</w:t>
      </w:r>
    </w:p>
  </w:footnote>
  <w:footnote w:id="3">
    <w:p w14:paraId="7EEFC4AC">
      <w:pPr>
        <w:pStyle w:val="15"/>
      </w:pPr>
      <w:r>
        <w:rPr>
          <w:rStyle w:val="20"/>
        </w:rPr>
        <w:footnoteRef/>
      </w:r>
      <w:r>
        <w:t xml:space="preserve"> </w:t>
      </w:r>
      <w:r>
        <w:rPr>
          <w:rFonts w:hint="eastAsia"/>
        </w:rPr>
        <w:t>参见广东省广州市中级人民法院（2023）粤01民终1002号民事判决书。</w:t>
      </w:r>
    </w:p>
  </w:footnote>
  <w:footnote w:id="4">
    <w:p w14:paraId="38498FAE">
      <w:pPr>
        <w:pStyle w:val="15"/>
      </w:pPr>
      <w:r>
        <w:rPr>
          <w:rStyle w:val="20"/>
        </w:rPr>
        <w:footnoteRef/>
      </w:r>
      <w:r>
        <w:t xml:space="preserve"> </w:t>
      </w:r>
      <w:r>
        <w:rPr>
          <w:rFonts w:hint="eastAsia"/>
        </w:rPr>
        <w:t>参见安徽省宣城市中级人民法院（2019）皖18民初87号民事判决书。</w:t>
      </w:r>
    </w:p>
  </w:footnote>
  <w:footnote w:id="5">
    <w:p w14:paraId="2A4A8543">
      <w:pPr>
        <w:pStyle w:val="15"/>
      </w:pPr>
      <w:r>
        <w:rPr>
          <w:rStyle w:val="20"/>
        </w:rPr>
        <w:footnoteRef/>
      </w:r>
      <w:r>
        <w:t xml:space="preserve"> </w:t>
      </w:r>
      <w:r>
        <w:rPr>
          <w:rFonts w:hint="eastAsia"/>
        </w:rPr>
        <w:t>参见北京市朝阳区人民法院（2019）京0105民初75682号民事判决书；北京市第三中级人民法院（2020）京03民终7147号民事判决书。</w:t>
      </w:r>
    </w:p>
  </w:footnote>
  <w:footnote w:id="6">
    <w:p w14:paraId="2FF00223">
      <w:pPr>
        <w:pStyle w:val="15"/>
      </w:pPr>
      <w:r>
        <w:rPr>
          <w:rStyle w:val="20"/>
        </w:rPr>
        <w:footnoteRef/>
      </w:r>
      <w:r>
        <w:t xml:space="preserve"> </w:t>
      </w:r>
      <w:r>
        <w:rPr>
          <w:rFonts w:hint="eastAsia"/>
        </w:rPr>
        <w:t>参见最高人民法院（2016）最高法民申3764号民事判决书。</w:t>
      </w:r>
    </w:p>
  </w:footnote>
  <w:footnote w:id="7">
    <w:p w14:paraId="0439A1A8">
      <w:pPr>
        <w:pStyle w:val="15"/>
      </w:pPr>
      <w:r>
        <w:rPr>
          <w:rStyle w:val="20"/>
        </w:rPr>
        <w:footnoteRef/>
      </w:r>
      <w:r>
        <w:t xml:space="preserve"> </w:t>
      </w:r>
      <w:r>
        <w:rPr>
          <w:rFonts w:hint="eastAsia"/>
        </w:rPr>
        <w:t>参见上海市金山区人民法院（2021）沪0116民初9732号民事判决书。</w:t>
      </w:r>
    </w:p>
  </w:footnote>
  <w:footnote w:id="8">
    <w:p w14:paraId="331169C4">
      <w:pPr>
        <w:pStyle w:val="15"/>
      </w:pPr>
      <w:r>
        <w:rPr>
          <w:rStyle w:val="20"/>
        </w:rPr>
        <w:footnoteRef/>
      </w:r>
      <w:r>
        <w:t xml:space="preserve"> </w:t>
      </w:r>
      <w:r>
        <w:rPr>
          <w:rFonts w:hint="eastAsia"/>
        </w:rPr>
        <w:t>参见最高人民法院民事审判第二庭编著:《中华人民共和国公司法理解与适用（上）》，人民法院出版社2024年版，第226页；李建伟主编：《公司法评注》，法律出版社2024年版，第206页。周游主编：《新公司法条文解读与适用指引：案例·规则·文献》，法律出版社2024年版，第109页。</w:t>
      </w:r>
    </w:p>
  </w:footnote>
  <w:footnote w:id="9">
    <w:p w14:paraId="15C25C5F">
      <w:pPr>
        <w:pStyle w:val="15"/>
      </w:pPr>
      <w:r>
        <w:rPr>
          <w:rStyle w:val="20"/>
        </w:rPr>
        <w:footnoteRef/>
      </w:r>
      <w:r>
        <w:rPr>
          <w:rFonts w:hint="eastAsia"/>
        </w:rPr>
        <w:t xml:space="preserve"> 参见施天涛《公司法论（第五版）》，法律出版社2025年版，第158页；李建伟：《公司法学（第六版）》，中国人民大学出版社2024年版，第70页。</w:t>
      </w:r>
    </w:p>
  </w:footnote>
  <w:footnote w:id="10">
    <w:p w14:paraId="53A3255E">
      <w:pPr>
        <w:pStyle w:val="15"/>
      </w:pPr>
      <w:r>
        <w:rPr>
          <w:rStyle w:val="20"/>
        </w:rPr>
        <w:footnoteRef/>
      </w:r>
      <w:r>
        <w:rPr>
          <w:rFonts w:hint="eastAsia"/>
        </w:rPr>
        <w:t xml:space="preserve"> [奥]弗朗茨·比德林斯基：《私法的体系与原则》，曾见等译，中国人民大学出版社2023年版，第351页。</w:t>
      </w:r>
    </w:p>
  </w:footnote>
  <w:footnote w:id="11">
    <w:p w14:paraId="326B66AA">
      <w:pPr>
        <w:pStyle w:val="15"/>
      </w:pPr>
      <w:r>
        <w:rPr>
          <w:rStyle w:val="20"/>
        </w:rPr>
        <w:footnoteRef/>
      </w:r>
      <w:r>
        <w:rPr>
          <w:rFonts w:hint="eastAsia"/>
        </w:rPr>
        <w:t xml:space="preserve"> 参见</w:t>
      </w:r>
      <w:r>
        <w:t>冯果、南玉梅：《论股东补充赔偿责任及发起人的资本充实责任</w:t>
      </w:r>
      <w:r>
        <w:rPr>
          <w:rFonts w:hint="eastAsia"/>
        </w:rPr>
        <w:t>——</w:t>
      </w:r>
      <w:r>
        <w:t>以公司法司法解释（三）第13条的解释和适用为中心》，载《人民司法（应用）》2016年第4期，</w:t>
      </w:r>
      <w:r>
        <w:rPr>
          <w:rFonts w:hint="eastAsia"/>
        </w:rPr>
        <w:t>第36页。</w:t>
      </w:r>
    </w:p>
  </w:footnote>
  <w:footnote w:id="12">
    <w:p w14:paraId="3820F095">
      <w:pPr>
        <w:pStyle w:val="15"/>
      </w:pPr>
      <w:r>
        <w:rPr>
          <w:rStyle w:val="20"/>
        </w:rPr>
        <w:footnoteRef/>
      </w:r>
      <w:r>
        <w:t xml:space="preserve"> </w:t>
      </w:r>
      <w:r>
        <w:rPr>
          <w:rFonts w:hint="eastAsia"/>
        </w:rPr>
        <w:t>参见最高人民法院民事审判第二庭编著：《最高人民法院关于公司法解释（三）、清算纪要理解与适用》，人民法院出版社2011年版，第21页；最高人民法院民事裁定书（2019）最高法民申4665号。</w:t>
      </w:r>
    </w:p>
    <w:p w14:paraId="04259D47">
      <w:pPr>
        <w:pStyle w:val="15"/>
      </w:pPr>
    </w:p>
  </w:footnote>
  <w:footnote w:id="13">
    <w:p w14:paraId="7665482E">
      <w:pPr>
        <w:pStyle w:val="15"/>
      </w:pPr>
      <w:r>
        <w:rPr>
          <w:rStyle w:val="20"/>
        </w:rPr>
        <w:footnoteRef/>
      </w:r>
      <w:r>
        <w:t xml:space="preserve"> </w:t>
      </w:r>
      <w:r>
        <w:rPr>
          <w:rFonts w:hint="eastAsia"/>
        </w:rPr>
        <w:t>参见周游：《公司发起人范围界定难题及其破解》，载《中国政法大学学报》2022年第5期，第185页。</w:t>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
    <w15:presenceInfo w15:providerId="None" w15:userI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Sect"/>
    <w:footnote w:id="28"/>
    <w:footnote w:id="29"/>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58FC"/>
    <w:rsid w:val="00000075"/>
    <w:rsid w:val="00002A1A"/>
    <w:rsid w:val="000075B8"/>
    <w:rsid w:val="00020C02"/>
    <w:rsid w:val="000210F1"/>
    <w:rsid w:val="00022A54"/>
    <w:rsid w:val="00027C94"/>
    <w:rsid w:val="00030E03"/>
    <w:rsid w:val="00037609"/>
    <w:rsid w:val="00037868"/>
    <w:rsid w:val="00037D8F"/>
    <w:rsid w:val="00052B13"/>
    <w:rsid w:val="000653AE"/>
    <w:rsid w:val="00070AF8"/>
    <w:rsid w:val="000816F3"/>
    <w:rsid w:val="0008715D"/>
    <w:rsid w:val="00093303"/>
    <w:rsid w:val="000C6316"/>
    <w:rsid w:val="000D0C78"/>
    <w:rsid w:val="000E535A"/>
    <w:rsid w:val="000E5C0A"/>
    <w:rsid w:val="000F2BA1"/>
    <w:rsid w:val="000F3780"/>
    <w:rsid w:val="000F4760"/>
    <w:rsid w:val="00136A61"/>
    <w:rsid w:val="0014328B"/>
    <w:rsid w:val="001439CD"/>
    <w:rsid w:val="0015184C"/>
    <w:rsid w:val="00170244"/>
    <w:rsid w:val="00182412"/>
    <w:rsid w:val="00183443"/>
    <w:rsid w:val="00187348"/>
    <w:rsid w:val="00191EE8"/>
    <w:rsid w:val="0019661F"/>
    <w:rsid w:val="001A5206"/>
    <w:rsid w:val="001C33BE"/>
    <w:rsid w:val="001C625F"/>
    <w:rsid w:val="001D1F34"/>
    <w:rsid w:val="001D5F25"/>
    <w:rsid w:val="001E39AF"/>
    <w:rsid w:val="001F4EA7"/>
    <w:rsid w:val="00206E3C"/>
    <w:rsid w:val="00210CCC"/>
    <w:rsid w:val="002171DC"/>
    <w:rsid w:val="00224209"/>
    <w:rsid w:val="0024377C"/>
    <w:rsid w:val="002536C9"/>
    <w:rsid w:val="00253E1C"/>
    <w:rsid w:val="00274542"/>
    <w:rsid w:val="00277E24"/>
    <w:rsid w:val="00291A12"/>
    <w:rsid w:val="002A4CF4"/>
    <w:rsid w:val="002B70A4"/>
    <w:rsid w:val="002C4157"/>
    <w:rsid w:val="002E24A9"/>
    <w:rsid w:val="002E5630"/>
    <w:rsid w:val="002E6B4A"/>
    <w:rsid w:val="00304B92"/>
    <w:rsid w:val="00306B72"/>
    <w:rsid w:val="003106FC"/>
    <w:rsid w:val="003158F5"/>
    <w:rsid w:val="0031629E"/>
    <w:rsid w:val="00344564"/>
    <w:rsid w:val="003509F8"/>
    <w:rsid w:val="00370DE5"/>
    <w:rsid w:val="00382982"/>
    <w:rsid w:val="00391548"/>
    <w:rsid w:val="00395151"/>
    <w:rsid w:val="003A4219"/>
    <w:rsid w:val="003B0F75"/>
    <w:rsid w:val="003B68E0"/>
    <w:rsid w:val="003C14D5"/>
    <w:rsid w:val="003C1E9F"/>
    <w:rsid w:val="003E1892"/>
    <w:rsid w:val="003F74FE"/>
    <w:rsid w:val="004010E5"/>
    <w:rsid w:val="00417646"/>
    <w:rsid w:val="004224D6"/>
    <w:rsid w:val="00430A47"/>
    <w:rsid w:val="004318FA"/>
    <w:rsid w:val="0043523D"/>
    <w:rsid w:val="00435C77"/>
    <w:rsid w:val="004371BD"/>
    <w:rsid w:val="00441671"/>
    <w:rsid w:val="0044354E"/>
    <w:rsid w:val="00457B56"/>
    <w:rsid w:val="00461A3F"/>
    <w:rsid w:val="00461E2C"/>
    <w:rsid w:val="00491B1A"/>
    <w:rsid w:val="004975EC"/>
    <w:rsid w:val="004A1756"/>
    <w:rsid w:val="004B690D"/>
    <w:rsid w:val="004B77F2"/>
    <w:rsid w:val="004B7A5F"/>
    <w:rsid w:val="004C2878"/>
    <w:rsid w:val="004C3D87"/>
    <w:rsid w:val="004D3294"/>
    <w:rsid w:val="004D5C88"/>
    <w:rsid w:val="004E24FD"/>
    <w:rsid w:val="004F4AB2"/>
    <w:rsid w:val="005021FD"/>
    <w:rsid w:val="00505CB3"/>
    <w:rsid w:val="00515C3C"/>
    <w:rsid w:val="005262AF"/>
    <w:rsid w:val="0052639B"/>
    <w:rsid w:val="005324F0"/>
    <w:rsid w:val="00532C56"/>
    <w:rsid w:val="00536322"/>
    <w:rsid w:val="00544733"/>
    <w:rsid w:val="00556078"/>
    <w:rsid w:val="00593B64"/>
    <w:rsid w:val="005A4409"/>
    <w:rsid w:val="005B32E5"/>
    <w:rsid w:val="005C4B01"/>
    <w:rsid w:val="005C73B4"/>
    <w:rsid w:val="005C7F79"/>
    <w:rsid w:val="005D21E0"/>
    <w:rsid w:val="005D5D54"/>
    <w:rsid w:val="005D7C57"/>
    <w:rsid w:val="005E0DD4"/>
    <w:rsid w:val="005E62C4"/>
    <w:rsid w:val="00606683"/>
    <w:rsid w:val="00617F7B"/>
    <w:rsid w:val="006333A1"/>
    <w:rsid w:val="006449C0"/>
    <w:rsid w:val="00644F93"/>
    <w:rsid w:val="0065261D"/>
    <w:rsid w:val="006545BE"/>
    <w:rsid w:val="006634F4"/>
    <w:rsid w:val="00666C92"/>
    <w:rsid w:val="00676E41"/>
    <w:rsid w:val="00692341"/>
    <w:rsid w:val="006958FC"/>
    <w:rsid w:val="00696112"/>
    <w:rsid w:val="006A0523"/>
    <w:rsid w:val="006A57A2"/>
    <w:rsid w:val="006A6106"/>
    <w:rsid w:val="006B2B0B"/>
    <w:rsid w:val="006B2C29"/>
    <w:rsid w:val="006C7E72"/>
    <w:rsid w:val="006E31F8"/>
    <w:rsid w:val="006E352F"/>
    <w:rsid w:val="006E5FA8"/>
    <w:rsid w:val="006F7CEB"/>
    <w:rsid w:val="00703C01"/>
    <w:rsid w:val="00704500"/>
    <w:rsid w:val="0073768E"/>
    <w:rsid w:val="00753C57"/>
    <w:rsid w:val="00765655"/>
    <w:rsid w:val="00775971"/>
    <w:rsid w:val="00786054"/>
    <w:rsid w:val="00790632"/>
    <w:rsid w:val="007A3E16"/>
    <w:rsid w:val="007A56D3"/>
    <w:rsid w:val="007B7E30"/>
    <w:rsid w:val="007E35B8"/>
    <w:rsid w:val="007E4934"/>
    <w:rsid w:val="007F2506"/>
    <w:rsid w:val="008008D6"/>
    <w:rsid w:val="0080279E"/>
    <w:rsid w:val="00803F4E"/>
    <w:rsid w:val="00806BA5"/>
    <w:rsid w:val="00830B19"/>
    <w:rsid w:val="00830F5E"/>
    <w:rsid w:val="00833A34"/>
    <w:rsid w:val="008405B0"/>
    <w:rsid w:val="008462D2"/>
    <w:rsid w:val="00846D9E"/>
    <w:rsid w:val="00864B01"/>
    <w:rsid w:val="00866638"/>
    <w:rsid w:val="008930EA"/>
    <w:rsid w:val="00893998"/>
    <w:rsid w:val="008A016E"/>
    <w:rsid w:val="008A032F"/>
    <w:rsid w:val="008B5F00"/>
    <w:rsid w:val="008B6B11"/>
    <w:rsid w:val="008B733E"/>
    <w:rsid w:val="008D06E3"/>
    <w:rsid w:val="008D2D07"/>
    <w:rsid w:val="008D6A6F"/>
    <w:rsid w:val="00917222"/>
    <w:rsid w:val="0092321F"/>
    <w:rsid w:val="00930033"/>
    <w:rsid w:val="0093160A"/>
    <w:rsid w:val="00940668"/>
    <w:rsid w:val="0096686C"/>
    <w:rsid w:val="00973CD9"/>
    <w:rsid w:val="009754D3"/>
    <w:rsid w:val="009845D2"/>
    <w:rsid w:val="009A54FA"/>
    <w:rsid w:val="009A5626"/>
    <w:rsid w:val="009A5E4C"/>
    <w:rsid w:val="009D188F"/>
    <w:rsid w:val="009D7243"/>
    <w:rsid w:val="009E0651"/>
    <w:rsid w:val="009E1BE1"/>
    <w:rsid w:val="009F5FF5"/>
    <w:rsid w:val="009F663A"/>
    <w:rsid w:val="00A05737"/>
    <w:rsid w:val="00A54584"/>
    <w:rsid w:val="00A63B41"/>
    <w:rsid w:val="00A67634"/>
    <w:rsid w:val="00A740C5"/>
    <w:rsid w:val="00A837DF"/>
    <w:rsid w:val="00A87A17"/>
    <w:rsid w:val="00A92FCB"/>
    <w:rsid w:val="00A96835"/>
    <w:rsid w:val="00AA00B7"/>
    <w:rsid w:val="00AA3553"/>
    <w:rsid w:val="00AB189F"/>
    <w:rsid w:val="00AB1AEB"/>
    <w:rsid w:val="00AC3033"/>
    <w:rsid w:val="00AC43AE"/>
    <w:rsid w:val="00AC6592"/>
    <w:rsid w:val="00AD180E"/>
    <w:rsid w:val="00AD311F"/>
    <w:rsid w:val="00AD4C87"/>
    <w:rsid w:val="00AF1F35"/>
    <w:rsid w:val="00B12E16"/>
    <w:rsid w:val="00B26974"/>
    <w:rsid w:val="00B32548"/>
    <w:rsid w:val="00B510F9"/>
    <w:rsid w:val="00B57B4E"/>
    <w:rsid w:val="00B63A8A"/>
    <w:rsid w:val="00B65530"/>
    <w:rsid w:val="00B65667"/>
    <w:rsid w:val="00B747FC"/>
    <w:rsid w:val="00B8118A"/>
    <w:rsid w:val="00B82114"/>
    <w:rsid w:val="00B92DDF"/>
    <w:rsid w:val="00B92E61"/>
    <w:rsid w:val="00B95842"/>
    <w:rsid w:val="00B95DFD"/>
    <w:rsid w:val="00B97604"/>
    <w:rsid w:val="00B97FA0"/>
    <w:rsid w:val="00BA02A8"/>
    <w:rsid w:val="00BB0C2C"/>
    <w:rsid w:val="00BB3263"/>
    <w:rsid w:val="00BB62AD"/>
    <w:rsid w:val="00BC4DC0"/>
    <w:rsid w:val="00BC696F"/>
    <w:rsid w:val="00BD3562"/>
    <w:rsid w:val="00BE0EBB"/>
    <w:rsid w:val="00BF058E"/>
    <w:rsid w:val="00C00AD0"/>
    <w:rsid w:val="00C04D23"/>
    <w:rsid w:val="00C05729"/>
    <w:rsid w:val="00C0582A"/>
    <w:rsid w:val="00C06E47"/>
    <w:rsid w:val="00C078B6"/>
    <w:rsid w:val="00C1478C"/>
    <w:rsid w:val="00C16FC9"/>
    <w:rsid w:val="00C17F1D"/>
    <w:rsid w:val="00C26F2A"/>
    <w:rsid w:val="00C3625E"/>
    <w:rsid w:val="00C41218"/>
    <w:rsid w:val="00C546AE"/>
    <w:rsid w:val="00C740DD"/>
    <w:rsid w:val="00CA6D4D"/>
    <w:rsid w:val="00CA75DB"/>
    <w:rsid w:val="00CA764B"/>
    <w:rsid w:val="00CB0E60"/>
    <w:rsid w:val="00CE11B6"/>
    <w:rsid w:val="00CE3784"/>
    <w:rsid w:val="00CE398B"/>
    <w:rsid w:val="00CE3F46"/>
    <w:rsid w:val="00CE56D5"/>
    <w:rsid w:val="00CF2423"/>
    <w:rsid w:val="00D0309F"/>
    <w:rsid w:val="00D04150"/>
    <w:rsid w:val="00D047DA"/>
    <w:rsid w:val="00D2112E"/>
    <w:rsid w:val="00D30C51"/>
    <w:rsid w:val="00D33232"/>
    <w:rsid w:val="00D6292B"/>
    <w:rsid w:val="00D63248"/>
    <w:rsid w:val="00D63E50"/>
    <w:rsid w:val="00D66988"/>
    <w:rsid w:val="00D70818"/>
    <w:rsid w:val="00D924D8"/>
    <w:rsid w:val="00D92F49"/>
    <w:rsid w:val="00D960F8"/>
    <w:rsid w:val="00D97EC9"/>
    <w:rsid w:val="00DB030E"/>
    <w:rsid w:val="00DD1138"/>
    <w:rsid w:val="00DD7E8D"/>
    <w:rsid w:val="00DE3876"/>
    <w:rsid w:val="00DE4B17"/>
    <w:rsid w:val="00DE77F0"/>
    <w:rsid w:val="00E0310F"/>
    <w:rsid w:val="00E07100"/>
    <w:rsid w:val="00E17235"/>
    <w:rsid w:val="00E30A47"/>
    <w:rsid w:val="00E37488"/>
    <w:rsid w:val="00E523EE"/>
    <w:rsid w:val="00E540C9"/>
    <w:rsid w:val="00E54EAC"/>
    <w:rsid w:val="00E61036"/>
    <w:rsid w:val="00E61A0B"/>
    <w:rsid w:val="00E62F61"/>
    <w:rsid w:val="00E850FF"/>
    <w:rsid w:val="00EA560E"/>
    <w:rsid w:val="00EE4F3A"/>
    <w:rsid w:val="00EE639B"/>
    <w:rsid w:val="00F00084"/>
    <w:rsid w:val="00F01142"/>
    <w:rsid w:val="00F453DC"/>
    <w:rsid w:val="00F45AC1"/>
    <w:rsid w:val="00F51434"/>
    <w:rsid w:val="00F56847"/>
    <w:rsid w:val="00F61429"/>
    <w:rsid w:val="00F749DC"/>
    <w:rsid w:val="00FA661E"/>
    <w:rsid w:val="00FB01F9"/>
    <w:rsid w:val="00FB288C"/>
    <w:rsid w:val="00FC0BCE"/>
    <w:rsid w:val="00FC75D7"/>
    <w:rsid w:val="00FD55BA"/>
    <w:rsid w:val="00FE5408"/>
    <w:rsid w:val="00FF0064"/>
    <w:rsid w:val="00FF07E5"/>
    <w:rsid w:val="00FF1FE0"/>
    <w:rsid w:val="00FF4E0D"/>
    <w:rsid w:val="0847383B"/>
    <w:rsid w:val="09E72635"/>
    <w:rsid w:val="0E016F15"/>
    <w:rsid w:val="10180067"/>
    <w:rsid w:val="12595F1E"/>
    <w:rsid w:val="150B3689"/>
    <w:rsid w:val="1C217132"/>
    <w:rsid w:val="22541E8E"/>
    <w:rsid w:val="22DF561F"/>
    <w:rsid w:val="24016023"/>
    <w:rsid w:val="2D3C541C"/>
    <w:rsid w:val="35417920"/>
    <w:rsid w:val="37BF7375"/>
    <w:rsid w:val="3B4C0A95"/>
    <w:rsid w:val="3C2A214E"/>
    <w:rsid w:val="4A730277"/>
    <w:rsid w:val="4C75781B"/>
    <w:rsid w:val="4CC254E4"/>
    <w:rsid w:val="4CE44DB6"/>
    <w:rsid w:val="4D172D88"/>
    <w:rsid w:val="4E404F8E"/>
    <w:rsid w:val="4ED51FC6"/>
    <w:rsid w:val="520416A4"/>
    <w:rsid w:val="54972CA8"/>
    <w:rsid w:val="54A764E1"/>
    <w:rsid w:val="5C3B3E80"/>
    <w:rsid w:val="5DC24D56"/>
    <w:rsid w:val="5EA70098"/>
    <w:rsid w:val="620E2CEB"/>
    <w:rsid w:val="63651002"/>
    <w:rsid w:val="69AA50EE"/>
    <w:rsid w:val="6A8C5CB6"/>
    <w:rsid w:val="71AD1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376092"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376092"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376092"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376092" w:themeColor="accent1" w:themeShade="BF"/>
      <w:sz w:val="24"/>
      <w:szCs w:val="24"/>
    </w:rPr>
  </w:style>
  <w:style w:type="paragraph" w:styleId="7">
    <w:name w:val="heading 6"/>
    <w:basedOn w:val="1"/>
    <w:next w:val="1"/>
    <w:link w:val="26"/>
    <w:semiHidden/>
    <w:unhideWhenUsed/>
    <w:qFormat/>
    <w:uiPriority w:val="9"/>
    <w:pPr>
      <w:keepNext/>
      <w:keepLines/>
      <w:spacing w:before="40"/>
      <w:outlineLvl w:val="5"/>
    </w:pPr>
    <w:rPr>
      <w:rFonts w:cstheme="majorBidi"/>
      <w:b/>
      <w:bCs/>
      <w:color w:val="376092" w:themeColor="accent1" w:themeShade="BF"/>
    </w:rPr>
  </w:style>
  <w:style w:type="paragraph" w:styleId="8">
    <w:name w:val="heading 7"/>
    <w:basedOn w:val="1"/>
    <w:next w:val="1"/>
    <w:link w:val="2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uiPriority w:val="99"/>
    <w:pPr>
      <w:jc w:val="left"/>
    </w:pPr>
  </w:style>
  <w:style w:type="paragraph" w:styleId="12">
    <w:name w:val="footer"/>
    <w:basedOn w:val="1"/>
    <w:link w:val="40"/>
    <w:unhideWhenUsed/>
    <w:qFormat/>
    <w:uiPriority w:val="99"/>
    <w:pPr>
      <w:tabs>
        <w:tab w:val="center" w:pos="4153"/>
        <w:tab w:val="right" w:pos="8306"/>
      </w:tabs>
      <w:snapToGrid w:val="0"/>
      <w:jc w:val="left"/>
    </w:pPr>
    <w:rPr>
      <w:sz w:val="18"/>
      <w:szCs w:val="18"/>
    </w:rPr>
  </w:style>
  <w:style w:type="paragraph" w:styleId="13">
    <w:name w:val="header"/>
    <w:basedOn w:val="1"/>
    <w:link w:val="39"/>
    <w:unhideWhenUsed/>
    <w:qFormat/>
    <w:uiPriority w:val="99"/>
    <w:pPr>
      <w:tabs>
        <w:tab w:val="center" w:pos="4153"/>
        <w:tab w:val="right" w:pos="8306"/>
      </w:tabs>
      <w:snapToGrid w:val="0"/>
      <w:jc w:val="center"/>
    </w:pPr>
    <w:rPr>
      <w:sz w:val="18"/>
      <w:szCs w:val="18"/>
    </w:rPr>
  </w:style>
  <w:style w:type="paragraph" w:styleId="14">
    <w:name w:val="Subtitle"/>
    <w:basedOn w:val="1"/>
    <w:next w:val="1"/>
    <w:link w:val="31"/>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footnote text"/>
    <w:basedOn w:val="1"/>
    <w:link w:val="41"/>
    <w:unhideWhenUsed/>
    <w:qFormat/>
    <w:uiPriority w:val="99"/>
    <w:pPr>
      <w:snapToGrid w:val="0"/>
      <w:jc w:val="left"/>
    </w:pPr>
    <w:rPr>
      <w:sz w:val="18"/>
      <w:szCs w:val="18"/>
    </w:rPr>
  </w:style>
  <w:style w:type="paragraph" w:styleId="16">
    <w:name w:val="Title"/>
    <w:basedOn w:val="1"/>
    <w:next w:val="1"/>
    <w:link w:val="30"/>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9">
    <w:name w:val="Hyperlink"/>
    <w:basedOn w:val="18"/>
    <w:unhideWhenUsed/>
    <w:qFormat/>
    <w:uiPriority w:val="99"/>
    <w:rPr>
      <w:color w:val="0000FF" w:themeColor="hyperlink"/>
      <w:u w:val="single"/>
      <w14:textFill>
        <w14:solidFill>
          <w14:schemeClr w14:val="hlink"/>
        </w14:solidFill>
      </w14:textFill>
    </w:rPr>
  </w:style>
  <w:style w:type="character" w:styleId="20">
    <w:name w:val="footnote reference"/>
    <w:basedOn w:val="18"/>
    <w:semiHidden/>
    <w:unhideWhenUsed/>
    <w:qFormat/>
    <w:uiPriority w:val="99"/>
    <w:rPr>
      <w:vertAlign w:val="superscript"/>
    </w:rPr>
  </w:style>
  <w:style w:type="character" w:customStyle="1" w:styleId="21">
    <w:name w:val="标题 1 字符"/>
    <w:basedOn w:val="18"/>
    <w:link w:val="2"/>
    <w:qFormat/>
    <w:uiPriority w:val="9"/>
    <w:rPr>
      <w:rFonts w:asciiTheme="majorHAnsi" w:hAnsiTheme="majorHAnsi" w:eastAsiaTheme="majorEastAsia" w:cstheme="majorBidi"/>
      <w:color w:val="376092" w:themeColor="accent1" w:themeShade="BF"/>
      <w:sz w:val="48"/>
      <w:szCs w:val="48"/>
    </w:rPr>
  </w:style>
  <w:style w:type="character" w:customStyle="1" w:styleId="22">
    <w:name w:val="标题 2 字符"/>
    <w:basedOn w:val="18"/>
    <w:link w:val="3"/>
    <w:semiHidden/>
    <w:uiPriority w:val="9"/>
    <w:rPr>
      <w:rFonts w:asciiTheme="majorHAnsi" w:hAnsiTheme="majorHAnsi" w:eastAsiaTheme="majorEastAsia" w:cstheme="majorBidi"/>
      <w:color w:val="376092" w:themeColor="accent1" w:themeShade="BF"/>
      <w:sz w:val="40"/>
      <w:szCs w:val="40"/>
    </w:rPr>
  </w:style>
  <w:style w:type="character" w:customStyle="1" w:styleId="23">
    <w:name w:val="标题 3 字符"/>
    <w:basedOn w:val="18"/>
    <w:link w:val="4"/>
    <w:semiHidden/>
    <w:qFormat/>
    <w:uiPriority w:val="9"/>
    <w:rPr>
      <w:rFonts w:asciiTheme="majorHAnsi" w:hAnsiTheme="majorHAnsi" w:eastAsiaTheme="majorEastAsia" w:cstheme="majorBidi"/>
      <w:color w:val="376092" w:themeColor="accent1" w:themeShade="BF"/>
      <w:sz w:val="32"/>
      <w:szCs w:val="32"/>
    </w:rPr>
  </w:style>
  <w:style w:type="character" w:customStyle="1" w:styleId="24">
    <w:name w:val="标题 4 字符"/>
    <w:basedOn w:val="18"/>
    <w:link w:val="5"/>
    <w:semiHidden/>
    <w:qFormat/>
    <w:uiPriority w:val="9"/>
    <w:rPr>
      <w:rFonts w:cstheme="majorBidi"/>
      <w:color w:val="376092" w:themeColor="accent1" w:themeShade="BF"/>
      <w:sz w:val="28"/>
      <w:szCs w:val="28"/>
    </w:rPr>
  </w:style>
  <w:style w:type="character" w:customStyle="1" w:styleId="25">
    <w:name w:val="标题 5 字符"/>
    <w:basedOn w:val="18"/>
    <w:link w:val="6"/>
    <w:semiHidden/>
    <w:qFormat/>
    <w:uiPriority w:val="9"/>
    <w:rPr>
      <w:rFonts w:cstheme="majorBidi"/>
      <w:color w:val="376092" w:themeColor="accent1" w:themeShade="BF"/>
      <w:sz w:val="24"/>
      <w:szCs w:val="24"/>
    </w:rPr>
  </w:style>
  <w:style w:type="character" w:customStyle="1" w:styleId="26">
    <w:name w:val="标题 6 字符"/>
    <w:basedOn w:val="18"/>
    <w:link w:val="7"/>
    <w:semiHidden/>
    <w:qFormat/>
    <w:uiPriority w:val="9"/>
    <w:rPr>
      <w:rFonts w:cstheme="majorBidi"/>
      <w:b/>
      <w:bCs/>
      <w:color w:val="376092" w:themeColor="accent1" w:themeShade="BF"/>
    </w:rPr>
  </w:style>
  <w:style w:type="character" w:customStyle="1" w:styleId="27">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8"/>
    <w:link w:val="16"/>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8"/>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8"/>
    <w:qFormat/>
    <w:uiPriority w:val="21"/>
    <w:rPr>
      <w:i/>
      <w:iCs/>
      <w:color w:val="376092" w:themeColor="accent1" w:themeShade="BF"/>
    </w:rPr>
  </w:style>
  <w:style w:type="paragraph" w:styleId="36">
    <w:name w:val="Intense Quote"/>
    <w:basedOn w:val="1"/>
    <w:next w:val="1"/>
    <w:link w:val="37"/>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7">
    <w:name w:val="明显引用 字符"/>
    <w:basedOn w:val="18"/>
    <w:link w:val="36"/>
    <w:qFormat/>
    <w:uiPriority w:val="30"/>
    <w:rPr>
      <w:i/>
      <w:iCs/>
      <w:color w:val="376092" w:themeColor="accent1" w:themeShade="BF"/>
    </w:rPr>
  </w:style>
  <w:style w:type="character" w:customStyle="1" w:styleId="38">
    <w:name w:val="Intense Reference"/>
    <w:basedOn w:val="18"/>
    <w:qFormat/>
    <w:uiPriority w:val="32"/>
    <w:rPr>
      <w:b/>
      <w:bCs/>
      <w:smallCaps/>
      <w:color w:val="376092" w:themeColor="accent1" w:themeShade="BF"/>
      <w:spacing w:val="5"/>
    </w:rPr>
  </w:style>
  <w:style w:type="character" w:customStyle="1" w:styleId="39">
    <w:name w:val="页眉 字符"/>
    <w:basedOn w:val="18"/>
    <w:link w:val="13"/>
    <w:qFormat/>
    <w:uiPriority w:val="99"/>
    <w:rPr>
      <w:sz w:val="18"/>
      <w:szCs w:val="18"/>
    </w:rPr>
  </w:style>
  <w:style w:type="character" w:customStyle="1" w:styleId="40">
    <w:name w:val="页脚 字符"/>
    <w:basedOn w:val="18"/>
    <w:link w:val="12"/>
    <w:uiPriority w:val="99"/>
    <w:rPr>
      <w:sz w:val="18"/>
      <w:szCs w:val="18"/>
    </w:rPr>
  </w:style>
  <w:style w:type="character" w:customStyle="1" w:styleId="41">
    <w:name w:val="脚注文本 字符"/>
    <w:basedOn w:val="18"/>
    <w:link w:val="15"/>
    <w:qFormat/>
    <w:uiPriority w:val="99"/>
    <w:rPr>
      <w:sz w:val="18"/>
      <w:szCs w:val="18"/>
    </w:rPr>
  </w:style>
  <w:style w:type="character" w:customStyle="1" w:styleId="42">
    <w:name w:val="Unresolved Mention"/>
    <w:basedOn w:val="1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32D23-39E6-4944-A6B6-0765F50A85E0}">
  <ds:schemaRefs/>
</ds:datastoreItem>
</file>

<file path=docProps/app.xml><?xml version="1.0" encoding="utf-8"?>
<Properties xmlns="http://schemas.openxmlformats.org/officeDocument/2006/extended-properties" xmlns:vt="http://schemas.openxmlformats.org/officeDocument/2006/docPropsVTypes">
  <Template>Normal</Template>
  <Pages>14</Pages>
  <Words>13252</Words>
  <Characters>13387</Characters>
  <Lines>218</Lines>
  <Paragraphs>66</Paragraphs>
  <TotalTime>26</TotalTime>
  <ScaleCrop>false</ScaleCrop>
  <LinksUpToDate>false</LinksUpToDate>
  <CharactersWithSpaces>13405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2026-03-10T01:08:00Z</dcterms:created>
  <dc:creator>悦哲 王</dc:creator>
  <cp:lastModifiedBy>ad</cp:lastModifiedBy>
  <dcterms:modified xsi:type="dcterms:W3CDTF">2026-04-01T08:47:06Z</dcterms:modified>
  <cp:revision>227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eyJoZGlkIjoiMzEwNTM5NzYwMDRjMzkwZTVkZjY2ODkwMGIxNGU0OTUiLCJ1c2VySWQiOiIzMDkzMDUwOTUifQ==</vt:lpwstr>
  </property>
  <property fmtid="{D5CDD505-2E9C-101B-9397-08002B2CF9AE}" pid="3" name="KSOProductBuildVer">
    <vt:lpwstr>2052-12.1.0.25225</vt:lpwstr>
  </property>
  <property fmtid="{D5CDD505-2E9C-101B-9397-08002B2CF9AE}" pid="4" name="ICV">
    <vt:lpwstr>21305A05990F43E295F2E53C96ED6D5F_12</vt:lpwstr>
  </property>
</Properties>
</file>