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A36E0">
      <w:pPr>
        <w:pStyle w:val="2"/>
        <w:bidi w:val="0"/>
        <w:jc w:val="center"/>
        <w:rPr>
          <w:rFonts w:hint="eastAsia"/>
          <w:sz w:val="28"/>
          <w:szCs w:val="18"/>
          <w:lang w:val="en-US" w:eastAsia="zh-CN"/>
        </w:rPr>
      </w:pPr>
      <w:r>
        <w:rPr>
          <w:rFonts w:hint="eastAsia"/>
          <w:sz w:val="28"/>
          <w:szCs w:val="18"/>
          <w:lang w:val="en-US" w:eastAsia="zh-CN"/>
        </w:rPr>
        <w:t>返修说明</w:t>
      </w:r>
    </w:p>
    <w:p w14:paraId="3D006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非常感谢《中国政法大学研究生学报》编辑部审稿人在审阅拙文时所付出的辛勤努力。贵刊对本文提出的真知灼见，令笔者深受启发。基于此，本人对文章进行了相应修改。</w:t>
      </w:r>
    </w:p>
    <w:p w14:paraId="3FDC2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问题1.个别论述需要补充脚注，已在批注中提示。</w:t>
      </w:r>
    </w:p>
    <w:p w14:paraId="047D2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对于审稿人提出要求的部分，本人已全部予以补充</w:t>
      </w:r>
    </w:p>
    <w:p w14:paraId="748DB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问题2.个别标题需要修改，已满足提示论证逻辑的需要。</w:t>
      </w:r>
    </w:p>
    <w:p w14:paraId="7BA75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对于审稿人提出的修改意见，本人已经于“三、股债融合型融资合同定性路径的完善方向”部分区分“（一）当前应对：沿用定性路径现实下的完善可能”与“（二）未来图景：超越定性路径的衡平裁判展望”的两部分内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32"/>
          <w:lang w:val="en-US" w:eastAsia="zh-CN"/>
        </w:rPr>
        <w:t>容。</w:t>
      </w:r>
    </w:p>
    <w:p w14:paraId="05426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3.个别论证说服力不够，观点较为小众，需增加论证强度。</w:t>
      </w:r>
    </w:p>
    <w:p w14:paraId="7BFA4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对于审稿人提出的观点论证问题，本人已经对于争议观点进行了删除或补充论证处理，详见原文。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143D76"/>
    <w:rsid w:val="0D14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2026-04-10T06:28:00Z</dcterms:created>
  <dc:creator>MZ</dc:creator>
  <cp:lastModifiedBy>MZ</cp:lastModifiedBy>
  <dcterms:modified xsi:type="dcterms:W3CDTF">2026-04-10T06:39:46Z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B2FD917E8AA14E2DB74D93062399AB6D_11</vt:lpwstr>
  </property>
  <property fmtid="{D5CDD505-2E9C-101B-9397-08002B2CF9AE}" pid="4" name="KSOTemplateDocerSaveRecord">
    <vt:lpwstr>eyJoZGlkIjoiYWY3NWVmZWNlNWM5NjNkNzRmNTgyODFjMWYzYjhkM2IiLCJ1c2VySWQiOiI3MDkzNTQ0NTIifQ==</vt:lpwstr>
  </property>
</Properties>
</file>