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论文题目：新《公司法》视阈下有限责任公司财务资助行为的规制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67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797751A0">
            <w:pPr>
              <w:ind w:firstLine="480" w:firstLineChars="20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感谢来稿，文章聚焦于有限公司财务资助行为，整体上，文章结构合理，论述清楚，选题也很有学术竞争力，但仍存在以下主要问题：</w:t>
            </w:r>
          </w:p>
          <w:p w14:paraId="7E9CBCA8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文最大的问题，是在选题上没有处理好范围大小。从效力判断更新到履行判断，实际上并非担保型财务资助所独有的问题，而是所有股东-公司资本性交易中都会涉及的问题，包括借款、对赌等一系列资产从公司流向股东的行为。换言之，本文的主题，是一个可以“同类替换”的主题，将本文的“担保型财务资助”对象，替换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为“对赌协议”，或者“借款”，或者“虚构债权债务转出”，都不影响行文。可以按以下两个方向进行修改：第一，将全文上升至所有资本性交易的判断标准上，改造为一篇“共性抽取型”的论文，但是修改难度会很大；第二，聚焦到“担保型财务资助”的个性，特别是担保型财务资助的财务特征：不直接发生资产变化，仅在履行时使资产流动性降低。再结合履行判断，为“担保型财务资助”涉及一套异质性的判断方案。第二种方案切口更小，改动也更少。</w:t>
            </w:r>
          </w:p>
          <w:p w14:paraId="7F18354B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题目不够具体。“规制”作为题目的唯一重心太过空泛，新《公司法》视阈也未见有需要特别论述的空间，此时题目需要聚焦于本文的核心论点上，例如，本文似可拟题为“论有限公司禁止财务资助的履行判断标准”，可作参考。</w:t>
            </w:r>
          </w:p>
          <w:p w14:paraId="7AF055A0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证上依赖原则说理，并未落到法律或财务的实处。在论证“履行判断的优势”时，仅用利益平衡、效率公平、私法品格等“大词”论证是不够的，必须体现此种法律标准对具体的裁判，乃至具体的商事实践有何种助益，否则论证将过于空虚，不能使人信服。</w:t>
            </w:r>
          </w:p>
          <w:p w14:paraId="09DFCFCA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文的核心观点不符合实际，缺少对公司商事实践与财务处理的具体认知。在论述“履行能力判断的考量因素”时，相关的信用能力、偿还能力、商业目的的审查方法，均不符合商法常理，具体请参见批注文档。一个优良的例子是，本文所引用的刘燕教授的文章，将公司财务会计中的细节与法律制度紧密相连，论述非常清晰具体，可以作为本文进一步提升的参照对象。</w:t>
            </w:r>
          </w:p>
          <w:p w14:paraId="7940F79C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有些论证中，只有学界观点或比较法材料，缺少评述和分析。行文中如果出现了非本人的观点或材料，唯一的作用是加强本人的论证，或者分析得出某些论证的前提或后果，所以罗列后的评述与分析是必要的，如果只有罗列没有评述分析，那大可不加罗列，因为此时读者无法感知到罗列的意义。</w:t>
            </w:r>
          </w:p>
          <w:p w14:paraId="0F4B1DE2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字中尽可能减少戏谑性质的表达，简洁、准确、清晰才是文字最重要的特征。本文过于依赖引号来表达一种特定的意思，显得文章整体的文字不够平静。减少对引号及比喻的使用，维持论文的学术严肃性，文章本身也会增色不少。</w:t>
            </w:r>
          </w:p>
          <w:p w14:paraId="2444A09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EF724"/>
    <w:multiLevelType w:val="singleLevel"/>
    <w:tmpl w:val="EEEEF72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5B77DE0C"/>
    <w:rsid w:val="5C9723EB"/>
    <w:rsid w:val="7E3A6AB8"/>
    <w:rsid w:val="7F8FBB79"/>
    <w:rsid w:val="9D97B39B"/>
    <w:rsid w:val="AD6F7EE4"/>
    <w:rsid w:val="FBFFD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</Words>
  <Characters>743</Characters>
  <Lines>6</Lines>
  <Paragraphs>1</Paragraphs>
  <TotalTime>26</TotalTime>
  <ScaleCrop>false</ScaleCrop>
  <LinksUpToDate>false</LinksUpToDate>
  <CharactersWithSpaces>872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2024-01-11T16:17:00Z</dcterms:created>
  <dc:creator>admin</dc:creator>
  <cp:lastModifiedBy>csn</cp:lastModifiedBy>
  <dcterms:modified xsi:type="dcterms:W3CDTF">2025-10-29T12:04:09Z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E0F7B6C8D4DD8B79F961F166366CE078_42</vt:lpwstr>
  </property>
</Properties>
</file>