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523A80">
      <w:pPr>
        <w:spacing w:line="360" w:lineRule="auto"/>
        <w:jc w:val="center"/>
        <w:outlineLvl w:val="0"/>
        <w:rPr>
          <w:rFonts w:hint="default" w:ascii="宋体" w:hAnsi="宋体" w:eastAsia="宋体"/>
          <w:b/>
          <w:bCs/>
          <w:sz w:val="32"/>
          <w:szCs w:val="32"/>
          <w:lang w:val="en-US" w:eastAsia="zh-CN"/>
        </w:rPr>
      </w:pPr>
      <w:r>
        <w:rPr>
          <w:rFonts w:hint="eastAsia" w:ascii="宋体" w:hAnsi="宋体" w:eastAsia="宋体"/>
          <w:b/>
          <w:bCs/>
          <w:sz w:val="32"/>
          <w:szCs w:val="32"/>
          <w:lang w:val="en-US" w:eastAsia="zh-CN"/>
        </w:rPr>
        <w:t>新《公司法》视阈下有限责任公司财务资助行为的规制</w:t>
      </w:r>
    </w:p>
    <w:p w14:paraId="2CD9CB1D">
      <w:pPr>
        <w:spacing w:line="360" w:lineRule="auto"/>
        <w:ind w:firstLine="480" w:firstLineChars="200"/>
        <w:rPr>
          <w:rFonts w:hint="default" w:ascii="宋体" w:hAnsi="宋体" w:eastAsia="宋体"/>
          <w:b w:val="0"/>
          <w:bCs w:val="0"/>
          <w:sz w:val="24"/>
          <w:szCs w:val="24"/>
          <w:lang w:val="en-US" w:eastAsia="zh-CN"/>
        </w:rPr>
      </w:pPr>
      <w:r>
        <w:rPr>
          <w:rFonts w:hint="eastAsia" w:ascii="宋体" w:hAnsi="宋体" w:eastAsia="宋体"/>
          <w:b/>
          <w:bCs/>
          <w:sz w:val="24"/>
          <w:szCs w:val="24"/>
          <w:lang w:val="en-US" w:eastAsia="zh-CN"/>
        </w:rPr>
        <w:t>摘要：</w:t>
      </w:r>
      <w:r>
        <w:rPr>
          <w:rFonts w:hint="eastAsia" w:ascii="宋体" w:hAnsi="宋体" w:eastAsia="宋体"/>
          <w:b w:val="0"/>
          <w:bCs w:val="0"/>
          <w:sz w:val="24"/>
          <w:szCs w:val="24"/>
          <w:lang w:val="en-US" w:eastAsia="zh-CN"/>
        </w:rPr>
        <w:t>新《公司法》引入股份有限公司禁止财务资助规则，但是有限责任公司的财务资助行为缺乏明确规范指引。司法裁判中适用禁止抽逃出资规则进行“一刀切”式的效力判断偏离了规制的中心，容易导致裁判结论的失准，损害司法公信力。对于有限责任公司财务资助行为的规制，应当以“履行判断”代替“效力判断”，没有法定无效的事由，不应否认财务资助行为的效力。公司信用能力、受资助人的偿还能力以及合理商业目的是判断能否履行的主要考量因素。在不具备履行能力但事实上已经履行的情况下，应当分别从公司和债权人的视角，构建起违法财务资助行为的责任体系，对权益受到损害的</w:t>
      </w:r>
      <w:r>
        <w:rPr>
          <w:rFonts w:hint="eastAsia" w:ascii="宋体" w:hAnsi="宋体" w:eastAsia="宋体"/>
          <w:b w:val="0"/>
          <w:bCs w:val="0"/>
          <w:sz w:val="24"/>
          <w:szCs w:val="24"/>
          <w:highlight w:val="yellow"/>
          <w:lang w:val="en-US" w:eastAsia="zh-CN"/>
        </w:rPr>
        <w:t>当事人</w:t>
      </w:r>
      <w:r>
        <w:rPr>
          <w:rFonts w:hint="eastAsia" w:ascii="宋体" w:hAnsi="宋体" w:eastAsia="宋体"/>
          <w:b w:val="0"/>
          <w:bCs w:val="0"/>
          <w:sz w:val="24"/>
          <w:szCs w:val="24"/>
          <w:lang w:val="en-US" w:eastAsia="zh-CN"/>
        </w:rPr>
        <w:t>进行充分救济。</w:t>
      </w:r>
    </w:p>
    <w:p w14:paraId="3323DA10">
      <w:pPr>
        <w:spacing w:line="360" w:lineRule="auto"/>
        <w:ind w:firstLine="480" w:firstLineChars="200"/>
        <w:rPr>
          <w:rFonts w:hint="eastAsia" w:ascii="宋体" w:hAnsi="宋体" w:eastAsia="宋体"/>
          <w:b w:val="0"/>
          <w:bCs w:val="0"/>
          <w:sz w:val="24"/>
          <w:szCs w:val="24"/>
          <w:lang w:val="en-US" w:eastAsia="zh-CN"/>
        </w:rPr>
      </w:pPr>
      <w:r>
        <w:rPr>
          <w:rFonts w:hint="eastAsia" w:ascii="宋体" w:hAnsi="宋体" w:eastAsia="宋体"/>
          <w:b/>
          <w:bCs/>
          <w:sz w:val="24"/>
          <w:szCs w:val="24"/>
          <w:lang w:val="en-US" w:eastAsia="zh-CN"/>
        </w:rPr>
        <w:t>关键词：</w:t>
      </w:r>
      <w:r>
        <w:rPr>
          <w:rFonts w:hint="eastAsia" w:ascii="宋体" w:hAnsi="宋体" w:eastAsia="宋体"/>
          <w:b w:val="0"/>
          <w:bCs w:val="0"/>
          <w:sz w:val="24"/>
          <w:szCs w:val="24"/>
          <w:lang w:val="en-US" w:eastAsia="zh-CN"/>
        </w:rPr>
        <w:t>财务资助；禁止抽逃出资；资本维持原则；债权人保护</w:t>
      </w:r>
    </w:p>
    <w:p w14:paraId="033DDB0E">
      <w:pPr>
        <w:spacing w:line="360" w:lineRule="auto"/>
        <w:ind w:firstLine="480" w:firstLineChars="200"/>
        <w:rPr>
          <w:rFonts w:hint="default" w:ascii="宋体" w:hAnsi="宋体" w:eastAsia="宋体"/>
          <w:b w:val="0"/>
          <w:bCs w:val="0"/>
          <w:sz w:val="24"/>
          <w:szCs w:val="24"/>
          <w:lang w:val="en-US" w:eastAsia="zh-CN"/>
        </w:rPr>
      </w:pPr>
    </w:p>
    <w:p w14:paraId="38B5446A">
      <w:pPr>
        <w:spacing w:line="360" w:lineRule="auto"/>
        <w:ind w:firstLine="480" w:firstLineChars="200"/>
        <w:jc w:val="left"/>
        <w:outlineLvl w:val="0"/>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一、引言</w:t>
      </w:r>
    </w:p>
    <w:p w14:paraId="3F8415D6">
      <w:pPr>
        <w:spacing w:line="360" w:lineRule="auto"/>
        <w:ind w:firstLine="480" w:firstLineChars="200"/>
        <w:jc w:val="left"/>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财务资助指的是公司为他人取得本公司股份提供帮助的行为，实践中大多由股权出让方、股权受让方和公司三方签订协议，约定公司对股权转让价款承担连带责任或者是在受让人无法支付时由公司承担担保责任。2024年施行的《中华人民共和国公司法》（以下简称“《公司法》”）首次确立了股份有限公司的禁止财务资助规则，</w:t>
      </w:r>
      <w:r>
        <w:rPr>
          <w:rStyle w:val="11"/>
          <w:rFonts w:hint="eastAsia" w:ascii="宋体" w:hAnsi="宋体" w:eastAsia="宋体" w:cs="Times New Roman"/>
          <w:sz w:val="24"/>
          <w:szCs w:val="24"/>
          <w:lang w:val="en-US" w:eastAsia="zh-CN"/>
        </w:rPr>
        <w:footnoteReference w:id="0"/>
      </w:r>
      <w:r>
        <w:rPr>
          <w:rFonts w:hint="eastAsia" w:ascii="宋体" w:hAnsi="宋体" w:eastAsia="宋体" w:cs="Times New Roman"/>
          <w:sz w:val="24"/>
          <w:szCs w:val="24"/>
          <w:lang w:val="en-US" w:eastAsia="zh-CN"/>
        </w:rPr>
        <w:t>结束了此前主要由监管部门通过规范性文件进行规制的混乱状态，弥补了组织法秩序漏洞</w:t>
      </w:r>
      <w:commentRangeStart w:id="0"/>
      <w:r>
        <w:rPr>
          <w:rFonts w:hint="eastAsia" w:ascii="宋体" w:hAnsi="宋体" w:eastAsia="宋体" w:cs="Times New Roman"/>
          <w:sz w:val="24"/>
          <w:szCs w:val="24"/>
          <w:lang w:val="en-US" w:eastAsia="zh-CN"/>
        </w:rPr>
        <w:t>，</w:t>
      </w:r>
      <w:commentRangeEnd w:id="0"/>
      <w:r>
        <w:commentReference w:id="0"/>
      </w:r>
      <w:r>
        <w:rPr>
          <w:rStyle w:val="11"/>
          <w:rFonts w:hint="eastAsia" w:ascii="宋体" w:hAnsi="宋体" w:eastAsia="宋体" w:cs="Times New Roman"/>
          <w:sz w:val="24"/>
          <w:szCs w:val="24"/>
          <w:lang w:val="en-US" w:eastAsia="zh-CN"/>
        </w:rPr>
        <w:footnoteReference w:id="1"/>
      </w:r>
      <w:r>
        <w:rPr>
          <w:rFonts w:hint="eastAsia" w:ascii="宋体" w:hAnsi="宋体" w:eastAsia="宋体" w:cs="Times New Roman"/>
          <w:sz w:val="24"/>
          <w:szCs w:val="24"/>
          <w:lang w:val="en-US" w:eastAsia="zh-CN"/>
        </w:rPr>
        <w:t>而对于实践中早已出现，并且存在较大争议的有限责任公司的财务资助行为却没有在立法中予以规制。司法裁判中，针对有限责任公司财务资助行为引发的纠纷，法官往往适用禁止抽逃出资规则对财务资助行为进行效力判断，对于可能违反资本维持原则要求的行为冠以“无效”之否定性评价。问题是，禁止抽逃出资规则模糊的语义、弹性的标准，会带来适用结果的不稳定性，</w:t>
      </w:r>
      <w:r>
        <w:rPr>
          <w:rStyle w:val="11"/>
          <w:rFonts w:hint="eastAsia" w:ascii="宋体" w:hAnsi="宋体" w:eastAsia="宋体" w:cs="Times New Roman"/>
          <w:sz w:val="24"/>
          <w:szCs w:val="24"/>
          <w:lang w:val="en-US" w:eastAsia="zh-CN"/>
        </w:rPr>
        <w:footnoteReference w:id="2"/>
      </w:r>
      <w:r>
        <w:rPr>
          <w:rFonts w:hint="eastAsia" w:ascii="宋体" w:hAnsi="宋体" w:eastAsia="宋体" w:cs="Times New Roman"/>
          <w:sz w:val="24"/>
          <w:szCs w:val="24"/>
          <w:lang w:val="en-US" w:eastAsia="zh-CN"/>
        </w:rPr>
        <w:t>类似的案件可能裁判结果截然不同，</w:t>
      </w:r>
      <w:r>
        <w:rPr>
          <w:rStyle w:val="11"/>
          <w:rFonts w:hint="eastAsia" w:ascii="宋体" w:hAnsi="宋体" w:eastAsia="宋体" w:cs="Times New Roman"/>
          <w:sz w:val="24"/>
          <w:szCs w:val="24"/>
          <w:lang w:val="en-US" w:eastAsia="zh-CN"/>
        </w:rPr>
        <w:footnoteReference w:id="3"/>
      </w:r>
      <w:r>
        <w:rPr>
          <w:rFonts w:hint="eastAsia" w:ascii="宋体" w:hAnsi="宋体" w:eastAsia="宋体" w:cs="Times New Roman"/>
          <w:sz w:val="24"/>
          <w:szCs w:val="24"/>
          <w:lang w:val="en-US" w:eastAsia="zh-CN"/>
        </w:rPr>
        <w:t>并且“一刀切”式的效力判断往往会扼杀商事交易的创新性，</w:t>
      </w:r>
      <w:r>
        <w:rPr>
          <w:rStyle w:val="11"/>
          <w:rFonts w:hint="eastAsia" w:ascii="宋体" w:hAnsi="宋体" w:eastAsia="宋体" w:cs="Times New Roman"/>
          <w:sz w:val="24"/>
          <w:szCs w:val="24"/>
          <w:lang w:val="en-US" w:eastAsia="zh-CN"/>
        </w:rPr>
        <w:footnoteReference w:id="4"/>
      </w:r>
      <w:r>
        <w:rPr>
          <w:rFonts w:hint="eastAsia" w:ascii="宋体" w:hAnsi="宋体" w:eastAsia="宋体" w:cs="Times New Roman"/>
          <w:sz w:val="24"/>
          <w:szCs w:val="24"/>
          <w:lang w:val="en-US" w:eastAsia="zh-CN"/>
        </w:rPr>
        <w:t>损及财务资助行为内含的商业价值，背离商事主体意思自治的合理预期。故而，亟须对有限责任公司财务资助行为的司法裁判现状进行梳理，寻求可能的优化路径，实现</w:t>
      </w:r>
      <w:commentRangeStart w:id="1"/>
      <w:r>
        <w:rPr>
          <w:rFonts w:hint="eastAsia" w:ascii="宋体" w:hAnsi="宋体" w:eastAsia="宋体" w:cs="Times New Roman"/>
          <w:sz w:val="24"/>
          <w:szCs w:val="24"/>
          <w:lang w:val="en-US" w:eastAsia="zh-CN"/>
        </w:rPr>
        <w:t>“裁判效果”和“社会效果”</w:t>
      </w:r>
      <w:commentRangeEnd w:id="1"/>
      <w:r>
        <w:commentReference w:id="1"/>
      </w:r>
      <w:r>
        <w:rPr>
          <w:rFonts w:hint="eastAsia" w:ascii="宋体" w:hAnsi="宋体" w:eastAsia="宋体" w:cs="Times New Roman"/>
          <w:sz w:val="24"/>
          <w:szCs w:val="24"/>
          <w:lang w:val="en-US" w:eastAsia="zh-CN"/>
        </w:rPr>
        <w:t>的统一。</w:t>
      </w:r>
    </w:p>
    <w:p w14:paraId="1DF84B6C">
      <w:pPr>
        <w:spacing w:line="360" w:lineRule="auto"/>
        <w:ind w:firstLine="480" w:firstLineChars="200"/>
        <w:jc w:val="left"/>
        <w:rPr>
          <w:rFonts w:hint="default" w:ascii="宋体" w:hAnsi="宋体" w:eastAsia="宋体" w:cs="Times New Roman"/>
          <w:sz w:val="24"/>
          <w:szCs w:val="24"/>
          <w:lang w:val="en-US" w:eastAsia="zh-CN"/>
        </w:rPr>
      </w:pPr>
      <w:commentRangeStart w:id="2"/>
      <w:r>
        <w:rPr>
          <w:rFonts w:hint="eastAsia" w:ascii="宋体" w:hAnsi="宋体" w:eastAsia="宋体" w:cs="Times New Roman"/>
          <w:sz w:val="24"/>
          <w:szCs w:val="24"/>
          <w:lang w:val="en-US" w:eastAsia="zh-CN"/>
        </w:rPr>
        <w:t>笔者</w:t>
      </w:r>
      <w:commentRangeEnd w:id="2"/>
      <w:r>
        <w:commentReference w:id="2"/>
      </w:r>
      <w:r>
        <w:rPr>
          <w:rFonts w:hint="eastAsia" w:ascii="宋体" w:hAnsi="宋体" w:eastAsia="宋体" w:cs="Times New Roman"/>
          <w:sz w:val="24"/>
          <w:szCs w:val="24"/>
          <w:lang w:val="en-US" w:eastAsia="zh-CN"/>
        </w:rPr>
        <w:t>认为，对于有限责任公司财务资助行为的规制，应当以“履行判断”代替“效力判断”，从实际履行的角度，对可能损害公司权益、侵害债权人利益的违法资助行为进行限制。在研究思路上，本文拟从有限责任公司财务资助行为的</w:t>
      </w:r>
      <w:commentRangeStart w:id="3"/>
      <w:r>
        <w:rPr>
          <w:rFonts w:hint="eastAsia" w:ascii="宋体" w:hAnsi="宋体" w:eastAsia="宋体" w:cs="Times New Roman"/>
          <w:sz w:val="24"/>
          <w:szCs w:val="24"/>
          <w:lang w:val="en-US" w:eastAsia="zh-CN"/>
        </w:rPr>
        <w:t>实证案例</w:t>
      </w:r>
      <w:commentRangeEnd w:id="3"/>
      <w:r>
        <w:commentReference w:id="3"/>
      </w:r>
      <w:r>
        <w:rPr>
          <w:rFonts w:hint="eastAsia" w:ascii="宋体" w:hAnsi="宋体" w:eastAsia="宋体" w:cs="Times New Roman"/>
          <w:sz w:val="24"/>
          <w:szCs w:val="24"/>
          <w:lang w:val="en-US" w:eastAsia="zh-CN"/>
        </w:rPr>
        <w:t>切入，梳理在效力判断之下呈现出的司法裁判现状，并对裁判现状进行</w:t>
      </w:r>
      <w:commentRangeStart w:id="4"/>
      <w:r>
        <w:rPr>
          <w:rFonts w:hint="eastAsia" w:ascii="宋体" w:hAnsi="宋体" w:eastAsia="宋体" w:cs="Times New Roman"/>
          <w:sz w:val="24"/>
          <w:szCs w:val="24"/>
          <w:lang w:val="en-US" w:eastAsia="zh-CN"/>
        </w:rPr>
        <w:t>探源分析</w:t>
      </w:r>
      <w:commentRangeEnd w:id="4"/>
      <w:r>
        <w:commentReference w:id="4"/>
      </w:r>
      <w:r>
        <w:rPr>
          <w:rFonts w:hint="eastAsia" w:ascii="宋体" w:hAnsi="宋体" w:eastAsia="宋体" w:cs="Times New Roman"/>
          <w:sz w:val="24"/>
          <w:szCs w:val="24"/>
          <w:lang w:val="en-US" w:eastAsia="zh-CN"/>
        </w:rPr>
        <w:t>，指出效力判断在裁判标准、判断结论以及规范依据层面的</w:t>
      </w:r>
      <w:commentRangeStart w:id="5"/>
      <w:r>
        <w:rPr>
          <w:rFonts w:hint="eastAsia" w:ascii="宋体" w:hAnsi="宋体" w:eastAsia="宋体" w:cs="Times New Roman"/>
          <w:sz w:val="24"/>
          <w:szCs w:val="24"/>
          <w:lang w:val="en-US" w:eastAsia="zh-CN"/>
        </w:rPr>
        <w:t>缺憾</w:t>
      </w:r>
      <w:commentRangeEnd w:id="5"/>
      <w:r>
        <w:commentReference w:id="5"/>
      </w:r>
      <w:r>
        <w:rPr>
          <w:rFonts w:hint="eastAsia" w:ascii="宋体" w:hAnsi="宋体" w:eastAsia="宋体" w:cs="Times New Roman"/>
          <w:sz w:val="24"/>
          <w:szCs w:val="24"/>
          <w:lang w:val="en-US" w:eastAsia="zh-CN"/>
        </w:rPr>
        <w:t>。进而论证，对于有限责任公司财务资助行为引发的纠纷，没有法定无效的事由，应当认可财务资助行为的效力，转而适用履行判断标准，从公司信用能力、受资助人的偿债能力以及公司商业目的三个层面判断财务资助行为的</w:t>
      </w:r>
      <w:commentRangeStart w:id="6"/>
      <w:r>
        <w:rPr>
          <w:rFonts w:hint="eastAsia" w:ascii="宋体" w:hAnsi="宋体" w:eastAsia="宋体" w:cs="Times New Roman"/>
          <w:sz w:val="24"/>
          <w:szCs w:val="24"/>
          <w:lang w:val="en-US" w:eastAsia="zh-CN"/>
        </w:rPr>
        <w:t>履行性</w:t>
      </w:r>
      <w:commentRangeEnd w:id="6"/>
      <w:r>
        <w:commentReference w:id="6"/>
      </w:r>
      <w:r>
        <w:rPr>
          <w:rFonts w:hint="eastAsia" w:ascii="宋体" w:hAnsi="宋体" w:eastAsia="宋体" w:cs="Times New Roman"/>
          <w:sz w:val="24"/>
          <w:szCs w:val="24"/>
          <w:lang w:val="en-US" w:eastAsia="zh-CN"/>
        </w:rPr>
        <w:t>。在法律责任层面，对于违法的财务资助行为，应当从公司和债权人两个视角进行分别救济，明确各个主体的责任，以期实现</w:t>
      </w:r>
      <w:commentRangeStart w:id="7"/>
      <w:r>
        <w:rPr>
          <w:rFonts w:hint="eastAsia" w:ascii="宋体" w:hAnsi="宋体" w:eastAsia="宋体" w:cs="Times New Roman"/>
          <w:sz w:val="24"/>
          <w:szCs w:val="24"/>
          <w:lang w:val="en-US" w:eastAsia="zh-CN"/>
        </w:rPr>
        <w:t>“罚当其过”</w:t>
      </w:r>
      <w:commentRangeEnd w:id="7"/>
      <w:r>
        <w:commentReference w:id="7"/>
      </w:r>
      <w:r>
        <w:rPr>
          <w:rFonts w:hint="eastAsia" w:ascii="宋体" w:hAnsi="宋体" w:eastAsia="宋体" w:cs="Times New Roman"/>
          <w:sz w:val="24"/>
          <w:szCs w:val="24"/>
          <w:lang w:val="en-US" w:eastAsia="zh-CN"/>
        </w:rPr>
        <w:t>。</w:t>
      </w:r>
    </w:p>
    <w:p w14:paraId="4F310A15">
      <w:pPr>
        <w:spacing w:line="360" w:lineRule="auto"/>
        <w:ind w:firstLine="480" w:firstLineChars="200"/>
        <w:jc w:val="left"/>
        <w:outlineLvl w:val="0"/>
        <w:rPr>
          <w:rFonts w:hint="default" w:ascii="宋体" w:hAnsi="宋体" w:eastAsia="宋体" w:cs="宋体"/>
          <w:b/>
          <w:bCs/>
          <w:sz w:val="24"/>
          <w:szCs w:val="24"/>
          <w:lang w:val="en-US" w:eastAsia="zh-CN"/>
        </w:rPr>
      </w:pPr>
      <w:r>
        <w:rPr>
          <w:rFonts w:hint="eastAsia" w:ascii="宋体" w:hAnsi="宋体" w:eastAsia="宋体" w:cs="宋体"/>
          <w:b/>
          <w:bCs/>
          <w:sz w:val="24"/>
          <w:szCs w:val="24"/>
          <w:lang w:val="en-US" w:eastAsia="zh-CN"/>
        </w:rPr>
        <w:t>二、裁判的现状：有效还是无效？</w:t>
      </w:r>
    </w:p>
    <w:p w14:paraId="54297F3F">
      <w:pPr>
        <w:spacing w:line="360" w:lineRule="auto"/>
        <w:ind w:firstLine="480" w:firstLineChars="200"/>
        <w:rPr>
          <w:rFonts w:hint="eastAsia" w:ascii="宋体" w:hAnsi="宋体" w:eastAsia="宋体" w:cs="Times New Roman"/>
          <w:sz w:val="24"/>
          <w:szCs w:val="24"/>
          <w:lang w:val="en-US" w:eastAsia="zh-CN"/>
        </w:rPr>
      </w:pPr>
      <w:commentRangeStart w:id="8"/>
      <w:r>
        <w:rPr>
          <w:rFonts w:hint="eastAsia" w:ascii="宋体" w:hAnsi="宋体" w:eastAsia="宋体" w:cs="Times New Roman"/>
          <w:sz w:val="24"/>
          <w:szCs w:val="24"/>
          <w:lang w:val="en-US" w:eastAsia="zh-CN"/>
        </w:rPr>
        <w:t>实践中，有限责任公司为他人取得本公司股权提供的帮助主要体现为借款和担保两种类型，二者在交易结果上并无本质差别，均体现为由公司先行给付股权转让价款，而后以向受资助人主张债权的形式获得清偿。故而，基于案例丰富性的考量，本文中对有限责任公司财务资助行为进行的案例分析均围绕着公司提供担保这一种资助行为展开。</w:t>
      </w:r>
      <w:commentRangeEnd w:id="8"/>
      <w:r>
        <w:commentReference w:id="8"/>
      </w:r>
    </w:p>
    <w:p w14:paraId="1C142954">
      <w:pPr>
        <w:spacing w:line="360" w:lineRule="auto"/>
        <w:ind w:firstLine="480" w:firstLineChars="200"/>
        <w:rPr>
          <w:rFonts w:hint="default" w:ascii="宋体" w:hAnsi="宋体" w:eastAsia="宋体" w:cs="Times New Roman"/>
          <w:sz w:val="24"/>
          <w:szCs w:val="24"/>
          <w:lang w:val="en-US" w:eastAsia="zh-CN"/>
        </w:rPr>
      </w:pPr>
      <w:r>
        <w:rPr>
          <w:rFonts w:hint="eastAsia" w:ascii="宋体" w:hAnsi="宋体" w:eastAsia="宋体" w:cs="Times New Roman"/>
          <w:sz w:val="24"/>
          <w:szCs w:val="24"/>
          <w:lang w:val="en-US" w:eastAsia="zh-CN"/>
        </w:rPr>
        <w:t>通过检索有关案例，笔者发现，针对有限责任公司为他人取得本公司股权提供担保的行为，司法裁判多是以效力判断为主，存在着担保有效和担保无效两种结论。</w:t>
      </w:r>
    </w:p>
    <w:p w14:paraId="475C5B41">
      <w:pPr>
        <w:spacing w:line="360" w:lineRule="auto"/>
        <w:ind w:firstLine="480" w:firstLineChars="200"/>
        <w:outlineLvl w:val="1"/>
        <w:rPr>
          <w:rFonts w:hint="default" w:ascii="宋体" w:hAnsi="宋体" w:eastAsia="宋体"/>
          <w:b/>
          <w:bCs/>
          <w:sz w:val="24"/>
          <w:szCs w:val="24"/>
          <w:lang w:val="en-US" w:eastAsia="zh-CN"/>
        </w:rPr>
      </w:pPr>
      <w:r>
        <w:rPr>
          <w:rFonts w:hint="eastAsia" w:ascii="宋体" w:hAnsi="宋体" w:eastAsia="宋体"/>
          <w:b/>
          <w:bCs/>
          <w:sz w:val="24"/>
          <w:szCs w:val="24"/>
          <w:lang w:val="en-US" w:eastAsia="zh-CN"/>
        </w:rPr>
        <w:t>（一）有限责任公司担保行为有效</w:t>
      </w:r>
    </w:p>
    <w:p w14:paraId="16122EC7">
      <w:pPr>
        <w:spacing w:line="360" w:lineRule="auto"/>
        <w:ind w:firstLine="480" w:firstLineChars="200"/>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在“陈礼完、王莉莉等股权转让纠纷”中，广西壮族自治区高级人民法院二审认为，公司为股东之间的股权转让交易承担担保责任，后果是公司向一方股东支付资金，实质上导致股东非直接抽逃出资，违反公司资本原则，不利于公司组织机制以及市场经济的健康发展，故而以担保行为损害了公共利益为由，认定相关的担保合同条款无效。</w:t>
      </w:r>
      <w:r>
        <w:rPr>
          <w:rStyle w:val="11"/>
          <w:rFonts w:hint="eastAsia" w:ascii="宋体" w:hAnsi="宋体" w:eastAsia="宋体" w:cs="Times New Roman"/>
          <w:sz w:val="24"/>
          <w:szCs w:val="24"/>
          <w:lang w:val="en-US" w:eastAsia="zh-CN"/>
        </w:rPr>
        <w:footnoteReference w:id="5"/>
      </w:r>
      <w:r>
        <w:rPr>
          <w:rFonts w:hint="eastAsia" w:ascii="宋体" w:hAnsi="宋体" w:eastAsia="宋体" w:cs="Times New Roman"/>
          <w:sz w:val="24"/>
          <w:szCs w:val="24"/>
          <w:lang w:val="en-US" w:eastAsia="zh-CN"/>
        </w:rPr>
        <w:t>而最高人民法院在再审中则否认了这一观点。最高人民法院认为，伟丰公司为股东提供担保的行为，不属于明确列举的抽逃出资行为，伟丰公司承担了担保责任后，享有对王莉莉的追偿权，公司的资产负债表并不会发生变化，并且在股权变更后，伟丰公司实际上成为了王莉莉和陈关成的夫妻公司，为王莉莉提供担保的行为不违反公司利益，也不会损害债权人利益，不能认定为构成抽逃出资。同时，伟丰公司对外担保行为也不违反法律所要求的公司为股东提供担保的程序，所以案涉的担保应属有效。</w:t>
      </w:r>
      <w:r>
        <w:rPr>
          <w:rStyle w:val="11"/>
          <w:rFonts w:hint="eastAsia" w:ascii="宋体" w:hAnsi="宋体" w:eastAsia="宋体" w:cs="Times New Roman"/>
          <w:sz w:val="24"/>
          <w:szCs w:val="24"/>
          <w:lang w:val="en-US" w:eastAsia="zh-CN"/>
        </w:rPr>
        <w:footnoteReference w:id="6"/>
      </w:r>
    </w:p>
    <w:p w14:paraId="760252C2">
      <w:pPr>
        <w:spacing w:line="360" w:lineRule="auto"/>
        <w:ind w:firstLine="480" w:firstLineChars="200"/>
        <w:rPr>
          <w:rFonts w:hint="default" w:ascii="宋体" w:hAnsi="宋体" w:eastAsia="宋体" w:cs="Times New Roman"/>
          <w:sz w:val="24"/>
          <w:szCs w:val="24"/>
          <w:lang w:val="en-US" w:eastAsia="zh-CN"/>
        </w:rPr>
      </w:pPr>
      <w:r>
        <w:rPr>
          <w:rFonts w:hint="eastAsia" w:ascii="宋体" w:hAnsi="宋体" w:eastAsia="宋体" w:cs="Times New Roman"/>
          <w:sz w:val="24"/>
          <w:szCs w:val="24"/>
          <w:lang w:val="en-US" w:eastAsia="zh-CN"/>
        </w:rPr>
        <w:t>同样的，在“毛坤东、湖北襄阳成城投资发展有限公司等股权转让纠纷”中，针对公司为股东的股权转让提供担保的行为，最高人民法院首先从公司担保的程序要求层面进行考察，认为案涉担保并不违反法律法规和公司章程中对于担保程序的要求。其次，最高人民法院认为公司承担了担保责任后享有追偿权，有限责任公司的资产并不因此受到减少，不必然会构成股东抽逃出资或者损害债权人权益，所以公司为股东提供的担保有效，维持了原审法院的判决。</w:t>
      </w:r>
      <w:r>
        <w:rPr>
          <w:rStyle w:val="11"/>
          <w:rFonts w:hint="eastAsia" w:ascii="宋体" w:hAnsi="宋体" w:eastAsia="宋体" w:cs="Times New Roman"/>
          <w:sz w:val="24"/>
          <w:szCs w:val="24"/>
          <w:lang w:val="en-US" w:eastAsia="zh-CN"/>
        </w:rPr>
        <w:footnoteReference w:id="7"/>
      </w:r>
    </w:p>
    <w:p w14:paraId="5102FE00">
      <w:pPr>
        <w:spacing w:line="360" w:lineRule="auto"/>
        <w:ind w:firstLine="480" w:firstLineChars="200"/>
        <w:outlineLvl w:val="1"/>
        <w:rPr>
          <w:rFonts w:hint="default" w:ascii="宋体" w:hAnsi="宋体" w:eastAsia="宋体"/>
          <w:b/>
          <w:bCs/>
          <w:sz w:val="24"/>
          <w:szCs w:val="24"/>
          <w:lang w:val="en-US" w:eastAsia="zh-CN"/>
        </w:rPr>
      </w:pPr>
      <w:r>
        <w:rPr>
          <w:rFonts w:hint="eastAsia" w:ascii="宋体" w:hAnsi="宋体" w:eastAsia="宋体"/>
          <w:b/>
          <w:bCs/>
          <w:sz w:val="24"/>
          <w:szCs w:val="24"/>
          <w:lang w:val="en-US" w:eastAsia="zh-CN"/>
        </w:rPr>
        <w:t>（二）有限责任公司担保行为无效</w:t>
      </w:r>
    </w:p>
    <w:p w14:paraId="13440CAE">
      <w:pPr>
        <w:spacing w:line="360" w:lineRule="auto"/>
        <w:ind w:firstLine="480" w:firstLineChars="200"/>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在“郭丽华等诉郑平凡等股权转让纠纷案”中，最高人民法院再审认为原审法院认定由邦奥公司为股东郭丽华的还款义务承担连带清偿责任适用法律错误，理由是公司为股东之间的股权转让提供担保，在股东无法支付时，就会形成公司先行支付股权转让款，导致公司和公司债权人的利益受损，构成股东以其他方式抽回出资。</w:t>
      </w:r>
      <w:r>
        <w:rPr>
          <w:rStyle w:val="11"/>
          <w:rFonts w:hint="eastAsia" w:ascii="宋体" w:hAnsi="宋体" w:eastAsia="宋体" w:cs="Times New Roman"/>
          <w:sz w:val="24"/>
          <w:szCs w:val="24"/>
          <w:lang w:val="en-US" w:eastAsia="zh-CN"/>
        </w:rPr>
        <w:footnoteReference w:id="8"/>
      </w:r>
    </w:p>
    <w:p w14:paraId="3B6AF451">
      <w:pPr>
        <w:spacing w:line="360" w:lineRule="auto"/>
        <w:ind w:firstLine="480" w:firstLineChars="200"/>
        <w:rPr>
          <w:rFonts w:hint="default" w:ascii="宋体" w:hAnsi="宋体" w:eastAsia="宋体" w:cs="Times New Roman"/>
          <w:sz w:val="24"/>
          <w:szCs w:val="24"/>
          <w:lang w:val="en-US" w:eastAsia="zh-CN"/>
        </w:rPr>
      </w:pPr>
      <w:r>
        <w:rPr>
          <w:rFonts w:hint="eastAsia" w:ascii="宋体" w:hAnsi="宋体" w:eastAsia="宋体" w:cs="Times New Roman"/>
          <w:sz w:val="24"/>
          <w:szCs w:val="24"/>
          <w:lang w:val="en-US" w:eastAsia="zh-CN"/>
        </w:rPr>
        <w:t>在“湖南路桥建设集团有限责任公司、福建省直武夷山汇华房地产综合开发有限公司等股权转让纠纷”中，最高人民法院认为，虽然当事人在协议中约定了由公司承担股权转让的责任，但是该约定会导致公司的资产受到直接减损，构成股东以其他方式抽回出资，违反资本维持原则，最终会导致公司的利益和公司其他债权人的利益受到损害，支持了二审法院对于该项约定属于无效的认定。</w:t>
      </w:r>
      <w:r>
        <w:rPr>
          <w:rStyle w:val="11"/>
          <w:rFonts w:hint="eastAsia" w:ascii="宋体" w:hAnsi="宋体" w:eastAsia="宋体" w:cs="Times New Roman"/>
          <w:sz w:val="24"/>
          <w:szCs w:val="24"/>
          <w:lang w:val="en-US" w:eastAsia="zh-CN"/>
        </w:rPr>
        <w:footnoteReference w:id="9"/>
      </w:r>
    </w:p>
    <w:p w14:paraId="7584090B">
      <w:pPr>
        <w:spacing w:line="360" w:lineRule="auto"/>
        <w:ind w:firstLine="480" w:firstLineChars="200"/>
        <w:outlineLvl w:val="1"/>
        <w:rPr>
          <w:rFonts w:hint="default" w:ascii="宋体" w:hAnsi="宋体" w:eastAsia="宋体"/>
          <w:b/>
          <w:bCs/>
          <w:sz w:val="24"/>
          <w:szCs w:val="24"/>
          <w:lang w:val="en-US" w:eastAsia="zh-CN"/>
        </w:rPr>
      </w:pPr>
      <w:r>
        <w:rPr>
          <w:rFonts w:hint="eastAsia" w:ascii="宋体" w:hAnsi="宋体" w:eastAsia="宋体"/>
          <w:b/>
          <w:bCs/>
          <w:sz w:val="24"/>
          <w:szCs w:val="24"/>
          <w:lang w:val="en-US" w:eastAsia="zh-CN"/>
        </w:rPr>
        <w:t>（三）小结</w:t>
      </w:r>
    </w:p>
    <w:p w14:paraId="4E21AEE5">
      <w:pPr>
        <w:spacing w:line="360" w:lineRule="auto"/>
        <w:ind w:firstLine="480" w:firstLineChars="200"/>
        <w:rPr>
          <w:rFonts w:hint="default" w:ascii="宋体" w:hAnsi="宋体" w:eastAsia="宋体" w:cs="Times New Roman"/>
          <w:sz w:val="24"/>
          <w:szCs w:val="24"/>
          <w:lang w:val="en-US" w:eastAsia="zh-CN"/>
        </w:rPr>
      </w:pPr>
      <w:r>
        <w:rPr>
          <w:rFonts w:hint="eastAsia" w:ascii="宋体" w:hAnsi="宋体" w:eastAsia="宋体" w:cs="Times New Roman"/>
          <w:sz w:val="24"/>
          <w:szCs w:val="24"/>
          <w:lang w:val="en-US" w:eastAsia="zh-CN"/>
        </w:rPr>
        <w:t>综合上述案例可以发现，针对公司为股东的股权转让提供担保的行为，实践中法院主要进行“效力判断”，以“有效”或者“无效”来对当事人之间权利义务关系进行认定。是否违反了公司对外担保的程序性规定以及是否构成股东抽逃出资是法院作出效力判断的主要考量因素。对外担保的程序性规定关涉公司决议的效力问题，并非有限责任公司财务资助行为语境下出现的特殊情况，因此本文不对其进行展开分析，</w:t>
      </w:r>
      <w:commentRangeStart w:id="9"/>
      <w:r>
        <w:rPr>
          <w:rFonts w:hint="eastAsia" w:ascii="宋体" w:hAnsi="宋体" w:eastAsia="宋体" w:cs="Times New Roman"/>
          <w:sz w:val="24"/>
          <w:szCs w:val="24"/>
          <w:lang w:val="en-US" w:eastAsia="zh-CN"/>
        </w:rPr>
        <w:t>而是将关注的重心集中于运用禁止抽逃出资规则来对财务资助行为进行效力评价这一具有独特性的司法裁判路径</w:t>
      </w:r>
      <w:commentRangeEnd w:id="9"/>
      <w:r>
        <w:commentReference w:id="9"/>
      </w:r>
      <w:r>
        <w:rPr>
          <w:rFonts w:hint="eastAsia" w:ascii="宋体" w:hAnsi="宋体" w:eastAsia="宋体" w:cs="Times New Roman"/>
          <w:sz w:val="24"/>
          <w:szCs w:val="24"/>
          <w:lang w:val="en-US" w:eastAsia="zh-CN"/>
        </w:rPr>
        <w:t>。</w:t>
      </w:r>
    </w:p>
    <w:p w14:paraId="6E3149D7">
      <w:pPr>
        <w:spacing w:line="360" w:lineRule="auto"/>
        <w:ind w:firstLine="480" w:firstLineChars="200"/>
        <w:outlineLvl w:val="0"/>
        <w:rPr>
          <w:rFonts w:hint="eastAsia" w:ascii="宋体" w:hAnsi="宋体" w:eastAsia="宋体" w:cs="Times New Roman"/>
          <w:b/>
          <w:bCs/>
          <w:sz w:val="24"/>
          <w:szCs w:val="24"/>
          <w:lang w:val="en-US" w:eastAsia="zh-CN"/>
        </w:rPr>
      </w:pPr>
      <w:r>
        <w:rPr>
          <w:rFonts w:hint="eastAsia" w:ascii="宋体" w:hAnsi="宋体" w:eastAsia="宋体" w:cs="Times New Roman"/>
          <w:b/>
          <w:bCs/>
          <w:sz w:val="24"/>
          <w:szCs w:val="24"/>
          <w:lang w:val="en-US" w:eastAsia="zh-CN"/>
        </w:rPr>
        <w:t>三、方案的选择：效力判断还是履行判断？</w:t>
      </w:r>
    </w:p>
    <w:p w14:paraId="5C8B0676">
      <w:pPr>
        <w:spacing w:line="360" w:lineRule="auto"/>
        <w:ind w:firstLine="480" w:firstLineChars="200"/>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对于有限责任公司为他人取得本公司股权提供帮助的行为，现行规制方式遵循“效力判断”路径，若资助行为违反了资本维持原则，构成股东抽逃出资，则要受到无效之否定性评价。由此不免产生的疑问是：采用效力判断之规制方式正当性为何？是否为最佳路径？笔者认为，对于有限责任公司财务资助行为采用效力判断方式进行规制并非最佳，其具有无法克服的弊端。</w:t>
      </w:r>
    </w:p>
    <w:p w14:paraId="1A0797CE">
      <w:pPr>
        <w:spacing w:line="360" w:lineRule="auto"/>
        <w:ind w:firstLine="480" w:firstLineChars="200"/>
        <w:outlineLvl w:val="1"/>
        <w:rPr>
          <w:rFonts w:hint="default" w:ascii="宋体" w:hAnsi="宋体" w:eastAsia="宋体" w:cs="Times New Roman"/>
          <w:b/>
          <w:bCs/>
          <w:sz w:val="24"/>
          <w:szCs w:val="24"/>
          <w:lang w:val="en-US" w:eastAsia="zh-CN"/>
        </w:rPr>
      </w:pPr>
      <w:commentRangeStart w:id="10"/>
      <w:r>
        <w:rPr>
          <w:rFonts w:hint="eastAsia" w:ascii="宋体" w:hAnsi="宋体" w:eastAsia="宋体" w:cs="Times New Roman"/>
          <w:b/>
          <w:bCs/>
          <w:sz w:val="24"/>
          <w:szCs w:val="24"/>
          <w:lang w:val="en-US" w:eastAsia="zh-CN"/>
        </w:rPr>
        <w:t>（一）效力判断之探源</w:t>
      </w:r>
      <w:commentRangeEnd w:id="10"/>
      <w:r>
        <w:commentReference w:id="10"/>
      </w:r>
    </w:p>
    <w:p w14:paraId="5333CF1C">
      <w:pPr>
        <w:spacing w:line="360" w:lineRule="auto"/>
        <w:ind w:firstLine="480" w:firstLineChars="200"/>
        <w:rPr>
          <w:rFonts w:hint="eastAsia" w:ascii="宋体" w:hAnsi="宋体" w:eastAsia="宋体" w:cs="Times New Roman"/>
          <w:sz w:val="24"/>
          <w:szCs w:val="24"/>
          <w:lang w:val="en-US" w:eastAsia="zh-CN"/>
        </w:rPr>
      </w:pPr>
      <w:commentRangeStart w:id="11"/>
      <w:r>
        <w:rPr>
          <w:rFonts w:hint="eastAsia" w:ascii="宋体" w:hAnsi="宋体" w:eastAsia="宋体" w:cs="Times New Roman"/>
          <w:sz w:val="24"/>
          <w:szCs w:val="24"/>
          <w:lang w:val="en-US" w:eastAsia="zh-CN"/>
        </w:rPr>
        <w:t>禁止抽逃出资规则在规制分配行为中的兜底作用是司法实践中对有限责任公司财务资助行为进行效力判断的主要原因</w:t>
      </w:r>
      <w:commentRangeEnd w:id="11"/>
      <w:r>
        <w:commentReference w:id="11"/>
      </w:r>
      <w:r>
        <w:rPr>
          <w:rFonts w:hint="eastAsia" w:ascii="宋体" w:hAnsi="宋体" w:eastAsia="宋体" w:cs="Times New Roman"/>
          <w:sz w:val="24"/>
          <w:szCs w:val="24"/>
          <w:lang w:val="en-US" w:eastAsia="zh-CN"/>
        </w:rPr>
        <w:t>。有限责任公司为他人取得本公司股权提供帮助的行为，从性质上属于公司行为而非股东个人行为，从结果上会带来公司资本向股东的单向流出，而针对这种公司资本向股东的单向流出，不免受到转移资产、抽逃出资以及削弱债权人保护能力的质疑。面对此种质疑，裁判者必须要在现行规范中探求回应路径。我国公司法中涉及分配制度的规则主要有以下四种：公司利润分配规则、股份回购规则、减资规则以及禁止抽逃出资规则。在规范逻辑上，禁止抽逃出资规则应当规制上述三种分配行为以外的其他资本流出行为，发挥兜底作用。在实践中，也有学者指出，在涉及公司资本维持的案件中，适用禁止抽逃出资规则作出裁判的案件占据绝大多数，</w:t>
      </w:r>
      <w:r>
        <w:rPr>
          <w:rStyle w:val="11"/>
          <w:rFonts w:hint="eastAsia" w:ascii="宋体" w:hAnsi="宋体" w:eastAsia="宋体" w:cs="Times New Roman"/>
          <w:sz w:val="24"/>
          <w:szCs w:val="24"/>
          <w:lang w:val="en-US" w:eastAsia="zh-CN"/>
        </w:rPr>
        <w:footnoteReference w:id="10"/>
      </w:r>
      <w:r>
        <w:rPr>
          <w:rFonts w:hint="eastAsia" w:ascii="宋体" w:hAnsi="宋体" w:eastAsia="宋体" w:cs="Times New Roman"/>
          <w:sz w:val="24"/>
          <w:szCs w:val="24"/>
          <w:lang w:val="en-US" w:eastAsia="zh-CN"/>
        </w:rPr>
        <w:t>其具有极强的生命力和可适用性。</w:t>
      </w:r>
      <w:commentRangeStart w:id="12"/>
      <w:r>
        <w:rPr>
          <w:rFonts w:hint="eastAsia" w:ascii="宋体" w:hAnsi="宋体" w:eastAsia="宋体" w:cs="Times New Roman"/>
          <w:sz w:val="24"/>
          <w:szCs w:val="24"/>
          <w:lang w:val="en-US" w:eastAsia="zh-CN"/>
        </w:rPr>
        <w:t>禁止抽逃出资最初是在法定资本制下对于股东验资后随即将出资转走这一高频的出资违法行为的直观表达</w:t>
      </w:r>
      <w:commentRangeEnd w:id="12"/>
      <w:r>
        <w:commentReference w:id="12"/>
      </w:r>
      <w:r>
        <w:rPr>
          <w:rFonts w:hint="eastAsia" w:ascii="宋体" w:hAnsi="宋体" w:eastAsia="宋体" w:cs="Times New Roman"/>
          <w:sz w:val="24"/>
          <w:szCs w:val="24"/>
          <w:lang w:val="en-US" w:eastAsia="zh-CN"/>
        </w:rPr>
        <w:t>，</w:t>
      </w:r>
      <w:r>
        <w:rPr>
          <w:rStyle w:val="11"/>
          <w:rFonts w:hint="eastAsia" w:ascii="宋体" w:hAnsi="宋体" w:eastAsia="宋体" w:cs="Times New Roman"/>
          <w:sz w:val="24"/>
          <w:szCs w:val="24"/>
          <w:lang w:val="en-US" w:eastAsia="zh-CN"/>
        </w:rPr>
        <w:footnoteReference w:id="11"/>
      </w:r>
      <w:r>
        <w:rPr>
          <w:rFonts w:hint="eastAsia" w:ascii="宋体" w:hAnsi="宋体" w:eastAsia="宋体" w:cs="Times New Roman"/>
          <w:sz w:val="24"/>
          <w:szCs w:val="24"/>
          <w:lang w:val="en-US" w:eastAsia="zh-CN"/>
        </w:rPr>
        <w:t>即使资本制度发生了变迁，禁止抽逃出资规则仍能在认缴资本制下发挥保障实缴资本真实的效用。</w:t>
      </w:r>
      <w:r>
        <w:rPr>
          <w:rStyle w:val="11"/>
          <w:rFonts w:hint="eastAsia" w:ascii="宋体" w:hAnsi="宋体" w:eastAsia="宋体" w:cs="Times New Roman"/>
          <w:sz w:val="24"/>
          <w:szCs w:val="24"/>
          <w:lang w:val="en-US" w:eastAsia="zh-CN"/>
        </w:rPr>
        <w:footnoteReference w:id="12"/>
      </w:r>
      <w:r>
        <w:rPr>
          <w:rFonts w:hint="eastAsia" w:ascii="宋体" w:hAnsi="宋体" w:eastAsia="宋体" w:cs="Times New Roman"/>
          <w:sz w:val="24"/>
          <w:szCs w:val="24"/>
          <w:lang w:val="en-US" w:eastAsia="zh-CN"/>
        </w:rPr>
        <w:t>新《公司法》第五十三条第一款规定：“公司成立后，股东不得抽逃出资。”这是禁止抽逃出资规则的规范表达，而针对什么属于抽逃出资的范畴，《最高人民法院关于适用</w:t>
      </w:r>
      <w:r>
        <w:rPr>
          <w:rFonts w:hint="default" w:ascii="宋体" w:hAnsi="宋体" w:eastAsia="宋体" w:cs="Times New Roman"/>
          <w:sz w:val="24"/>
          <w:szCs w:val="24"/>
          <w:lang w:val="en-US" w:eastAsia="zh-CN"/>
        </w:rPr>
        <w:t>&lt;</w:t>
      </w:r>
      <w:r>
        <w:rPr>
          <w:rFonts w:hint="eastAsia" w:ascii="宋体" w:hAnsi="宋体" w:eastAsia="宋体" w:cs="Times New Roman"/>
          <w:sz w:val="24"/>
          <w:szCs w:val="24"/>
          <w:lang w:val="en-US" w:eastAsia="zh-CN"/>
        </w:rPr>
        <w:t>中华人民共和国公司法</w:t>
      </w:r>
      <w:r>
        <w:rPr>
          <w:rFonts w:hint="default" w:ascii="宋体" w:hAnsi="宋体" w:eastAsia="宋体" w:cs="Times New Roman"/>
          <w:sz w:val="24"/>
          <w:szCs w:val="24"/>
          <w:lang w:val="en-US" w:eastAsia="zh-CN"/>
        </w:rPr>
        <w:t>&gt;</w:t>
      </w:r>
      <w:r>
        <w:rPr>
          <w:rFonts w:hint="eastAsia" w:ascii="宋体" w:hAnsi="宋体" w:eastAsia="宋体" w:cs="Times New Roman"/>
          <w:sz w:val="24"/>
          <w:szCs w:val="24"/>
          <w:lang w:val="en-US" w:eastAsia="zh-CN"/>
        </w:rPr>
        <w:t>若干问题的解释（三）》（以下简称《公司法司法解释（三）》）列举了实践中高发的几种抽逃出资行为，并且进行了兜底性规定，将其他未经法定程序抽回出资的行为也纳入规制范围。</w:t>
      </w:r>
      <w:commentRangeStart w:id="13"/>
      <w:r>
        <w:rPr>
          <w:rFonts w:hint="eastAsia" w:ascii="宋体" w:hAnsi="宋体" w:eastAsia="宋体" w:cs="Times New Roman"/>
          <w:sz w:val="24"/>
          <w:szCs w:val="24"/>
          <w:lang w:val="en-US" w:eastAsia="zh-CN"/>
        </w:rPr>
        <w:t>禁止抽逃出资规则本质上是规制公司和股东之间发生的违反资本维持原则要求的股东取回出资或者公司返还资本的行为。</w:t>
      </w:r>
      <w:commentRangeEnd w:id="13"/>
      <w:r>
        <w:commentReference w:id="13"/>
      </w:r>
      <w:r>
        <w:rPr>
          <w:rStyle w:val="11"/>
          <w:rFonts w:hint="eastAsia" w:ascii="宋体" w:hAnsi="宋体" w:eastAsia="宋体" w:cs="Times New Roman"/>
          <w:sz w:val="24"/>
          <w:szCs w:val="24"/>
          <w:lang w:val="en-US" w:eastAsia="zh-CN"/>
        </w:rPr>
        <w:footnoteReference w:id="13"/>
      </w:r>
      <w:r>
        <w:rPr>
          <w:rFonts w:hint="eastAsia" w:ascii="宋体" w:hAnsi="宋体" w:eastAsia="宋体" w:cs="Times New Roman"/>
          <w:sz w:val="24"/>
          <w:szCs w:val="24"/>
          <w:lang w:val="en-US" w:eastAsia="zh-CN"/>
        </w:rPr>
        <w:t>虽然抽逃出资的规范含义受到诸多学者的诟病，甚至有学者主张废除禁止抽逃出资规则。</w:t>
      </w:r>
      <w:r>
        <w:rPr>
          <w:rStyle w:val="11"/>
          <w:rFonts w:hint="eastAsia" w:ascii="宋体" w:hAnsi="宋体" w:eastAsia="宋体" w:cs="Times New Roman"/>
          <w:sz w:val="24"/>
          <w:szCs w:val="24"/>
          <w:lang w:val="en-US" w:eastAsia="zh-CN"/>
        </w:rPr>
        <w:footnoteReference w:id="14"/>
      </w:r>
      <w:r>
        <w:rPr>
          <w:rFonts w:hint="eastAsia" w:ascii="宋体" w:hAnsi="宋体" w:eastAsia="宋体" w:cs="Times New Roman"/>
          <w:sz w:val="24"/>
          <w:szCs w:val="24"/>
          <w:lang w:val="en-US" w:eastAsia="zh-CN"/>
        </w:rPr>
        <w:t>但是不可否认的是，随着对于“出资”含义的重新诠释，禁止抽逃出资规则在我国司法实践中仍然具有其积极意义，因为公司的某种“分配行为”，如果难以归入利润分配行为、股份回购行为或者减资行为，但是又有实质性的损害后果，导致公司资本或者资产不当地流向股东，就需要用禁止抽逃出资规则进行规制兜底。</w:t>
      </w:r>
      <w:r>
        <w:rPr>
          <w:rStyle w:val="11"/>
          <w:rFonts w:hint="eastAsia" w:ascii="宋体" w:hAnsi="宋体" w:eastAsia="宋体" w:cs="Times New Roman"/>
          <w:sz w:val="24"/>
          <w:szCs w:val="24"/>
          <w:lang w:val="en-US" w:eastAsia="zh-CN"/>
        </w:rPr>
        <w:footnoteReference w:id="15"/>
      </w:r>
      <w:r>
        <w:rPr>
          <w:rFonts w:hint="eastAsia" w:ascii="宋体" w:hAnsi="宋体" w:eastAsia="宋体" w:cs="Times New Roman"/>
          <w:sz w:val="24"/>
          <w:szCs w:val="24"/>
          <w:lang w:val="en-US" w:eastAsia="zh-CN"/>
        </w:rPr>
        <w:t>故而，在面对新型复杂的有限责任公司财务资助行为时，裁判者往往适用禁止抽逃出资规则对其进行检验，判断是否违反公司股东不得抽回出资的相关规定。若是有违法抽回出资之嫌疑，当然会因为行为违反了禁止抽逃出资规则而无效，若是没有，则不会受到效力否定。由此，有限责任公司为他人取得股权提供帮助的效力裁判现状得以形成，法官以“有效”或者“无效”对当事人之间交易行为作出判断，并进一步明晰权利义务之分配。</w:t>
      </w:r>
    </w:p>
    <w:p w14:paraId="4B08D7C6">
      <w:pPr>
        <w:spacing w:line="360" w:lineRule="auto"/>
        <w:ind w:firstLine="480" w:firstLineChars="200"/>
        <w:outlineLvl w:val="1"/>
        <w:rPr>
          <w:rFonts w:hint="eastAsia" w:ascii="宋体" w:hAnsi="宋体" w:eastAsia="宋体" w:cs="Times New Roman"/>
          <w:b/>
          <w:bCs/>
          <w:sz w:val="24"/>
          <w:szCs w:val="24"/>
          <w:lang w:val="en-US" w:eastAsia="zh-CN"/>
        </w:rPr>
      </w:pPr>
      <w:r>
        <w:rPr>
          <w:rFonts w:hint="eastAsia" w:ascii="宋体" w:hAnsi="宋体" w:eastAsia="宋体" w:cs="Times New Roman"/>
          <w:b/>
          <w:bCs/>
          <w:sz w:val="24"/>
          <w:szCs w:val="24"/>
          <w:lang w:val="en-US" w:eastAsia="zh-CN"/>
        </w:rPr>
        <w:t>（二）效力判断之否弃</w:t>
      </w:r>
    </w:p>
    <w:p w14:paraId="7A1F6B73">
      <w:pPr>
        <w:spacing w:line="360" w:lineRule="auto"/>
        <w:ind w:firstLine="480" w:firstLineChars="200"/>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在效力判断路径下，有限责任公司的财务资助行为可能会因为违反资本维持原则而受到否定评价，此种裁判路径固然能够发挥一定的规制非法分配行为的作用，但是也具有无法忽视的弊端。</w:t>
      </w:r>
    </w:p>
    <w:p w14:paraId="3F6C3BE6">
      <w:pPr>
        <w:spacing w:line="360" w:lineRule="auto"/>
        <w:ind w:firstLine="480" w:firstLineChars="200"/>
        <w:rPr>
          <w:rFonts w:hint="eastAsia" w:ascii="宋体" w:hAnsi="宋体" w:eastAsia="宋体" w:cs="Times New Roman"/>
          <w:b/>
          <w:bCs/>
          <w:sz w:val="24"/>
          <w:szCs w:val="24"/>
          <w:lang w:val="en-US" w:eastAsia="zh-CN"/>
        </w:rPr>
      </w:pPr>
      <w:r>
        <w:rPr>
          <w:rFonts w:hint="eastAsia" w:ascii="宋体" w:hAnsi="宋体" w:eastAsia="宋体" w:cs="Times New Roman"/>
          <w:b/>
          <w:bCs/>
          <w:sz w:val="24"/>
          <w:szCs w:val="24"/>
          <w:lang w:val="en-US" w:eastAsia="zh-CN"/>
        </w:rPr>
        <w:t>1.因为禁止抽逃出资规则规范语义的模糊性，导致效力裁判路径判断标准不一，实践中类案异判的情况普遍存在。</w:t>
      </w:r>
    </w:p>
    <w:p w14:paraId="66258F02">
      <w:pPr>
        <w:spacing w:line="360" w:lineRule="auto"/>
        <w:ind w:firstLine="480" w:firstLineChars="200"/>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作为资本维持原则在中国法律中的具体体现，</w:t>
      </w:r>
      <w:r>
        <w:rPr>
          <w:rStyle w:val="11"/>
          <w:rFonts w:hint="eastAsia" w:ascii="宋体" w:hAnsi="宋体" w:eastAsia="宋体" w:cs="Times New Roman"/>
          <w:sz w:val="24"/>
          <w:szCs w:val="24"/>
          <w:lang w:val="en-US" w:eastAsia="zh-CN"/>
        </w:rPr>
        <w:footnoteReference w:id="16"/>
      </w:r>
      <w:r>
        <w:rPr>
          <w:rFonts w:hint="eastAsia" w:ascii="宋体" w:hAnsi="宋体" w:eastAsia="宋体" w:cs="Times New Roman"/>
          <w:sz w:val="24"/>
          <w:szCs w:val="24"/>
          <w:lang w:val="en-US" w:eastAsia="zh-CN"/>
        </w:rPr>
        <w:t>禁止抽逃出资规则以债权人保护为其核心目的。问题在于，如何准确界定禁止抽逃出资规则划定的债权人保护范围？规范上，确定了“损害公司权益”标准，</w:t>
      </w:r>
      <w:r>
        <w:rPr>
          <w:rStyle w:val="11"/>
          <w:rFonts w:hint="eastAsia" w:ascii="宋体" w:hAnsi="宋体" w:eastAsia="宋体" w:cs="Times New Roman"/>
          <w:sz w:val="24"/>
          <w:szCs w:val="24"/>
          <w:lang w:val="en-US" w:eastAsia="zh-CN"/>
        </w:rPr>
        <w:footnoteReference w:id="17"/>
      </w:r>
      <w:r>
        <w:rPr>
          <w:rFonts w:hint="eastAsia" w:ascii="宋体" w:hAnsi="宋体" w:eastAsia="宋体" w:cs="Times New Roman"/>
          <w:sz w:val="24"/>
          <w:szCs w:val="24"/>
          <w:lang w:val="en-US" w:eastAsia="zh-CN"/>
        </w:rPr>
        <w:t>对于如何确定公司权益受到损害，在理论上存在三种不同的阐释思路：侵权责任路径、侵蚀股本路径以及偿债能力路径。</w:t>
      </w:r>
    </w:p>
    <w:p w14:paraId="55A7622B">
      <w:pPr>
        <w:spacing w:line="360" w:lineRule="auto"/>
        <w:ind w:firstLine="480" w:firstLineChars="200"/>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采侵权责任路径的学者认为，应当将抽逃出资纳入侵权责任的规制范畴中，以侵权责任的构成要件作为认定抽逃出资的标准，将抽逃出资视为股东对公司财产权侵害的行为。</w:t>
      </w:r>
      <w:r>
        <w:rPr>
          <w:rStyle w:val="11"/>
          <w:rFonts w:hint="eastAsia" w:ascii="宋体" w:hAnsi="宋体" w:eastAsia="宋体" w:cs="Times New Roman"/>
          <w:sz w:val="24"/>
          <w:szCs w:val="24"/>
          <w:lang w:val="en-US" w:eastAsia="zh-CN"/>
        </w:rPr>
        <w:footnoteReference w:id="18"/>
      </w:r>
      <w:r>
        <w:rPr>
          <w:rFonts w:hint="eastAsia" w:ascii="宋体" w:hAnsi="宋体" w:eastAsia="宋体" w:cs="Times New Roman"/>
          <w:sz w:val="24"/>
          <w:szCs w:val="24"/>
          <w:lang w:val="en-US" w:eastAsia="zh-CN"/>
        </w:rPr>
        <w:t>近年来也有学者进一步发展了侵权说，认为抽逃出资是损耗股本、造成资本亏空的特殊侵权行为，</w:t>
      </w:r>
      <w:r>
        <w:rPr>
          <w:rStyle w:val="11"/>
          <w:rFonts w:hint="eastAsia" w:ascii="宋体" w:hAnsi="宋体" w:eastAsia="宋体" w:cs="Times New Roman"/>
          <w:sz w:val="24"/>
          <w:szCs w:val="24"/>
          <w:lang w:val="en-US" w:eastAsia="zh-CN"/>
        </w:rPr>
        <w:footnoteReference w:id="19"/>
      </w:r>
      <w:r>
        <w:rPr>
          <w:rFonts w:hint="eastAsia" w:ascii="宋体" w:hAnsi="宋体" w:eastAsia="宋体" w:cs="Times New Roman"/>
          <w:sz w:val="24"/>
          <w:szCs w:val="24"/>
          <w:lang w:val="en-US" w:eastAsia="zh-CN"/>
        </w:rPr>
        <w:t>从损害结果层面上提出了不同的要求。侵权责任路径可以在某些层面一劳永逸地解决禁止抽逃出资规则解释力匮乏的问题，</w:t>
      </w:r>
      <w:r>
        <w:rPr>
          <w:rStyle w:val="11"/>
          <w:rFonts w:hint="eastAsia" w:ascii="宋体" w:hAnsi="宋体" w:eastAsia="宋体" w:cs="Times New Roman"/>
          <w:sz w:val="24"/>
          <w:szCs w:val="24"/>
          <w:lang w:val="en-US" w:eastAsia="zh-CN"/>
        </w:rPr>
        <w:footnoteReference w:id="20"/>
      </w:r>
      <w:commentRangeStart w:id="14"/>
      <w:r>
        <w:rPr>
          <w:rFonts w:hint="eastAsia" w:ascii="宋体" w:hAnsi="宋体" w:eastAsia="宋体" w:cs="Times New Roman"/>
          <w:sz w:val="24"/>
          <w:szCs w:val="24"/>
          <w:lang w:val="en-US" w:eastAsia="zh-CN"/>
        </w:rPr>
        <w:t>但是也因为主观过错证明难度较大、规范适用脱节等限制，在实践中并未得到广泛支持。</w:t>
      </w:r>
      <w:commentRangeEnd w:id="14"/>
      <w:r>
        <w:commentReference w:id="14"/>
      </w:r>
    </w:p>
    <w:p w14:paraId="729C770F">
      <w:pPr>
        <w:spacing w:line="360" w:lineRule="auto"/>
        <w:ind w:firstLine="480" w:firstLineChars="200"/>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侵蚀股本路径将公司向股东进行的非法利益输送分为抽逃出资行为和违法的分配行为。抽逃出资是指在公司成立且股东缴付出资后，公司违反法律规定向股东返还出资，或者股东违反法律规定从公司无偿取得或者超出合理对价取得利益并导致公司资本（股本）减少的行为或交易。</w:t>
      </w:r>
      <w:r>
        <w:rPr>
          <w:rStyle w:val="11"/>
          <w:rFonts w:hint="eastAsia" w:ascii="宋体" w:hAnsi="宋体" w:eastAsia="宋体" w:cs="Times New Roman"/>
          <w:sz w:val="24"/>
          <w:szCs w:val="24"/>
          <w:lang w:val="en-US" w:eastAsia="zh-CN"/>
        </w:rPr>
        <w:footnoteReference w:id="21"/>
      </w:r>
      <w:r>
        <w:rPr>
          <w:rFonts w:hint="eastAsia" w:ascii="宋体" w:hAnsi="宋体" w:eastAsia="宋体" w:cs="Times New Roman"/>
          <w:sz w:val="24"/>
          <w:szCs w:val="24"/>
          <w:lang w:val="en-US" w:eastAsia="zh-CN"/>
        </w:rPr>
        <w:t>侵蚀股本路径从资产负债表出发，认为抽逃出资认定的核心标准在于是否会对公司股本造成损害，强调股本在对外保护债权人利益的重要性，是“传统公司法逻辑和现代法经济学解释的殊途同归”，</w:t>
      </w:r>
      <w:r>
        <w:rPr>
          <w:rStyle w:val="11"/>
          <w:rFonts w:hint="eastAsia" w:ascii="宋体" w:hAnsi="宋体" w:eastAsia="宋体" w:cs="Times New Roman"/>
          <w:sz w:val="24"/>
          <w:szCs w:val="24"/>
          <w:lang w:val="en-US" w:eastAsia="zh-CN"/>
        </w:rPr>
        <w:footnoteReference w:id="22"/>
      </w:r>
      <w:r>
        <w:rPr>
          <w:rFonts w:hint="eastAsia" w:ascii="宋体" w:hAnsi="宋体" w:eastAsia="宋体" w:cs="Times New Roman"/>
          <w:sz w:val="24"/>
          <w:szCs w:val="24"/>
          <w:lang w:val="en-US" w:eastAsia="zh-CN"/>
        </w:rPr>
        <w:t>在实践中部分法院也采纳了此种路径，在判断公司资助行为是否属于非法的抽逃出资行为时，尤其重视资助行为对于公司股本以及资产负债表带来的影响，对于可能导致公司注册资本减损的资助行为往往认定为违反了资本维持原则而无效。</w:t>
      </w:r>
      <w:r>
        <w:rPr>
          <w:rStyle w:val="11"/>
          <w:rFonts w:hint="eastAsia" w:ascii="宋体" w:hAnsi="宋体" w:eastAsia="宋体" w:cs="Times New Roman"/>
          <w:sz w:val="24"/>
          <w:szCs w:val="24"/>
          <w:lang w:val="en-US" w:eastAsia="zh-CN"/>
        </w:rPr>
        <w:footnoteReference w:id="23"/>
      </w:r>
    </w:p>
    <w:p w14:paraId="2A15B109">
      <w:pPr>
        <w:spacing w:line="360" w:lineRule="auto"/>
        <w:ind w:firstLine="480" w:firstLineChars="200"/>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偿债能力路径来自于美国的《商业公司示范法》，董事会应当通过以下三个测试，来审查公司的分配行为是否会损害到公司的偿债能力：第一，衡平测试，要求公司能够偿还正常经营过程中产生的债务；</w:t>
      </w:r>
      <w:r>
        <w:rPr>
          <w:rStyle w:val="11"/>
          <w:rFonts w:hint="eastAsia" w:ascii="宋体" w:hAnsi="宋体" w:eastAsia="宋体" w:cs="Times New Roman"/>
          <w:sz w:val="24"/>
          <w:szCs w:val="24"/>
          <w:lang w:val="en-US" w:eastAsia="zh-CN"/>
        </w:rPr>
        <w:footnoteReference w:id="24"/>
      </w:r>
      <w:r>
        <w:rPr>
          <w:rFonts w:hint="eastAsia" w:ascii="宋体" w:hAnsi="宋体" w:eastAsia="宋体" w:cs="Times New Roman"/>
          <w:sz w:val="24"/>
          <w:szCs w:val="24"/>
          <w:lang w:val="en-US" w:eastAsia="zh-CN"/>
        </w:rPr>
        <w:t>第二，资本充足率测试，关注公司的资产和负债的对比，要求资产大于负债；</w:t>
      </w:r>
      <w:r>
        <w:rPr>
          <w:rStyle w:val="11"/>
          <w:rFonts w:hint="eastAsia" w:ascii="宋体" w:hAnsi="宋体" w:eastAsia="宋体" w:cs="Times New Roman"/>
          <w:sz w:val="24"/>
          <w:szCs w:val="24"/>
          <w:lang w:val="en-US" w:eastAsia="zh-CN"/>
        </w:rPr>
        <w:footnoteReference w:id="25"/>
      </w:r>
      <w:r>
        <w:rPr>
          <w:rFonts w:hint="eastAsia" w:ascii="宋体" w:hAnsi="宋体" w:eastAsia="宋体" w:cs="Times New Roman"/>
          <w:sz w:val="24"/>
          <w:szCs w:val="24"/>
          <w:lang w:val="en-US" w:eastAsia="zh-CN"/>
        </w:rPr>
        <w:t>第三，资产负债表测试，即公司应当具有能够维系正常经营活动的资产。</w:t>
      </w:r>
      <w:r>
        <w:rPr>
          <w:rStyle w:val="11"/>
          <w:rFonts w:hint="eastAsia" w:ascii="宋体" w:hAnsi="宋体" w:eastAsia="宋体" w:cs="Times New Roman"/>
          <w:sz w:val="24"/>
          <w:szCs w:val="24"/>
          <w:lang w:val="en-US" w:eastAsia="zh-CN"/>
        </w:rPr>
        <w:footnoteReference w:id="26"/>
      </w:r>
      <w:r>
        <w:rPr>
          <w:rFonts w:hint="eastAsia" w:ascii="宋体" w:hAnsi="宋体" w:eastAsia="宋体" w:cs="Times New Roman"/>
          <w:sz w:val="24"/>
          <w:szCs w:val="24"/>
          <w:lang w:val="en-US" w:eastAsia="zh-CN"/>
        </w:rPr>
        <w:t>偿债能力标准是一套“去形式化，重实质化的规范体系”，</w:t>
      </w:r>
      <w:r>
        <w:rPr>
          <w:rStyle w:val="11"/>
          <w:rFonts w:hint="eastAsia" w:ascii="宋体" w:hAnsi="宋体" w:eastAsia="宋体" w:cs="Times New Roman"/>
          <w:sz w:val="24"/>
          <w:szCs w:val="24"/>
          <w:lang w:val="en-US" w:eastAsia="zh-CN"/>
        </w:rPr>
        <w:footnoteReference w:id="27"/>
      </w:r>
      <w:r>
        <w:rPr>
          <w:rFonts w:hint="eastAsia" w:ascii="宋体" w:hAnsi="宋体" w:eastAsia="宋体" w:cs="Times New Roman"/>
          <w:sz w:val="24"/>
          <w:szCs w:val="24"/>
          <w:lang w:val="en-US" w:eastAsia="zh-CN"/>
        </w:rPr>
        <w:t>能够最大程度地满足债权人保护的要求，强调董事会中心主义，同时实现了“权责统一”，</w:t>
      </w:r>
      <w:commentRangeStart w:id="15"/>
      <w:r>
        <w:rPr>
          <w:rFonts w:hint="eastAsia" w:ascii="宋体" w:hAnsi="宋体" w:eastAsia="宋体" w:cs="Times New Roman"/>
          <w:sz w:val="24"/>
          <w:szCs w:val="24"/>
          <w:lang w:val="en-US" w:eastAsia="zh-CN"/>
        </w:rPr>
        <w:t>对我国资本制度中责任体系的完善具有重要意义。</w:t>
      </w:r>
      <w:r>
        <w:rPr>
          <w:rStyle w:val="11"/>
          <w:rFonts w:hint="eastAsia" w:ascii="宋体" w:hAnsi="宋体" w:eastAsia="宋体" w:cs="Times New Roman"/>
          <w:sz w:val="24"/>
          <w:szCs w:val="24"/>
          <w:lang w:val="en-US" w:eastAsia="zh-CN"/>
        </w:rPr>
        <w:footnoteReference w:id="28"/>
      </w:r>
      <w:commentRangeEnd w:id="15"/>
      <w:r>
        <w:commentReference w:id="15"/>
      </w:r>
      <w:r>
        <w:rPr>
          <w:rFonts w:hint="eastAsia" w:ascii="宋体" w:hAnsi="宋体" w:eastAsia="宋体" w:cs="Times New Roman"/>
          <w:sz w:val="24"/>
          <w:szCs w:val="24"/>
          <w:lang w:val="en-US" w:eastAsia="zh-CN"/>
        </w:rPr>
        <w:t>此种路径侧重于审查公司的实际资产情况而不是关注账面资产，若是公司经营处于较为困难的境地或者公司尚有负债，则可能会认为此时进行的财务资助行为损害了公司的偿债能力。偿债能力路径受到国内众多学者的推崇，在有限责任公司财务资助行为的司法裁判中也有体现。</w:t>
      </w:r>
      <w:r>
        <w:rPr>
          <w:rStyle w:val="11"/>
          <w:rFonts w:hint="eastAsia" w:ascii="宋体" w:hAnsi="宋体" w:eastAsia="宋体" w:cs="Times New Roman"/>
          <w:sz w:val="24"/>
          <w:szCs w:val="24"/>
          <w:lang w:val="en-US" w:eastAsia="zh-CN"/>
        </w:rPr>
        <w:footnoteReference w:id="29"/>
      </w:r>
    </w:p>
    <w:p w14:paraId="129FB9EE">
      <w:pPr>
        <w:spacing w:line="360" w:lineRule="auto"/>
        <w:ind w:firstLine="480" w:firstLineChars="200"/>
        <w:rPr>
          <w:rFonts w:hint="default" w:ascii="宋体" w:hAnsi="宋体" w:eastAsia="宋体" w:cs="Times New Roman"/>
          <w:sz w:val="24"/>
          <w:szCs w:val="24"/>
          <w:lang w:val="en-US" w:eastAsia="zh-CN"/>
        </w:rPr>
      </w:pPr>
      <w:commentRangeStart w:id="16"/>
      <w:r>
        <w:rPr>
          <w:rFonts w:hint="eastAsia" w:ascii="宋体" w:hAnsi="宋体" w:eastAsia="宋体" w:cs="Times New Roman"/>
          <w:sz w:val="24"/>
          <w:szCs w:val="24"/>
          <w:lang w:val="en-US" w:eastAsia="zh-CN"/>
        </w:rPr>
        <w:t>以上三种路径各有合理性，其拥趸也不在少数，问题是，司法公正要求裁判标准的统一，抽逃出资规范含义的模糊性会赋予裁判者极大的自由裁量余地，在类似的案件中适用不同的裁判标准无疑是对于司法公信力的一种损害，也表明现有之效力裁判路径难以适应商业实践之发展。</w:t>
      </w:r>
      <w:commentRangeEnd w:id="16"/>
      <w:r>
        <w:commentReference w:id="16"/>
      </w:r>
    </w:p>
    <w:p w14:paraId="4907E16E">
      <w:pPr>
        <w:spacing w:line="360" w:lineRule="auto"/>
        <w:ind w:firstLine="480" w:firstLineChars="200"/>
        <w:outlineLvl w:val="2"/>
        <w:rPr>
          <w:rFonts w:hint="eastAsia" w:ascii="宋体" w:hAnsi="宋体" w:eastAsia="宋体" w:cs="Times New Roman"/>
          <w:b/>
          <w:bCs/>
          <w:sz w:val="24"/>
          <w:szCs w:val="24"/>
          <w:lang w:val="en-US" w:eastAsia="zh-CN"/>
        </w:rPr>
      </w:pPr>
      <w:r>
        <w:rPr>
          <w:rFonts w:hint="eastAsia" w:ascii="宋体" w:hAnsi="宋体" w:eastAsia="宋体" w:cs="Times New Roman"/>
          <w:b/>
          <w:bCs/>
          <w:sz w:val="24"/>
          <w:szCs w:val="24"/>
          <w:lang w:val="en-US" w:eastAsia="zh-CN"/>
        </w:rPr>
        <w:t>2.运用效力判断作出之裁判结论均有失偏颇。</w:t>
      </w:r>
    </w:p>
    <w:p w14:paraId="7ECB3CE8">
      <w:pPr>
        <w:spacing w:line="360" w:lineRule="auto"/>
        <w:ind w:firstLine="480" w:firstLineChars="200"/>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不论是认为有限责任公司财务资助行为有效抑或是无效，面对合理的质疑，都难以进行有力的反驳。在认为资助行为有效的案件中，公司为他人取得股权提供帮助，将会在事实上导致公司的资本向股东流出，隐含着侵害公司权益，危害债权人保护能力的风险，而现有的有效裁判，并未对这一风险进行充分、合理的分析和考量，裁判说理较为粗糙，难以让人信服。例如，在“成都市棒棒娃实业有限公司、李湧股权转让纠纷”中，针对再审申请人提出的案涉担保构成股东抽逃出资的主张，最高人民法院再审认为，作为股权转让目标公司的棒棒娃公司，为股东之间的股权转让提供担保的行为并不违反《公司法》有关公司担保的规定，并且在承担了担保责任后具有对债务人李湧的追偿权，此项担保并不损害公司利益，不构成股东抽逃出资。</w:t>
      </w:r>
      <w:r>
        <w:rPr>
          <w:rStyle w:val="11"/>
          <w:rFonts w:hint="eastAsia" w:ascii="宋体" w:hAnsi="宋体" w:eastAsia="宋体" w:cs="Times New Roman"/>
          <w:sz w:val="24"/>
          <w:szCs w:val="24"/>
          <w:lang w:val="en-US" w:eastAsia="zh-CN"/>
        </w:rPr>
        <w:footnoteReference w:id="30"/>
      </w:r>
      <w:r>
        <w:rPr>
          <w:rFonts w:hint="eastAsia" w:ascii="宋体" w:hAnsi="宋体" w:eastAsia="宋体" w:cs="Times New Roman"/>
          <w:sz w:val="24"/>
          <w:szCs w:val="24"/>
          <w:lang w:val="en-US" w:eastAsia="zh-CN"/>
        </w:rPr>
        <w:t>最高人民法院从整体资产情况对公司担保行为的影响进行考量，认为公司即使承担了担保责任，对外支出了资金，但仍然享有追偿权，资产总额并未发生变化，故而不认为相关的担保构成股东抽逃出资</w:t>
      </w:r>
      <w:commentRangeStart w:id="17"/>
      <w:r>
        <w:rPr>
          <w:rFonts w:hint="eastAsia" w:ascii="宋体" w:hAnsi="宋体" w:eastAsia="宋体" w:cs="Times New Roman"/>
          <w:sz w:val="24"/>
          <w:szCs w:val="24"/>
          <w:lang w:val="en-US" w:eastAsia="zh-CN"/>
        </w:rPr>
        <w:t>。</w:t>
      </w:r>
      <w:commentRangeEnd w:id="17"/>
      <w:r>
        <w:commentReference w:id="17"/>
      </w:r>
      <w:r>
        <w:rPr>
          <w:rFonts w:hint="eastAsia" w:ascii="宋体" w:hAnsi="宋体" w:eastAsia="宋体" w:cs="Times New Roman"/>
          <w:sz w:val="24"/>
          <w:szCs w:val="24"/>
          <w:lang w:val="en-US" w:eastAsia="zh-CN"/>
        </w:rPr>
        <w:t>问题是，此种裁判立场未关注到资产形态变化可能对公司带来的不利影响，并且也忽略了此种交易事实上可能会导致股东借以公司担保的形式抽逃出资，损害公司以及债权人利益。详言之，在公司承担担保责任时，实际上以公司的现有资金先行支付了股权转让价款，现有资产变为</w:t>
      </w:r>
      <w:commentRangeStart w:id="18"/>
      <w:r>
        <w:rPr>
          <w:rFonts w:hint="eastAsia" w:ascii="宋体" w:hAnsi="宋体" w:eastAsia="宋体" w:cs="Times New Roman"/>
          <w:sz w:val="24"/>
          <w:szCs w:val="24"/>
          <w:lang w:val="en-US" w:eastAsia="zh-CN"/>
        </w:rPr>
        <w:t>期待债权</w:t>
      </w:r>
      <w:commentRangeEnd w:id="18"/>
      <w:r>
        <w:commentReference w:id="18"/>
      </w:r>
      <w:r>
        <w:rPr>
          <w:rFonts w:hint="eastAsia" w:ascii="宋体" w:hAnsi="宋体" w:eastAsia="宋体" w:cs="Times New Roman"/>
          <w:sz w:val="24"/>
          <w:szCs w:val="24"/>
          <w:lang w:val="en-US" w:eastAsia="zh-CN"/>
        </w:rPr>
        <w:t>，</w:t>
      </w:r>
      <w:commentRangeStart w:id="19"/>
      <w:r>
        <w:rPr>
          <w:rFonts w:hint="eastAsia" w:ascii="宋体" w:hAnsi="宋体" w:eastAsia="宋体" w:cs="Times New Roman"/>
          <w:sz w:val="24"/>
          <w:szCs w:val="24"/>
          <w:lang w:val="en-US" w:eastAsia="zh-CN"/>
        </w:rPr>
        <w:t>从现实的经营角度来说，公司的短期对外支付能力将会受到严重影响，若是公司还对外承担债务，在债务履行期限届满后极易因为流动资金的缺失导致陷入两难境地。并且，期待债权本质上是一种可能的“注水资产”，实际上能够获得多大的清偿以及何时能够获得清偿均未可知。受让股东的偿付能力强弱将会直接影响到公司追偿权的实现，如果受让股东唯一的资产是目标公司的股权，会发生的情况是：公司将自有股份纳入本公司的资产，使公司面临与直接收购自有股份相同的风险。</w:t>
      </w:r>
      <w:r>
        <w:rPr>
          <w:rStyle w:val="11"/>
          <w:rFonts w:hint="eastAsia" w:ascii="宋体" w:hAnsi="宋体" w:eastAsia="宋体" w:cs="Times New Roman"/>
          <w:sz w:val="24"/>
          <w:szCs w:val="24"/>
          <w:lang w:val="en-US" w:eastAsia="zh-CN"/>
        </w:rPr>
        <w:footnoteReference w:id="31"/>
      </w:r>
      <w:r>
        <w:rPr>
          <w:rFonts w:hint="eastAsia" w:ascii="宋体" w:hAnsi="宋体" w:eastAsia="宋体" w:cs="Times New Roman"/>
          <w:sz w:val="24"/>
          <w:szCs w:val="24"/>
          <w:lang w:val="en-US" w:eastAsia="zh-CN"/>
        </w:rPr>
        <w:t>而若此时公司陷入经营困境，这部分股份的价值可能会显著减少甚至为零，</w:t>
      </w:r>
      <w:r>
        <w:rPr>
          <w:rStyle w:val="11"/>
          <w:rFonts w:hint="eastAsia" w:ascii="宋体" w:hAnsi="宋体" w:eastAsia="宋体" w:cs="Times New Roman"/>
          <w:sz w:val="24"/>
          <w:szCs w:val="24"/>
          <w:lang w:val="en-US" w:eastAsia="zh-CN"/>
        </w:rPr>
        <w:footnoteReference w:id="32"/>
      </w:r>
      <w:r>
        <w:rPr>
          <w:rFonts w:hint="eastAsia" w:ascii="宋体" w:hAnsi="宋体" w:eastAsia="宋体" w:cs="Times New Roman"/>
          <w:sz w:val="24"/>
          <w:szCs w:val="24"/>
          <w:lang w:val="en-US" w:eastAsia="zh-CN"/>
        </w:rPr>
        <w:t>公司何以期待债权到期后能够获得完全清偿？更进一步来说，若是不加详尽分析即认为公司资助行为有效，将会诱发股东利用公司资助行为掏空公司现有资产抽逃出资的机会主义行为，带来外部债权人保护能力弱化甚至丧失的风险。</w:t>
      </w:r>
      <w:commentRangeEnd w:id="19"/>
      <w:r>
        <w:commentReference w:id="19"/>
      </w:r>
    </w:p>
    <w:p w14:paraId="5F9182FE">
      <w:pPr>
        <w:spacing w:line="360" w:lineRule="auto"/>
        <w:ind w:firstLine="480" w:firstLineChars="200"/>
        <w:rPr>
          <w:rFonts w:hint="default" w:ascii="宋体" w:hAnsi="宋体" w:eastAsia="宋体" w:cs="Times New Roman"/>
          <w:sz w:val="24"/>
          <w:szCs w:val="24"/>
          <w:lang w:val="en-US" w:eastAsia="zh-CN"/>
        </w:rPr>
      </w:pPr>
      <w:r>
        <w:rPr>
          <w:rFonts w:hint="eastAsia" w:ascii="宋体" w:hAnsi="宋体" w:eastAsia="宋体" w:cs="Times New Roman"/>
          <w:sz w:val="24"/>
          <w:szCs w:val="24"/>
          <w:lang w:val="en-US" w:eastAsia="zh-CN"/>
        </w:rPr>
        <w:t>同样的，若是认为公司资助行为因违反股东禁止抽逃出资规则而无效，也可能因为“扫射面过宽”，“误伤”具有合理性的正当资助行为。</w:t>
      </w:r>
      <w:commentRangeStart w:id="20"/>
      <w:r>
        <w:rPr>
          <w:rFonts w:hint="eastAsia" w:ascii="宋体" w:hAnsi="宋体" w:eastAsia="宋体" w:cs="Times New Roman"/>
          <w:sz w:val="24"/>
          <w:szCs w:val="24"/>
          <w:lang w:val="en-US" w:eastAsia="zh-CN"/>
        </w:rPr>
        <w:t>实践中财务资助行为的主要目的可以总结为以下几点：第一，帮助他人取得本公司股权。此时，财务资助行为是作为股权转让的增信措施，主要在于保障股权转让顺利进行，这也是财务资助行为最直接、最初始的目的；第二，引入外部股东，推行公司重大战略，实现公司商业目的。实践中，商事主体之间的商事合作不乏通过“入股”的方式进行，从这个层面来说，财务资助行为是公司经营战略规划的一部分，通过财务资助行为帮助外部主体顺利进入公司内部，从而为后续的商事合作奠定基础。第三，优化公司内部治理结构。公司也可以通过财务资助行为引入外部股东，对公司内部的股权结构进行一定调整。内部治理结构的变化是股权变动可能会带来的影响之一，有限责任公司具有封闭性，股权流动性弱于股份有限公司，通过财务资助行为能够促进公司股权流动，实现内部结构的优化。第四，其他商业目的。在此种情况下，公司的财务资助行为多体现为和未来股东的商事交易，目的在于实现财务资助资金的“保本增收”，例如，约定财务资助资金的使用利息、资金使用费等。从上述目的分析的角度来说，有限责任公司进行财务资助行为具有实践理性，能够满足正当商业目的之需求，所以，对其进行规制的过程中，应当关注到公司进行财务资助行为的合理需求。固然应当对潜在的抽逃出资风险进行防控，但是也应当给予公司一定的信任与自由，在不害及公司利益以及债权人保护时，允许公司基于正当之商业需求进行财务资助，助力公司的健康发展。</w:t>
      </w:r>
      <w:commentRangeEnd w:id="20"/>
      <w:r>
        <w:commentReference w:id="20"/>
      </w:r>
    </w:p>
    <w:p w14:paraId="7E022E6D">
      <w:pPr>
        <w:spacing w:line="360" w:lineRule="auto"/>
        <w:ind w:firstLine="480" w:firstLineChars="200"/>
        <w:rPr>
          <w:rFonts w:hint="eastAsia" w:ascii="宋体" w:hAnsi="宋体" w:eastAsia="宋体" w:cs="Times New Roman"/>
          <w:sz w:val="24"/>
          <w:szCs w:val="24"/>
          <w:lang w:val="en-US" w:eastAsia="zh-CN"/>
        </w:rPr>
      </w:pPr>
      <w:r>
        <w:rPr>
          <w:rFonts w:hint="eastAsia" w:ascii="宋体" w:hAnsi="宋体" w:eastAsia="宋体" w:cs="Times New Roman"/>
          <w:b/>
          <w:bCs/>
          <w:sz w:val="24"/>
          <w:szCs w:val="24"/>
          <w:lang w:val="en-US" w:eastAsia="zh-CN"/>
        </w:rPr>
        <w:t>3.对有限责任公司财务资助行为适用效力裁判路径缺乏规范支撑，无法在现行法中寻找到规范依据。</w:t>
      </w:r>
    </w:p>
    <w:p w14:paraId="19CD2F22">
      <w:pPr>
        <w:spacing w:line="360" w:lineRule="auto"/>
        <w:ind w:firstLine="480" w:firstLineChars="200"/>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“为了确保债权人的利益不因为股东的有限责任而受到侵害，立法上预先设计了一整套关于公司资本形成、维持和退出的机制”，</w:t>
      </w:r>
      <w:r>
        <w:rPr>
          <w:rStyle w:val="11"/>
          <w:rFonts w:hint="eastAsia" w:ascii="宋体" w:hAnsi="宋体" w:eastAsia="宋体" w:cs="Times New Roman"/>
          <w:sz w:val="24"/>
          <w:szCs w:val="24"/>
          <w:lang w:val="en-US" w:eastAsia="zh-CN"/>
        </w:rPr>
        <w:footnoteReference w:id="33"/>
      </w:r>
      <w:r>
        <w:rPr>
          <w:rFonts w:hint="eastAsia" w:ascii="宋体" w:hAnsi="宋体" w:eastAsia="宋体" w:cs="Times New Roman"/>
          <w:sz w:val="24"/>
          <w:szCs w:val="24"/>
          <w:lang w:val="en-US" w:eastAsia="zh-CN"/>
        </w:rPr>
        <w:t>禁止抽逃出资规则即发挥着维持公司资本的重要作用。我国法律中禁止抽逃出资规则的规范表达是《公司法》第五十三条以及《公司法司法解释（三）》第十二条和第十四条，即使《公司法司法解释（三）》对抽逃出资行为进行了“具象化”，但是仍具有循环定义、表述抽象的问题，</w:t>
      </w:r>
      <w:r>
        <w:rPr>
          <w:rStyle w:val="11"/>
          <w:rFonts w:hint="eastAsia" w:ascii="宋体" w:hAnsi="宋体" w:eastAsia="宋体" w:cs="Times New Roman"/>
          <w:sz w:val="24"/>
          <w:szCs w:val="24"/>
          <w:lang w:val="en-US" w:eastAsia="zh-CN"/>
        </w:rPr>
        <w:footnoteReference w:id="34"/>
      </w:r>
      <w:r>
        <w:rPr>
          <w:rFonts w:hint="eastAsia" w:ascii="宋体" w:hAnsi="宋体" w:eastAsia="宋体" w:cs="Times New Roman"/>
          <w:sz w:val="24"/>
          <w:szCs w:val="24"/>
          <w:lang w:val="en-US" w:eastAsia="zh-CN"/>
        </w:rPr>
        <w:t>这些抽象化的法律规定并非指向具体合同的效力性规范，而是旨在要求股东承担一定的概括性消极义务。</w:t>
      </w:r>
      <w:r>
        <w:rPr>
          <w:rStyle w:val="11"/>
          <w:rFonts w:hint="eastAsia" w:ascii="宋体" w:hAnsi="宋体" w:eastAsia="宋体" w:cs="Times New Roman"/>
          <w:sz w:val="24"/>
          <w:szCs w:val="24"/>
          <w:lang w:val="en-US" w:eastAsia="zh-CN"/>
        </w:rPr>
        <w:footnoteReference w:id="35"/>
      </w:r>
      <w:r>
        <w:rPr>
          <w:rFonts w:hint="eastAsia" w:ascii="宋体" w:hAnsi="宋体" w:eastAsia="宋体" w:cs="Times New Roman"/>
          <w:sz w:val="24"/>
          <w:szCs w:val="24"/>
          <w:lang w:val="en-US" w:eastAsia="zh-CN"/>
        </w:rPr>
        <w:t>具言之，禁止抽逃出资规则并非旨在否定具体交易行为之效力，而是在于避免“抽逃出资”可能引发的损害公司利益以及债权人利益的不利后果。对于后果之否定不能当然地解释为对行为之禁止。</w:t>
      </w:r>
      <w:commentRangeStart w:id="21"/>
      <w:r>
        <w:rPr>
          <w:rFonts w:hint="eastAsia" w:ascii="宋体" w:hAnsi="宋体" w:eastAsia="宋体" w:cs="Times New Roman"/>
          <w:sz w:val="24"/>
          <w:szCs w:val="24"/>
          <w:lang w:val="en-US" w:eastAsia="zh-CN"/>
        </w:rPr>
        <w:t>再退一步说，即使认为禁止抽逃出资规则构成公司法中的强制性规范，那也并不意味着违反了禁止抽逃出资规则会导致无效的法律后果，换言之，禁止抽逃出资规则并非属于效力性强制规范。对于禁止抽逃出资规则的性质，学界存在不同看法，有的学者主张禁止抽逃出资规则旨在落实资本维持原则，属于效力性强制规定，违反了抽逃出资的行为无效。</w:t>
      </w:r>
      <w:r>
        <w:rPr>
          <w:rStyle w:val="11"/>
          <w:rFonts w:hint="eastAsia" w:ascii="宋体" w:hAnsi="宋体" w:eastAsia="宋体" w:cs="Times New Roman"/>
          <w:sz w:val="24"/>
          <w:szCs w:val="24"/>
          <w:lang w:val="en-US" w:eastAsia="zh-CN"/>
        </w:rPr>
        <w:footnoteReference w:id="36"/>
      </w:r>
      <w:r>
        <w:rPr>
          <w:rFonts w:hint="eastAsia" w:ascii="宋体" w:hAnsi="宋体" w:eastAsia="宋体" w:cs="Times New Roman"/>
          <w:sz w:val="24"/>
          <w:szCs w:val="24"/>
          <w:lang w:val="en-US" w:eastAsia="zh-CN"/>
        </w:rPr>
        <w:t>而有的学者持相反观点，认为禁止抽逃出资规则并不属于强制性规范，就算属于强制性规范，也并非效力性强制规范。</w:t>
      </w:r>
      <w:r>
        <w:rPr>
          <w:rStyle w:val="11"/>
          <w:rFonts w:hint="eastAsia" w:ascii="宋体" w:hAnsi="宋体" w:eastAsia="宋体" w:cs="Times New Roman"/>
          <w:sz w:val="24"/>
          <w:szCs w:val="24"/>
          <w:lang w:val="en-US" w:eastAsia="zh-CN"/>
        </w:rPr>
        <w:footnoteReference w:id="37"/>
      </w:r>
      <w:r>
        <w:rPr>
          <w:rFonts w:hint="eastAsia" w:ascii="宋体" w:hAnsi="宋体" w:eastAsia="宋体" w:cs="Times New Roman"/>
          <w:sz w:val="24"/>
          <w:szCs w:val="24"/>
          <w:lang w:val="en-US" w:eastAsia="zh-CN"/>
        </w:rPr>
        <w:t>甚至有学者认为禁止抽逃出资规则仅能够作为一种宣示性条款，主张淡化或者取消禁止抽逃出资规则。</w:t>
      </w:r>
      <w:r>
        <w:rPr>
          <w:rStyle w:val="11"/>
          <w:rFonts w:hint="eastAsia" w:ascii="宋体" w:hAnsi="宋体" w:eastAsia="宋体" w:cs="Times New Roman"/>
          <w:sz w:val="24"/>
          <w:szCs w:val="24"/>
          <w:lang w:val="en-US" w:eastAsia="zh-CN"/>
        </w:rPr>
        <w:footnoteReference w:id="38"/>
      </w:r>
      <w:r>
        <w:rPr>
          <w:rFonts w:hint="eastAsia" w:ascii="宋体" w:hAnsi="宋体" w:eastAsia="宋体" w:cs="Times New Roman"/>
          <w:sz w:val="24"/>
          <w:szCs w:val="24"/>
          <w:lang w:val="en-US" w:eastAsia="zh-CN"/>
        </w:rPr>
        <w:t>笔者赞同第二种观点，禁止抽逃出资规则即使能够作为一项强制性规定而存在，但是对其之违反不应受到无效的效力性否定评价。在最高人民法院2023年12月发布的《最高人民法院关于适用</w:t>
      </w:r>
      <w:r>
        <w:rPr>
          <w:rFonts w:hint="default" w:ascii="宋体" w:hAnsi="宋体" w:eastAsia="宋体" w:cs="Times New Roman"/>
          <w:sz w:val="24"/>
          <w:szCs w:val="24"/>
          <w:lang w:val="en-US" w:eastAsia="zh-CN"/>
        </w:rPr>
        <w:t>&lt;</w:t>
      </w:r>
      <w:r>
        <w:rPr>
          <w:rFonts w:hint="eastAsia" w:ascii="宋体" w:hAnsi="宋体" w:eastAsia="宋体" w:cs="Times New Roman"/>
          <w:sz w:val="24"/>
          <w:szCs w:val="24"/>
          <w:lang w:val="en-US" w:eastAsia="zh-CN"/>
        </w:rPr>
        <w:t>中华人民共和国民法典</w:t>
      </w:r>
      <w:r>
        <w:rPr>
          <w:rFonts w:hint="default" w:ascii="宋体" w:hAnsi="宋体" w:eastAsia="宋体" w:cs="Times New Roman"/>
          <w:sz w:val="24"/>
          <w:szCs w:val="24"/>
          <w:lang w:val="en-US" w:eastAsia="zh-CN"/>
        </w:rPr>
        <w:t>&gt;</w:t>
      </w:r>
      <w:r>
        <w:rPr>
          <w:rFonts w:hint="eastAsia" w:ascii="宋体" w:hAnsi="宋体" w:eastAsia="宋体" w:cs="Times New Roman"/>
          <w:sz w:val="24"/>
          <w:szCs w:val="24"/>
          <w:lang w:val="en-US" w:eastAsia="zh-CN"/>
        </w:rPr>
        <w:t>合同编通则若干问题的解释》（以下简称《合同编通则司法解释》）中规定，若是强制性规定的目的在于规制合同订立后的履行行为，当事人不得以合同违反了强制性规定为由主张合同无效。</w:t>
      </w:r>
      <w:r>
        <w:rPr>
          <w:rStyle w:val="11"/>
          <w:rFonts w:hint="eastAsia" w:ascii="宋体" w:hAnsi="宋体" w:eastAsia="宋体" w:cs="Times New Roman"/>
          <w:sz w:val="24"/>
          <w:szCs w:val="24"/>
          <w:lang w:val="en-US" w:eastAsia="zh-CN"/>
        </w:rPr>
        <w:footnoteReference w:id="39"/>
      </w:r>
      <w:commentRangeEnd w:id="21"/>
      <w:r>
        <w:commentReference w:id="21"/>
      </w:r>
      <w:r>
        <w:rPr>
          <w:rFonts w:hint="eastAsia" w:ascii="宋体" w:hAnsi="宋体" w:eastAsia="宋体" w:cs="Times New Roman"/>
          <w:sz w:val="24"/>
          <w:szCs w:val="24"/>
          <w:lang w:val="en-US" w:eastAsia="zh-CN"/>
        </w:rPr>
        <w:t>禁止抽逃出资规则即属此种情况，其规范目的不在于确定哪几种具体的合同应当无效，而是在于防止违反资本维持原则的危害后果出现，规制的是履行合同的行为，而非是合同本身。在比较法的视角上，此项结论也能够得到支撑。</w:t>
      </w:r>
      <w:commentRangeStart w:id="22"/>
      <w:r>
        <w:rPr>
          <w:rFonts w:hint="eastAsia" w:ascii="宋体" w:hAnsi="宋体" w:eastAsia="宋体" w:cs="Times New Roman"/>
          <w:sz w:val="24"/>
          <w:szCs w:val="24"/>
          <w:lang w:val="en-US" w:eastAsia="zh-CN"/>
        </w:rPr>
        <w:t>有的学者对于德国法上的分配禁止制度进行了深入研究，指出德国法上对于违反分配禁止规定之行为并非简单沿用《德国民法典》有关效力的规定，而是另辟蹊径，承认公司决议行为的效力，只是在履行上予以限制。</w:t>
      </w:r>
      <w:r>
        <w:rPr>
          <w:rStyle w:val="11"/>
          <w:rFonts w:hint="eastAsia" w:ascii="宋体" w:hAnsi="宋体" w:eastAsia="宋体" w:cs="Times New Roman"/>
          <w:sz w:val="24"/>
          <w:szCs w:val="24"/>
          <w:lang w:val="en-US" w:eastAsia="zh-CN"/>
        </w:rPr>
        <w:footnoteReference w:id="40"/>
      </w:r>
      <w:commentRangeEnd w:id="22"/>
      <w:r>
        <w:commentReference w:id="22"/>
      </w:r>
    </w:p>
    <w:p w14:paraId="26248082">
      <w:pPr>
        <w:spacing w:line="360" w:lineRule="auto"/>
        <w:ind w:firstLine="480" w:firstLineChars="200"/>
        <w:outlineLvl w:val="1"/>
        <w:rPr>
          <w:rFonts w:hint="eastAsia" w:ascii="宋体" w:hAnsi="宋体" w:eastAsia="宋体" w:cs="Times New Roman"/>
          <w:b/>
          <w:bCs/>
          <w:sz w:val="24"/>
          <w:szCs w:val="24"/>
          <w:lang w:val="en-US" w:eastAsia="zh-CN"/>
        </w:rPr>
      </w:pPr>
      <w:r>
        <w:rPr>
          <w:rFonts w:hint="eastAsia" w:ascii="宋体" w:hAnsi="宋体" w:eastAsia="宋体" w:cs="Times New Roman"/>
          <w:b/>
          <w:bCs/>
          <w:sz w:val="24"/>
          <w:szCs w:val="24"/>
          <w:lang w:val="en-US" w:eastAsia="zh-CN"/>
        </w:rPr>
        <w:t>（三）履行判断之证成</w:t>
      </w:r>
    </w:p>
    <w:p w14:paraId="73585F5D">
      <w:pPr>
        <w:spacing w:line="360" w:lineRule="auto"/>
        <w:ind w:firstLine="480" w:firstLineChars="200"/>
        <w:rPr>
          <w:rFonts w:hint="default" w:ascii="宋体" w:hAnsi="宋体" w:eastAsia="宋体" w:cs="Times New Roman"/>
          <w:sz w:val="24"/>
          <w:szCs w:val="24"/>
          <w:lang w:val="en-US" w:eastAsia="zh-CN"/>
        </w:rPr>
      </w:pPr>
      <w:r>
        <w:rPr>
          <w:rFonts w:hint="eastAsia" w:ascii="宋体" w:hAnsi="宋体" w:eastAsia="宋体" w:cs="Times New Roman"/>
          <w:sz w:val="24"/>
          <w:szCs w:val="24"/>
          <w:lang w:val="en-US" w:eastAsia="zh-CN"/>
        </w:rPr>
        <w:t>履行判断指的是，在有限责任公司财务资助行为不因为违反公司决议规则而无效时，不以禁止抽逃出资规则对财务资助行为进行效力分析，而是从实际的层面，考察公司是否有履行财务资助的能力。若是公司的财务情况良好，履行不会损害公司的经营能力，或者公司进行财务资助行为具有正当商业目的，则应当支持公司进行财务资助。反之，若是不具有履行财务资助的能力，也不应当认为财务资助合同无效，而是应当以暂时不具有履行能力为由驳回相应的履行请求。相较于效力判断，履行判断有以下几点优势：</w:t>
      </w:r>
    </w:p>
    <w:p w14:paraId="7C8A79C0">
      <w:pPr>
        <w:spacing w:line="360" w:lineRule="auto"/>
        <w:ind w:firstLine="480" w:firstLineChars="200"/>
        <w:outlineLvl w:val="2"/>
        <w:rPr>
          <w:rFonts w:hint="eastAsia" w:ascii="宋体" w:hAnsi="宋体" w:eastAsia="宋体" w:cs="Times New Roman"/>
          <w:b/>
          <w:bCs/>
          <w:sz w:val="24"/>
          <w:szCs w:val="24"/>
          <w:lang w:val="en-US" w:eastAsia="zh-CN"/>
        </w:rPr>
      </w:pPr>
      <w:r>
        <w:rPr>
          <w:rFonts w:hint="eastAsia" w:ascii="宋体" w:hAnsi="宋体" w:eastAsia="宋体" w:cs="Times New Roman"/>
          <w:b/>
          <w:bCs/>
          <w:sz w:val="24"/>
          <w:szCs w:val="24"/>
          <w:lang w:val="en-US" w:eastAsia="zh-CN"/>
        </w:rPr>
        <w:t>1.履行判断能够更好地实现公司利益和债权人保护的平衡。</w:t>
      </w:r>
    </w:p>
    <w:p w14:paraId="68AA3ECB">
      <w:pPr>
        <w:spacing w:line="360" w:lineRule="auto"/>
        <w:ind w:firstLine="480" w:firstLineChars="200"/>
        <w:rPr>
          <w:rFonts w:hint="default" w:ascii="宋体" w:hAnsi="宋体" w:eastAsia="宋体" w:cs="Times New Roman"/>
          <w:sz w:val="24"/>
          <w:szCs w:val="24"/>
          <w:lang w:val="en-US" w:eastAsia="zh-CN"/>
        </w:rPr>
      </w:pPr>
      <w:r>
        <w:rPr>
          <w:rFonts w:hint="eastAsia" w:ascii="宋体" w:hAnsi="宋体" w:eastAsia="宋体" w:cs="Times New Roman"/>
          <w:sz w:val="24"/>
          <w:szCs w:val="24"/>
          <w:lang w:val="en-US" w:eastAsia="zh-CN"/>
        </w:rPr>
        <w:t>构建债权人友好型公司法是本次公司法修订的核心理念之一，</w:t>
      </w:r>
      <w:r>
        <w:rPr>
          <w:rStyle w:val="11"/>
          <w:rFonts w:hint="eastAsia" w:ascii="宋体" w:hAnsi="宋体" w:eastAsia="宋体" w:cs="Times New Roman"/>
          <w:sz w:val="24"/>
          <w:szCs w:val="24"/>
          <w:lang w:val="en-US" w:eastAsia="zh-CN"/>
        </w:rPr>
        <w:footnoteReference w:id="41"/>
      </w:r>
      <w:r>
        <w:rPr>
          <w:rFonts w:hint="eastAsia" w:ascii="宋体" w:hAnsi="宋体" w:eastAsia="宋体" w:cs="Times New Roman"/>
          <w:sz w:val="24"/>
          <w:szCs w:val="24"/>
          <w:lang w:val="en-US" w:eastAsia="zh-CN"/>
        </w:rPr>
        <w:t>在我国当前急剧转型的社会背景下，法律形式与经济实质之间的冲突尤为明显，透过法律形式对经济实质作出有效判断是监管者永远的职责。</w:t>
      </w:r>
      <w:r>
        <w:rPr>
          <w:rStyle w:val="11"/>
          <w:rFonts w:hint="eastAsia" w:ascii="宋体" w:hAnsi="宋体" w:eastAsia="宋体" w:cs="Times New Roman"/>
          <w:sz w:val="24"/>
          <w:szCs w:val="24"/>
          <w:lang w:val="en-US" w:eastAsia="zh-CN"/>
        </w:rPr>
        <w:footnoteReference w:id="42"/>
      </w:r>
      <w:r>
        <w:rPr>
          <w:rFonts w:hint="eastAsia" w:ascii="宋体" w:hAnsi="宋体" w:eastAsia="宋体" w:cs="Times New Roman"/>
          <w:sz w:val="24"/>
          <w:szCs w:val="24"/>
          <w:lang w:val="en-US" w:eastAsia="zh-CN"/>
        </w:rPr>
        <w:t>对于有限责任公司财务资助进行规制的核心目的在于维护公司利益，防止因为资助行为损害公司债权人保护能力，侵害债权人的合法权益。相较于效力判断，履行判断能够更好地实现公司利益和债权人保护的一致。</w:t>
      </w:r>
      <w:commentRangeStart w:id="23"/>
      <w:r>
        <w:rPr>
          <w:rFonts w:hint="eastAsia" w:ascii="宋体" w:hAnsi="宋体" w:eastAsia="宋体" w:cs="Times New Roman"/>
          <w:sz w:val="24"/>
          <w:szCs w:val="24"/>
          <w:lang w:val="en-US" w:eastAsia="zh-CN"/>
        </w:rPr>
        <w:t>履行判断直击财务资助行为的经济实质，能够实现“精准打击”，而不会“误伤友军”。</w:t>
      </w:r>
      <w:commentRangeEnd w:id="23"/>
      <w:r>
        <w:commentReference w:id="23"/>
      </w:r>
      <w:r>
        <w:rPr>
          <w:rFonts w:hint="eastAsia" w:ascii="宋体" w:hAnsi="宋体" w:eastAsia="宋体" w:cs="Times New Roman"/>
          <w:sz w:val="24"/>
          <w:szCs w:val="24"/>
          <w:lang w:val="en-US" w:eastAsia="zh-CN"/>
        </w:rPr>
        <w:t>财务资助行为的经济实质体现为公司、股权转让人和股权受让人三者之间的交易，因为在资金层面存在着公司资金向股权转让人（股东）流出的可能性，故而具有了“可责性”，应当予以特别关注。与效力判断</w:t>
      </w:r>
      <w:commentRangeStart w:id="24"/>
      <w:r>
        <w:rPr>
          <w:rFonts w:hint="eastAsia" w:ascii="宋体" w:hAnsi="宋体" w:eastAsia="宋体" w:cs="Times New Roman"/>
          <w:sz w:val="24"/>
          <w:szCs w:val="24"/>
          <w:lang w:val="en-US" w:eastAsia="zh-CN"/>
        </w:rPr>
        <w:t>“简单粗暴”的“一刀两断”</w:t>
      </w:r>
      <w:commentRangeEnd w:id="24"/>
      <w:r>
        <w:commentReference w:id="24"/>
      </w:r>
      <w:r>
        <w:rPr>
          <w:rFonts w:hint="eastAsia" w:ascii="宋体" w:hAnsi="宋体" w:eastAsia="宋体" w:cs="Times New Roman"/>
          <w:sz w:val="24"/>
          <w:szCs w:val="24"/>
          <w:lang w:val="en-US" w:eastAsia="zh-CN"/>
        </w:rPr>
        <w:t>模式不同的是，</w:t>
      </w:r>
      <w:commentRangeStart w:id="25"/>
      <w:r>
        <w:rPr>
          <w:rFonts w:hint="eastAsia" w:ascii="宋体" w:hAnsi="宋体" w:eastAsia="宋体" w:cs="Times New Roman"/>
          <w:sz w:val="24"/>
          <w:szCs w:val="24"/>
          <w:lang w:val="en-US" w:eastAsia="zh-CN"/>
        </w:rPr>
        <w:t>履行判断更显精细化，对于外在体现为“抽逃”，但实质上符合公司合理商业目的以及发展利益的财务资助行为，履行判断为其提供了生存空间，能够维护交易主体对于财务资助行为的合理期待，为公司经营提供更多的可能性，便于公司进行复杂的商事交易安排以谋求自身的更好发展。申言之，履行判断标准能够较好地解决债权人保护和公司意思自治之间的矛盾。有限责任公司设立之初就是以传统的“人合性”组织为基础，</w:t>
      </w:r>
      <w:r>
        <w:rPr>
          <w:rStyle w:val="11"/>
          <w:rFonts w:hint="eastAsia" w:ascii="宋体" w:hAnsi="宋体" w:eastAsia="宋体" w:cs="Times New Roman"/>
          <w:sz w:val="24"/>
          <w:szCs w:val="24"/>
          <w:lang w:val="en-US" w:eastAsia="zh-CN"/>
        </w:rPr>
        <w:footnoteReference w:id="43"/>
      </w:r>
      <w:r>
        <w:rPr>
          <w:rFonts w:hint="eastAsia" w:ascii="宋体" w:hAnsi="宋体" w:eastAsia="宋体" w:cs="Times New Roman"/>
          <w:sz w:val="24"/>
          <w:szCs w:val="24"/>
          <w:lang w:val="en-US" w:eastAsia="zh-CN"/>
        </w:rPr>
        <w:t>在其经营过程中应当充分尊重当事人意思自治，但是基于外部债权人保护的需要，有限责任公司的自治会受到一定限制。运用履行判断之标准，并不否认公司自治安排之效力，尊重当事人之间关于财务资助行为的履行约定，并且对于一些当下尚不具备履行条件的财务资助行为，履行判断也不会</w:t>
      </w:r>
      <w:commentRangeStart w:id="26"/>
      <w:r>
        <w:rPr>
          <w:rFonts w:hint="eastAsia" w:ascii="宋体" w:hAnsi="宋体" w:eastAsia="宋体" w:cs="Times New Roman"/>
          <w:sz w:val="24"/>
          <w:szCs w:val="24"/>
          <w:lang w:val="en-US" w:eastAsia="zh-CN"/>
        </w:rPr>
        <w:t>“斩尽杀绝”</w:t>
      </w:r>
      <w:commentRangeEnd w:id="26"/>
      <w:r>
        <w:commentReference w:id="26"/>
      </w:r>
      <w:r>
        <w:rPr>
          <w:rFonts w:hint="eastAsia" w:ascii="宋体" w:hAnsi="宋体" w:eastAsia="宋体" w:cs="Times New Roman"/>
          <w:sz w:val="24"/>
          <w:szCs w:val="24"/>
          <w:lang w:val="en-US" w:eastAsia="zh-CN"/>
        </w:rPr>
        <w:t>，为其留下了未来请求履行的可能性，只待时机成熟、条件具备之时，仍能够提出履行主张。同时，履行判断标准也基于债权人保护立场，对公司财务资助行为提出了实质层面的履行能力要求，划定了有限责任公司财务资助行为的“红线”，禁止损害公司债权人保护能力的违法财务资助行为的发生。</w:t>
      </w:r>
      <w:commentRangeEnd w:id="25"/>
      <w:r>
        <w:commentReference w:id="25"/>
      </w:r>
    </w:p>
    <w:p w14:paraId="47EB4354">
      <w:pPr>
        <w:spacing w:line="360" w:lineRule="auto"/>
        <w:ind w:firstLine="480" w:firstLineChars="200"/>
        <w:rPr>
          <w:rFonts w:hint="eastAsia" w:ascii="宋体" w:hAnsi="宋体" w:eastAsia="宋体" w:cs="Times New Roman"/>
          <w:b/>
          <w:bCs/>
          <w:sz w:val="24"/>
          <w:szCs w:val="24"/>
          <w:lang w:val="en-US" w:eastAsia="zh-CN"/>
        </w:rPr>
      </w:pPr>
      <w:r>
        <w:rPr>
          <w:rFonts w:hint="eastAsia" w:ascii="宋体" w:hAnsi="宋体" w:eastAsia="宋体" w:cs="Times New Roman"/>
          <w:b/>
          <w:bCs/>
          <w:sz w:val="24"/>
          <w:szCs w:val="24"/>
          <w:lang w:val="en-US" w:eastAsia="zh-CN"/>
        </w:rPr>
        <w:t>2.履行判断更加迎合商事主体对于效益的追求，体现商事裁判对于效率和公平的兼顾。</w:t>
      </w:r>
    </w:p>
    <w:p w14:paraId="10CF3A5D">
      <w:pPr>
        <w:spacing w:line="360" w:lineRule="auto"/>
        <w:ind w:firstLine="480" w:firstLineChars="200"/>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商事交易中体现出来的“营利性”“自治性”和“风险防控”等特征，也就决定了效益是作为商法的最高价值而存在的。</w:t>
      </w:r>
      <w:r>
        <w:rPr>
          <w:rStyle w:val="11"/>
          <w:rFonts w:hint="eastAsia" w:ascii="宋体" w:hAnsi="宋体" w:eastAsia="宋体" w:cs="Times New Roman"/>
          <w:sz w:val="24"/>
          <w:szCs w:val="24"/>
          <w:lang w:val="en-US" w:eastAsia="zh-CN"/>
        </w:rPr>
        <w:footnoteReference w:id="44"/>
      </w:r>
      <w:r>
        <w:rPr>
          <w:rFonts w:hint="eastAsia" w:ascii="宋体" w:hAnsi="宋体" w:eastAsia="宋体" w:cs="Times New Roman"/>
          <w:sz w:val="24"/>
          <w:szCs w:val="24"/>
          <w:lang w:val="en-US" w:eastAsia="zh-CN"/>
        </w:rPr>
        <w:t>商事主体对于效益的追求，也就要求在商事审判中应当尽量尊重当事人意思自治的安排，减少司法的强制干涉。相较于体现强烈“</w:t>
      </w:r>
      <w:commentRangeStart w:id="27"/>
      <w:r>
        <w:rPr>
          <w:rFonts w:hint="eastAsia" w:ascii="宋体" w:hAnsi="宋体" w:eastAsia="宋体" w:cs="Times New Roman"/>
          <w:sz w:val="24"/>
          <w:szCs w:val="24"/>
          <w:lang w:val="en-US" w:eastAsia="zh-CN"/>
        </w:rPr>
        <w:t>公共意志”之效力评价标准，履行判断则更显“温和”。从法律效果的层面而言，效力评价标准将会带来“自始无效”的法律后果，当事人先前的投入的磋商、缔约成本“付之一炬”，仅能以“利益返还”以及“损害赔偿”来进行救济。此种规范方式并不符合商事主体对于效益的追求，过于“延缓”整体交易进度，对于资金的流转以及效率的提升并无助益，并且可能造成“资源浪费”。</w:t>
      </w:r>
      <w:commentRangeEnd w:id="27"/>
      <w:r>
        <w:commentReference w:id="27"/>
      </w:r>
      <w:r>
        <w:rPr>
          <w:rFonts w:hint="eastAsia" w:ascii="宋体" w:hAnsi="宋体" w:eastAsia="宋体" w:cs="Times New Roman"/>
          <w:sz w:val="24"/>
          <w:szCs w:val="24"/>
          <w:lang w:val="en-US" w:eastAsia="zh-CN"/>
        </w:rPr>
        <w:t>而在履行判断的视角下，当事人之间的资助行为仍是有效，仅是欠缺条件而暂时不能履行，留待时机成熟则可继续进行交易，此前进行的磋商以及对于交易的期待并未根本性受到破坏，商事主体能有更多选择的余地，具有更强的实践合理性。</w:t>
      </w:r>
    </w:p>
    <w:p w14:paraId="59A2E469">
      <w:pPr>
        <w:spacing w:line="360" w:lineRule="auto"/>
        <w:ind w:firstLine="480" w:firstLineChars="200"/>
        <w:outlineLvl w:val="2"/>
        <w:rPr>
          <w:rFonts w:hint="eastAsia" w:ascii="宋体" w:hAnsi="宋体" w:eastAsia="宋体" w:cs="Times New Roman"/>
          <w:b/>
          <w:bCs/>
          <w:sz w:val="24"/>
          <w:szCs w:val="24"/>
          <w:lang w:val="en-US" w:eastAsia="zh-CN"/>
        </w:rPr>
      </w:pPr>
      <w:r>
        <w:rPr>
          <w:rFonts w:hint="eastAsia" w:ascii="宋体" w:hAnsi="宋体" w:eastAsia="宋体" w:cs="Times New Roman"/>
          <w:b/>
          <w:bCs/>
          <w:sz w:val="24"/>
          <w:szCs w:val="24"/>
          <w:lang w:val="en-US" w:eastAsia="zh-CN"/>
        </w:rPr>
        <w:t>3.履行判断有利于彰显公司法的私法品格，体现司法的有限干预。</w:t>
      </w:r>
    </w:p>
    <w:p w14:paraId="49E008D5">
      <w:pPr>
        <w:spacing w:line="360" w:lineRule="auto"/>
        <w:ind w:firstLine="480" w:firstLineChars="200"/>
        <w:rPr>
          <w:rFonts w:hint="default" w:ascii="宋体" w:hAnsi="宋体" w:eastAsia="宋体" w:cs="Times New Roman"/>
          <w:sz w:val="24"/>
          <w:szCs w:val="24"/>
          <w:lang w:val="en-US" w:eastAsia="zh-CN"/>
        </w:rPr>
      </w:pPr>
      <w:r>
        <w:rPr>
          <w:rFonts w:hint="eastAsia" w:ascii="宋体" w:hAnsi="宋体" w:eastAsia="宋体" w:cs="Times New Roman"/>
          <w:sz w:val="24"/>
          <w:szCs w:val="24"/>
          <w:lang w:val="en-US" w:eastAsia="zh-CN"/>
        </w:rPr>
        <w:t>“公司法是私法”这一论断要求处理公司纠纷时应当遵循私法自治的原则，司法的介入应当保持一定的限度，</w:t>
      </w:r>
      <w:r>
        <w:rPr>
          <w:rStyle w:val="11"/>
          <w:rFonts w:hint="eastAsia" w:ascii="宋体" w:hAnsi="宋体" w:eastAsia="宋体" w:cs="Times New Roman"/>
          <w:sz w:val="24"/>
          <w:szCs w:val="24"/>
          <w:lang w:val="en-US" w:eastAsia="zh-CN"/>
        </w:rPr>
        <w:footnoteReference w:id="45"/>
      </w:r>
      <w:r>
        <w:rPr>
          <w:rFonts w:hint="eastAsia" w:ascii="宋体" w:hAnsi="宋体" w:eastAsia="宋体" w:cs="Times New Roman"/>
          <w:sz w:val="24"/>
          <w:szCs w:val="24"/>
          <w:lang w:val="en-US" w:eastAsia="zh-CN"/>
        </w:rPr>
        <w:t>应当尽可能地尊重市场逻辑和当事人的商业安排，尽量减少合同无效的规定。</w:t>
      </w:r>
      <w:r>
        <w:rPr>
          <w:rStyle w:val="11"/>
          <w:rFonts w:hint="eastAsia" w:ascii="宋体" w:hAnsi="宋体" w:eastAsia="宋体" w:cs="Times New Roman"/>
          <w:sz w:val="24"/>
          <w:szCs w:val="24"/>
          <w:lang w:val="en-US" w:eastAsia="zh-CN"/>
        </w:rPr>
        <w:footnoteReference w:id="46"/>
      </w:r>
      <w:r>
        <w:rPr>
          <w:rFonts w:hint="eastAsia" w:ascii="宋体" w:hAnsi="宋体" w:eastAsia="宋体" w:cs="Times New Roman"/>
          <w:sz w:val="24"/>
          <w:szCs w:val="24"/>
          <w:lang w:val="en-US" w:eastAsia="zh-CN"/>
        </w:rPr>
        <w:t>具体到有限责任公司财务资助行为的规制中，作为公司的自治安排，财务资助行为应当得到充分的尊重，没有法定的无效事由，不应当否认合同的效力。受到经济发展现实的制约，在市场经济起步较晚的中国，“主动干预”的管制思维在处理司法纠纷中无法完全摒除，效力判断则是这一思维的生动体现。</w:t>
      </w:r>
      <w:commentRangeStart w:id="28"/>
      <w:r>
        <w:rPr>
          <w:rFonts w:hint="eastAsia" w:ascii="宋体" w:hAnsi="宋体" w:eastAsia="宋体" w:cs="Times New Roman"/>
          <w:sz w:val="24"/>
          <w:szCs w:val="24"/>
          <w:lang w:val="en-US" w:eastAsia="zh-CN"/>
        </w:rPr>
        <w:t>但是需要注意的是，公司法的现代化要求处理好政府和市场的关系，最大限度地减少行政权力对于市场机制的不当干预，</w:t>
      </w:r>
      <w:r>
        <w:rPr>
          <w:rStyle w:val="11"/>
          <w:rFonts w:hint="eastAsia" w:ascii="宋体" w:hAnsi="宋体" w:eastAsia="宋体" w:cs="Times New Roman"/>
          <w:sz w:val="24"/>
          <w:szCs w:val="24"/>
          <w:lang w:val="en-US" w:eastAsia="zh-CN"/>
        </w:rPr>
        <w:footnoteReference w:id="47"/>
      </w:r>
      <w:r>
        <w:rPr>
          <w:rFonts w:hint="eastAsia" w:ascii="宋体" w:hAnsi="宋体" w:eastAsia="宋体" w:cs="Times New Roman"/>
          <w:sz w:val="24"/>
          <w:szCs w:val="24"/>
          <w:lang w:val="en-US" w:eastAsia="zh-CN"/>
        </w:rPr>
        <w:t>给予公司高度的营业自由。</w:t>
      </w:r>
      <w:r>
        <w:rPr>
          <w:rStyle w:val="11"/>
          <w:rFonts w:hint="eastAsia" w:ascii="宋体" w:hAnsi="宋体" w:eastAsia="宋体" w:cs="Times New Roman"/>
          <w:sz w:val="24"/>
          <w:szCs w:val="24"/>
          <w:lang w:val="en-US" w:eastAsia="zh-CN"/>
        </w:rPr>
        <w:footnoteReference w:id="48"/>
      </w:r>
      <w:commentRangeEnd w:id="28"/>
      <w:r>
        <w:commentReference w:id="28"/>
      </w:r>
      <w:r>
        <w:rPr>
          <w:rFonts w:hint="eastAsia" w:ascii="宋体" w:hAnsi="宋体" w:eastAsia="宋体" w:cs="Times New Roman"/>
          <w:sz w:val="24"/>
          <w:szCs w:val="24"/>
          <w:lang w:val="en-US" w:eastAsia="zh-CN"/>
        </w:rPr>
        <w:t>故而对于有限责任公司财务资助行为适用履行判断的规制方式，是公司法现代化的需要，也会促进公司法现代化的进程，对于明确公司法的私法品格，尊重公司意思自治具有重要意义。</w:t>
      </w:r>
      <w:r>
        <w:commentReference w:id="29"/>
      </w:r>
    </w:p>
    <w:p w14:paraId="0B92A14B">
      <w:pPr>
        <w:spacing w:line="360" w:lineRule="auto"/>
        <w:ind w:firstLine="480" w:firstLineChars="200"/>
        <w:outlineLvl w:val="0"/>
        <w:rPr>
          <w:rFonts w:hint="eastAsia" w:ascii="宋体" w:hAnsi="宋体" w:eastAsia="宋体" w:cs="Times New Roman"/>
          <w:b/>
          <w:bCs/>
          <w:sz w:val="24"/>
          <w:szCs w:val="24"/>
          <w:lang w:val="en-US" w:eastAsia="zh-CN"/>
        </w:rPr>
      </w:pPr>
      <w:r>
        <w:rPr>
          <w:rFonts w:hint="eastAsia" w:ascii="宋体" w:hAnsi="宋体" w:eastAsia="宋体" w:cs="Times New Roman"/>
          <w:b/>
          <w:bCs/>
          <w:sz w:val="24"/>
          <w:szCs w:val="24"/>
          <w:lang w:val="en-US" w:eastAsia="zh-CN"/>
        </w:rPr>
        <w:t>四、路径的展开：履行能力判断以及法律责任</w:t>
      </w:r>
    </w:p>
    <w:p w14:paraId="1D829DF0">
      <w:pPr>
        <w:spacing w:line="360" w:lineRule="auto"/>
        <w:ind w:firstLine="480" w:firstLineChars="200"/>
        <w:rPr>
          <w:rFonts w:hint="default" w:ascii="宋体" w:hAnsi="宋体" w:eastAsia="宋体" w:cs="Times New Roman"/>
          <w:sz w:val="24"/>
          <w:szCs w:val="24"/>
          <w:lang w:val="en-US" w:eastAsia="zh-CN"/>
        </w:rPr>
      </w:pPr>
      <w:r>
        <w:rPr>
          <w:rFonts w:hint="eastAsia" w:ascii="宋体" w:hAnsi="宋体" w:eastAsia="宋体" w:cs="Times New Roman"/>
          <w:sz w:val="24"/>
          <w:szCs w:val="24"/>
          <w:lang w:val="en-US" w:eastAsia="zh-CN"/>
        </w:rPr>
        <w:t>有限责任公司具有履行财务资助的能力，指的是公司具有进行财务资助行为的客观可能性，并且财务资助行为符合商事主体的理性选择。具体来说，应当从公司经营现状、受资助人偿还能力以及合理商业目的三个层面来判断公司是否具有履行能力。在诉讼中，应当由股权转让方举证证明公司具有履行能力。在公司不具备履行能力的却实际履行了财务资助行为的情况下，董事、监事、高级管理人员应当对公司承担违反信义义务之赔偿责任，对于股权出让人而言，其应当在公司追偿权无法实现的范围内，对公司的债权人承担连带责任。</w:t>
      </w:r>
    </w:p>
    <w:p w14:paraId="00559246">
      <w:pPr>
        <w:spacing w:line="360" w:lineRule="auto"/>
        <w:ind w:firstLine="480" w:firstLineChars="200"/>
        <w:outlineLvl w:val="1"/>
        <w:rPr>
          <w:rFonts w:hint="eastAsia" w:ascii="宋体" w:hAnsi="宋体" w:eastAsia="宋体" w:cs="Times New Roman"/>
          <w:b/>
          <w:bCs/>
          <w:sz w:val="24"/>
          <w:szCs w:val="24"/>
          <w:lang w:val="en-US" w:eastAsia="zh-CN"/>
        </w:rPr>
      </w:pPr>
      <w:r>
        <w:rPr>
          <w:rFonts w:hint="eastAsia" w:ascii="宋体" w:hAnsi="宋体" w:eastAsia="宋体" w:cs="Times New Roman"/>
          <w:b/>
          <w:bCs/>
          <w:sz w:val="24"/>
          <w:szCs w:val="24"/>
          <w:lang w:val="en-US" w:eastAsia="zh-CN"/>
        </w:rPr>
        <w:t>（一）履行能力判断之考量因素</w:t>
      </w:r>
    </w:p>
    <w:p w14:paraId="6DE68847">
      <w:pPr>
        <w:spacing w:line="360" w:lineRule="auto"/>
        <w:ind w:firstLine="480" w:firstLineChars="200"/>
        <w:outlineLvl w:val="2"/>
        <w:rPr>
          <w:rFonts w:hint="eastAsia" w:ascii="宋体" w:hAnsi="宋体" w:eastAsia="宋体" w:cs="Times New Roman"/>
          <w:b/>
          <w:bCs/>
          <w:sz w:val="24"/>
          <w:szCs w:val="24"/>
          <w:lang w:val="en-US" w:eastAsia="zh-CN"/>
        </w:rPr>
      </w:pPr>
      <w:r>
        <w:rPr>
          <w:rFonts w:hint="eastAsia" w:ascii="宋体" w:hAnsi="宋体" w:eastAsia="宋体" w:cs="Times New Roman"/>
          <w:b/>
          <w:bCs/>
          <w:sz w:val="24"/>
          <w:szCs w:val="24"/>
          <w:lang w:val="en-US" w:eastAsia="zh-CN"/>
        </w:rPr>
        <w:t>1.公司的信用能力</w:t>
      </w:r>
    </w:p>
    <w:p w14:paraId="3BA0194A">
      <w:pPr>
        <w:spacing w:line="360" w:lineRule="auto"/>
        <w:ind w:firstLine="480" w:firstLineChars="200"/>
        <w:rPr>
          <w:rFonts w:hint="default" w:ascii="宋体" w:hAnsi="宋体" w:eastAsia="宋体" w:cs="Times New Roman"/>
          <w:sz w:val="24"/>
          <w:szCs w:val="24"/>
          <w:lang w:val="en-US" w:eastAsia="zh-CN"/>
        </w:rPr>
      </w:pPr>
      <w:r>
        <w:rPr>
          <w:rFonts w:hint="eastAsia" w:ascii="宋体" w:hAnsi="宋体" w:eastAsia="宋体" w:cs="Times New Roman"/>
          <w:sz w:val="24"/>
          <w:szCs w:val="24"/>
          <w:lang w:val="en-US" w:eastAsia="zh-CN"/>
        </w:rPr>
        <w:t>对于公司信用能力的考察，主要的落脚点在于公司履行义务和清偿债务的能力，</w:t>
      </w:r>
      <w:r>
        <w:rPr>
          <w:rStyle w:val="11"/>
          <w:rFonts w:hint="eastAsia" w:ascii="宋体" w:hAnsi="宋体" w:eastAsia="宋体" w:cs="Times New Roman"/>
          <w:sz w:val="24"/>
          <w:szCs w:val="24"/>
          <w:lang w:val="en-US" w:eastAsia="zh-CN"/>
        </w:rPr>
        <w:footnoteReference w:id="49"/>
      </w:r>
      <w:r>
        <w:rPr>
          <w:rFonts w:hint="eastAsia" w:ascii="宋体" w:hAnsi="宋体" w:eastAsia="宋体" w:cs="Times New Roman"/>
          <w:sz w:val="24"/>
          <w:szCs w:val="24"/>
          <w:lang w:val="en-US" w:eastAsia="zh-CN"/>
        </w:rPr>
        <w:t>具体应当从公司的资产和公司负债两个层面考量。随着《公司法》确立的限期认缴制的施行，实现了出资期限法定化，可以缓释股东的信用风险波及公司和公司的债权人，意味着实缴要素的更加突出。</w:t>
      </w:r>
      <w:r>
        <w:rPr>
          <w:rStyle w:val="11"/>
          <w:rFonts w:hint="eastAsia" w:ascii="宋体" w:hAnsi="宋体" w:eastAsia="宋体" w:cs="Times New Roman"/>
          <w:sz w:val="24"/>
          <w:szCs w:val="24"/>
          <w:lang w:val="en-US" w:eastAsia="zh-CN"/>
        </w:rPr>
        <w:footnoteReference w:id="50"/>
      </w:r>
      <w:commentRangeStart w:id="30"/>
      <w:r>
        <w:rPr>
          <w:rFonts w:hint="eastAsia" w:ascii="宋体" w:hAnsi="宋体" w:eastAsia="宋体" w:cs="Times New Roman"/>
          <w:sz w:val="24"/>
          <w:szCs w:val="24"/>
          <w:lang w:val="en-US" w:eastAsia="zh-CN"/>
        </w:rPr>
        <w:t>公司的信用基础在于资本信用，</w:t>
      </w:r>
      <w:r>
        <w:rPr>
          <w:rStyle w:val="11"/>
          <w:rFonts w:hint="eastAsia" w:ascii="宋体" w:hAnsi="宋体" w:eastAsia="宋体" w:cs="Times New Roman"/>
          <w:sz w:val="24"/>
          <w:szCs w:val="24"/>
          <w:lang w:val="en-US" w:eastAsia="zh-CN"/>
        </w:rPr>
        <w:footnoteReference w:id="51"/>
      </w:r>
      <w:r>
        <w:rPr>
          <w:rFonts w:hint="eastAsia" w:ascii="宋体" w:hAnsi="宋体" w:eastAsia="宋体" w:cs="Times New Roman"/>
          <w:sz w:val="24"/>
          <w:szCs w:val="24"/>
          <w:lang w:val="en-US" w:eastAsia="zh-CN"/>
        </w:rPr>
        <w:t>资本信用是资产信用的基础，</w:t>
      </w:r>
      <w:r>
        <w:rPr>
          <w:rStyle w:val="11"/>
          <w:rFonts w:hint="eastAsia" w:ascii="宋体" w:hAnsi="宋体" w:eastAsia="宋体" w:cs="Times New Roman"/>
          <w:sz w:val="24"/>
          <w:szCs w:val="24"/>
          <w:lang w:val="en-US" w:eastAsia="zh-CN"/>
        </w:rPr>
        <w:footnoteReference w:id="52"/>
      </w:r>
      <w:commentRangeEnd w:id="30"/>
      <w:r>
        <w:commentReference w:id="30"/>
      </w:r>
      <w:r>
        <w:rPr>
          <w:rFonts w:hint="eastAsia" w:ascii="宋体" w:hAnsi="宋体" w:eastAsia="宋体" w:cs="Times New Roman"/>
          <w:sz w:val="24"/>
          <w:szCs w:val="24"/>
          <w:lang w:val="en-US" w:eastAsia="zh-CN"/>
        </w:rPr>
        <w:t>故而应当首先对公司的资本缴纳情况进行分析，判断公司是否具有良好的资本基础。其次，也要注意到资本仅是对公司财产的一种静态的、滞后的描述，公司的动态可支配财产情况更加贴近现实的公司的资产现状以及与之相关的对外债权人保护能力。公司是否具有足额、可支配、具有良好变现能力的资产是影响公司资产情况评估的重要因素。尤其应当关注公司资产的变现能力以及流动性，不能仅从</w:t>
      </w:r>
      <w:commentRangeStart w:id="31"/>
      <w:r>
        <w:rPr>
          <w:rFonts w:hint="eastAsia" w:ascii="宋体" w:hAnsi="宋体" w:eastAsia="宋体" w:cs="Times New Roman"/>
          <w:sz w:val="24"/>
          <w:szCs w:val="24"/>
          <w:lang w:val="en-US" w:eastAsia="zh-CN"/>
        </w:rPr>
        <w:t>“账面资产”</w:t>
      </w:r>
      <w:commentRangeEnd w:id="31"/>
      <w:r>
        <w:commentReference w:id="31"/>
      </w:r>
      <w:r>
        <w:rPr>
          <w:rFonts w:hint="eastAsia" w:ascii="宋体" w:hAnsi="宋体" w:eastAsia="宋体" w:cs="Times New Roman"/>
          <w:sz w:val="24"/>
          <w:szCs w:val="24"/>
          <w:lang w:val="en-US" w:eastAsia="zh-CN"/>
        </w:rPr>
        <w:t>的层面进行分析，因为即使某一公司在账面上资产充足，但是资产缺乏流动性或者无法变现，其实际的信用能力会大大缩水。</w:t>
      </w:r>
    </w:p>
    <w:p w14:paraId="560C95D9">
      <w:pPr>
        <w:spacing w:line="360" w:lineRule="auto"/>
        <w:ind w:firstLine="480" w:firstLineChars="200"/>
        <w:rPr>
          <w:rFonts w:hint="default" w:ascii="宋体" w:hAnsi="宋体" w:eastAsia="宋体" w:cs="Times New Roman"/>
          <w:sz w:val="24"/>
          <w:szCs w:val="24"/>
          <w:lang w:val="en-US" w:eastAsia="zh-CN"/>
        </w:rPr>
      </w:pPr>
      <w:r>
        <w:rPr>
          <w:rFonts w:hint="eastAsia" w:ascii="宋体" w:hAnsi="宋体" w:eastAsia="宋体" w:cs="Times New Roman"/>
          <w:sz w:val="24"/>
          <w:szCs w:val="24"/>
          <w:lang w:val="en-US" w:eastAsia="zh-CN"/>
        </w:rPr>
        <w:t>如果说公司资产是一种正面信用，那么公司负债则是反面信用，对公司信用能力进行考察还应当关注公司的对外负债情况，以及由资产和负债对比关系呈现出的公司实际经营现状。在对公司债务进行考量时，不能仅关注债务的数额，还应当对债务的期限以及性质进行关注。临期债务或者已届期债务对公司当下的资产要求较高，而对于远期债务公司则能有较多的时间进行筹划，现实的履约压力较小。在不同性质的债务区分上，要关注到公司保证债务的或然性以及公司承担了保证债务以后的追偿权，不用实际承担责任的保证债务或者追偿权能够较好实现的保证债务对于公司信用能力的影响较小。明确了公司的资产情况和负债情况以后，应当对公司的资产和负债进行对比。</w:t>
      </w:r>
      <w:commentRangeStart w:id="32"/>
      <w:r>
        <w:rPr>
          <w:rFonts w:hint="eastAsia" w:ascii="宋体" w:hAnsi="宋体" w:eastAsia="宋体" w:cs="Times New Roman"/>
          <w:sz w:val="24"/>
          <w:szCs w:val="24"/>
          <w:lang w:val="en-US" w:eastAsia="zh-CN"/>
        </w:rPr>
        <w:t>但是需要注意的是，若仅是资产总额大于负债总额，实质上并不能说明公司处于良好的经营情况，不代表公司具有优秀的信用能力。在限期认缴制施行的当下，有限公司的实缴注册资本充当着重要的债权人保护的角色，再结合财务资助形式上体现为公司资产向股东流出的这一特征，笔者认为，有限责任公司从事财务资助行为不能损害公司的信用能力，应当保证公司进行了财务资助以后，所剩余资产总额和负债总额之间的差值不能小于已经实际缴纳的注册资本额，除非能够证明财务资助行为具有合理的商业目的。</w:t>
      </w:r>
      <w:commentRangeEnd w:id="32"/>
      <w:r>
        <w:commentReference w:id="32"/>
      </w:r>
    </w:p>
    <w:p w14:paraId="170E6C6F">
      <w:pPr>
        <w:spacing w:line="360" w:lineRule="auto"/>
        <w:ind w:firstLine="480" w:firstLineChars="200"/>
        <w:outlineLvl w:val="2"/>
        <w:rPr>
          <w:rFonts w:hint="eastAsia" w:ascii="宋体" w:hAnsi="宋体" w:eastAsia="宋体" w:cs="Times New Roman"/>
          <w:b/>
          <w:bCs/>
          <w:sz w:val="24"/>
          <w:szCs w:val="24"/>
          <w:lang w:val="en-US" w:eastAsia="zh-CN"/>
        </w:rPr>
      </w:pPr>
      <w:r>
        <w:rPr>
          <w:rFonts w:hint="eastAsia" w:ascii="宋体" w:hAnsi="宋体" w:eastAsia="宋体" w:cs="Times New Roman"/>
          <w:b/>
          <w:bCs/>
          <w:sz w:val="24"/>
          <w:szCs w:val="24"/>
          <w:lang w:val="en-US" w:eastAsia="zh-CN"/>
        </w:rPr>
        <w:t>2.受资助人偿还能力</w:t>
      </w:r>
    </w:p>
    <w:p w14:paraId="33BF3F0B">
      <w:pPr>
        <w:spacing w:line="360" w:lineRule="auto"/>
        <w:ind w:firstLine="480" w:firstLineChars="200"/>
        <w:rPr>
          <w:rFonts w:hint="default" w:ascii="宋体" w:hAnsi="宋体" w:eastAsia="宋体" w:cs="Times New Roman"/>
          <w:sz w:val="24"/>
          <w:szCs w:val="24"/>
          <w:lang w:val="en-US" w:eastAsia="zh-CN"/>
        </w:rPr>
      </w:pPr>
      <w:r>
        <w:rPr>
          <w:rFonts w:hint="eastAsia" w:ascii="宋体" w:hAnsi="宋体" w:eastAsia="宋体" w:cs="Times New Roman"/>
          <w:sz w:val="24"/>
          <w:szCs w:val="24"/>
          <w:lang w:val="en-US" w:eastAsia="zh-CN"/>
        </w:rPr>
        <w:t>如果说对公司信用能力的评估目的在于保护外部的债权人，那么对受资助人偿还能力的关注则是基于</w:t>
      </w:r>
      <w:commentRangeStart w:id="33"/>
      <w:r>
        <w:rPr>
          <w:rFonts w:hint="eastAsia" w:ascii="宋体" w:hAnsi="宋体" w:eastAsia="宋体" w:cs="Times New Roman"/>
          <w:sz w:val="24"/>
          <w:szCs w:val="24"/>
          <w:lang w:val="en-US" w:eastAsia="zh-CN"/>
        </w:rPr>
        <w:t>“自我保护”</w:t>
      </w:r>
      <w:commentRangeEnd w:id="33"/>
      <w:r>
        <w:commentReference w:id="33"/>
      </w:r>
      <w:r>
        <w:rPr>
          <w:rFonts w:hint="eastAsia" w:ascii="宋体" w:hAnsi="宋体" w:eastAsia="宋体" w:cs="Times New Roman"/>
          <w:sz w:val="24"/>
          <w:szCs w:val="24"/>
          <w:lang w:val="en-US" w:eastAsia="zh-CN"/>
        </w:rPr>
        <w:t>的立场。在有限责任公司为他人取得本公司股权提供帮助的情境下，受资助人的偿还能力将直接关系到公司在交易中能否</w:t>
      </w:r>
      <w:commentRangeStart w:id="34"/>
      <w:r>
        <w:rPr>
          <w:rFonts w:hint="eastAsia" w:ascii="宋体" w:hAnsi="宋体" w:eastAsia="宋体" w:cs="Times New Roman"/>
          <w:sz w:val="24"/>
          <w:szCs w:val="24"/>
          <w:lang w:val="en-US" w:eastAsia="zh-CN"/>
        </w:rPr>
        <w:t>“功成身退”</w:t>
      </w:r>
      <w:commentRangeEnd w:id="34"/>
      <w:r>
        <w:commentReference w:id="34"/>
      </w:r>
      <w:r>
        <w:rPr>
          <w:rFonts w:hint="eastAsia" w:ascii="宋体" w:hAnsi="宋体" w:eastAsia="宋体" w:cs="Times New Roman"/>
          <w:sz w:val="24"/>
          <w:szCs w:val="24"/>
          <w:lang w:val="en-US" w:eastAsia="zh-CN"/>
        </w:rPr>
        <w:t>。若是受资助人的无力偿还债务，将会在实质上带来与公司回购自身股份相同的效果，而这部分股份所对应的价值将会从公司的责任财产中脱离，最终经过链条式的传导而损及公司债权人的合法权益。因为信息差的客观存在，对于受资助人偿还能力的判断应当采取更加严格、谨慎的态度。相较于组织体，对于自然人的责任财产和偿债能力的判断更显复杂，其并不受到企业信息公示制度的约束。</w:t>
      </w:r>
      <w:commentRangeStart w:id="35"/>
      <w:r>
        <w:rPr>
          <w:rFonts w:hint="eastAsia" w:ascii="宋体" w:hAnsi="宋体" w:eastAsia="宋体" w:cs="Times New Roman"/>
          <w:sz w:val="24"/>
          <w:szCs w:val="24"/>
          <w:lang w:val="en-US" w:eastAsia="zh-CN"/>
        </w:rPr>
        <w:t>故而，若是受资助人是自然人，且名下没有较为优良的其他资产或者没有担保，则应当慎重作出资助决定。而对于组织体的偿还能力判断，应当特别注意到隐藏在复杂的组织架构下的交易风险。详言之，考察一个公司是否具有偿债能力，不能仅将目光聚焦于这个公司本身，而是应当遵循系统分析思维，基于持股和被持股关系，判断这个公司在庞大的公司架构中的地位，分析其与关联公司的关系为何，以及这种关联关系是否会影响到日后追偿权的实现。具有良好偿还能力的受资助人，可能在交易的当时并没有较为充足的资金，但是应当具备良好的预期收益能力，即能够在未来的经营中偿还财务资助款项。同时，也要注意的是，应当为受资助方设置一个资产底线，若是没有满足底线性的资产要求，则表明其现实的经营情况正处于严重的困境中，对其未来的收益和偿还能力也不应当抱有较大的期待。设置此种资产底线的目的在于保障提供财务资助的公司追偿权的实现，所以，笔者认为，作为受资助方，在受资助前的净资产总额（资产和负债之间的差额）不能小于其所取得股权的当时市值，否则有“空手套白狼”之嫌疑，在其无法清偿资助款时，公司的股权不能成为其唯一的责任财产，否则将会严重损害提供财务资助的公司的权益。而若是能够证明具有合理的商业目的，也能够突破此种资产底线的限制。</w:t>
      </w:r>
      <w:commentRangeEnd w:id="35"/>
      <w:r>
        <w:commentReference w:id="35"/>
      </w:r>
    </w:p>
    <w:p w14:paraId="5F2596DC">
      <w:pPr>
        <w:spacing w:line="360" w:lineRule="auto"/>
        <w:ind w:firstLine="480" w:firstLineChars="200"/>
        <w:outlineLvl w:val="2"/>
        <w:rPr>
          <w:rFonts w:hint="eastAsia" w:ascii="宋体" w:hAnsi="宋体" w:eastAsia="宋体" w:cs="Times New Roman"/>
          <w:b/>
          <w:bCs/>
          <w:sz w:val="24"/>
          <w:szCs w:val="24"/>
          <w:lang w:val="en-US" w:eastAsia="zh-CN"/>
        </w:rPr>
      </w:pPr>
      <w:r>
        <w:rPr>
          <w:rFonts w:hint="eastAsia" w:ascii="宋体" w:hAnsi="宋体" w:eastAsia="宋体" w:cs="Times New Roman"/>
          <w:b/>
          <w:bCs/>
          <w:sz w:val="24"/>
          <w:szCs w:val="24"/>
          <w:lang w:val="en-US" w:eastAsia="zh-CN"/>
        </w:rPr>
        <w:t>3.合理商业目的</w:t>
      </w:r>
    </w:p>
    <w:p w14:paraId="3B6FE2C2">
      <w:pPr>
        <w:spacing w:line="360" w:lineRule="auto"/>
        <w:ind w:firstLine="480" w:firstLineChars="200"/>
        <w:rPr>
          <w:rFonts w:hint="default" w:ascii="宋体" w:hAnsi="宋体" w:eastAsia="宋体" w:cs="Times New Roman"/>
          <w:sz w:val="24"/>
          <w:szCs w:val="24"/>
          <w:lang w:val="en-US" w:eastAsia="zh-CN"/>
        </w:rPr>
      </w:pPr>
      <w:r>
        <w:rPr>
          <w:rFonts w:hint="eastAsia" w:ascii="宋体" w:hAnsi="宋体" w:eastAsia="宋体" w:cs="Times New Roman"/>
          <w:sz w:val="24"/>
          <w:szCs w:val="24"/>
          <w:lang w:val="en-US" w:eastAsia="zh-CN"/>
        </w:rPr>
        <w:t>在对财务资助行为进行履行判断时，提供资助公司的信用状况和受资助方的偿还能力是主要的考量因素，而合理商业目的则扮演的是兜底性例外规定的角色，在财务资助并不符合上述对于公司信用能力或者受资助人偿还能力的要求时，若</w:t>
      </w:r>
      <w:bookmarkStart w:id="0" w:name="_GoBack"/>
      <w:bookmarkEnd w:id="0"/>
      <w:r>
        <w:rPr>
          <w:rFonts w:hint="eastAsia" w:ascii="宋体" w:hAnsi="宋体" w:eastAsia="宋体" w:cs="Times New Roman"/>
          <w:sz w:val="24"/>
          <w:szCs w:val="24"/>
          <w:lang w:val="en-US" w:eastAsia="zh-CN"/>
        </w:rPr>
        <w:t>是能够证明财务资助行为具有合理的商业目的，那么仍可以主张财务自治行为具有履行能力。合理商业目的要求公司能够证明，通过财务资助行为，不会损害公司的债权人保护能力，反而在结果上有利于债权人保护——能够带来公司经营情况的显著优化，并且此种优化的可能性应当达到一个较高的水平。而判断商业行为是否合理，则可以根据一个理性的商事主体在相同的情况下是否会作出相同的选择来进行判断。故而，要以合理的商业目的对财务资助行为具有可履行性进行证明，首先应当证明该商业行为有利于公司经营情况的好转，能够提升公司的债权人保护能力。其次，还应当证明资助行为并非是为了谋求经营利益而“铤而走险”的机会主义行为，而是在商事主体的理性判断和谨慎考量之下做出的具有正当选择。还需要注意的是，此种合理商业目的之要求，需要能够消解因为公司信用能力不足、受资助方偿还能力较弱等带来的债权人保护能力弱化的风险。换言之，应当能够证明，通过资助行为，虽然公司向外支出了股权转让的资金，但是作为对价，公司能够获得大于已经支出的财务资助资金的收益，即能够通过财务资助行为实现资产的保值增值。在此种情况下，财务资助行为对于公司而言是追求营利目的的合理商事交易，同时也不侵害债权人合法利益，才具有实践上的合理性。</w:t>
      </w:r>
    </w:p>
    <w:p w14:paraId="29BC749F">
      <w:pPr>
        <w:spacing w:line="360" w:lineRule="auto"/>
        <w:ind w:firstLine="480" w:firstLineChars="200"/>
        <w:outlineLvl w:val="1"/>
        <w:rPr>
          <w:rFonts w:hint="eastAsia" w:ascii="宋体" w:hAnsi="宋体" w:eastAsia="宋体" w:cs="Times New Roman"/>
          <w:b/>
          <w:bCs/>
          <w:sz w:val="24"/>
          <w:szCs w:val="24"/>
          <w:lang w:val="en-US" w:eastAsia="zh-CN"/>
        </w:rPr>
      </w:pPr>
      <w:r>
        <w:rPr>
          <w:rFonts w:hint="eastAsia" w:ascii="宋体" w:hAnsi="宋体" w:eastAsia="宋体" w:cs="Times New Roman"/>
          <w:b/>
          <w:bCs/>
          <w:sz w:val="24"/>
          <w:szCs w:val="24"/>
          <w:lang w:val="en-US" w:eastAsia="zh-CN"/>
        </w:rPr>
        <w:t>（二）具有履行能力之举证责任分配</w:t>
      </w:r>
    </w:p>
    <w:p w14:paraId="3075D81C">
      <w:pPr>
        <w:spacing w:line="360" w:lineRule="auto"/>
        <w:ind w:firstLine="480" w:firstLineChars="200"/>
        <w:rPr>
          <w:rFonts w:hint="default" w:ascii="宋体" w:hAnsi="宋体" w:eastAsia="宋体" w:cs="Times New Roman"/>
          <w:sz w:val="24"/>
          <w:szCs w:val="24"/>
          <w:lang w:val="en-US" w:eastAsia="zh-CN"/>
        </w:rPr>
      </w:pPr>
      <w:r>
        <w:rPr>
          <w:rFonts w:hint="eastAsia" w:ascii="宋体" w:hAnsi="宋体" w:eastAsia="宋体" w:cs="Times New Roman"/>
          <w:sz w:val="24"/>
          <w:szCs w:val="24"/>
          <w:lang w:val="en-US" w:eastAsia="zh-CN"/>
        </w:rPr>
        <w:t>明确了财务资助行为履行性之判断因素之后，还需要注意的问题是，具有履行能力之证明责任应当由谁负担。现代证明责任制度目的在于解决人的认识能力有限性和法院不得拒绝裁判之间的矛盾，是现代诉讼法理论主张案件事实“三分状态”下对法官如何裁判进行的回应。</w:t>
      </w:r>
      <w:r>
        <w:rPr>
          <w:rStyle w:val="11"/>
          <w:rFonts w:hint="eastAsia" w:ascii="宋体" w:hAnsi="宋体" w:eastAsia="宋体" w:cs="Times New Roman"/>
          <w:sz w:val="24"/>
          <w:szCs w:val="24"/>
          <w:lang w:val="en-US" w:eastAsia="zh-CN"/>
        </w:rPr>
        <w:footnoteReference w:id="53"/>
      </w:r>
      <w:r>
        <w:rPr>
          <w:rFonts w:hint="eastAsia" w:ascii="宋体" w:hAnsi="宋体" w:eastAsia="宋体" w:cs="Times New Roman"/>
          <w:sz w:val="24"/>
          <w:szCs w:val="24"/>
          <w:lang w:val="en-US" w:eastAsia="zh-CN"/>
        </w:rPr>
        <w:t>在有限责任公司财务资助行为引发的纠纷中，公司承担着支付股权转让价款的义务，而履行能力的有无，决定着公司是否要实际地支付相应款项。作为股权转让的出让方，其应当承担公司具有履行能力的证明责任，举证证明公司能够履行财务资助行为。</w:t>
      </w:r>
    </w:p>
    <w:p w14:paraId="06015926">
      <w:pPr>
        <w:spacing w:line="360" w:lineRule="auto"/>
        <w:ind w:firstLine="480" w:firstLineChars="200"/>
        <w:rPr>
          <w:rFonts w:hint="default" w:ascii="宋体" w:hAnsi="宋体" w:eastAsia="宋体" w:cs="Times New Roman"/>
          <w:sz w:val="24"/>
          <w:szCs w:val="24"/>
          <w:lang w:val="en-US" w:eastAsia="zh-CN"/>
        </w:rPr>
      </w:pPr>
      <w:r>
        <w:rPr>
          <w:rFonts w:hint="eastAsia" w:ascii="宋体" w:hAnsi="宋体" w:eastAsia="宋体" w:cs="Times New Roman"/>
          <w:sz w:val="24"/>
          <w:szCs w:val="24"/>
          <w:lang w:val="en-US" w:eastAsia="zh-CN"/>
        </w:rPr>
        <w:t>由股权出让方承担具有履行能力的证明责任，符合我国民事诉讼中对于证明责任分配的规定。我国民事诉讼法中对于证明责任的分配，体现的是规范说的立场，</w:t>
      </w:r>
      <w:r>
        <w:rPr>
          <w:rStyle w:val="11"/>
          <w:rFonts w:hint="eastAsia" w:ascii="宋体" w:hAnsi="宋体" w:eastAsia="宋体" w:cs="Times New Roman"/>
          <w:sz w:val="24"/>
          <w:szCs w:val="24"/>
          <w:lang w:val="en-US" w:eastAsia="zh-CN"/>
        </w:rPr>
        <w:footnoteReference w:id="54"/>
      </w:r>
      <w:r>
        <w:rPr>
          <w:rFonts w:hint="eastAsia" w:ascii="宋体" w:hAnsi="宋体" w:eastAsia="宋体" w:cs="Times New Roman"/>
          <w:sz w:val="24"/>
          <w:szCs w:val="24"/>
          <w:lang w:val="en-US" w:eastAsia="zh-CN"/>
        </w:rPr>
        <w:t>即当事人需要证明于己有利的实体规范要件，此种实体规范既包括能够证成权利存在的规范，也包括否定权利存在的规范。</w:t>
      </w:r>
      <w:r>
        <w:rPr>
          <w:rStyle w:val="11"/>
          <w:rFonts w:hint="eastAsia" w:ascii="宋体" w:hAnsi="宋体" w:eastAsia="宋体" w:cs="Times New Roman"/>
          <w:sz w:val="24"/>
          <w:szCs w:val="24"/>
          <w:lang w:val="en-US" w:eastAsia="zh-CN"/>
        </w:rPr>
        <w:footnoteReference w:id="55"/>
      </w:r>
      <w:r>
        <w:rPr>
          <w:rFonts w:hint="eastAsia" w:ascii="宋体" w:hAnsi="宋体" w:eastAsia="宋体" w:cs="Times New Roman"/>
          <w:sz w:val="24"/>
          <w:szCs w:val="24"/>
          <w:lang w:val="en-US" w:eastAsia="zh-CN"/>
        </w:rPr>
        <w:t>2022年修正的《最高人民法院关于适用</w:t>
      </w:r>
      <w:r>
        <w:rPr>
          <w:rFonts w:hint="default" w:ascii="宋体" w:hAnsi="宋体" w:eastAsia="宋体" w:cs="Times New Roman"/>
          <w:sz w:val="24"/>
          <w:szCs w:val="24"/>
          <w:lang w:val="en-US" w:eastAsia="zh-CN"/>
        </w:rPr>
        <w:t>&lt;</w:t>
      </w:r>
      <w:r>
        <w:rPr>
          <w:rFonts w:hint="eastAsia" w:ascii="宋体" w:hAnsi="宋体" w:eastAsia="宋体" w:cs="Times New Roman"/>
          <w:sz w:val="24"/>
          <w:szCs w:val="24"/>
          <w:lang w:val="en-US" w:eastAsia="zh-CN"/>
        </w:rPr>
        <w:t>中华人民共和国民事诉讼法</w:t>
      </w:r>
      <w:r>
        <w:rPr>
          <w:rFonts w:hint="default" w:ascii="宋体" w:hAnsi="宋体" w:eastAsia="宋体" w:cs="Times New Roman"/>
          <w:sz w:val="24"/>
          <w:szCs w:val="24"/>
          <w:lang w:val="en-US" w:eastAsia="zh-CN"/>
        </w:rPr>
        <w:t>&gt;</w:t>
      </w:r>
      <w:r>
        <w:rPr>
          <w:rFonts w:hint="eastAsia" w:ascii="宋体" w:hAnsi="宋体" w:eastAsia="宋体" w:cs="Times New Roman"/>
          <w:sz w:val="24"/>
          <w:szCs w:val="24"/>
          <w:lang w:val="en-US" w:eastAsia="zh-CN"/>
        </w:rPr>
        <w:t>的解释》（以下简称《民事诉讼法司法解释》）第九十一条的规定就是我国对于证明责任分配的具体体现。在履行判断的视角下，股权转让人想要对公司主张债权，则应当证明其债权具备实现的要件——公司具有履行财务资助的能力，这与《民事诉讼法司法解释》中对于证明责任的规定相吻合。在对履行能力证明的过程中，也应当允许公司举证证明其不具备履行能力。针对一个要件事实，证明责任只能由一方当事人负担，这是证明责任制度的功能所决定的。但是，应当注意到，针对是否能够履行财务资助行为，公司作为直接的义务主体，往往和证据“相距最近”，具有更大的发言权。对于公司的信用能力和财务状况，公司自身是最为了解和最具有证明能力的，财务资助行为之于公司债权人保护能力的影响也是公司最为敏感。所以在对财务资助纠纷进行裁判的过程中，应当允许公司进行不具有履行能力的证明，在双方的举证质证之中得出是否具有履行能力的妥当结论。</w:t>
      </w:r>
    </w:p>
    <w:p w14:paraId="710F047E">
      <w:pPr>
        <w:spacing w:line="360" w:lineRule="auto"/>
        <w:ind w:firstLine="480" w:firstLineChars="200"/>
        <w:outlineLvl w:val="1"/>
        <w:rPr>
          <w:rFonts w:hint="eastAsia" w:ascii="宋体" w:hAnsi="宋体" w:eastAsia="宋体" w:cs="Times New Roman"/>
          <w:b/>
          <w:bCs/>
          <w:sz w:val="24"/>
          <w:szCs w:val="24"/>
          <w:lang w:val="en-US" w:eastAsia="zh-CN"/>
        </w:rPr>
      </w:pPr>
      <w:r>
        <w:rPr>
          <w:rFonts w:hint="eastAsia" w:ascii="宋体" w:hAnsi="宋体" w:eastAsia="宋体" w:cs="Times New Roman"/>
          <w:b/>
          <w:bCs/>
          <w:sz w:val="24"/>
          <w:szCs w:val="24"/>
          <w:lang w:val="en-US" w:eastAsia="zh-CN"/>
        </w:rPr>
        <w:t>（三）违法财务资助行为之法律责任</w:t>
      </w:r>
    </w:p>
    <w:p w14:paraId="48E68D53">
      <w:pPr>
        <w:spacing w:line="360" w:lineRule="auto"/>
        <w:ind w:firstLine="480" w:firstLineChars="200"/>
        <w:rPr>
          <w:rFonts w:hint="default" w:ascii="宋体" w:hAnsi="宋体" w:eastAsia="宋体" w:cs="Times New Roman"/>
          <w:sz w:val="24"/>
          <w:szCs w:val="24"/>
          <w:lang w:val="en-US" w:eastAsia="zh-CN"/>
        </w:rPr>
      </w:pPr>
      <w:r>
        <w:rPr>
          <w:rFonts w:hint="eastAsia" w:ascii="宋体" w:hAnsi="宋体" w:eastAsia="宋体" w:cs="Times New Roman"/>
          <w:sz w:val="24"/>
          <w:szCs w:val="24"/>
          <w:lang w:val="en-US" w:eastAsia="zh-CN"/>
        </w:rPr>
        <w:t>在确立了履行判断标准后，无法回避的一个问题是：若是公司不具有履行能力，但是却实际进行了财务资助行为，由此带来的损失应当如何承担？此种情况的民事责任可以纳入现有的抽逃出资责任体系中进行讨论，只是需要对财务资助行为进行细致分析，阐明各方主体在其中应当承担何种具体的责任。</w:t>
      </w:r>
    </w:p>
    <w:p w14:paraId="65DAFE99">
      <w:pPr>
        <w:spacing w:line="360" w:lineRule="auto"/>
        <w:ind w:firstLine="480" w:firstLineChars="200"/>
        <w:outlineLvl w:val="2"/>
        <w:rPr>
          <w:rFonts w:hint="eastAsia" w:ascii="宋体" w:hAnsi="宋体" w:eastAsia="宋体" w:cs="Times New Roman"/>
          <w:b/>
          <w:bCs/>
          <w:sz w:val="24"/>
          <w:szCs w:val="24"/>
          <w:lang w:val="en-US" w:eastAsia="zh-CN"/>
        </w:rPr>
      </w:pPr>
      <w:r>
        <w:rPr>
          <w:rFonts w:hint="eastAsia" w:ascii="宋体" w:hAnsi="宋体" w:eastAsia="宋体" w:cs="Times New Roman"/>
          <w:b/>
          <w:bCs/>
          <w:sz w:val="24"/>
          <w:szCs w:val="24"/>
          <w:lang w:val="en-US" w:eastAsia="zh-CN"/>
        </w:rPr>
        <w:t>1.对公司责任</w:t>
      </w:r>
    </w:p>
    <w:p w14:paraId="34EEB627">
      <w:pPr>
        <w:spacing w:line="360" w:lineRule="auto"/>
        <w:ind w:firstLine="480" w:firstLineChars="200"/>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在公司作为债权人的情境下，根据公司内外部的区分，可以将责任主体分为公司内部责任人和公司外部责任人。公司内部的责任主体主要涉及股东、董事、监事和高级管理人员，公司外部责任人主要指的是股权的出让方和公司的实际控制人。</w:t>
      </w:r>
    </w:p>
    <w:p w14:paraId="6596C230">
      <w:pPr>
        <w:spacing w:line="360" w:lineRule="auto"/>
        <w:ind w:firstLine="480" w:firstLineChars="200"/>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在内部责任承担上，又可以根据资助行为决议主体的不同，将责任承担进一步细化为两种不同的情况：第一，股东会作为决议主体。例如，公司为股东的股权转让提供担保，此项担保就应当由股东会作出决议，且应当排除转让股东的投票权。在此种情况下，对资助行为投赞成票的股东构成对公司财产的侵害，应当对公司承担侵权损害赔偿责任。而公司的董事、监事、高级管理人员只有在违反了信义义务的情况下，才承担相应的责任。所谓信义义务，指的是一种为他人的最大利益使用权利或者行为的义务，</w:t>
      </w:r>
      <w:r>
        <w:rPr>
          <w:rStyle w:val="11"/>
          <w:rFonts w:hint="eastAsia" w:ascii="宋体" w:hAnsi="宋体" w:eastAsia="宋体" w:cs="Times New Roman"/>
          <w:sz w:val="24"/>
          <w:szCs w:val="24"/>
          <w:lang w:val="en-US" w:eastAsia="zh-CN"/>
        </w:rPr>
        <w:footnoteReference w:id="56"/>
      </w:r>
      <w:r>
        <w:rPr>
          <w:rFonts w:hint="eastAsia" w:ascii="宋体" w:hAnsi="宋体" w:eastAsia="宋体" w:cs="Times New Roman"/>
          <w:sz w:val="24"/>
          <w:szCs w:val="24"/>
          <w:lang w:val="en-US" w:eastAsia="zh-CN"/>
        </w:rPr>
        <w:t>董监高此处的信义义务可能并不涉及忠实义务，但是若是其职务行为未能满足勤勉义务的要求，则具有了可责性，应当承担对公司的赔偿责任。但是需要注意的是，在股东会作出资助行为决议的情况下，对于董监高可责性的分析，还应当关注到董监高的“失职行为”对于股东会决议的作用为何，董监高的不同角色将会影响到其赔偿责任的范围，对股东会决议负有责任的董监高才承担相应的责任。</w:t>
      </w:r>
      <w:r>
        <w:rPr>
          <w:rStyle w:val="11"/>
          <w:rFonts w:hint="eastAsia" w:ascii="宋体" w:hAnsi="宋体" w:eastAsia="宋体" w:cs="Times New Roman"/>
          <w:sz w:val="24"/>
          <w:szCs w:val="24"/>
          <w:lang w:val="en-US" w:eastAsia="zh-CN"/>
        </w:rPr>
        <w:footnoteReference w:id="57"/>
      </w:r>
      <w:r>
        <w:rPr>
          <w:rFonts w:hint="eastAsia" w:ascii="宋体" w:hAnsi="宋体" w:eastAsia="宋体" w:cs="Times New Roman"/>
          <w:sz w:val="24"/>
          <w:szCs w:val="24"/>
          <w:lang w:val="en-US" w:eastAsia="zh-CN"/>
        </w:rPr>
        <w:t>第二，股东会以外的其他机构作为决议主体。在此种情况下，对公司承担的责任主要是因为违反了信义义务而产生。在作出财务资助决定时，相关的决议主体，如董事会、高级管理人员等，应当对公司是否具有履行财务资助行为的能力进行充分、合理的审查，并在理性判断的基础上作出决议。若是公司没有履行能力但是却进行了履行行为，则董监高应当承担信义义务违反之赔偿责任，股东只有在指示、控制董监高作出资助行为时才与其共同承担责任。</w:t>
      </w:r>
    </w:p>
    <w:p w14:paraId="36490286">
      <w:pPr>
        <w:spacing w:line="360" w:lineRule="auto"/>
        <w:ind w:firstLine="480" w:firstLineChars="200"/>
        <w:rPr>
          <w:rFonts w:hint="default" w:ascii="宋体" w:hAnsi="宋体" w:eastAsia="宋体" w:cs="Times New Roman"/>
          <w:sz w:val="24"/>
          <w:szCs w:val="24"/>
          <w:lang w:val="en-US" w:eastAsia="zh-CN"/>
        </w:rPr>
      </w:pPr>
      <w:r>
        <w:rPr>
          <w:rFonts w:hint="eastAsia" w:ascii="宋体" w:hAnsi="宋体" w:eastAsia="宋体" w:cs="Times New Roman"/>
          <w:sz w:val="24"/>
          <w:szCs w:val="24"/>
          <w:lang w:val="en-US" w:eastAsia="zh-CN"/>
        </w:rPr>
        <w:t>在外部责任的承担上，首先需要强调的就是股权转让人对于公司应当承担的资助金返还责任，此项返还责任是基于财务资助行为对于公司财产的侵害而产生。在尚不具备履行能力就进行财务资助的情况下，资助资金流向了出让股东，作为出让股东，具有侵害公司资产的主观恶意，并且造成了公司财产减少的客观损害后果，应当承担对公司的财产返还责任。此种返还责任，既包括返还原物，也包括返还价值，应当考量到返还的经济性。</w:t>
      </w:r>
      <w:r>
        <w:rPr>
          <w:rStyle w:val="11"/>
          <w:rFonts w:hint="eastAsia" w:ascii="宋体" w:hAnsi="宋体" w:eastAsia="宋体" w:cs="Times New Roman"/>
          <w:sz w:val="24"/>
          <w:szCs w:val="24"/>
          <w:lang w:val="en-US" w:eastAsia="zh-CN"/>
        </w:rPr>
        <w:footnoteReference w:id="58"/>
      </w:r>
      <w:r>
        <w:rPr>
          <w:rFonts w:hint="eastAsia" w:ascii="宋体" w:hAnsi="宋体" w:eastAsia="宋体" w:cs="Times New Roman"/>
          <w:sz w:val="24"/>
          <w:szCs w:val="24"/>
          <w:lang w:val="en-US" w:eastAsia="zh-CN"/>
        </w:rPr>
        <w:t>其次，实际控制人在违法财务资助行为中对公司的赔偿责任也应当予以关注。信义义务起源于信托领域，</w:t>
      </w:r>
      <w:r>
        <w:rPr>
          <w:rStyle w:val="11"/>
          <w:rFonts w:hint="eastAsia" w:ascii="宋体" w:hAnsi="宋体" w:eastAsia="宋体" w:cs="Times New Roman"/>
          <w:sz w:val="24"/>
          <w:szCs w:val="24"/>
          <w:lang w:val="en-US" w:eastAsia="zh-CN"/>
        </w:rPr>
        <w:footnoteReference w:id="59"/>
      </w:r>
      <w:r>
        <w:rPr>
          <w:rFonts w:hint="eastAsia" w:ascii="宋体" w:hAnsi="宋体" w:eastAsia="宋体" w:cs="Times New Roman"/>
          <w:sz w:val="24"/>
          <w:szCs w:val="24"/>
          <w:lang w:val="en-US" w:eastAsia="zh-CN"/>
        </w:rPr>
        <w:t>由于实际控制人并非是公司的受托人，所以一般来说并不受到信义义务的规制。但是在2024年生效施行的《公司法》中，立法者吸收了英美法上对于认定信义义务以及信义关系的成功经验，</w:t>
      </w:r>
      <w:r>
        <w:rPr>
          <w:rStyle w:val="11"/>
          <w:rFonts w:hint="eastAsia" w:ascii="宋体" w:hAnsi="宋体" w:eastAsia="宋体" w:cs="Times New Roman"/>
          <w:sz w:val="24"/>
          <w:szCs w:val="24"/>
          <w:lang w:val="en-US" w:eastAsia="zh-CN"/>
        </w:rPr>
        <w:footnoteReference w:id="60"/>
      </w:r>
      <w:r>
        <w:rPr>
          <w:rFonts w:hint="eastAsia" w:ascii="宋体" w:hAnsi="宋体" w:eastAsia="宋体" w:cs="Times New Roman"/>
          <w:sz w:val="24"/>
          <w:szCs w:val="24"/>
          <w:lang w:val="en-US" w:eastAsia="zh-CN"/>
        </w:rPr>
        <w:t>将不担任公司董事但实际执行公司事务的实际控制人纳入信义义务的规制范围。</w:t>
      </w:r>
      <w:r>
        <w:rPr>
          <w:rStyle w:val="11"/>
          <w:rFonts w:hint="eastAsia" w:ascii="宋体" w:hAnsi="宋体" w:eastAsia="宋体" w:cs="Times New Roman"/>
          <w:sz w:val="24"/>
          <w:szCs w:val="24"/>
          <w:lang w:val="en-US" w:eastAsia="zh-CN"/>
        </w:rPr>
        <w:footnoteReference w:id="61"/>
      </w:r>
      <w:r>
        <w:rPr>
          <w:rFonts w:hint="eastAsia" w:ascii="宋体" w:hAnsi="宋体" w:eastAsia="宋体" w:cs="Times New Roman"/>
          <w:sz w:val="24"/>
          <w:szCs w:val="24"/>
          <w:lang w:val="en-US" w:eastAsia="zh-CN"/>
        </w:rPr>
        <w:t>这也就意味着，在公司尚不具备履行财务资助行为的条件时，若是实际控制人利用其对于公司的控制权，导致公司做出财务资助的行为，则违反了信义义务的要求，应当对公司承担赔偿责任。</w:t>
      </w:r>
    </w:p>
    <w:p w14:paraId="4E377733">
      <w:pPr>
        <w:spacing w:line="360" w:lineRule="auto"/>
        <w:ind w:firstLine="480" w:firstLineChars="200"/>
        <w:outlineLvl w:val="2"/>
        <w:rPr>
          <w:rFonts w:hint="eastAsia" w:ascii="宋体" w:hAnsi="宋体" w:eastAsia="宋体" w:cs="Times New Roman"/>
          <w:b/>
          <w:bCs/>
          <w:sz w:val="24"/>
          <w:szCs w:val="24"/>
          <w:lang w:val="en-US" w:eastAsia="zh-CN"/>
        </w:rPr>
      </w:pPr>
      <w:r>
        <w:rPr>
          <w:rFonts w:hint="eastAsia" w:ascii="宋体" w:hAnsi="宋体" w:eastAsia="宋体" w:cs="Times New Roman"/>
          <w:b/>
          <w:bCs/>
          <w:sz w:val="24"/>
          <w:szCs w:val="24"/>
          <w:lang w:val="en-US" w:eastAsia="zh-CN"/>
        </w:rPr>
        <w:t>2.对债权人责任</w:t>
      </w:r>
    </w:p>
    <w:p w14:paraId="20B90FC9">
      <w:pPr>
        <w:spacing w:line="360" w:lineRule="auto"/>
        <w:ind w:firstLine="480" w:firstLineChars="200"/>
        <w:rPr>
          <w:rFonts w:hint="default" w:ascii="宋体" w:hAnsi="宋体" w:eastAsia="宋体" w:cs="Times New Roman"/>
          <w:sz w:val="24"/>
          <w:szCs w:val="24"/>
          <w:lang w:val="en-US" w:eastAsia="zh-CN"/>
        </w:rPr>
      </w:pPr>
      <w:r>
        <w:rPr>
          <w:rFonts w:hint="eastAsia" w:ascii="宋体" w:hAnsi="宋体" w:eastAsia="宋体" w:cs="Times New Roman"/>
          <w:sz w:val="24"/>
          <w:szCs w:val="24"/>
          <w:lang w:val="en-US" w:eastAsia="zh-CN"/>
        </w:rPr>
        <w:t>在公司的债权人作为权利主体时，应当适用现行规范中抽逃出资的法律责任规定，债权人可以请求股权转让人在财务资助金范围内，对公司不能清偿的部分承担补充责任，负有责任的股东、董监高以及实际控制人应当和股权转让人承担连带责任。对于债权人此项请求权的性质学界存在不同的观点，主要有：代位权说、第三人侵害债权说以及独立责任说。持代位权说的学者认为，从公司债权人的视角来看，公司是债务人，而应当向公司承担责任的转让人、其他责任人是次债务人，由此形成明确的代位权结构体系。</w:t>
      </w:r>
      <w:r>
        <w:rPr>
          <w:rStyle w:val="11"/>
          <w:rFonts w:hint="eastAsia" w:ascii="宋体" w:hAnsi="宋体" w:eastAsia="宋体" w:cs="Times New Roman"/>
          <w:sz w:val="24"/>
          <w:szCs w:val="24"/>
          <w:lang w:val="en-US" w:eastAsia="zh-CN"/>
        </w:rPr>
        <w:footnoteReference w:id="62"/>
      </w:r>
      <w:r>
        <w:rPr>
          <w:rFonts w:hint="eastAsia" w:ascii="宋体" w:hAnsi="宋体" w:eastAsia="宋体" w:cs="Times New Roman"/>
          <w:sz w:val="24"/>
          <w:szCs w:val="24"/>
          <w:lang w:val="en-US" w:eastAsia="zh-CN"/>
        </w:rPr>
        <w:t>第三人侵害债权说认为，正是因为股权转让人、其他责任人的行为，导致公司债权人的债权无法实现，从而侵害了公司债权人的债权。</w:t>
      </w:r>
      <w:r>
        <w:rPr>
          <w:rStyle w:val="11"/>
          <w:rFonts w:hint="eastAsia" w:ascii="宋体" w:hAnsi="宋体" w:eastAsia="宋体" w:cs="Times New Roman"/>
          <w:sz w:val="24"/>
          <w:szCs w:val="24"/>
          <w:lang w:val="en-US" w:eastAsia="zh-CN"/>
        </w:rPr>
        <w:footnoteReference w:id="63"/>
      </w:r>
      <w:r>
        <w:rPr>
          <w:rFonts w:hint="eastAsia" w:ascii="宋体" w:hAnsi="宋体" w:eastAsia="宋体" w:cs="Times New Roman"/>
          <w:sz w:val="24"/>
          <w:szCs w:val="24"/>
          <w:lang w:val="en-US" w:eastAsia="zh-CN"/>
        </w:rPr>
        <w:t>而独立责任说认为，抽逃出资的法律责任是一种独立的、特殊的民事责任，是商法上特有的民事责任，而不应当纳入现有的民法体系中对其进行解释。</w:t>
      </w:r>
      <w:r>
        <w:rPr>
          <w:rStyle w:val="11"/>
          <w:rFonts w:hint="eastAsia" w:ascii="宋体" w:hAnsi="宋体" w:eastAsia="宋体" w:cs="Times New Roman"/>
          <w:sz w:val="24"/>
          <w:szCs w:val="24"/>
          <w:lang w:val="en-US" w:eastAsia="zh-CN"/>
        </w:rPr>
        <w:footnoteReference w:id="64"/>
      </w:r>
    </w:p>
    <w:p w14:paraId="077D6DFD">
      <w:pPr>
        <w:spacing w:line="360" w:lineRule="auto"/>
        <w:ind w:firstLine="480" w:firstLineChars="200"/>
        <w:rPr>
          <w:rFonts w:hint="default" w:ascii="宋体" w:hAnsi="宋体" w:eastAsia="宋体" w:cs="Times New Roman"/>
          <w:sz w:val="24"/>
          <w:szCs w:val="24"/>
          <w:lang w:val="en-US" w:eastAsia="zh-CN"/>
        </w:rPr>
      </w:pPr>
      <w:r>
        <w:rPr>
          <w:rFonts w:hint="eastAsia" w:ascii="宋体" w:hAnsi="宋体" w:eastAsia="宋体" w:cs="Times New Roman"/>
          <w:sz w:val="24"/>
          <w:szCs w:val="24"/>
          <w:lang w:val="en-US" w:eastAsia="zh-CN"/>
        </w:rPr>
        <w:t>笔者赞同代位权说。正如上文所述，对于违法资助应当承担责任的主体，不论其责任来源为何，都应当向公司承担给付义务，在公司对外无法清偿债务时，公司债权人请求违法资助行为的责任主体承担补充责任恰是代位权理论的体现。违法的资助行为并非一定基于侵害第三人债权的目的进行，在资助行为先于第三人债权发生时也难言造成债权损害之后果，所以此项责任并非基于侵权而产生。</w:t>
      </w:r>
      <w:r>
        <w:rPr>
          <w:rStyle w:val="11"/>
          <w:rFonts w:hint="eastAsia" w:ascii="宋体" w:hAnsi="宋体" w:eastAsia="宋体" w:cs="Times New Roman"/>
          <w:sz w:val="24"/>
          <w:szCs w:val="24"/>
          <w:lang w:val="en-US" w:eastAsia="zh-CN"/>
        </w:rPr>
        <w:footnoteReference w:id="65"/>
      </w:r>
      <w:r>
        <w:rPr>
          <w:rFonts w:hint="eastAsia" w:ascii="宋体" w:hAnsi="宋体" w:eastAsia="宋体" w:cs="Times New Roman"/>
          <w:sz w:val="24"/>
          <w:szCs w:val="24"/>
          <w:lang w:val="en-US" w:eastAsia="zh-CN"/>
        </w:rPr>
        <w:t>而独立责任说虽然具有一定的合理性，但是没有对债权人此项权利请求的“次序性”给予充分关注，无法解释为何债权人仅能在公司不能清偿的范围内向其他主体主张责任，同时在现行法规范下也面临体系解释的困境。</w:t>
      </w:r>
    </w:p>
    <w:p w14:paraId="719E4011">
      <w:pPr>
        <w:spacing w:line="360" w:lineRule="auto"/>
        <w:ind w:firstLine="480" w:firstLineChars="200"/>
        <w:outlineLvl w:val="0"/>
        <w:rPr>
          <w:rFonts w:hint="eastAsia" w:ascii="宋体" w:hAnsi="宋体" w:eastAsia="宋体" w:cs="Times New Roman"/>
          <w:b/>
          <w:bCs/>
          <w:sz w:val="24"/>
          <w:szCs w:val="24"/>
          <w:lang w:val="en-US" w:eastAsia="zh-CN"/>
        </w:rPr>
      </w:pPr>
      <w:r>
        <w:rPr>
          <w:rFonts w:hint="eastAsia" w:ascii="宋体" w:hAnsi="宋体" w:eastAsia="宋体" w:cs="Times New Roman"/>
          <w:b/>
          <w:bCs/>
          <w:sz w:val="24"/>
          <w:szCs w:val="24"/>
          <w:lang w:val="en-US" w:eastAsia="zh-CN"/>
        </w:rPr>
        <w:t>五、结语</w:t>
      </w:r>
    </w:p>
    <w:p w14:paraId="23B8F765">
      <w:pPr>
        <w:spacing w:line="360" w:lineRule="auto"/>
        <w:ind w:firstLine="480" w:firstLineChars="200"/>
        <w:rPr>
          <w:rFonts w:hint="default" w:ascii="宋体" w:hAnsi="宋体" w:eastAsia="宋体" w:cs="Times New Roman"/>
          <w:sz w:val="24"/>
          <w:szCs w:val="24"/>
          <w:lang w:val="en-US" w:eastAsia="zh-CN"/>
        </w:rPr>
      </w:pPr>
      <w:r>
        <w:rPr>
          <w:rFonts w:hint="eastAsia" w:ascii="宋体" w:hAnsi="宋体" w:eastAsia="宋体" w:cs="Times New Roman"/>
          <w:sz w:val="24"/>
          <w:szCs w:val="24"/>
          <w:lang w:val="en-US" w:eastAsia="zh-CN"/>
        </w:rPr>
        <w:t>法律总是具有滞后性，如何在已有的法律框架中对新型、复杂的商事纠纷进行处理是裁判者恒久面对的问题。禁止抽逃出资规则作为资本维持原则项下的重要内容，对于规制公司资本非法流出具有重要意义。但是切入视角的差异会带来迥然不同的裁判结果，在对于有限责任公司财务资助行为进行规制时，应当秉持宽容开放之态度，从“一刀切”的效力判断向具体的履行判断进行转变，将关注的重心集中于动态层面的公司信用能力构建和债权人保护能力维持，给予商事主体间自治交易充分的尊重，满足商事主体对于合理商业目的之追求。通过明确履行能力的判断标准以及违法资助行为的法律责任，将有限责任公司为他人取得本公司股权提供帮助的行为可能带来的不利影响予以消解，优化现有的裁判路径，实现公司内部行为自治以及外部债权人保护的统一。</w:t>
      </w:r>
    </w:p>
    <w:sectPr>
      <w:footerReference r:id="rId6" w:type="default"/>
      <w:footnotePr>
        <w:numFmt w:val="decimalEnclosedCircleChinese"/>
        <w:numRestart w:val="eachPage"/>
      </w:footnotePr>
      <w:pgSz w:w="11906" w:h="16838"/>
      <w:pgMar w:top="1440" w:right="1800" w:bottom="1440" w:left="1800" w:header="851" w:footer="992" w:gutter="0"/>
      <w:pgNumType w:fmt="decimal"/>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csn" w:date="2025-10-27T17:39:17Z" w:initials="">
    <w:p w14:paraId="3C4BAC56">
      <w:pPr>
        <w:pStyle w:val="3"/>
        <w:rPr>
          <w:rFonts w:hint="eastAsia" w:eastAsiaTheme="minorEastAsia"/>
          <w:lang w:eastAsia="zh-CN"/>
        </w:rPr>
      </w:pPr>
      <w:r>
        <w:rPr>
          <w:rFonts w:hint="eastAsia"/>
          <w:lang w:eastAsia="zh-CN"/>
        </w:rPr>
        <w:t>。</w:t>
      </w:r>
    </w:p>
  </w:comment>
  <w:comment w:id="1" w:author="csn" w:date="2025-10-27T17:40:12Z" w:initials="">
    <w:p w14:paraId="68321879">
      <w:pPr>
        <w:pStyle w:val="3"/>
        <w:rPr>
          <w:rFonts w:hint="default" w:eastAsiaTheme="minorEastAsia"/>
          <w:lang w:val="en-US" w:eastAsia="zh-CN"/>
        </w:rPr>
      </w:pPr>
      <w:r>
        <w:rPr>
          <w:rFonts w:hint="eastAsia"/>
          <w:lang w:val="en-US" w:eastAsia="zh-CN"/>
        </w:rPr>
        <w:t>无须加引号</w:t>
      </w:r>
    </w:p>
  </w:comment>
  <w:comment w:id="2" w:author="csn" w:date="2025-10-27T17:40:26Z" w:initials="">
    <w:p w14:paraId="067347AA">
      <w:pPr>
        <w:pStyle w:val="3"/>
        <w:rPr>
          <w:rFonts w:hint="default" w:eastAsiaTheme="minorEastAsia"/>
          <w:lang w:val="en-US" w:eastAsia="zh-CN"/>
        </w:rPr>
      </w:pPr>
      <w:r>
        <w:rPr>
          <w:rFonts w:hint="eastAsia"/>
          <w:lang w:val="en-US" w:eastAsia="zh-CN"/>
        </w:rPr>
        <w:t>改为本文更合适</w:t>
      </w:r>
    </w:p>
  </w:comment>
  <w:comment w:id="3" w:author="csn" w:date="2025-10-27T17:40:45Z" w:initials="">
    <w:p w14:paraId="575B1CF7">
      <w:pPr>
        <w:pStyle w:val="3"/>
        <w:rPr>
          <w:rFonts w:hint="default" w:eastAsiaTheme="minorEastAsia"/>
          <w:lang w:val="en-US" w:eastAsia="zh-CN"/>
        </w:rPr>
      </w:pPr>
      <w:r>
        <w:rPr>
          <w:rFonts w:hint="eastAsia"/>
          <w:lang w:val="en-US" w:eastAsia="zh-CN"/>
        </w:rPr>
        <w:t>用词不当，删去实证</w:t>
      </w:r>
    </w:p>
  </w:comment>
  <w:comment w:id="4" w:author="csn" w:date="2025-10-27T17:40:59Z" w:initials="">
    <w:p w14:paraId="49171C62">
      <w:pPr>
        <w:pStyle w:val="3"/>
        <w:rPr>
          <w:rFonts w:hint="default" w:eastAsiaTheme="minorEastAsia"/>
          <w:lang w:val="en-US" w:eastAsia="zh-CN"/>
        </w:rPr>
      </w:pPr>
      <w:r>
        <w:rPr>
          <w:rFonts w:hint="eastAsia"/>
          <w:lang w:val="en-US" w:eastAsia="zh-CN"/>
        </w:rPr>
        <w:t>用词不当，删去探源</w:t>
      </w:r>
    </w:p>
  </w:comment>
  <w:comment w:id="5" w:author="csn" w:date="2025-10-27T17:41:12Z" w:initials="">
    <w:p w14:paraId="0209B5A3">
      <w:pPr>
        <w:pStyle w:val="3"/>
        <w:rPr>
          <w:rFonts w:hint="default" w:eastAsiaTheme="minorEastAsia"/>
          <w:lang w:val="en-US" w:eastAsia="zh-CN"/>
        </w:rPr>
      </w:pPr>
      <w:r>
        <w:rPr>
          <w:rFonts w:hint="eastAsia"/>
          <w:lang w:val="en-US" w:eastAsia="zh-CN"/>
        </w:rPr>
        <w:t>用词不当，可改为缺陷</w:t>
      </w:r>
    </w:p>
  </w:comment>
  <w:comment w:id="6" w:author="csn" w:date="2025-10-27T17:41:38Z" w:initials="">
    <w:p w14:paraId="303B8AE3">
      <w:pPr>
        <w:pStyle w:val="3"/>
        <w:rPr>
          <w:rFonts w:hint="eastAsia" w:eastAsiaTheme="minorEastAsia"/>
          <w:lang w:val="en-US" w:eastAsia="zh-CN"/>
        </w:rPr>
      </w:pPr>
      <w:r>
        <w:rPr>
          <w:rFonts w:hint="eastAsia"/>
          <w:lang w:val="en-US" w:eastAsia="zh-CN"/>
        </w:rPr>
        <w:t>可履行性</w:t>
      </w:r>
    </w:p>
  </w:comment>
  <w:comment w:id="7" w:author="csn" w:date="2025-10-27T17:41:53Z" w:initials="">
    <w:p w14:paraId="31798808">
      <w:pPr>
        <w:pStyle w:val="3"/>
        <w:rPr>
          <w:rFonts w:hint="default" w:eastAsiaTheme="minorEastAsia"/>
          <w:lang w:val="en-US" w:eastAsia="zh-CN"/>
        </w:rPr>
      </w:pPr>
      <w:r>
        <w:rPr>
          <w:rFonts w:hint="eastAsia"/>
          <w:lang w:val="en-US" w:eastAsia="zh-CN"/>
        </w:rPr>
        <w:t>无须加引号</w:t>
      </w:r>
    </w:p>
  </w:comment>
  <w:comment w:id="8" w:author="csn" w:date="2025-10-27T17:44:18Z" w:initials="">
    <w:p w14:paraId="4C4C550F">
      <w:pPr>
        <w:pStyle w:val="3"/>
        <w:rPr>
          <w:rFonts w:hint="default" w:eastAsiaTheme="minorEastAsia"/>
          <w:lang w:val="en-US" w:eastAsia="zh-CN"/>
        </w:rPr>
      </w:pPr>
      <w:r>
        <w:rPr>
          <w:rFonts w:hint="eastAsia"/>
          <w:lang w:val="en-US" w:eastAsia="zh-CN"/>
        </w:rPr>
        <w:t>此处对为何仅选取担保形式的论证太薄弱，借款与担保具有明显的差异，借款是直接的资产流出，而担保则首先体现为资产流动性降低，以案例数量的多寡选取论述对象，说服力不够。</w:t>
      </w:r>
    </w:p>
  </w:comment>
  <w:comment w:id="9" w:author="csn" w:date="2025-10-27T17:46:47Z" w:initials="">
    <w:p w14:paraId="638B9089">
      <w:pPr>
        <w:pStyle w:val="3"/>
        <w:rPr>
          <w:rFonts w:hint="default" w:eastAsiaTheme="minorEastAsia"/>
          <w:lang w:val="en-US" w:eastAsia="zh-CN"/>
        </w:rPr>
      </w:pPr>
      <w:r>
        <w:rPr>
          <w:rFonts w:hint="eastAsia"/>
          <w:lang w:val="en-US" w:eastAsia="zh-CN"/>
        </w:rPr>
        <w:t>句子太长，应分句</w:t>
      </w:r>
    </w:p>
  </w:comment>
  <w:comment w:id="10" w:author="csn" w:date="2025-10-27T17:51:30Z" w:initials="">
    <w:p w14:paraId="41F31684">
      <w:pPr>
        <w:pStyle w:val="3"/>
        <w:rPr>
          <w:rFonts w:hint="default" w:eastAsiaTheme="minorEastAsia"/>
          <w:lang w:val="en-US" w:eastAsia="zh-CN"/>
        </w:rPr>
      </w:pPr>
      <w:r>
        <w:rPr>
          <w:rFonts w:hint="eastAsia"/>
          <w:lang w:val="en-US" w:eastAsia="zh-CN"/>
        </w:rPr>
        <w:t>此探源在本段意义不明，本段基本在论述，禁止抽逃出资规则的规范定位，但未回答一个关键问题：为何违反了禁止抽逃出资规则的行为，在效力上是无效的？其私法原理是什么？所谓探源，是找到现象的源头，本段与探源的本意相去甚远。</w:t>
      </w:r>
    </w:p>
  </w:comment>
  <w:comment w:id="11" w:author="csn" w:date="2025-10-27T17:49:28Z" w:initials="">
    <w:p w14:paraId="147008E1">
      <w:pPr>
        <w:pStyle w:val="3"/>
        <w:rPr>
          <w:rFonts w:hint="default" w:eastAsiaTheme="minorEastAsia"/>
          <w:lang w:val="en-US" w:eastAsia="zh-CN"/>
        </w:rPr>
      </w:pPr>
      <w:r>
        <w:rPr>
          <w:rFonts w:hint="eastAsia"/>
          <w:lang w:val="en-US" w:eastAsia="zh-CN"/>
        </w:rPr>
        <w:t>句子太长</w:t>
      </w:r>
    </w:p>
  </w:comment>
  <w:comment w:id="12" w:author="csn" w:date="2025-10-27T17:50:24Z" w:initials="">
    <w:p w14:paraId="7D598D95">
      <w:pPr>
        <w:pStyle w:val="3"/>
        <w:rPr>
          <w:rFonts w:hint="eastAsia" w:eastAsiaTheme="minorEastAsia"/>
          <w:lang w:val="en-US" w:eastAsia="zh-CN"/>
        </w:rPr>
      </w:pPr>
      <w:r>
        <w:rPr>
          <w:rFonts w:hint="eastAsia"/>
          <w:lang w:val="en-US" w:eastAsia="zh-CN"/>
        </w:rPr>
        <w:t>句子太长</w:t>
      </w:r>
    </w:p>
  </w:comment>
  <w:comment w:id="13" w:author="csn" w:date="2025-10-27T17:50:53Z" w:initials="">
    <w:p w14:paraId="327E4278">
      <w:pPr>
        <w:pStyle w:val="3"/>
        <w:rPr>
          <w:rFonts w:hint="default" w:eastAsiaTheme="minorEastAsia"/>
          <w:lang w:val="en-US" w:eastAsia="zh-CN"/>
        </w:rPr>
      </w:pPr>
      <w:r>
        <w:rPr>
          <w:rFonts w:hint="eastAsia"/>
          <w:lang w:val="en-US" w:eastAsia="zh-CN"/>
        </w:rPr>
        <w:t>句子太长</w:t>
      </w:r>
    </w:p>
  </w:comment>
  <w:comment w:id="14" w:author="csn" w:date="2025-10-27T17:54:51Z" w:initials="">
    <w:p w14:paraId="72C4F4B5">
      <w:pPr>
        <w:pStyle w:val="3"/>
        <w:rPr>
          <w:rFonts w:hint="default" w:eastAsiaTheme="minorEastAsia"/>
          <w:lang w:val="en-US" w:eastAsia="zh-CN"/>
        </w:rPr>
      </w:pPr>
      <w:r>
        <w:rPr>
          <w:rFonts w:hint="eastAsia"/>
          <w:lang w:val="en-US" w:eastAsia="zh-CN"/>
        </w:rPr>
        <w:t>需引注加强论证</w:t>
      </w:r>
    </w:p>
  </w:comment>
  <w:comment w:id="15" w:author="csn" w:date="2025-10-28T00:32:57Z" w:initials="">
    <w:p w14:paraId="0383D138">
      <w:pPr>
        <w:pStyle w:val="3"/>
        <w:rPr>
          <w:rFonts w:hint="default" w:eastAsiaTheme="minorEastAsia"/>
          <w:lang w:val="en-US" w:eastAsia="zh-CN"/>
        </w:rPr>
      </w:pPr>
      <w:r>
        <w:rPr>
          <w:rFonts w:hint="eastAsia"/>
          <w:lang w:val="en-US" w:eastAsia="zh-CN"/>
        </w:rPr>
        <w:t>是什么重要意义？借鉴意义，还是别的意义？需明确</w:t>
      </w:r>
    </w:p>
  </w:comment>
  <w:comment w:id="16" w:author="csn" w:date="2025-10-28T00:35:57Z" w:initials="">
    <w:p w14:paraId="34FB33C1">
      <w:pPr>
        <w:pStyle w:val="3"/>
        <w:rPr>
          <w:rFonts w:hint="default" w:eastAsiaTheme="minorEastAsia"/>
          <w:lang w:val="en-US" w:eastAsia="zh-CN"/>
        </w:rPr>
      </w:pPr>
      <w:r>
        <w:rPr>
          <w:rFonts w:hint="eastAsia"/>
          <w:lang w:val="en-US" w:eastAsia="zh-CN"/>
        </w:rPr>
        <w:t>仅罗列观点，显得论证目的不明，此处缺少对观点的评述。</w:t>
      </w:r>
    </w:p>
  </w:comment>
  <w:comment w:id="17" w:author="csn" w:date="2025-10-28T00:38:11Z" w:initials="">
    <w:p w14:paraId="5268043E">
      <w:pPr>
        <w:pStyle w:val="3"/>
        <w:rPr>
          <w:rFonts w:hint="default" w:eastAsiaTheme="minorEastAsia"/>
          <w:lang w:val="en-US" w:eastAsia="zh-CN"/>
        </w:rPr>
      </w:pPr>
      <w:r>
        <w:rPr>
          <w:rFonts w:hint="eastAsia"/>
          <w:lang w:val="en-US" w:eastAsia="zh-CN"/>
        </w:rPr>
        <w:t>这里应分段</w:t>
      </w:r>
    </w:p>
  </w:comment>
  <w:comment w:id="18" w:author="csn" w:date="2025-10-28T00:38:24Z" w:initials="">
    <w:p w14:paraId="3FEE4ED4">
      <w:pPr>
        <w:pStyle w:val="3"/>
        <w:rPr>
          <w:rFonts w:hint="default" w:eastAsiaTheme="minorEastAsia"/>
          <w:lang w:val="en-US" w:eastAsia="zh-CN"/>
        </w:rPr>
      </w:pPr>
      <w:r>
        <w:rPr>
          <w:rFonts w:hint="eastAsia"/>
          <w:lang w:val="en-US" w:eastAsia="zh-CN"/>
        </w:rPr>
        <w:t>期待债权的界定在法律上是否合理？此处用会计表达会更加准确。担保义务发生后，一般不缺人负债，只在附注中披露或有事项；当担保人实际履行担保义务后，银行存款转变为应收账款（追偿权），总资产数额不变，体现为资产流动性降低。</w:t>
      </w:r>
    </w:p>
  </w:comment>
  <w:comment w:id="19" w:author="csn" w:date="2025-10-28T01:17:43Z" w:initials="">
    <w:p w14:paraId="3B7BC7AE">
      <w:pPr>
        <w:pStyle w:val="3"/>
        <w:rPr>
          <w:rFonts w:hint="eastAsia" w:eastAsiaTheme="minorEastAsia"/>
          <w:lang w:val="en-US" w:eastAsia="zh-CN"/>
        </w:rPr>
      </w:pPr>
      <w:r>
        <w:rPr>
          <w:rFonts w:hint="eastAsia"/>
          <w:lang w:val="en-US" w:eastAsia="zh-CN"/>
        </w:rPr>
        <w:t>同上。</w:t>
      </w:r>
    </w:p>
  </w:comment>
  <w:comment w:id="20" w:author="csn" w:date="2025-10-28T16:43:47Z" w:initials="">
    <w:p w14:paraId="746D01FA">
      <w:pPr>
        <w:pStyle w:val="3"/>
        <w:rPr>
          <w:rFonts w:hint="default" w:eastAsiaTheme="minorEastAsia"/>
          <w:lang w:val="en-US" w:eastAsia="zh-CN"/>
        </w:rPr>
      </w:pPr>
      <w:r>
        <w:rPr>
          <w:rFonts w:hint="eastAsia"/>
          <w:lang w:val="en-US" w:eastAsia="zh-CN"/>
        </w:rPr>
        <w:t>这里对实践做法的总结，论证意义不明。实践中存在相应的做法，并不能说明资助具有合理性，即不能以实然论证应然。此处需要提炼出理论上的矛盾，再结合理论论述加以论证，而非仅仅罗列出实践中的需求。</w:t>
      </w:r>
    </w:p>
  </w:comment>
  <w:comment w:id="21" w:author="csn" w:date="2025-10-28T16:46:29Z" w:initials="">
    <w:p w14:paraId="772F9248">
      <w:pPr>
        <w:pStyle w:val="3"/>
        <w:rPr>
          <w:rFonts w:hint="default" w:eastAsiaTheme="minorEastAsia"/>
          <w:lang w:val="en-US" w:eastAsia="zh-CN"/>
        </w:rPr>
      </w:pPr>
      <w:r>
        <w:rPr>
          <w:rFonts w:hint="eastAsia"/>
          <w:lang w:val="en-US" w:eastAsia="zh-CN"/>
        </w:rPr>
        <w:t>第一，此处的论证为行文重点，应前置讨论；第二，此处实质论证太薄弱，仅以合同编解释第15条第2款为唯一理据，并未说清楚该条不为效力性规范的原因。</w:t>
      </w:r>
    </w:p>
  </w:comment>
  <w:comment w:id="22" w:author="csn" w:date="2025-10-28T16:47:48Z" w:initials="">
    <w:p w14:paraId="2F934C31">
      <w:pPr>
        <w:pStyle w:val="3"/>
        <w:rPr>
          <w:rFonts w:hint="default" w:eastAsiaTheme="minorEastAsia"/>
          <w:lang w:val="en-US" w:eastAsia="zh-CN"/>
        </w:rPr>
      </w:pPr>
      <w:r>
        <w:rPr>
          <w:rFonts w:hint="eastAsia"/>
          <w:lang w:val="en-US" w:eastAsia="zh-CN"/>
        </w:rPr>
        <w:t>论证需要知其然且知其所以然，德国法固然有如此体例，但比较法材料的引用不只限于对现象的描述，应深入到立法的背后探寻其规范目的，此处需要深入论证。</w:t>
      </w:r>
    </w:p>
  </w:comment>
  <w:comment w:id="23" w:author="csn" w:date="2025-10-28T18:17:35Z" w:initials="">
    <w:p w14:paraId="339DE33C">
      <w:pPr>
        <w:pStyle w:val="3"/>
        <w:rPr>
          <w:rFonts w:hint="default" w:eastAsiaTheme="minorEastAsia"/>
          <w:lang w:val="en-US" w:eastAsia="zh-CN"/>
        </w:rPr>
      </w:pPr>
      <w:r>
        <w:rPr>
          <w:rFonts w:hint="eastAsia"/>
          <w:lang w:val="en-US" w:eastAsia="zh-CN"/>
        </w:rPr>
        <w:t>尽量减少这种戏谑式的比喻，否则如果不够精确，此类表述会消解论述的严肃性。</w:t>
      </w:r>
    </w:p>
  </w:comment>
  <w:comment w:id="24" w:author="csn" w:date="2025-10-28T18:18:27Z" w:initials="">
    <w:p w14:paraId="50B1C76F">
      <w:pPr>
        <w:pStyle w:val="3"/>
        <w:rPr>
          <w:rFonts w:hint="eastAsia" w:eastAsiaTheme="minorEastAsia"/>
          <w:lang w:val="en-US" w:eastAsia="zh-CN"/>
        </w:rPr>
      </w:pPr>
      <w:r>
        <w:rPr>
          <w:rFonts w:hint="eastAsia"/>
          <w:lang w:val="en-US" w:eastAsia="zh-CN"/>
        </w:rPr>
        <w:t>同上</w:t>
      </w:r>
    </w:p>
  </w:comment>
  <w:comment w:id="26" w:author="csn" w:date="2025-10-28T18:23:29Z" w:initials="">
    <w:p w14:paraId="47D32BCC">
      <w:pPr>
        <w:pStyle w:val="3"/>
        <w:rPr>
          <w:rFonts w:hint="eastAsia" w:eastAsiaTheme="minorEastAsia"/>
          <w:lang w:val="en-US" w:eastAsia="zh-CN"/>
        </w:rPr>
      </w:pPr>
      <w:r>
        <w:rPr>
          <w:rFonts w:hint="eastAsia"/>
          <w:lang w:val="en-US" w:eastAsia="zh-CN"/>
        </w:rPr>
        <w:t>同上</w:t>
      </w:r>
    </w:p>
  </w:comment>
  <w:comment w:id="25" w:author="csn" w:date="2025-10-28T18:23:39Z" w:initials="">
    <w:p w14:paraId="01E4FE96">
      <w:pPr>
        <w:pStyle w:val="3"/>
        <w:rPr>
          <w:rFonts w:hint="default" w:eastAsiaTheme="minorEastAsia"/>
          <w:lang w:val="en-US" w:eastAsia="zh-CN"/>
        </w:rPr>
      </w:pPr>
      <w:r>
        <w:rPr>
          <w:rFonts w:hint="eastAsia"/>
          <w:lang w:val="en-US" w:eastAsia="zh-CN"/>
        </w:rPr>
        <w:t>这部分论述比较混乱，需要重新组织论述逻辑，最好加上逻辑连接词。</w:t>
      </w:r>
    </w:p>
  </w:comment>
  <w:comment w:id="27" w:author="csn" w:date="2025-10-28T19:02:41Z" w:initials="">
    <w:p w14:paraId="3A8D1F10">
      <w:pPr>
        <w:pStyle w:val="3"/>
        <w:rPr>
          <w:rFonts w:hint="default" w:eastAsiaTheme="minorEastAsia"/>
          <w:lang w:val="en-US" w:eastAsia="zh-CN"/>
        </w:rPr>
      </w:pPr>
      <w:r>
        <w:rPr>
          <w:rFonts w:hint="eastAsia"/>
          <w:lang w:val="en-US" w:eastAsia="zh-CN"/>
        </w:rPr>
        <w:t>这里均不需要加引号</w:t>
      </w:r>
    </w:p>
  </w:comment>
  <w:comment w:id="28" w:author="csn" w:date="2025-10-28T19:03:32Z" w:initials="">
    <w:p w14:paraId="221FFFF8">
      <w:pPr>
        <w:pStyle w:val="3"/>
        <w:rPr>
          <w:rFonts w:hint="default" w:eastAsiaTheme="minorEastAsia"/>
          <w:lang w:val="en-US" w:eastAsia="zh-CN"/>
        </w:rPr>
      </w:pPr>
      <w:r>
        <w:rPr>
          <w:rFonts w:hint="eastAsia"/>
          <w:lang w:val="en-US" w:eastAsia="zh-CN"/>
        </w:rPr>
        <w:t>无效判断是司法干预，与行政权力无关</w:t>
      </w:r>
    </w:p>
  </w:comment>
  <w:comment w:id="29" w:author="csn" w:date="2025-10-28T19:04:03Z" w:initials="">
    <w:p w14:paraId="7E7E0816">
      <w:pPr>
        <w:pStyle w:val="3"/>
        <w:rPr>
          <w:rFonts w:hint="default" w:eastAsiaTheme="minorEastAsia"/>
          <w:lang w:val="en-US" w:eastAsia="zh-CN"/>
        </w:rPr>
      </w:pPr>
      <w:r>
        <w:rPr>
          <w:rFonts w:hint="eastAsia"/>
          <w:lang w:val="en-US" w:eastAsia="zh-CN"/>
        </w:rPr>
        <w:t>对履行判断的证成，论述强度太弱，论据几乎都是原则与价值，与法律条文和商业实践举例较远，未结合公司财务的细节进行论述，这里需要着重加强论述，回归到具体的法律条文、会计准则与商事实践。</w:t>
      </w:r>
    </w:p>
  </w:comment>
  <w:comment w:id="30" w:author="csn" w:date="2025-10-28T19:06:29Z" w:initials="">
    <w:p w14:paraId="1EC670D8">
      <w:pPr>
        <w:pStyle w:val="3"/>
        <w:rPr>
          <w:rFonts w:hint="default" w:eastAsiaTheme="minorEastAsia"/>
          <w:lang w:val="en-US" w:eastAsia="zh-CN"/>
        </w:rPr>
      </w:pPr>
      <w:r>
        <w:rPr>
          <w:rFonts w:hint="eastAsia"/>
          <w:lang w:val="en-US" w:eastAsia="zh-CN"/>
        </w:rPr>
        <w:t>论述不清楚</w:t>
      </w:r>
    </w:p>
  </w:comment>
  <w:comment w:id="31" w:author="csn" w:date="2025-10-28T19:06:49Z" w:initials="">
    <w:p w14:paraId="2451B4DC">
      <w:pPr>
        <w:pStyle w:val="3"/>
        <w:rPr>
          <w:rFonts w:hint="default" w:eastAsiaTheme="minorEastAsia"/>
          <w:lang w:val="en-US" w:eastAsia="zh-CN"/>
        </w:rPr>
      </w:pPr>
      <w:r>
        <w:rPr>
          <w:rFonts w:hint="eastAsia"/>
          <w:lang w:val="en-US" w:eastAsia="zh-CN"/>
        </w:rPr>
        <w:t>不需要加引号</w:t>
      </w:r>
    </w:p>
  </w:comment>
  <w:comment w:id="32" w:author="csn" w:date="2025-10-28T19:09:15Z" w:initials="">
    <w:p w14:paraId="20EDA91D">
      <w:pPr>
        <w:pStyle w:val="3"/>
        <w:rPr>
          <w:rFonts w:hint="default" w:eastAsiaTheme="minorEastAsia"/>
          <w:lang w:val="en-US" w:eastAsia="zh-CN"/>
        </w:rPr>
      </w:pPr>
      <w:r>
        <w:rPr>
          <w:rFonts w:hint="eastAsia"/>
          <w:lang w:val="en-US" w:eastAsia="zh-CN"/>
        </w:rPr>
        <w:t>在会计上，资产=负债+所有者权益，资产-负债，即所有者权益，包括实收股本、公积金与未分配利润。那么，“</w:t>
      </w:r>
      <w:r>
        <w:rPr>
          <w:rFonts w:hint="eastAsia" w:ascii="宋体" w:hAnsi="宋体" w:eastAsia="宋体" w:cs="Times New Roman"/>
          <w:sz w:val="24"/>
          <w:szCs w:val="24"/>
          <w:lang w:val="en-US" w:eastAsia="zh-CN"/>
        </w:rPr>
        <w:t>所剩余资产总额和负债总额之间的差值不能小于已经实际缴纳的注册资本额</w:t>
      </w:r>
      <w:r>
        <w:rPr>
          <w:rFonts w:hint="eastAsia"/>
          <w:lang w:val="en-US" w:eastAsia="zh-CN"/>
        </w:rPr>
        <w:t>”，实际上是在说，所有者权益≥实收股本，换言之，即公积金+未分配利润≥0，此种标准，未看出有何种特别的理由，作者在此处也未说明。</w:t>
      </w:r>
    </w:p>
  </w:comment>
  <w:comment w:id="33" w:author="csn" w:date="2025-10-28T19:25:54Z" w:initials="">
    <w:p w14:paraId="2FBB3C40">
      <w:pPr>
        <w:pStyle w:val="3"/>
        <w:rPr>
          <w:rFonts w:hint="default" w:eastAsiaTheme="minorEastAsia"/>
          <w:lang w:val="en-US" w:eastAsia="zh-CN"/>
        </w:rPr>
      </w:pPr>
      <w:r>
        <w:rPr>
          <w:rFonts w:hint="eastAsia"/>
          <w:lang w:val="en-US" w:eastAsia="zh-CN"/>
        </w:rPr>
        <w:t>无需引号</w:t>
      </w:r>
    </w:p>
  </w:comment>
  <w:comment w:id="34" w:author="csn" w:date="2025-10-28T19:26:08Z" w:initials="">
    <w:p w14:paraId="5971CB31">
      <w:pPr>
        <w:pStyle w:val="3"/>
        <w:rPr>
          <w:rFonts w:hint="eastAsia" w:eastAsiaTheme="minorEastAsia"/>
          <w:lang w:val="en-US" w:eastAsia="zh-CN"/>
        </w:rPr>
      </w:pPr>
      <w:r>
        <w:rPr>
          <w:rFonts w:hint="eastAsia"/>
          <w:lang w:val="en-US" w:eastAsia="zh-CN"/>
        </w:rPr>
        <w:t>同上</w:t>
      </w:r>
    </w:p>
  </w:comment>
  <w:comment w:id="35" w:author="csn" w:date="2025-10-28T19:26:48Z" w:initials="">
    <w:p w14:paraId="0BAD6C59">
      <w:pPr>
        <w:pStyle w:val="3"/>
        <w:rPr>
          <w:rFonts w:hint="default" w:eastAsiaTheme="minorEastAsia"/>
          <w:lang w:val="en-US" w:eastAsia="zh-CN"/>
        </w:rPr>
      </w:pPr>
      <w:r>
        <w:rPr>
          <w:rFonts w:hint="eastAsia"/>
          <w:lang w:val="en-US" w:eastAsia="zh-CN"/>
        </w:rPr>
        <w:t>这是一个过于理想化的模型。首先，法律对此无任何规定，强行加上对于受资助人的财务审查，将面临巨大的法律论证负担；其次，有限公司的财务资助对象，大多要么是自然人，要么是有限公司或股份公司，何来股价的“市值”？封闭公司缺少公开市场交易，很难说会有一个稳定真实的股价，调查更是几乎是不可能做到的事情。</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3C4BAC56" w15:done="0"/>
  <w15:commentEx w15:paraId="68321879" w15:done="0"/>
  <w15:commentEx w15:paraId="067347AA" w15:done="0"/>
  <w15:commentEx w15:paraId="575B1CF7" w15:done="0"/>
  <w15:commentEx w15:paraId="49171C62" w15:done="0"/>
  <w15:commentEx w15:paraId="0209B5A3" w15:done="0"/>
  <w15:commentEx w15:paraId="303B8AE3" w15:done="0"/>
  <w15:commentEx w15:paraId="31798808" w15:done="0"/>
  <w15:commentEx w15:paraId="4C4C550F" w15:done="0"/>
  <w15:commentEx w15:paraId="638B9089" w15:done="0"/>
  <w15:commentEx w15:paraId="41F31684" w15:done="0"/>
  <w15:commentEx w15:paraId="147008E1" w15:done="0"/>
  <w15:commentEx w15:paraId="7D598D95" w15:done="0"/>
  <w15:commentEx w15:paraId="327E4278" w15:done="0"/>
  <w15:commentEx w15:paraId="72C4F4B5" w15:done="0"/>
  <w15:commentEx w15:paraId="0383D138" w15:done="0"/>
  <w15:commentEx w15:paraId="34FB33C1" w15:done="0"/>
  <w15:commentEx w15:paraId="5268043E" w15:done="0"/>
  <w15:commentEx w15:paraId="3FEE4ED4" w15:done="0"/>
  <w15:commentEx w15:paraId="3B7BC7AE" w15:done="0"/>
  <w15:commentEx w15:paraId="746D01FA" w15:done="0"/>
  <w15:commentEx w15:paraId="772F9248" w15:done="0"/>
  <w15:commentEx w15:paraId="2F934C31" w15:done="0"/>
  <w15:commentEx w15:paraId="339DE33C" w15:done="0"/>
  <w15:commentEx w15:paraId="50B1C76F" w15:done="0"/>
  <w15:commentEx w15:paraId="47D32BCC" w15:done="0"/>
  <w15:commentEx w15:paraId="01E4FE96" w15:done="0"/>
  <w15:commentEx w15:paraId="3A8D1F10" w15:done="0"/>
  <w15:commentEx w15:paraId="221FFFF8" w15:done="0"/>
  <w15:commentEx w15:paraId="7E7E0816" w15:done="0"/>
  <w15:commentEx w15:paraId="1EC670D8" w15:done="0"/>
  <w15:commentEx w15:paraId="2451B4DC" w15:done="0"/>
  <w15:commentEx w15:paraId="20EDA91D" w15:done="0"/>
  <w15:commentEx w15:paraId="2FBB3C40" w15:done="0"/>
  <w15:commentEx w15:paraId="5971CB31" w15:done="0"/>
  <w15:commentEx w15:paraId="0BAD6C59"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仿宋">
    <w:altName w:val="方正仿宋_GBK"/>
    <w:panose1 w:val="02010609060101010101"/>
    <w:charset w:val="86"/>
    <w:family w:val="modern"/>
    <w:pitch w:val="default"/>
    <w:sig w:usb0="00000000" w:usb1="00000000" w:usb2="00000016" w:usb3="00000000" w:csb0="00040001" w:csb1="00000000"/>
  </w:font>
  <w:font w:name="Times New Roman Regular">
    <w:panose1 w:val="02020603050405020304"/>
    <w:charset w:val="00"/>
    <w:family w:val="auto"/>
    <w:pitch w:val="default"/>
    <w:sig w:usb0="E0002AEF" w:usb1="C0007841" w:usb2="00000009" w:usb3="00000000" w:csb0="400001FF" w:csb1="FFFF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方正仿宋_GBK">
    <w:panose1 w:val="02000000000000000000"/>
    <w:charset w:val="86"/>
    <w:family w:val="auto"/>
    <w:pitch w:val="default"/>
    <w:sig w:usb0="A00002BF" w:usb1="38CF7CFA" w:usb2="00082016" w:usb3="00000000" w:csb0="00040001" w:csb1="0000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804030504040204"/>
    <w:charset w:val="00"/>
    <w:family w:val="auto"/>
    <w:pitch w:val="default"/>
    <w:sig w:usb0="E1002A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F53F69">
    <w:pPr>
      <w:pStyle w:val="4"/>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7CE7FAA">
                          <w:pPr>
                            <w:pStyle w:val="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77CE7FAA">
                    <w:pPr>
                      <w:pStyle w:val="4"/>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132">
    <w:p>
      <w:r>
        <w:separator/>
      </w:r>
    </w:p>
  </w:footnote>
  <w:footnote w:type="continuationSeparator" w:id="133">
    <w:p>
      <w:r>
        <w:continuationSeparator/>
      </w:r>
    </w:p>
  </w:footnote>
  <w:footnote w:id="0">
    <w:p w14:paraId="5EEA2CA3">
      <w:pPr>
        <w:pStyle w:val="6"/>
        <w:snapToGrid w:val="0"/>
        <w:rPr>
          <w:rFonts w:hint="eastAsia" w:ascii="仿宋" w:hAnsi="仿宋" w:eastAsia="仿宋" w:cs="仿宋"/>
          <w:sz w:val="21"/>
          <w:szCs w:val="21"/>
          <w:lang w:val="en-US" w:eastAsia="zh-CN"/>
        </w:rPr>
      </w:pPr>
      <w:r>
        <w:rPr>
          <w:rStyle w:val="11"/>
          <w:rFonts w:hint="eastAsia" w:ascii="仿宋" w:hAnsi="仿宋" w:eastAsia="仿宋" w:cs="仿宋"/>
          <w:sz w:val="21"/>
          <w:szCs w:val="21"/>
        </w:rPr>
        <w:footnoteRef/>
      </w:r>
      <w:r>
        <w:rPr>
          <w:rFonts w:hint="eastAsia" w:ascii="仿宋" w:hAnsi="仿宋" w:eastAsia="仿宋" w:cs="仿宋"/>
          <w:sz w:val="21"/>
          <w:szCs w:val="21"/>
        </w:rPr>
        <w:t xml:space="preserve"> </w:t>
      </w:r>
      <w:r>
        <w:rPr>
          <w:rFonts w:hint="eastAsia" w:ascii="仿宋" w:hAnsi="仿宋" w:eastAsia="仿宋" w:cs="仿宋"/>
          <w:sz w:val="21"/>
          <w:szCs w:val="21"/>
          <w:lang w:val="en-US" w:eastAsia="zh-CN"/>
        </w:rPr>
        <w:t>本文中“禁止财务资助规则”指的是《公司法》第163条。</w:t>
      </w:r>
    </w:p>
  </w:footnote>
  <w:footnote w:id="1">
    <w:p w14:paraId="328FB78F">
      <w:pPr>
        <w:pStyle w:val="6"/>
        <w:snapToGrid w:val="0"/>
        <w:rPr>
          <w:rFonts w:hint="eastAsia" w:ascii="仿宋" w:hAnsi="仿宋" w:eastAsia="仿宋" w:cs="仿宋"/>
          <w:sz w:val="21"/>
          <w:szCs w:val="21"/>
          <w:lang w:val="en-US" w:eastAsia="zh-CN"/>
        </w:rPr>
      </w:pPr>
      <w:r>
        <w:rPr>
          <w:rStyle w:val="11"/>
          <w:rFonts w:hint="eastAsia" w:ascii="仿宋" w:hAnsi="仿宋" w:eastAsia="仿宋" w:cs="仿宋"/>
          <w:sz w:val="21"/>
          <w:szCs w:val="21"/>
        </w:rPr>
        <w:footnoteRef/>
      </w:r>
      <w:r>
        <w:rPr>
          <w:rFonts w:hint="eastAsia" w:ascii="仿宋" w:hAnsi="仿宋" w:eastAsia="仿宋" w:cs="仿宋"/>
          <w:sz w:val="21"/>
          <w:szCs w:val="21"/>
        </w:rPr>
        <w:t xml:space="preserve"> </w:t>
      </w:r>
      <w:r>
        <w:rPr>
          <w:rFonts w:hint="eastAsia" w:ascii="仿宋" w:hAnsi="仿宋" w:eastAsia="仿宋" w:cs="仿宋"/>
          <w:sz w:val="21"/>
          <w:szCs w:val="21"/>
          <w:lang w:val="en-US" w:eastAsia="zh-CN"/>
        </w:rPr>
        <w:t>参见张弓长：《论公司财务资助的价值面向和规制结构》，载《华东政法大学学报》2023年第3期，第109页。</w:t>
      </w:r>
    </w:p>
  </w:footnote>
  <w:footnote w:id="2">
    <w:p w14:paraId="742564D8">
      <w:pPr>
        <w:pStyle w:val="6"/>
        <w:snapToGrid w:val="0"/>
        <w:rPr>
          <w:rFonts w:hint="eastAsia" w:ascii="仿宋" w:hAnsi="仿宋" w:eastAsia="仿宋" w:cs="仿宋"/>
          <w:sz w:val="21"/>
          <w:szCs w:val="21"/>
          <w:lang w:val="en-US" w:eastAsia="zh-CN"/>
        </w:rPr>
      </w:pPr>
      <w:r>
        <w:rPr>
          <w:rStyle w:val="11"/>
          <w:rFonts w:hint="eastAsia" w:ascii="仿宋" w:hAnsi="仿宋" w:eastAsia="仿宋" w:cs="仿宋"/>
          <w:sz w:val="21"/>
          <w:szCs w:val="21"/>
        </w:rPr>
        <w:footnoteRef/>
      </w:r>
      <w:r>
        <w:rPr>
          <w:rFonts w:hint="eastAsia" w:ascii="仿宋" w:hAnsi="仿宋" w:eastAsia="仿宋" w:cs="仿宋"/>
          <w:sz w:val="21"/>
          <w:szCs w:val="21"/>
        </w:rPr>
        <w:t xml:space="preserve"> </w:t>
      </w:r>
      <w:r>
        <w:rPr>
          <w:rFonts w:hint="eastAsia" w:ascii="仿宋" w:hAnsi="仿宋" w:eastAsia="仿宋" w:cs="仿宋"/>
          <w:sz w:val="21"/>
          <w:szCs w:val="21"/>
          <w:lang w:val="en-US" w:eastAsia="zh-CN"/>
        </w:rPr>
        <w:t>参见</w:t>
      </w:r>
      <w:r>
        <w:rPr>
          <w:rFonts w:hint="eastAsia" w:ascii="仿宋" w:hAnsi="仿宋" w:eastAsia="仿宋" w:cs="仿宋"/>
          <w:sz w:val="21"/>
          <w:szCs w:val="21"/>
          <w:highlight w:val="none"/>
          <w:lang w:val="en-US" w:eastAsia="zh-CN"/>
        </w:rPr>
        <w:t>王军：《抽逃出资规则及公司分配制度的系统性改造》，载《法学研究》2021年第5期，第93-97页</w:t>
      </w:r>
    </w:p>
  </w:footnote>
  <w:footnote w:id="3">
    <w:p w14:paraId="7C1D0544">
      <w:pPr>
        <w:pStyle w:val="6"/>
        <w:snapToGrid w:val="0"/>
        <w:rPr>
          <w:rFonts w:hint="eastAsia" w:ascii="仿宋" w:hAnsi="仿宋" w:eastAsia="仿宋" w:cs="仿宋"/>
          <w:sz w:val="21"/>
          <w:szCs w:val="21"/>
          <w:lang w:val="en-US" w:eastAsia="zh-CN"/>
        </w:rPr>
      </w:pPr>
      <w:r>
        <w:rPr>
          <w:rStyle w:val="11"/>
          <w:rFonts w:hint="eastAsia" w:ascii="仿宋" w:hAnsi="仿宋" w:eastAsia="仿宋" w:cs="仿宋"/>
          <w:sz w:val="21"/>
          <w:szCs w:val="21"/>
        </w:rPr>
        <w:footnoteRef/>
      </w:r>
      <w:r>
        <w:rPr>
          <w:rFonts w:hint="eastAsia" w:ascii="仿宋" w:hAnsi="仿宋" w:eastAsia="仿宋" w:cs="仿宋"/>
          <w:sz w:val="21"/>
          <w:szCs w:val="21"/>
        </w:rPr>
        <w:t xml:space="preserve"> </w:t>
      </w:r>
      <w:r>
        <w:rPr>
          <w:rFonts w:hint="eastAsia" w:ascii="仿宋" w:hAnsi="仿宋" w:eastAsia="仿宋" w:cs="仿宋"/>
          <w:sz w:val="21"/>
          <w:szCs w:val="21"/>
          <w:lang w:val="en-US" w:eastAsia="zh-CN"/>
        </w:rPr>
        <w:t>以最高人民法院作出的裁判为例，在“玉门市勤峰铁业有限公司、汪高峰、应跃吾与李海平、王克刚、董建股权转让纠纷案”中，最高人民法院认为公司提供的财务资助无效，参见最高人民法院（2012）民二终字第39号民事判决书；而在“强静延、曹务波等股权转让纠纷案”中，则认为公司为股东的股权回购义务提供的担保有效，参见</w:t>
      </w:r>
      <w:r>
        <w:rPr>
          <w:rFonts w:hint="eastAsia" w:ascii="仿宋" w:hAnsi="仿宋" w:eastAsia="仿宋" w:cs="仿宋"/>
          <w:sz w:val="21"/>
          <w:szCs w:val="21"/>
        </w:rPr>
        <w:t>最高人民法院（2016）最高法民再128号民事判决书。</w:t>
      </w:r>
    </w:p>
  </w:footnote>
  <w:footnote w:id="4">
    <w:p w14:paraId="06B0CCF7">
      <w:pPr>
        <w:pStyle w:val="6"/>
        <w:snapToGrid w:val="0"/>
        <w:rPr>
          <w:rFonts w:hint="default" w:eastAsiaTheme="minorEastAsia"/>
          <w:lang w:val="en-US" w:eastAsia="zh-CN"/>
        </w:rPr>
      </w:pPr>
      <w:r>
        <w:rPr>
          <w:rStyle w:val="11"/>
          <w:rFonts w:hint="eastAsia" w:ascii="仿宋" w:hAnsi="仿宋" w:eastAsia="仿宋" w:cs="仿宋"/>
          <w:sz w:val="21"/>
          <w:szCs w:val="21"/>
        </w:rPr>
        <w:footnoteRef/>
      </w:r>
      <w:r>
        <w:rPr>
          <w:rFonts w:hint="eastAsia" w:ascii="仿宋" w:hAnsi="仿宋" w:eastAsia="仿宋" w:cs="仿宋"/>
          <w:sz w:val="21"/>
          <w:szCs w:val="21"/>
        </w:rPr>
        <w:t xml:space="preserve"> </w:t>
      </w:r>
      <w:r>
        <w:rPr>
          <w:rFonts w:hint="eastAsia" w:ascii="仿宋" w:hAnsi="仿宋" w:eastAsia="仿宋" w:cs="仿宋"/>
          <w:sz w:val="21"/>
          <w:szCs w:val="21"/>
          <w:lang w:val="en-US" w:eastAsia="zh-CN"/>
        </w:rPr>
        <w:t>从“对赌协议”的裁判规则演进中可以得出上述结论。“对赌协议”的裁判历经“无效”到“有效”的效力判断，再到2019年《全国法院民商事审判工作会议既要》第五条确立的“履行判断”，表明“对赌协议”这一投融资交易工具的实践创新价值得到了裁判者的充分认可，没有法定无效的理由不应当否认对赌协议的效力，参见潘林：《“对赌协议第一案”的法律经济学分析》，载《法制与社会发展》2014年第4期，第172-174页；缪因知：《“与公司对赌”有效性的司法观念变迁与正当性检验》，载《人大法律评论》2023年第1期，第77-78页。</w:t>
      </w:r>
    </w:p>
  </w:footnote>
  <w:footnote w:id="5">
    <w:p w14:paraId="7C466A06">
      <w:pPr>
        <w:pStyle w:val="6"/>
        <w:snapToGrid w:val="0"/>
        <w:rPr>
          <w:rFonts w:hint="eastAsia" w:ascii="仿宋" w:hAnsi="仿宋" w:eastAsia="仿宋" w:cs="仿宋"/>
          <w:sz w:val="21"/>
          <w:szCs w:val="21"/>
          <w:lang w:val="en-US" w:eastAsia="zh-CN"/>
        </w:rPr>
      </w:pPr>
      <w:r>
        <w:rPr>
          <w:rStyle w:val="11"/>
          <w:rFonts w:hint="eastAsia" w:ascii="仿宋" w:hAnsi="仿宋" w:eastAsia="仿宋" w:cs="仿宋"/>
          <w:sz w:val="21"/>
          <w:szCs w:val="21"/>
        </w:rPr>
        <w:footnoteRef/>
      </w:r>
      <w:r>
        <w:rPr>
          <w:rFonts w:hint="eastAsia" w:ascii="仿宋" w:hAnsi="仿宋" w:eastAsia="仿宋" w:cs="仿宋"/>
          <w:sz w:val="21"/>
          <w:szCs w:val="21"/>
        </w:rPr>
        <w:t xml:space="preserve"> </w:t>
      </w:r>
      <w:r>
        <w:rPr>
          <w:rFonts w:hint="eastAsia" w:ascii="仿宋" w:hAnsi="仿宋" w:eastAsia="仿宋" w:cs="仿宋"/>
          <w:sz w:val="21"/>
          <w:szCs w:val="21"/>
          <w:lang w:val="en-US" w:eastAsia="zh-CN"/>
        </w:rPr>
        <w:t>参见广西壮族自治区高级人民法院（2021）桂民终1526号民事判决书。</w:t>
      </w:r>
    </w:p>
  </w:footnote>
  <w:footnote w:id="6">
    <w:p w14:paraId="7F6609FB">
      <w:pPr>
        <w:pStyle w:val="6"/>
        <w:snapToGrid w:val="0"/>
        <w:rPr>
          <w:rFonts w:hint="default" w:ascii="仿宋" w:hAnsi="仿宋" w:eastAsia="仿宋"/>
          <w:sz w:val="21"/>
          <w:szCs w:val="21"/>
          <w:lang w:val="en-US" w:eastAsia="zh-CN"/>
        </w:rPr>
      </w:pPr>
      <w:r>
        <w:rPr>
          <w:rStyle w:val="11"/>
        </w:rPr>
        <w:footnoteRef/>
      </w:r>
      <w:r>
        <w:t xml:space="preserve"> </w:t>
      </w:r>
      <w:r>
        <w:rPr>
          <w:rFonts w:hint="eastAsia" w:ascii="仿宋" w:hAnsi="仿宋" w:eastAsia="仿宋"/>
          <w:sz w:val="21"/>
          <w:szCs w:val="21"/>
          <w:lang w:val="en-US" w:eastAsia="zh-CN"/>
        </w:rPr>
        <w:t>参见最高人民法院（2023）最高法民再185号民事判决书。</w:t>
      </w:r>
    </w:p>
  </w:footnote>
  <w:footnote w:id="7">
    <w:p w14:paraId="7ABB570C">
      <w:pPr>
        <w:pStyle w:val="6"/>
        <w:snapToGrid w:val="0"/>
        <w:rPr>
          <w:rFonts w:hint="eastAsia" w:ascii="仿宋" w:hAnsi="仿宋" w:eastAsia="仿宋" w:cs="仿宋"/>
          <w:sz w:val="21"/>
          <w:szCs w:val="21"/>
          <w:lang w:val="en-US" w:eastAsia="zh-CN"/>
        </w:rPr>
      </w:pPr>
      <w:r>
        <w:rPr>
          <w:rStyle w:val="11"/>
          <w:rFonts w:hint="eastAsia" w:ascii="仿宋" w:hAnsi="仿宋" w:eastAsia="仿宋" w:cs="仿宋"/>
          <w:sz w:val="21"/>
          <w:szCs w:val="21"/>
        </w:rPr>
        <w:footnoteRef/>
      </w:r>
      <w:r>
        <w:rPr>
          <w:rFonts w:hint="eastAsia" w:ascii="仿宋" w:hAnsi="仿宋" w:eastAsia="仿宋" w:cs="仿宋"/>
          <w:sz w:val="21"/>
          <w:szCs w:val="21"/>
        </w:rPr>
        <w:t xml:space="preserve"> </w:t>
      </w:r>
      <w:r>
        <w:rPr>
          <w:rFonts w:hint="eastAsia" w:ascii="仿宋" w:hAnsi="仿宋" w:eastAsia="仿宋" w:cs="仿宋"/>
          <w:sz w:val="21"/>
          <w:szCs w:val="21"/>
          <w:lang w:val="en-US" w:eastAsia="zh-CN"/>
        </w:rPr>
        <w:t>参见最高人民法院（2020）最高法民申5256号民事裁定书。</w:t>
      </w:r>
    </w:p>
  </w:footnote>
  <w:footnote w:id="8">
    <w:p w14:paraId="24D88CBA">
      <w:pPr>
        <w:pStyle w:val="6"/>
        <w:snapToGrid w:val="0"/>
        <w:rPr>
          <w:rFonts w:hint="default" w:eastAsiaTheme="minorEastAsia"/>
          <w:lang w:val="en-US" w:eastAsia="zh-CN"/>
        </w:rPr>
      </w:pPr>
      <w:r>
        <w:rPr>
          <w:rStyle w:val="11"/>
          <w:rFonts w:hint="eastAsia" w:ascii="仿宋" w:hAnsi="仿宋" w:eastAsia="仿宋" w:cs="仿宋"/>
          <w:sz w:val="21"/>
          <w:szCs w:val="21"/>
        </w:rPr>
        <w:footnoteRef/>
      </w:r>
      <w:r>
        <w:rPr>
          <w:rFonts w:hint="eastAsia" w:ascii="仿宋" w:hAnsi="仿宋" w:eastAsia="仿宋" w:cs="仿宋"/>
          <w:sz w:val="21"/>
          <w:szCs w:val="21"/>
        </w:rPr>
        <w:t xml:space="preserve"> </w:t>
      </w:r>
      <w:r>
        <w:rPr>
          <w:rFonts w:hint="eastAsia" w:ascii="仿宋" w:hAnsi="仿宋" w:eastAsia="仿宋" w:cs="仿宋"/>
          <w:sz w:val="21"/>
          <w:szCs w:val="21"/>
          <w:lang w:val="en-US" w:eastAsia="zh-CN"/>
        </w:rPr>
        <w:t>参见最高人民法院（2017）最高法民申3671号民事裁定书。</w:t>
      </w:r>
    </w:p>
  </w:footnote>
  <w:footnote w:id="9">
    <w:p w14:paraId="7B56CCFE">
      <w:pPr>
        <w:pStyle w:val="6"/>
        <w:snapToGrid w:val="0"/>
        <w:rPr>
          <w:rFonts w:hint="default" w:ascii="仿宋" w:hAnsi="仿宋" w:eastAsia="仿宋"/>
          <w:sz w:val="21"/>
          <w:szCs w:val="21"/>
          <w:lang w:val="en-US" w:eastAsia="zh-CN"/>
        </w:rPr>
      </w:pPr>
      <w:r>
        <w:rPr>
          <w:rStyle w:val="11"/>
        </w:rPr>
        <w:footnoteRef/>
      </w:r>
      <w:r>
        <w:t xml:space="preserve"> </w:t>
      </w:r>
      <w:r>
        <w:rPr>
          <w:rFonts w:hint="eastAsia" w:ascii="仿宋" w:hAnsi="仿宋" w:eastAsia="仿宋"/>
          <w:sz w:val="21"/>
          <w:szCs w:val="21"/>
          <w:lang w:val="en-US" w:eastAsia="zh-CN"/>
        </w:rPr>
        <w:t>参见最高人民法院（2021）最高法民申7112号民事裁定书。</w:t>
      </w:r>
    </w:p>
  </w:footnote>
  <w:footnote w:id="10">
    <w:p w14:paraId="64A6199C">
      <w:pPr>
        <w:pStyle w:val="6"/>
        <w:snapToGrid w:val="0"/>
        <w:rPr>
          <w:rFonts w:hint="eastAsia" w:ascii="仿宋" w:hAnsi="仿宋" w:eastAsia="仿宋" w:cs="仿宋"/>
          <w:sz w:val="21"/>
          <w:szCs w:val="21"/>
          <w:lang w:val="en-US" w:eastAsia="zh-CN"/>
        </w:rPr>
      </w:pPr>
      <w:r>
        <w:rPr>
          <w:rStyle w:val="11"/>
          <w:rFonts w:hint="eastAsia" w:ascii="仿宋" w:hAnsi="仿宋" w:eastAsia="仿宋" w:cs="仿宋"/>
          <w:sz w:val="21"/>
          <w:szCs w:val="21"/>
        </w:rPr>
        <w:footnoteRef/>
      </w:r>
      <w:r>
        <w:rPr>
          <w:rFonts w:hint="eastAsia" w:ascii="仿宋" w:hAnsi="仿宋" w:eastAsia="仿宋" w:cs="仿宋"/>
          <w:sz w:val="21"/>
          <w:szCs w:val="21"/>
        </w:rPr>
        <w:t xml:space="preserve"> </w:t>
      </w:r>
      <w:r>
        <w:rPr>
          <w:rFonts w:hint="eastAsia" w:ascii="仿宋" w:hAnsi="仿宋" w:eastAsia="仿宋" w:cs="仿宋"/>
          <w:sz w:val="21"/>
          <w:szCs w:val="21"/>
          <w:lang w:val="en-US" w:eastAsia="zh-CN"/>
        </w:rPr>
        <w:t>参见张舫：《抽逃出资司法裁判中的问题与我国资本制度的完善》，载《法治研究》2022年第5期，第74页。</w:t>
      </w:r>
    </w:p>
  </w:footnote>
  <w:footnote w:id="11">
    <w:p w14:paraId="191AFF06">
      <w:pPr>
        <w:pStyle w:val="6"/>
        <w:snapToGrid w:val="0"/>
        <w:rPr>
          <w:rFonts w:hint="default" w:ascii="仿宋" w:hAnsi="仿宋" w:eastAsia="仿宋"/>
          <w:sz w:val="21"/>
          <w:szCs w:val="21"/>
          <w:lang w:val="en-US" w:eastAsia="zh-CN"/>
        </w:rPr>
      </w:pPr>
      <w:r>
        <w:rPr>
          <w:rStyle w:val="11"/>
        </w:rPr>
        <w:footnoteRef/>
      </w:r>
      <w:r>
        <w:t xml:space="preserve"> </w:t>
      </w:r>
      <w:r>
        <w:rPr>
          <w:rFonts w:hint="eastAsia" w:ascii="仿宋" w:hAnsi="仿宋" w:eastAsia="仿宋"/>
          <w:sz w:val="21"/>
          <w:szCs w:val="21"/>
          <w:lang w:val="en-US" w:eastAsia="zh-CN"/>
        </w:rPr>
        <w:t>王毓莹：《论禁止抽逃出资规制的规范定位》，载《比较法研究》2023年第5期，第139页。</w:t>
      </w:r>
    </w:p>
  </w:footnote>
  <w:footnote w:id="12">
    <w:p w14:paraId="08872946">
      <w:pPr>
        <w:pStyle w:val="6"/>
        <w:snapToGrid w:val="0"/>
        <w:rPr>
          <w:rFonts w:hint="default" w:ascii="仿宋" w:hAnsi="仿宋" w:eastAsia="仿宋"/>
          <w:sz w:val="21"/>
          <w:szCs w:val="21"/>
          <w:lang w:val="en-US" w:eastAsia="zh-CN"/>
        </w:rPr>
      </w:pPr>
      <w:r>
        <w:rPr>
          <w:rStyle w:val="11"/>
        </w:rPr>
        <w:footnoteRef/>
      </w:r>
      <w:r>
        <w:t xml:space="preserve"> </w:t>
      </w:r>
      <w:r>
        <w:rPr>
          <w:rFonts w:hint="eastAsia" w:ascii="仿宋" w:hAnsi="仿宋" w:eastAsia="仿宋"/>
          <w:sz w:val="21"/>
          <w:szCs w:val="21"/>
          <w:lang w:val="en-US" w:eastAsia="zh-CN"/>
        </w:rPr>
        <w:t>参见赵旭东：《认缴资本制下股东的有限责任——兼论虚报资本、虚假出资和抽逃出资行为的认定》，载《法律适用》2014年第11期，第17页。</w:t>
      </w:r>
    </w:p>
  </w:footnote>
  <w:footnote w:id="13">
    <w:p w14:paraId="4B1F79B5">
      <w:pPr>
        <w:pStyle w:val="6"/>
        <w:snapToGrid w:val="0"/>
        <w:rPr>
          <w:rFonts w:hint="default" w:ascii="仿宋" w:hAnsi="仿宋" w:eastAsia="仿宋"/>
          <w:sz w:val="21"/>
          <w:szCs w:val="21"/>
          <w:lang w:val="en-US" w:eastAsia="zh-CN"/>
        </w:rPr>
      </w:pPr>
      <w:r>
        <w:rPr>
          <w:rStyle w:val="11"/>
        </w:rPr>
        <w:footnoteRef/>
      </w:r>
      <w:r>
        <w:t xml:space="preserve"> </w:t>
      </w:r>
      <w:r>
        <w:rPr>
          <w:rFonts w:hint="eastAsia" w:ascii="仿宋" w:hAnsi="仿宋" w:eastAsia="仿宋"/>
          <w:sz w:val="21"/>
          <w:szCs w:val="21"/>
          <w:lang w:val="en-US" w:eastAsia="zh-CN"/>
        </w:rPr>
        <w:t>参见刘燕：《重构“禁止抽逃出资”规则的公司法理基础》，载《中国法学》2015年第4期，第183-185页。</w:t>
      </w:r>
    </w:p>
  </w:footnote>
  <w:footnote w:id="14">
    <w:p w14:paraId="3DD33DCC">
      <w:pPr>
        <w:pStyle w:val="6"/>
        <w:snapToGrid w:val="0"/>
        <w:rPr>
          <w:rFonts w:hint="eastAsia" w:ascii="仿宋" w:hAnsi="仿宋" w:eastAsia="仿宋" w:cs="仿宋"/>
          <w:sz w:val="21"/>
          <w:szCs w:val="21"/>
          <w:lang w:val="en-US" w:eastAsia="zh-CN"/>
        </w:rPr>
      </w:pPr>
      <w:r>
        <w:rPr>
          <w:rStyle w:val="11"/>
          <w:rFonts w:hint="eastAsia" w:ascii="仿宋" w:hAnsi="仿宋" w:eastAsia="仿宋" w:cs="仿宋"/>
          <w:sz w:val="21"/>
          <w:szCs w:val="21"/>
        </w:rPr>
        <w:footnoteRef/>
      </w:r>
      <w:r>
        <w:rPr>
          <w:rFonts w:hint="eastAsia" w:ascii="仿宋" w:hAnsi="仿宋" w:eastAsia="仿宋" w:cs="仿宋"/>
          <w:sz w:val="21"/>
          <w:szCs w:val="21"/>
        </w:rPr>
        <w:t xml:space="preserve"> </w:t>
      </w:r>
      <w:r>
        <w:rPr>
          <w:rFonts w:hint="eastAsia" w:ascii="仿宋" w:hAnsi="仿宋" w:eastAsia="仿宋" w:cs="仿宋"/>
          <w:sz w:val="21"/>
          <w:szCs w:val="21"/>
          <w:highlight w:val="none"/>
          <w:lang w:val="en-US" w:eastAsia="zh-CN"/>
        </w:rPr>
        <w:t>参见王军：《抽逃出资规则及公司分配制度的系统性改造》，载《法学研究》2021年第5期，第81-97页。</w:t>
      </w:r>
    </w:p>
  </w:footnote>
  <w:footnote w:id="15">
    <w:p w14:paraId="0DF9A6AE">
      <w:pPr>
        <w:pStyle w:val="6"/>
        <w:snapToGrid w:val="0"/>
        <w:rPr>
          <w:rFonts w:hint="default" w:eastAsiaTheme="minorEastAsia"/>
          <w:lang w:val="en-US" w:eastAsia="zh-CN"/>
        </w:rPr>
      </w:pPr>
      <w:r>
        <w:rPr>
          <w:rStyle w:val="11"/>
        </w:rPr>
        <w:footnoteRef/>
      </w:r>
      <w:r>
        <w:t xml:space="preserve"> </w:t>
      </w:r>
      <w:r>
        <w:rPr>
          <w:rFonts w:hint="eastAsia" w:ascii="仿宋" w:hAnsi="仿宋" w:eastAsia="仿宋"/>
          <w:sz w:val="21"/>
          <w:szCs w:val="21"/>
          <w:lang w:val="en-US" w:eastAsia="zh-CN"/>
        </w:rPr>
        <w:t>吴飞飞：《资本维持原则的当下意蕴及其对偿债能力测试的借鉴》，载《政法论坛》2023年第4期，第146-159页。</w:t>
      </w:r>
    </w:p>
  </w:footnote>
  <w:footnote w:id="16">
    <w:p w14:paraId="4C2CF263">
      <w:pPr>
        <w:pStyle w:val="6"/>
        <w:snapToGrid w:val="0"/>
        <w:rPr>
          <w:rFonts w:hint="eastAsia" w:ascii="仿宋" w:hAnsi="仿宋" w:eastAsia="仿宋" w:cs="仿宋"/>
          <w:sz w:val="21"/>
          <w:szCs w:val="21"/>
          <w:lang w:val="en-US" w:eastAsia="zh-CN"/>
        </w:rPr>
      </w:pPr>
      <w:r>
        <w:rPr>
          <w:rStyle w:val="11"/>
          <w:rFonts w:hint="eastAsia" w:ascii="仿宋" w:hAnsi="仿宋" w:eastAsia="仿宋" w:cs="仿宋"/>
          <w:sz w:val="21"/>
          <w:szCs w:val="21"/>
        </w:rPr>
        <w:footnoteRef/>
      </w:r>
      <w:r>
        <w:rPr>
          <w:rFonts w:hint="eastAsia" w:ascii="仿宋" w:hAnsi="仿宋" w:eastAsia="仿宋" w:cs="仿宋"/>
          <w:sz w:val="21"/>
          <w:szCs w:val="21"/>
        </w:rPr>
        <w:t xml:space="preserve"> </w:t>
      </w:r>
      <w:r>
        <w:rPr>
          <w:rFonts w:hint="eastAsia" w:ascii="仿宋" w:hAnsi="仿宋" w:eastAsia="仿宋" w:cs="仿宋"/>
          <w:sz w:val="21"/>
          <w:szCs w:val="21"/>
          <w:lang w:val="en-US" w:eastAsia="zh-CN"/>
        </w:rPr>
        <w:t>参见李建伟：《公司法学》，中国人民大学出版社2018年版，第156页。</w:t>
      </w:r>
    </w:p>
  </w:footnote>
  <w:footnote w:id="17">
    <w:p w14:paraId="16F5964A">
      <w:pPr>
        <w:pStyle w:val="6"/>
        <w:snapToGrid w:val="0"/>
        <w:rPr>
          <w:rFonts w:hint="eastAsia" w:ascii="仿宋" w:hAnsi="仿宋" w:eastAsia="仿宋" w:cs="仿宋"/>
          <w:sz w:val="21"/>
          <w:szCs w:val="21"/>
          <w:lang w:val="en-US" w:eastAsia="zh-CN"/>
        </w:rPr>
      </w:pPr>
      <w:r>
        <w:rPr>
          <w:rStyle w:val="11"/>
          <w:rFonts w:hint="eastAsia" w:ascii="仿宋" w:hAnsi="仿宋" w:eastAsia="仿宋" w:cs="仿宋"/>
          <w:sz w:val="21"/>
          <w:szCs w:val="21"/>
        </w:rPr>
        <w:footnoteRef/>
      </w:r>
      <w:r>
        <w:rPr>
          <w:rFonts w:hint="eastAsia" w:ascii="仿宋" w:hAnsi="仿宋" w:eastAsia="仿宋" w:cs="仿宋"/>
          <w:sz w:val="21"/>
          <w:szCs w:val="21"/>
        </w:rPr>
        <w:t xml:space="preserve"> </w:t>
      </w:r>
      <w:r>
        <w:rPr>
          <w:rFonts w:hint="eastAsia" w:ascii="仿宋" w:hAnsi="仿宋" w:eastAsia="仿宋" w:cs="仿宋"/>
          <w:sz w:val="21"/>
          <w:szCs w:val="21"/>
          <w:lang w:eastAsia="zh-CN"/>
        </w:rPr>
        <w:t>《</w:t>
      </w:r>
      <w:r>
        <w:rPr>
          <w:rFonts w:hint="eastAsia" w:ascii="仿宋" w:hAnsi="仿宋" w:eastAsia="仿宋" w:cs="仿宋"/>
          <w:sz w:val="21"/>
          <w:szCs w:val="21"/>
          <w:lang w:val="en-US" w:eastAsia="zh-CN"/>
        </w:rPr>
        <w:t>公司法司法解释（三）</w:t>
      </w:r>
      <w:r>
        <w:rPr>
          <w:rFonts w:hint="eastAsia" w:ascii="仿宋" w:hAnsi="仿宋" w:eastAsia="仿宋" w:cs="仿宋"/>
          <w:sz w:val="21"/>
          <w:szCs w:val="21"/>
          <w:lang w:eastAsia="zh-CN"/>
        </w:rPr>
        <w:t>》</w:t>
      </w:r>
      <w:r>
        <w:rPr>
          <w:rFonts w:hint="eastAsia" w:ascii="仿宋" w:hAnsi="仿宋" w:eastAsia="仿宋" w:cs="仿宋"/>
          <w:sz w:val="21"/>
          <w:szCs w:val="21"/>
          <w:lang w:val="en-US" w:eastAsia="zh-CN"/>
        </w:rPr>
        <w:t>第十二条</w:t>
      </w:r>
    </w:p>
  </w:footnote>
  <w:footnote w:id="18">
    <w:p w14:paraId="5707F058">
      <w:pPr>
        <w:pStyle w:val="6"/>
        <w:snapToGrid w:val="0"/>
        <w:rPr>
          <w:rFonts w:hint="eastAsia" w:ascii="仿宋" w:hAnsi="仿宋" w:eastAsia="仿宋" w:cs="仿宋"/>
          <w:sz w:val="21"/>
          <w:szCs w:val="21"/>
          <w:lang w:val="en-US" w:eastAsia="zh-CN"/>
        </w:rPr>
      </w:pPr>
      <w:r>
        <w:rPr>
          <w:rStyle w:val="11"/>
          <w:rFonts w:hint="eastAsia" w:ascii="仿宋" w:hAnsi="仿宋" w:eastAsia="仿宋" w:cs="仿宋"/>
          <w:sz w:val="21"/>
          <w:szCs w:val="21"/>
        </w:rPr>
        <w:footnoteRef/>
      </w:r>
      <w:r>
        <w:rPr>
          <w:rFonts w:hint="eastAsia" w:ascii="仿宋" w:hAnsi="仿宋" w:eastAsia="仿宋" w:cs="仿宋"/>
          <w:sz w:val="21"/>
          <w:szCs w:val="21"/>
        </w:rPr>
        <w:t xml:space="preserve"> </w:t>
      </w:r>
      <w:r>
        <w:rPr>
          <w:rFonts w:hint="eastAsia" w:ascii="仿宋" w:hAnsi="仿宋" w:eastAsia="仿宋" w:cs="仿宋"/>
          <w:sz w:val="21"/>
          <w:szCs w:val="21"/>
          <w:lang w:val="en-US" w:eastAsia="zh-CN"/>
        </w:rPr>
        <w:t>参见樊云慧：《从“抽逃出资”到“侵占公司财产”：一个概念的厘清——以公司注册资本登记制度改革为切入点》，载《法商研究》2014年第1期，第105-110页。</w:t>
      </w:r>
    </w:p>
  </w:footnote>
  <w:footnote w:id="19">
    <w:p w14:paraId="10E54F7D">
      <w:pPr>
        <w:pStyle w:val="6"/>
        <w:snapToGrid w:val="0"/>
        <w:rPr>
          <w:rFonts w:hint="eastAsia" w:ascii="仿宋" w:hAnsi="仿宋" w:eastAsia="仿宋" w:cs="仿宋"/>
          <w:sz w:val="21"/>
          <w:szCs w:val="21"/>
          <w:lang w:val="en-US" w:eastAsia="zh-CN"/>
        </w:rPr>
      </w:pPr>
      <w:r>
        <w:rPr>
          <w:rStyle w:val="11"/>
          <w:rFonts w:hint="eastAsia" w:ascii="仿宋" w:hAnsi="仿宋" w:eastAsia="仿宋" w:cs="仿宋"/>
          <w:sz w:val="21"/>
          <w:szCs w:val="21"/>
        </w:rPr>
        <w:footnoteRef/>
      </w:r>
      <w:r>
        <w:rPr>
          <w:rFonts w:hint="eastAsia" w:ascii="仿宋" w:hAnsi="仿宋" w:eastAsia="仿宋" w:cs="仿宋"/>
          <w:sz w:val="21"/>
          <w:szCs w:val="21"/>
        </w:rPr>
        <w:t xml:space="preserve"> </w:t>
      </w:r>
      <w:r>
        <w:rPr>
          <w:rFonts w:hint="eastAsia" w:ascii="仿宋" w:hAnsi="仿宋" w:eastAsia="仿宋" w:cs="仿宋"/>
          <w:sz w:val="21"/>
          <w:szCs w:val="21"/>
          <w:lang w:val="en-US" w:eastAsia="zh-CN"/>
        </w:rPr>
        <w:t>参见王湘淳：《特殊侵权说下抽逃出资的公司法规制》，载《政法论坛》2025年第3期，第102-108页。</w:t>
      </w:r>
    </w:p>
  </w:footnote>
  <w:footnote w:id="20">
    <w:p w14:paraId="556D074B">
      <w:pPr>
        <w:pStyle w:val="6"/>
        <w:snapToGrid w:val="0"/>
        <w:rPr>
          <w:rFonts w:hint="eastAsia" w:ascii="仿宋" w:hAnsi="仿宋" w:eastAsia="仿宋" w:cs="仿宋"/>
          <w:sz w:val="21"/>
          <w:szCs w:val="21"/>
          <w:lang w:val="en-US" w:eastAsia="zh-CN"/>
        </w:rPr>
      </w:pPr>
      <w:r>
        <w:rPr>
          <w:rStyle w:val="11"/>
          <w:rFonts w:hint="eastAsia" w:ascii="仿宋" w:hAnsi="仿宋" w:eastAsia="仿宋" w:cs="仿宋"/>
          <w:sz w:val="21"/>
          <w:szCs w:val="21"/>
        </w:rPr>
        <w:footnoteRef/>
      </w:r>
      <w:r>
        <w:rPr>
          <w:rFonts w:hint="eastAsia" w:ascii="仿宋" w:hAnsi="仿宋" w:eastAsia="仿宋" w:cs="仿宋"/>
          <w:sz w:val="21"/>
          <w:szCs w:val="21"/>
        </w:rPr>
        <w:t xml:space="preserve"> </w:t>
      </w:r>
      <w:r>
        <w:rPr>
          <w:rFonts w:hint="eastAsia" w:ascii="仿宋" w:hAnsi="仿宋" w:eastAsia="仿宋" w:cs="仿宋"/>
          <w:sz w:val="21"/>
          <w:szCs w:val="21"/>
          <w:lang w:val="en-US" w:eastAsia="zh-CN"/>
        </w:rPr>
        <w:t>王毓莹：《论禁止抽逃出资规制的规范定位》，载《比较法研究》2023年第5期，第142页。</w:t>
      </w:r>
    </w:p>
  </w:footnote>
  <w:footnote w:id="21">
    <w:p w14:paraId="62F4CAAD">
      <w:pPr>
        <w:pStyle w:val="6"/>
        <w:snapToGrid w:val="0"/>
      </w:pPr>
      <w:r>
        <w:rPr>
          <w:rStyle w:val="11"/>
          <w:rFonts w:hint="eastAsia" w:ascii="仿宋" w:hAnsi="仿宋" w:eastAsia="仿宋" w:cs="仿宋"/>
          <w:sz w:val="21"/>
          <w:szCs w:val="21"/>
        </w:rPr>
        <w:footnoteRef/>
      </w:r>
      <w:r>
        <w:rPr>
          <w:rFonts w:hint="eastAsia" w:ascii="仿宋" w:hAnsi="仿宋" w:eastAsia="仿宋" w:cs="仿宋"/>
          <w:sz w:val="21"/>
          <w:szCs w:val="21"/>
        </w:rPr>
        <w:t xml:space="preserve"> </w:t>
      </w:r>
      <w:r>
        <w:rPr>
          <w:rFonts w:hint="eastAsia" w:ascii="仿宋" w:hAnsi="仿宋" w:eastAsia="仿宋" w:cs="仿宋"/>
          <w:sz w:val="21"/>
          <w:szCs w:val="21"/>
          <w:lang w:val="en-US" w:eastAsia="zh-CN"/>
        </w:rPr>
        <w:t>刘燕：《重构“禁止抽逃出资”规则的公司法理基础》，载《中国法学》2015年第4期，第197页。</w:t>
      </w:r>
    </w:p>
  </w:footnote>
  <w:footnote w:id="22">
    <w:p w14:paraId="02063AB4">
      <w:pPr>
        <w:pStyle w:val="6"/>
        <w:snapToGrid w:val="0"/>
        <w:rPr>
          <w:rFonts w:hint="default" w:eastAsiaTheme="minorEastAsia"/>
          <w:lang w:val="en-US" w:eastAsia="zh-CN"/>
        </w:rPr>
      </w:pPr>
      <w:r>
        <w:rPr>
          <w:rStyle w:val="11"/>
        </w:rPr>
        <w:footnoteRef/>
      </w:r>
      <w:r>
        <w:t xml:space="preserve"> </w:t>
      </w:r>
      <w:r>
        <w:rPr>
          <w:rFonts w:hint="eastAsia" w:ascii="仿宋" w:hAnsi="仿宋" w:eastAsia="仿宋"/>
          <w:sz w:val="21"/>
          <w:szCs w:val="21"/>
          <w:lang w:val="en-US" w:eastAsia="zh-CN"/>
        </w:rPr>
        <w:t>参见刘燕：《重构“禁止抽逃出资”规则的公司法理基础》，载《中国法学》2015年第4期，第185-189页。</w:t>
      </w:r>
    </w:p>
  </w:footnote>
  <w:footnote w:id="23">
    <w:p w14:paraId="4CD24F74">
      <w:pPr>
        <w:pStyle w:val="6"/>
        <w:snapToGrid w:val="0"/>
        <w:rPr>
          <w:rFonts w:hint="eastAsia" w:ascii="仿宋" w:hAnsi="仿宋" w:eastAsia="仿宋" w:cs="仿宋"/>
          <w:sz w:val="21"/>
          <w:szCs w:val="21"/>
          <w:lang w:val="en-US" w:eastAsia="zh-CN"/>
        </w:rPr>
      </w:pPr>
      <w:r>
        <w:rPr>
          <w:rStyle w:val="11"/>
          <w:rFonts w:hint="eastAsia" w:ascii="仿宋" w:hAnsi="仿宋" w:eastAsia="仿宋" w:cs="仿宋"/>
          <w:sz w:val="21"/>
          <w:szCs w:val="21"/>
        </w:rPr>
        <w:footnoteRef/>
      </w:r>
      <w:r>
        <w:rPr>
          <w:rFonts w:hint="eastAsia" w:ascii="仿宋" w:hAnsi="仿宋" w:eastAsia="仿宋" w:cs="仿宋"/>
          <w:sz w:val="21"/>
          <w:szCs w:val="21"/>
        </w:rPr>
        <w:t xml:space="preserve"> </w:t>
      </w:r>
      <w:r>
        <w:rPr>
          <w:rFonts w:hint="eastAsia" w:ascii="仿宋" w:hAnsi="仿宋" w:eastAsia="仿宋" w:cs="仿宋"/>
          <w:sz w:val="21"/>
          <w:szCs w:val="21"/>
          <w:lang w:val="en-US" w:eastAsia="zh-CN"/>
        </w:rPr>
        <w:t>相关的案例参见最高人民法院（2023）最高法民再185号民事判决书、最高人民法院（2020）最高法民申5256号民事裁定书、最高人民法院（2019）最高法民申4849号民事裁定书。</w:t>
      </w:r>
    </w:p>
  </w:footnote>
  <w:footnote w:id="24">
    <w:p w14:paraId="536F9573">
      <w:pPr>
        <w:pStyle w:val="6"/>
        <w:snapToGrid w:val="0"/>
        <w:rPr>
          <w:rFonts w:hint="default" w:ascii="Times New Roman Regular" w:hAnsi="Times New Roman Regular" w:eastAsia="仿宋" w:cs="Times New Roman Regular"/>
          <w:sz w:val="21"/>
          <w:szCs w:val="21"/>
          <w:lang w:val="en-US" w:eastAsia="zh-CN"/>
        </w:rPr>
      </w:pPr>
      <w:r>
        <w:rPr>
          <w:rStyle w:val="11"/>
        </w:rPr>
        <w:footnoteRef/>
      </w:r>
      <w:r>
        <w:t xml:space="preserve"> </w:t>
      </w:r>
      <w:r>
        <w:rPr>
          <w:rFonts w:hint="default" w:ascii="Times New Roman Regular" w:hAnsi="Times New Roman Regular" w:eastAsia="仿宋" w:cs="Times New Roman Regular"/>
          <w:sz w:val="21"/>
          <w:szCs w:val="21"/>
          <w:lang w:val="en-US" w:eastAsia="zh-CN"/>
        </w:rPr>
        <w:t>Model Business Corporation Act §6.40(American Bar Association 2016).</w:t>
      </w:r>
    </w:p>
  </w:footnote>
  <w:footnote w:id="25">
    <w:p w14:paraId="146A347F">
      <w:pPr>
        <w:pStyle w:val="6"/>
        <w:snapToGrid w:val="0"/>
      </w:pPr>
      <w:r>
        <w:rPr>
          <w:rStyle w:val="11"/>
        </w:rPr>
        <w:footnoteRef/>
      </w:r>
      <w:r>
        <w:t xml:space="preserve"> </w:t>
      </w:r>
      <w:r>
        <w:rPr>
          <w:rFonts w:hint="default" w:ascii="Times New Roman Regular" w:hAnsi="Times New Roman Regular" w:eastAsia="仿宋" w:cs="Times New Roman Regular"/>
          <w:sz w:val="21"/>
          <w:szCs w:val="21"/>
          <w:lang w:val="en-US" w:eastAsia="zh-CN"/>
        </w:rPr>
        <w:t>Model Business Corporation Act §6.40(c)(2)(American Bar Association 2016).</w:t>
      </w:r>
    </w:p>
  </w:footnote>
  <w:footnote w:id="26">
    <w:p w14:paraId="66760FF7">
      <w:pPr>
        <w:pStyle w:val="6"/>
        <w:snapToGrid w:val="0"/>
      </w:pPr>
      <w:r>
        <w:rPr>
          <w:rStyle w:val="11"/>
        </w:rPr>
        <w:footnoteRef/>
      </w:r>
      <w:r>
        <w:t xml:space="preserve"> </w:t>
      </w:r>
      <w:r>
        <w:rPr>
          <w:rFonts w:hint="default" w:ascii="Times New Roman Regular" w:hAnsi="Times New Roman Regular" w:eastAsia="仿宋" w:cs="Times New Roman Regular"/>
          <w:sz w:val="21"/>
          <w:szCs w:val="21"/>
          <w:lang w:val="en-US" w:eastAsia="zh-CN"/>
        </w:rPr>
        <w:t>Model Business Corporation Act §6.40(c)(1)(American Bar Association 2016).</w:t>
      </w:r>
    </w:p>
  </w:footnote>
  <w:footnote w:id="27">
    <w:p w14:paraId="0265457D">
      <w:pPr>
        <w:pStyle w:val="6"/>
        <w:snapToGrid w:val="0"/>
        <w:rPr>
          <w:rFonts w:hint="default" w:eastAsiaTheme="minorEastAsia"/>
          <w:lang w:val="en-US" w:eastAsia="zh-CN"/>
        </w:rPr>
      </w:pPr>
      <w:r>
        <w:rPr>
          <w:rStyle w:val="11"/>
        </w:rPr>
        <w:footnoteRef/>
      </w:r>
      <w:r>
        <w:t xml:space="preserve"> </w:t>
      </w:r>
      <w:r>
        <w:rPr>
          <w:rFonts w:hint="eastAsia" w:ascii="仿宋" w:hAnsi="仿宋" w:eastAsia="仿宋"/>
          <w:sz w:val="21"/>
          <w:szCs w:val="21"/>
          <w:lang w:val="en-US" w:eastAsia="zh-CN"/>
        </w:rPr>
        <w:t>于莹、司耕旭：《重思公司分配行为的约束机制：以偿债能力测试的借鉴为中心》，载《清华法学》2023年第1期，第186页。</w:t>
      </w:r>
    </w:p>
  </w:footnote>
  <w:footnote w:id="28">
    <w:p w14:paraId="41C1CE29">
      <w:pPr>
        <w:pStyle w:val="6"/>
        <w:snapToGrid w:val="0"/>
        <w:rPr>
          <w:rFonts w:hint="default" w:ascii="仿宋" w:hAnsi="仿宋" w:eastAsia="仿宋"/>
          <w:sz w:val="21"/>
          <w:szCs w:val="21"/>
          <w:lang w:val="en-US" w:eastAsia="zh-CN"/>
        </w:rPr>
      </w:pPr>
      <w:r>
        <w:rPr>
          <w:rStyle w:val="11"/>
        </w:rPr>
        <w:footnoteRef/>
      </w:r>
      <w:r>
        <w:t xml:space="preserve"> </w:t>
      </w:r>
      <w:r>
        <w:rPr>
          <w:rFonts w:hint="eastAsia" w:ascii="仿宋" w:hAnsi="仿宋" w:eastAsia="仿宋"/>
          <w:sz w:val="21"/>
          <w:szCs w:val="21"/>
          <w:lang w:val="en-US" w:eastAsia="zh-CN"/>
        </w:rPr>
        <w:t>参见朱慈蕴、皮正德：《公司资本制度的后端改革与偿债能力测试的借鉴》，载《法学研究》2021年第1期，第68页。</w:t>
      </w:r>
    </w:p>
  </w:footnote>
  <w:footnote w:id="29">
    <w:p w14:paraId="020EE06D">
      <w:pPr>
        <w:pStyle w:val="6"/>
        <w:snapToGrid w:val="0"/>
        <w:rPr>
          <w:rFonts w:hint="eastAsia" w:ascii="仿宋" w:hAnsi="仿宋" w:eastAsia="仿宋" w:cs="仿宋"/>
          <w:sz w:val="21"/>
          <w:szCs w:val="21"/>
          <w:lang w:val="en-US" w:eastAsia="zh-CN"/>
        </w:rPr>
      </w:pPr>
      <w:r>
        <w:rPr>
          <w:rStyle w:val="11"/>
          <w:rFonts w:hint="eastAsia" w:ascii="仿宋" w:hAnsi="仿宋" w:eastAsia="仿宋" w:cs="仿宋"/>
          <w:sz w:val="21"/>
          <w:szCs w:val="21"/>
        </w:rPr>
        <w:footnoteRef/>
      </w:r>
      <w:r>
        <w:rPr>
          <w:rFonts w:hint="eastAsia" w:ascii="仿宋" w:hAnsi="仿宋" w:eastAsia="仿宋" w:cs="仿宋"/>
          <w:sz w:val="21"/>
          <w:szCs w:val="21"/>
        </w:rPr>
        <w:t xml:space="preserve"> </w:t>
      </w:r>
      <w:r>
        <w:rPr>
          <w:rFonts w:hint="eastAsia" w:ascii="仿宋" w:hAnsi="仿宋" w:eastAsia="仿宋" w:cs="仿宋"/>
          <w:sz w:val="21"/>
          <w:szCs w:val="21"/>
          <w:lang w:val="en-US" w:eastAsia="zh-CN"/>
        </w:rPr>
        <w:t>相关的案例参见河北省石家庄市桥西区人民法院（2021）冀0104民再24号民事判决书、广东省深圳市中级人民法院（2019）粤03民初1703号民事判决书。</w:t>
      </w:r>
    </w:p>
  </w:footnote>
  <w:footnote w:id="30">
    <w:p w14:paraId="08087D4C">
      <w:pPr>
        <w:pStyle w:val="6"/>
        <w:snapToGrid w:val="0"/>
        <w:rPr>
          <w:rFonts w:hint="default" w:eastAsiaTheme="minorEastAsia"/>
          <w:lang w:val="en-US" w:eastAsia="zh-CN"/>
        </w:rPr>
      </w:pPr>
      <w:r>
        <w:rPr>
          <w:rStyle w:val="11"/>
          <w:rFonts w:hint="eastAsia" w:ascii="仿宋" w:hAnsi="仿宋" w:eastAsia="仿宋" w:cs="仿宋"/>
          <w:sz w:val="21"/>
          <w:szCs w:val="21"/>
        </w:rPr>
        <w:footnoteRef/>
      </w:r>
      <w:r>
        <w:rPr>
          <w:rFonts w:hint="eastAsia" w:ascii="仿宋" w:hAnsi="仿宋" w:eastAsia="仿宋" w:cs="仿宋"/>
          <w:sz w:val="21"/>
          <w:szCs w:val="21"/>
        </w:rPr>
        <w:t xml:space="preserve"> </w:t>
      </w:r>
      <w:r>
        <w:rPr>
          <w:rFonts w:hint="eastAsia" w:ascii="仿宋" w:hAnsi="仿宋" w:eastAsia="仿宋" w:cs="仿宋"/>
          <w:sz w:val="21"/>
          <w:szCs w:val="21"/>
          <w:lang w:val="en-US" w:eastAsia="zh-CN"/>
        </w:rPr>
        <w:t>参见最高人民法院（2019）最高法民申4849号民事裁定书。</w:t>
      </w:r>
    </w:p>
  </w:footnote>
  <w:footnote w:id="31">
    <w:p w14:paraId="2023F10B">
      <w:pPr>
        <w:pStyle w:val="6"/>
        <w:snapToGrid w:val="0"/>
        <w:rPr>
          <w:rFonts w:hint="default"/>
          <w:lang w:val="en-US"/>
        </w:rPr>
      </w:pPr>
      <w:r>
        <w:rPr>
          <w:rStyle w:val="11"/>
        </w:rPr>
        <w:footnoteRef/>
      </w:r>
      <w:r>
        <w:t xml:space="preserve"> </w:t>
      </w:r>
      <w:r>
        <w:rPr>
          <w:rFonts w:hint="default" w:ascii="Times New Roman Regular" w:hAnsi="Times New Roman Regular" w:eastAsia="仿宋" w:cs="Times New Roman Regular"/>
          <w:sz w:val="21"/>
          <w:szCs w:val="21"/>
          <w:lang w:val="en-US" w:eastAsia="zh-CN"/>
        </w:rPr>
        <w:t>See Oechsler, Die Anderung der Kapitalrichtilinie und der Rickerwerb eigener Aktien, ZHR, 2006, p. 87.</w:t>
      </w:r>
    </w:p>
  </w:footnote>
  <w:footnote w:id="32">
    <w:p w14:paraId="0A246CCA">
      <w:pPr>
        <w:pStyle w:val="6"/>
        <w:snapToGrid w:val="0"/>
      </w:pPr>
      <w:r>
        <w:rPr>
          <w:rStyle w:val="11"/>
        </w:rPr>
        <w:footnoteRef/>
      </w:r>
      <w:r>
        <w:t xml:space="preserve"> </w:t>
      </w:r>
      <w:r>
        <w:rPr>
          <w:rFonts w:hint="default" w:ascii="Times New Roman Regular" w:hAnsi="Times New Roman Regular" w:eastAsia="仿宋" w:cs="Times New Roman Regular"/>
          <w:sz w:val="21"/>
          <w:szCs w:val="21"/>
          <w:lang w:val="en-US" w:eastAsia="zh-CN"/>
        </w:rPr>
        <w:t>See Seibt, Gliubigerschutz bei Anderung der Kapitalstruktur durch Erhohung des Fremdkapitalanteils （Leveraged Recapitalization/Leveraged Buy Out）, ZHR, 2007, p. 300.</w:t>
      </w:r>
    </w:p>
  </w:footnote>
  <w:footnote w:id="33">
    <w:p w14:paraId="670552E4">
      <w:pPr>
        <w:pStyle w:val="6"/>
        <w:snapToGrid w:val="0"/>
        <w:rPr>
          <w:rFonts w:hint="eastAsia" w:ascii="仿宋" w:hAnsi="仿宋" w:eastAsia="仿宋" w:cs="仿宋"/>
          <w:sz w:val="21"/>
          <w:szCs w:val="21"/>
          <w:lang w:val="en-US" w:eastAsia="zh-CN"/>
        </w:rPr>
      </w:pPr>
      <w:r>
        <w:rPr>
          <w:rStyle w:val="11"/>
          <w:rFonts w:hint="eastAsia" w:ascii="仿宋" w:hAnsi="仿宋" w:eastAsia="仿宋" w:cs="仿宋"/>
          <w:sz w:val="21"/>
          <w:szCs w:val="21"/>
        </w:rPr>
        <w:footnoteRef/>
      </w:r>
      <w:r>
        <w:rPr>
          <w:rFonts w:hint="eastAsia" w:ascii="仿宋" w:hAnsi="仿宋" w:eastAsia="仿宋" w:cs="仿宋"/>
          <w:sz w:val="21"/>
          <w:szCs w:val="21"/>
        </w:rPr>
        <w:t xml:space="preserve"> </w:t>
      </w:r>
      <w:r>
        <w:rPr>
          <w:rFonts w:hint="eastAsia" w:ascii="仿宋" w:hAnsi="仿宋" w:eastAsia="仿宋" w:cs="仿宋"/>
          <w:sz w:val="21"/>
          <w:szCs w:val="21"/>
          <w:lang w:val="en-US" w:eastAsia="zh-CN"/>
        </w:rPr>
        <w:t>施天涛：《公司法论》，法律出版社2006年版，第162页。</w:t>
      </w:r>
    </w:p>
  </w:footnote>
  <w:footnote w:id="34">
    <w:p w14:paraId="57E3BBB1">
      <w:pPr>
        <w:pStyle w:val="6"/>
        <w:snapToGrid w:val="0"/>
        <w:rPr>
          <w:rFonts w:hint="eastAsia" w:ascii="仿宋" w:hAnsi="仿宋" w:eastAsia="仿宋" w:cs="仿宋"/>
          <w:sz w:val="21"/>
          <w:szCs w:val="21"/>
          <w:lang w:val="en-US" w:eastAsia="zh-CN"/>
        </w:rPr>
      </w:pPr>
      <w:r>
        <w:rPr>
          <w:rStyle w:val="11"/>
          <w:rFonts w:hint="eastAsia" w:ascii="仿宋" w:hAnsi="仿宋" w:eastAsia="仿宋" w:cs="仿宋"/>
          <w:sz w:val="21"/>
          <w:szCs w:val="21"/>
        </w:rPr>
        <w:footnoteRef/>
      </w:r>
      <w:r>
        <w:rPr>
          <w:rFonts w:hint="eastAsia" w:ascii="仿宋" w:hAnsi="仿宋" w:eastAsia="仿宋" w:cs="仿宋"/>
          <w:sz w:val="21"/>
          <w:szCs w:val="21"/>
        </w:rPr>
        <w:t xml:space="preserve"> </w:t>
      </w:r>
      <w:r>
        <w:rPr>
          <w:rFonts w:hint="eastAsia" w:ascii="仿宋" w:hAnsi="仿宋" w:eastAsia="仿宋" w:cs="仿宋"/>
          <w:sz w:val="21"/>
          <w:szCs w:val="21"/>
          <w:highlight w:val="none"/>
          <w:lang w:val="en-US" w:eastAsia="zh-CN"/>
        </w:rPr>
        <w:t>王军：《抽逃出资规则及公司分配制度的系统性改造》，载《法学研究》2021年第5期，第82页。</w:t>
      </w:r>
    </w:p>
  </w:footnote>
  <w:footnote w:id="35">
    <w:p w14:paraId="7B514DB7">
      <w:pPr>
        <w:pStyle w:val="6"/>
        <w:snapToGrid w:val="0"/>
        <w:rPr>
          <w:rFonts w:hint="eastAsia" w:ascii="仿宋" w:hAnsi="仿宋" w:eastAsia="仿宋" w:cs="仿宋"/>
          <w:sz w:val="21"/>
          <w:szCs w:val="21"/>
          <w:lang w:val="en-US" w:eastAsia="zh-CN"/>
        </w:rPr>
      </w:pPr>
      <w:r>
        <w:rPr>
          <w:rStyle w:val="11"/>
          <w:rFonts w:hint="eastAsia" w:ascii="仿宋" w:hAnsi="仿宋" w:eastAsia="仿宋" w:cs="仿宋"/>
          <w:sz w:val="21"/>
          <w:szCs w:val="21"/>
        </w:rPr>
        <w:footnoteRef/>
      </w:r>
      <w:r>
        <w:rPr>
          <w:rFonts w:hint="eastAsia" w:ascii="仿宋" w:hAnsi="仿宋" w:eastAsia="仿宋" w:cs="仿宋"/>
          <w:sz w:val="21"/>
          <w:szCs w:val="21"/>
        </w:rPr>
        <w:t xml:space="preserve"> </w:t>
      </w:r>
      <w:r>
        <w:rPr>
          <w:rFonts w:hint="eastAsia" w:ascii="仿宋" w:hAnsi="仿宋" w:eastAsia="仿宋" w:cs="仿宋"/>
          <w:sz w:val="21"/>
          <w:szCs w:val="21"/>
          <w:lang w:val="en-US" w:eastAsia="zh-CN"/>
        </w:rPr>
        <w:t>参见缪因知：《“与公司对赌”有效性的司法观念变迁与正当性检验》，载《人大法律评论》2023年第1期，第61页。</w:t>
      </w:r>
    </w:p>
  </w:footnote>
  <w:footnote w:id="36">
    <w:p w14:paraId="2CBD809C">
      <w:pPr>
        <w:pStyle w:val="6"/>
        <w:snapToGrid w:val="0"/>
        <w:rPr>
          <w:rFonts w:hint="eastAsia" w:ascii="仿宋" w:hAnsi="仿宋" w:eastAsia="仿宋" w:cs="仿宋"/>
          <w:sz w:val="21"/>
          <w:szCs w:val="21"/>
          <w:lang w:val="en-US" w:eastAsia="zh-CN"/>
        </w:rPr>
      </w:pPr>
      <w:r>
        <w:rPr>
          <w:rStyle w:val="11"/>
          <w:rFonts w:hint="eastAsia" w:ascii="仿宋" w:hAnsi="仿宋" w:eastAsia="仿宋" w:cs="仿宋"/>
          <w:sz w:val="21"/>
          <w:szCs w:val="21"/>
        </w:rPr>
        <w:footnoteRef/>
      </w:r>
      <w:r>
        <w:rPr>
          <w:rFonts w:hint="eastAsia" w:ascii="仿宋" w:hAnsi="仿宋" w:eastAsia="仿宋" w:cs="仿宋"/>
          <w:sz w:val="21"/>
          <w:szCs w:val="21"/>
        </w:rPr>
        <w:t xml:space="preserve"> </w:t>
      </w:r>
      <w:r>
        <w:rPr>
          <w:rFonts w:hint="eastAsia" w:ascii="仿宋" w:hAnsi="仿宋" w:eastAsia="仿宋" w:cs="仿宋"/>
          <w:sz w:val="21"/>
          <w:szCs w:val="21"/>
          <w:lang w:val="en-US" w:eastAsia="zh-CN"/>
        </w:rPr>
        <w:t>参见刘俊海：《基于公司理性自治的公司法规范重塑》，载《法学评论》2021年第5期，第9页；刘俊海：《新&lt;公司法&gt;的设计理念与框架建议》，载《法学杂志》2021年第2期，第5页。</w:t>
      </w:r>
    </w:p>
  </w:footnote>
  <w:footnote w:id="37">
    <w:p w14:paraId="1EB84E2D">
      <w:pPr>
        <w:pStyle w:val="6"/>
        <w:snapToGrid w:val="0"/>
        <w:rPr>
          <w:rFonts w:hint="eastAsia" w:ascii="仿宋" w:hAnsi="仿宋" w:eastAsia="仿宋" w:cs="仿宋"/>
          <w:sz w:val="21"/>
          <w:szCs w:val="21"/>
          <w:lang w:val="en-US" w:eastAsia="zh-CN"/>
        </w:rPr>
      </w:pPr>
      <w:r>
        <w:rPr>
          <w:rStyle w:val="11"/>
          <w:rFonts w:hint="eastAsia" w:ascii="仿宋" w:hAnsi="仿宋" w:eastAsia="仿宋" w:cs="仿宋"/>
          <w:sz w:val="21"/>
          <w:szCs w:val="21"/>
        </w:rPr>
        <w:footnoteRef/>
      </w:r>
      <w:r>
        <w:rPr>
          <w:rFonts w:hint="eastAsia" w:ascii="仿宋" w:hAnsi="仿宋" w:eastAsia="仿宋" w:cs="仿宋"/>
          <w:sz w:val="21"/>
          <w:szCs w:val="21"/>
        </w:rPr>
        <w:t xml:space="preserve"> </w:t>
      </w:r>
      <w:r>
        <w:rPr>
          <w:rFonts w:hint="eastAsia" w:ascii="仿宋" w:hAnsi="仿宋" w:eastAsia="仿宋" w:cs="仿宋"/>
          <w:sz w:val="21"/>
          <w:szCs w:val="21"/>
          <w:lang w:val="en-US" w:eastAsia="zh-CN"/>
        </w:rPr>
        <w:t>参见缪因知：《“与公司对赌”有效性的司法观念变迁与正当性检验》，载《人大法律评论》2023年第1期，第61-62页。</w:t>
      </w:r>
    </w:p>
  </w:footnote>
  <w:footnote w:id="38">
    <w:p w14:paraId="28B3A404">
      <w:pPr>
        <w:pStyle w:val="6"/>
        <w:snapToGrid w:val="0"/>
        <w:rPr>
          <w:rFonts w:hint="eastAsia" w:ascii="仿宋" w:hAnsi="仿宋" w:eastAsia="仿宋" w:cs="仿宋"/>
          <w:sz w:val="21"/>
          <w:szCs w:val="21"/>
        </w:rPr>
      </w:pPr>
      <w:r>
        <w:rPr>
          <w:rStyle w:val="11"/>
          <w:rFonts w:hint="eastAsia" w:ascii="仿宋" w:hAnsi="仿宋" w:eastAsia="仿宋" w:cs="仿宋"/>
          <w:sz w:val="21"/>
          <w:szCs w:val="21"/>
        </w:rPr>
        <w:footnoteRef/>
      </w:r>
      <w:r>
        <w:rPr>
          <w:rFonts w:hint="eastAsia" w:ascii="仿宋" w:hAnsi="仿宋" w:eastAsia="仿宋" w:cs="仿宋"/>
          <w:sz w:val="21"/>
          <w:szCs w:val="21"/>
        </w:rPr>
        <w:t xml:space="preserve"> </w:t>
      </w:r>
      <w:r>
        <w:rPr>
          <w:rFonts w:hint="eastAsia" w:ascii="仿宋" w:hAnsi="仿宋" w:eastAsia="仿宋" w:cs="仿宋"/>
          <w:sz w:val="21"/>
          <w:szCs w:val="21"/>
          <w:lang w:val="en-US" w:eastAsia="zh-CN"/>
        </w:rPr>
        <w:t>参见</w:t>
      </w:r>
      <w:r>
        <w:rPr>
          <w:rFonts w:hint="eastAsia" w:ascii="仿宋" w:hAnsi="仿宋" w:eastAsia="仿宋" w:cs="仿宋"/>
          <w:sz w:val="21"/>
          <w:szCs w:val="21"/>
          <w:highlight w:val="none"/>
          <w:lang w:val="en-US" w:eastAsia="zh-CN"/>
        </w:rPr>
        <w:t>王军：《抽逃出资规则及公司分配制度的系统性改造》，载《法学研究》2021年第5期，第81-97页。</w:t>
      </w:r>
    </w:p>
  </w:footnote>
  <w:footnote w:id="39">
    <w:p w14:paraId="2806F4C0">
      <w:pPr>
        <w:pStyle w:val="6"/>
        <w:snapToGrid w:val="0"/>
        <w:rPr>
          <w:rFonts w:hint="eastAsia" w:ascii="仿宋" w:hAnsi="仿宋" w:eastAsia="仿宋" w:cs="仿宋"/>
          <w:sz w:val="21"/>
          <w:szCs w:val="21"/>
          <w:lang w:val="en-US" w:eastAsia="zh-CN"/>
        </w:rPr>
      </w:pPr>
      <w:r>
        <w:rPr>
          <w:rStyle w:val="11"/>
          <w:rFonts w:hint="eastAsia" w:ascii="仿宋" w:hAnsi="仿宋" w:eastAsia="仿宋" w:cs="仿宋"/>
          <w:sz w:val="21"/>
          <w:szCs w:val="21"/>
        </w:rPr>
        <w:footnoteRef/>
      </w:r>
      <w:r>
        <w:rPr>
          <w:rFonts w:hint="eastAsia" w:ascii="仿宋" w:hAnsi="仿宋" w:eastAsia="仿宋" w:cs="仿宋"/>
          <w:sz w:val="21"/>
          <w:szCs w:val="21"/>
        </w:rPr>
        <w:t xml:space="preserve"> </w:t>
      </w:r>
      <w:r>
        <w:rPr>
          <w:rFonts w:hint="eastAsia" w:ascii="仿宋" w:hAnsi="仿宋" w:eastAsia="仿宋" w:cs="仿宋"/>
          <w:sz w:val="21"/>
          <w:szCs w:val="21"/>
          <w:lang w:eastAsia="zh-CN"/>
        </w:rPr>
        <w:t>《</w:t>
      </w:r>
      <w:r>
        <w:rPr>
          <w:rFonts w:hint="eastAsia" w:ascii="仿宋" w:hAnsi="仿宋" w:eastAsia="仿宋" w:cs="仿宋"/>
          <w:sz w:val="21"/>
          <w:szCs w:val="21"/>
          <w:lang w:val="en-US" w:eastAsia="zh-CN"/>
        </w:rPr>
        <w:t>合同编通则司法解释</w:t>
      </w:r>
      <w:r>
        <w:rPr>
          <w:rFonts w:hint="eastAsia" w:ascii="仿宋" w:hAnsi="仿宋" w:eastAsia="仿宋" w:cs="仿宋"/>
          <w:sz w:val="21"/>
          <w:szCs w:val="21"/>
          <w:lang w:eastAsia="zh-CN"/>
        </w:rPr>
        <w:t>》</w:t>
      </w:r>
      <w:r>
        <w:rPr>
          <w:rFonts w:hint="eastAsia" w:ascii="仿宋" w:hAnsi="仿宋" w:eastAsia="仿宋" w:cs="仿宋"/>
          <w:sz w:val="21"/>
          <w:szCs w:val="21"/>
          <w:lang w:val="en-US" w:eastAsia="zh-CN"/>
        </w:rPr>
        <w:t>第十五条第二款规定，法律、行政法规的强制性规定旨在规制合同订立后的履行行为，当事人以合同违反强制性规定为由请求认定合同无效的，人民法院不予支持。</w:t>
      </w:r>
    </w:p>
  </w:footnote>
  <w:footnote w:id="40">
    <w:p w14:paraId="10D9F482">
      <w:pPr>
        <w:pStyle w:val="6"/>
        <w:snapToGrid w:val="0"/>
        <w:rPr>
          <w:rFonts w:hint="eastAsia" w:ascii="仿宋" w:hAnsi="仿宋" w:eastAsia="仿宋" w:cs="仿宋"/>
          <w:sz w:val="21"/>
          <w:szCs w:val="21"/>
          <w:lang w:val="en-US" w:eastAsia="zh-CN"/>
        </w:rPr>
      </w:pPr>
      <w:r>
        <w:rPr>
          <w:rStyle w:val="11"/>
          <w:rFonts w:hint="eastAsia" w:ascii="仿宋" w:hAnsi="仿宋" w:eastAsia="仿宋" w:cs="仿宋"/>
          <w:sz w:val="21"/>
          <w:szCs w:val="21"/>
        </w:rPr>
        <w:footnoteRef/>
      </w:r>
      <w:r>
        <w:rPr>
          <w:rFonts w:hint="eastAsia" w:ascii="仿宋" w:hAnsi="仿宋" w:eastAsia="仿宋" w:cs="仿宋"/>
          <w:sz w:val="21"/>
          <w:szCs w:val="21"/>
        </w:rPr>
        <w:t xml:space="preserve"> </w:t>
      </w:r>
      <w:r>
        <w:rPr>
          <w:rFonts w:hint="eastAsia" w:ascii="仿宋" w:hAnsi="仿宋" w:eastAsia="仿宋" w:cs="仿宋"/>
          <w:sz w:val="21"/>
          <w:szCs w:val="21"/>
          <w:lang w:val="en-US" w:eastAsia="zh-CN"/>
        </w:rPr>
        <w:t>参见王萍：《公司抽逃出资法律问题研究——以德国法为主要参考系》，载《德国研究》2016年第4期，第92-94页。</w:t>
      </w:r>
    </w:p>
  </w:footnote>
  <w:footnote w:id="41">
    <w:p w14:paraId="1222077C">
      <w:pPr>
        <w:pStyle w:val="6"/>
        <w:snapToGrid w:val="0"/>
        <w:rPr>
          <w:rFonts w:hint="default" w:ascii="仿宋" w:hAnsi="仿宋" w:eastAsia="仿宋"/>
          <w:sz w:val="21"/>
          <w:szCs w:val="21"/>
          <w:lang w:val="en-US" w:eastAsia="zh-CN"/>
        </w:rPr>
      </w:pPr>
      <w:r>
        <w:rPr>
          <w:rStyle w:val="11"/>
        </w:rPr>
        <w:footnoteRef/>
      </w:r>
      <w:r>
        <w:t xml:space="preserve"> </w:t>
      </w:r>
      <w:r>
        <w:rPr>
          <w:rFonts w:hint="eastAsia" w:ascii="仿宋" w:hAnsi="仿宋" w:eastAsia="仿宋"/>
          <w:sz w:val="21"/>
          <w:szCs w:val="21"/>
          <w:highlight w:val="none"/>
          <w:lang w:val="en-US" w:eastAsia="zh-CN"/>
        </w:rPr>
        <w:t>参见刘俊海：《债权人友好型</w:t>
      </w:r>
      <w:r>
        <w:rPr>
          <w:rFonts w:hint="default" w:ascii="仿宋" w:hAnsi="仿宋" w:eastAsia="仿宋"/>
          <w:sz w:val="21"/>
          <w:szCs w:val="21"/>
          <w:highlight w:val="none"/>
          <w:lang w:val="en-US" w:eastAsia="zh-CN"/>
        </w:rPr>
        <w:t>&lt;</w:t>
      </w:r>
      <w:r>
        <w:rPr>
          <w:rFonts w:hint="eastAsia" w:ascii="仿宋" w:hAnsi="仿宋" w:eastAsia="仿宋"/>
          <w:sz w:val="21"/>
          <w:szCs w:val="21"/>
          <w:highlight w:val="none"/>
          <w:lang w:val="en-US" w:eastAsia="zh-CN"/>
        </w:rPr>
        <w:t>公司法</w:t>
      </w:r>
      <w:r>
        <w:rPr>
          <w:rFonts w:hint="default" w:ascii="仿宋" w:hAnsi="仿宋" w:eastAsia="仿宋"/>
          <w:sz w:val="21"/>
          <w:szCs w:val="21"/>
          <w:highlight w:val="none"/>
          <w:lang w:val="en-US" w:eastAsia="zh-CN"/>
        </w:rPr>
        <w:t>&gt;</w:t>
      </w:r>
      <w:r>
        <w:rPr>
          <w:rFonts w:hint="eastAsia" w:ascii="仿宋" w:hAnsi="仿宋" w:eastAsia="仿宋"/>
          <w:sz w:val="21"/>
          <w:szCs w:val="21"/>
          <w:highlight w:val="none"/>
          <w:lang w:val="en-US" w:eastAsia="zh-CN"/>
        </w:rPr>
        <w:t>理念和制度重塑》，载《国家检察官学院学报》2022年第3期，第141-144页。</w:t>
      </w:r>
    </w:p>
  </w:footnote>
  <w:footnote w:id="42">
    <w:p w14:paraId="6556F7EA">
      <w:pPr>
        <w:pStyle w:val="6"/>
        <w:snapToGrid w:val="0"/>
        <w:rPr>
          <w:rFonts w:hint="default" w:eastAsiaTheme="minorEastAsia"/>
          <w:lang w:val="en-US" w:eastAsia="zh-CN"/>
        </w:rPr>
      </w:pPr>
      <w:r>
        <w:rPr>
          <w:rStyle w:val="11"/>
        </w:rPr>
        <w:footnoteRef/>
      </w:r>
      <w:r>
        <w:t xml:space="preserve"> </w:t>
      </w:r>
      <w:r>
        <w:rPr>
          <w:rFonts w:hint="eastAsia" w:ascii="仿宋" w:hAnsi="仿宋" w:eastAsia="仿宋"/>
          <w:sz w:val="21"/>
          <w:szCs w:val="21"/>
          <w:lang w:val="en-US" w:eastAsia="zh-CN"/>
        </w:rPr>
        <w:t>参见刘燕：《公司财务的法律规制——路径探寻》，北京大学出版社2021年版，第411页。</w:t>
      </w:r>
    </w:p>
  </w:footnote>
  <w:footnote w:id="43">
    <w:p w14:paraId="10140D5A">
      <w:pPr>
        <w:pStyle w:val="6"/>
        <w:snapToGrid w:val="0"/>
        <w:rPr>
          <w:rFonts w:hint="default" w:eastAsiaTheme="minorEastAsia"/>
          <w:lang w:val="en-US" w:eastAsia="zh-CN"/>
        </w:rPr>
      </w:pPr>
      <w:r>
        <w:rPr>
          <w:rStyle w:val="11"/>
        </w:rPr>
        <w:footnoteRef/>
      </w:r>
      <w:r>
        <w:t xml:space="preserve"> </w:t>
      </w:r>
      <w:r>
        <w:rPr>
          <w:rFonts w:hint="eastAsia" w:ascii="仿宋" w:hAnsi="仿宋" w:eastAsia="仿宋"/>
          <w:sz w:val="21"/>
          <w:szCs w:val="21"/>
          <w:lang w:val="en-US" w:eastAsia="zh-CN"/>
        </w:rPr>
        <w:t>参见叶林、段威：《论有限责任公司的性质及立法趋向》，载《现代法学》2005年第1期，第58页。</w:t>
      </w:r>
    </w:p>
  </w:footnote>
  <w:footnote w:id="44">
    <w:p w14:paraId="1DB30390">
      <w:pPr>
        <w:pStyle w:val="6"/>
        <w:snapToGrid w:val="0"/>
        <w:rPr>
          <w:rFonts w:hint="default" w:eastAsiaTheme="minorEastAsia"/>
          <w:lang w:val="en-US" w:eastAsia="zh-CN"/>
        </w:rPr>
      </w:pPr>
      <w:r>
        <w:rPr>
          <w:rStyle w:val="11"/>
          <w:rFonts w:hint="eastAsia" w:ascii="仿宋" w:hAnsi="仿宋" w:eastAsia="仿宋" w:cs="仿宋"/>
          <w:sz w:val="21"/>
          <w:szCs w:val="21"/>
        </w:rPr>
        <w:footnoteRef/>
      </w:r>
      <w:r>
        <w:rPr>
          <w:rFonts w:hint="eastAsia" w:ascii="仿宋" w:hAnsi="仿宋" w:eastAsia="仿宋" w:cs="仿宋"/>
          <w:sz w:val="21"/>
          <w:szCs w:val="21"/>
        </w:rPr>
        <w:t xml:space="preserve"> </w:t>
      </w:r>
      <w:r>
        <w:rPr>
          <w:rFonts w:hint="eastAsia" w:ascii="仿宋" w:hAnsi="仿宋" w:eastAsia="仿宋" w:cs="仿宋"/>
          <w:sz w:val="21"/>
          <w:szCs w:val="21"/>
          <w:lang w:val="en-US" w:eastAsia="zh-CN"/>
        </w:rPr>
        <w:t>参见杨峰：《商法思维的逻辑结构与司法适用》，载《中国法学》2020年第6期，第162-163页。</w:t>
      </w:r>
    </w:p>
  </w:footnote>
  <w:footnote w:id="45">
    <w:p w14:paraId="4BA09063">
      <w:pPr>
        <w:pStyle w:val="6"/>
        <w:snapToGrid w:val="0"/>
        <w:rPr>
          <w:rFonts w:hint="eastAsia" w:ascii="仿宋" w:hAnsi="仿宋" w:eastAsia="仿宋" w:cs="仿宋"/>
          <w:sz w:val="21"/>
          <w:szCs w:val="21"/>
          <w:lang w:val="en-US" w:eastAsia="zh-CN"/>
        </w:rPr>
      </w:pPr>
      <w:r>
        <w:rPr>
          <w:rStyle w:val="11"/>
          <w:rFonts w:hint="eastAsia" w:ascii="仿宋" w:hAnsi="仿宋" w:eastAsia="仿宋" w:cs="仿宋"/>
          <w:sz w:val="21"/>
          <w:szCs w:val="21"/>
        </w:rPr>
        <w:footnoteRef/>
      </w:r>
      <w:r>
        <w:rPr>
          <w:rFonts w:hint="eastAsia" w:ascii="仿宋" w:hAnsi="仿宋" w:eastAsia="仿宋" w:cs="仿宋"/>
          <w:sz w:val="21"/>
          <w:szCs w:val="21"/>
        </w:rPr>
        <w:t xml:space="preserve"> </w:t>
      </w:r>
      <w:r>
        <w:rPr>
          <w:rFonts w:hint="eastAsia" w:ascii="仿宋" w:hAnsi="仿宋" w:eastAsia="仿宋" w:cs="仿宋"/>
          <w:sz w:val="21"/>
          <w:szCs w:val="21"/>
          <w:lang w:val="en-US" w:eastAsia="zh-CN"/>
        </w:rPr>
        <w:t>参见蒋大兴、金剑锋：《论公司法的私法品格——检视司法的立场》，载《南京大学学报（哲学.人文科学.社会科学版）》2005年第1期，第41-45页。</w:t>
      </w:r>
    </w:p>
  </w:footnote>
  <w:footnote w:id="46">
    <w:p w14:paraId="01C12E84">
      <w:pPr>
        <w:pStyle w:val="6"/>
        <w:snapToGrid w:val="0"/>
        <w:rPr>
          <w:rFonts w:hint="eastAsia" w:ascii="仿宋" w:hAnsi="仿宋" w:eastAsia="仿宋" w:cs="仿宋"/>
          <w:sz w:val="21"/>
          <w:szCs w:val="21"/>
          <w:lang w:val="en-US" w:eastAsia="zh-CN"/>
        </w:rPr>
      </w:pPr>
      <w:r>
        <w:rPr>
          <w:rStyle w:val="11"/>
          <w:rFonts w:hint="eastAsia" w:ascii="仿宋" w:hAnsi="仿宋" w:eastAsia="仿宋" w:cs="仿宋"/>
          <w:sz w:val="21"/>
          <w:szCs w:val="21"/>
        </w:rPr>
        <w:footnoteRef/>
      </w:r>
      <w:r>
        <w:rPr>
          <w:rFonts w:hint="eastAsia" w:ascii="仿宋" w:hAnsi="仿宋" w:eastAsia="仿宋" w:cs="仿宋"/>
          <w:sz w:val="21"/>
          <w:szCs w:val="21"/>
        </w:rPr>
        <w:t xml:space="preserve"> </w:t>
      </w:r>
      <w:r>
        <w:rPr>
          <w:rFonts w:hint="eastAsia" w:ascii="仿宋" w:hAnsi="仿宋" w:eastAsia="仿宋" w:cs="仿宋"/>
          <w:sz w:val="21"/>
          <w:szCs w:val="21"/>
          <w:lang w:val="en-US" w:eastAsia="zh-CN"/>
        </w:rPr>
        <w:t>王毓莹：《公司法规范变革的六大重要视角》，载《中国法律评论》2020年第3期，第136页。</w:t>
      </w:r>
    </w:p>
  </w:footnote>
  <w:footnote w:id="47">
    <w:p w14:paraId="1EEC6C19">
      <w:pPr>
        <w:pStyle w:val="6"/>
        <w:snapToGrid w:val="0"/>
        <w:rPr>
          <w:rFonts w:hint="eastAsia" w:ascii="仿宋" w:hAnsi="仿宋" w:eastAsia="仿宋" w:cs="仿宋"/>
          <w:sz w:val="21"/>
          <w:szCs w:val="21"/>
          <w:lang w:val="en-US" w:eastAsia="zh-CN"/>
        </w:rPr>
      </w:pPr>
      <w:r>
        <w:rPr>
          <w:rStyle w:val="11"/>
          <w:rFonts w:hint="eastAsia" w:ascii="仿宋" w:hAnsi="仿宋" w:eastAsia="仿宋" w:cs="仿宋"/>
          <w:sz w:val="21"/>
          <w:szCs w:val="21"/>
        </w:rPr>
        <w:footnoteRef/>
      </w:r>
      <w:r>
        <w:rPr>
          <w:rFonts w:hint="eastAsia" w:ascii="仿宋" w:hAnsi="仿宋" w:eastAsia="仿宋" w:cs="仿宋"/>
          <w:sz w:val="21"/>
          <w:szCs w:val="21"/>
        </w:rPr>
        <w:t xml:space="preserve"> </w:t>
      </w:r>
      <w:r>
        <w:rPr>
          <w:rFonts w:hint="eastAsia" w:ascii="仿宋" w:hAnsi="仿宋" w:eastAsia="仿宋" w:cs="仿宋"/>
          <w:sz w:val="21"/>
          <w:szCs w:val="21"/>
          <w:lang w:val="en-US" w:eastAsia="zh-CN"/>
        </w:rPr>
        <w:t>参见夏小雄：《公司法现代化：制度改革、体系再造与精神重塑》，载《北方法学》2019年第4期，第96页。</w:t>
      </w:r>
    </w:p>
  </w:footnote>
  <w:footnote w:id="48">
    <w:p w14:paraId="6A67A686">
      <w:pPr>
        <w:pStyle w:val="6"/>
        <w:snapToGrid w:val="0"/>
        <w:rPr>
          <w:rFonts w:hint="eastAsia" w:ascii="仿宋" w:hAnsi="仿宋" w:eastAsia="仿宋" w:cs="仿宋"/>
          <w:sz w:val="21"/>
          <w:szCs w:val="21"/>
          <w:lang w:val="en-US" w:eastAsia="zh-CN"/>
        </w:rPr>
      </w:pPr>
      <w:r>
        <w:rPr>
          <w:rStyle w:val="11"/>
          <w:rFonts w:hint="eastAsia" w:ascii="仿宋" w:hAnsi="仿宋" w:eastAsia="仿宋" w:cs="仿宋"/>
          <w:sz w:val="21"/>
          <w:szCs w:val="21"/>
        </w:rPr>
        <w:footnoteRef/>
      </w:r>
      <w:r>
        <w:rPr>
          <w:rFonts w:hint="eastAsia" w:ascii="仿宋" w:hAnsi="仿宋" w:eastAsia="仿宋" w:cs="仿宋"/>
          <w:sz w:val="21"/>
          <w:szCs w:val="21"/>
        </w:rPr>
        <w:t xml:space="preserve"> </w:t>
      </w:r>
      <w:r>
        <w:rPr>
          <w:rFonts w:hint="eastAsia" w:ascii="仿宋" w:hAnsi="仿宋" w:eastAsia="仿宋" w:cs="仿宋"/>
          <w:sz w:val="21"/>
          <w:szCs w:val="21"/>
          <w:lang w:val="en-US" w:eastAsia="zh-CN"/>
        </w:rPr>
        <w:t>参见赵万一、赵吟：《中国自治型公司法的理论证成及制度实现》，载《中国社会科学》2015年第12期，第166-167页。</w:t>
      </w:r>
    </w:p>
  </w:footnote>
  <w:footnote w:id="49">
    <w:p w14:paraId="15B38534">
      <w:pPr>
        <w:pStyle w:val="6"/>
        <w:snapToGrid w:val="0"/>
        <w:rPr>
          <w:rFonts w:hint="eastAsia" w:ascii="仿宋" w:hAnsi="仿宋" w:eastAsia="仿宋" w:cs="仿宋"/>
          <w:sz w:val="21"/>
          <w:szCs w:val="21"/>
          <w:lang w:val="en-US" w:eastAsia="zh-CN"/>
        </w:rPr>
      </w:pPr>
      <w:r>
        <w:rPr>
          <w:rStyle w:val="11"/>
          <w:rFonts w:hint="eastAsia" w:ascii="仿宋" w:hAnsi="仿宋" w:eastAsia="仿宋" w:cs="仿宋"/>
          <w:sz w:val="21"/>
          <w:szCs w:val="21"/>
        </w:rPr>
        <w:footnoteRef/>
      </w:r>
      <w:r>
        <w:rPr>
          <w:rFonts w:hint="eastAsia" w:ascii="仿宋" w:hAnsi="仿宋" w:eastAsia="仿宋" w:cs="仿宋"/>
          <w:sz w:val="21"/>
          <w:szCs w:val="21"/>
        </w:rPr>
        <w:t xml:space="preserve"> </w:t>
      </w:r>
      <w:r>
        <w:rPr>
          <w:rFonts w:hint="eastAsia" w:ascii="仿宋" w:hAnsi="仿宋" w:eastAsia="仿宋" w:cs="仿宋"/>
          <w:sz w:val="21"/>
          <w:szCs w:val="21"/>
          <w:lang w:val="en-US" w:eastAsia="zh-CN"/>
        </w:rPr>
        <w:t>参见赵旭东：《从资本信用到资产信用》，载《法学研究》2003年第5期，第109页。</w:t>
      </w:r>
    </w:p>
  </w:footnote>
  <w:footnote w:id="50">
    <w:p w14:paraId="74DF4C50">
      <w:pPr>
        <w:pStyle w:val="6"/>
        <w:snapToGrid w:val="0"/>
        <w:rPr>
          <w:rFonts w:hint="default" w:eastAsiaTheme="minorEastAsia"/>
          <w:lang w:val="en-US" w:eastAsia="zh-CN"/>
        </w:rPr>
      </w:pPr>
      <w:r>
        <w:rPr>
          <w:rStyle w:val="11"/>
        </w:rPr>
        <w:footnoteRef/>
      </w:r>
      <w:r>
        <w:t xml:space="preserve"> </w:t>
      </w:r>
      <w:r>
        <w:rPr>
          <w:rFonts w:hint="eastAsia" w:ascii="仿宋" w:hAnsi="仿宋" w:eastAsia="仿宋"/>
          <w:sz w:val="21"/>
          <w:szCs w:val="21"/>
          <w:lang w:val="en-US" w:eastAsia="zh-CN"/>
        </w:rPr>
        <w:t>参见沈朝晖：《重塑法定资本制——从完全认缴到限期认缴的动态系统调适》，载《中国法律评论》2024年第2期，第51-67页。</w:t>
      </w:r>
    </w:p>
  </w:footnote>
  <w:footnote w:id="51">
    <w:p w14:paraId="5B54BB74">
      <w:pPr>
        <w:pStyle w:val="6"/>
        <w:snapToGrid w:val="0"/>
      </w:pPr>
      <w:r>
        <w:rPr>
          <w:rStyle w:val="11"/>
        </w:rPr>
        <w:footnoteRef/>
      </w:r>
      <w:r>
        <w:t xml:space="preserve"> </w:t>
      </w:r>
      <w:r>
        <w:rPr>
          <w:rFonts w:hint="eastAsia" w:ascii="仿宋" w:hAnsi="仿宋" w:eastAsia="仿宋"/>
          <w:sz w:val="21"/>
          <w:szCs w:val="21"/>
          <w:highlight w:val="none"/>
          <w:lang w:val="en-US" w:eastAsia="zh-CN"/>
        </w:rPr>
        <w:t>参见冯果：《慎重对待“资本维持原则”的存废》，载《中国法律评论》2020年第3期，第156-157页</w:t>
      </w:r>
      <w:r>
        <w:rPr>
          <w:rFonts w:hint="eastAsia" w:ascii="仿宋" w:hAnsi="仿宋" w:eastAsia="仿宋"/>
          <w:sz w:val="21"/>
          <w:szCs w:val="21"/>
          <w:lang w:val="en-US" w:eastAsia="zh-CN"/>
        </w:rPr>
        <w:t>；甘培忠著、周淳、周游续著：《企业与公司法学》（第10版），北京大学出版社2021年版，第198页。</w:t>
      </w:r>
    </w:p>
  </w:footnote>
  <w:footnote w:id="52">
    <w:p w14:paraId="1C952A1A">
      <w:pPr>
        <w:pStyle w:val="6"/>
        <w:snapToGrid w:val="0"/>
        <w:rPr>
          <w:rFonts w:hint="default" w:ascii="仿宋" w:hAnsi="仿宋" w:eastAsia="仿宋"/>
          <w:sz w:val="21"/>
          <w:szCs w:val="21"/>
          <w:lang w:val="en-US" w:eastAsia="zh-CN"/>
        </w:rPr>
      </w:pPr>
      <w:r>
        <w:rPr>
          <w:rStyle w:val="11"/>
        </w:rPr>
        <w:footnoteRef/>
      </w:r>
      <w:r>
        <w:t xml:space="preserve"> </w:t>
      </w:r>
      <w:r>
        <w:rPr>
          <w:rFonts w:hint="eastAsia" w:ascii="仿宋" w:hAnsi="仿宋" w:eastAsia="仿宋"/>
          <w:sz w:val="21"/>
          <w:szCs w:val="21"/>
          <w:highlight w:val="none"/>
          <w:lang w:val="en-US" w:eastAsia="zh-CN"/>
        </w:rPr>
        <w:t>参见陈甦：《资本信用与资产信用的学说分析及规范分野》，载《环球法律评论》2015年第1期，第49-54页。</w:t>
      </w:r>
    </w:p>
  </w:footnote>
  <w:footnote w:id="53">
    <w:p w14:paraId="5ECC3C04">
      <w:pPr>
        <w:pStyle w:val="6"/>
        <w:snapToGrid w:val="0"/>
        <w:rPr>
          <w:rFonts w:hint="eastAsia" w:ascii="仿宋" w:hAnsi="仿宋" w:eastAsia="仿宋" w:cs="仿宋"/>
          <w:sz w:val="21"/>
          <w:szCs w:val="21"/>
          <w:lang w:val="en-US" w:eastAsia="zh-CN"/>
        </w:rPr>
      </w:pPr>
      <w:r>
        <w:rPr>
          <w:rStyle w:val="11"/>
          <w:rFonts w:hint="eastAsia" w:ascii="仿宋" w:hAnsi="仿宋" w:eastAsia="仿宋" w:cs="仿宋"/>
          <w:sz w:val="21"/>
          <w:szCs w:val="21"/>
        </w:rPr>
        <w:footnoteRef/>
      </w:r>
      <w:r>
        <w:rPr>
          <w:rFonts w:hint="eastAsia" w:ascii="仿宋" w:hAnsi="仿宋" w:eastAsia="仿宋" w:cs="仿宋"/>
          <w:sz w:val="21"/>
          <w:szCs w:val="21"/>
        </w:rPr>
        <w:t xml:space="preserve"> </w:t>
      </w:r>
      <w:r>
        <w:rPr>
          <w:rFonts w:hint="eastAsia" w:ascii="仿宋" w:hAnsi="仿宋" w:eastAsia="仿宋" w:cs="仿宋"/>
          <w:sz w:val="21"/>
          <w:szCs w:val="21"/>
          <w:lang w:val="en-US" w:eastAsia="zh-CN"/>
        </w:rPr>
        <w:t>参见胡学军：《我国民事证明责任分配理论重述》，载《法学》2016年第5期，第38页。</w:t>
      </w:r>
    </w:p>
  </w:footnote>
  <w:footnote w:id="54">
    <w:p w14:paraId="66102BDD">
      <w:pPr>
        <w:pStyle w:val="6"/>
        <w:snapToGrid w:val="0"/>
        <w:rPr>
          <w:rFonts w:hint="eastAsia" w:ascii="仿宋" w:hAnsi="仿宋" w:eastAsia="仿宋" w:cs="仿宋"/>
          <w:sz w:val="21"/>
          <w:szCs w:val="21"/>
          <w:lang w:val="en-US" w:eastAsia="zh-CN"/>
        </w:rPr>
      </w:pPr>
      <w:r>
        <w:rPr>
          <w:rStyle w:val="11"/>
          <w:rFonts w:hint="eastAsia" w:ascii="仿宋" w:hAnsi="仿宋" w:eastAsia="仿宋" w:cs="仿宋"/>
          <w:sz w:val="21"/>
          <w:szCs w:val="21"/>
        </w:rPr>
        <w:footnoteRef/>
      </w:r>
      <w:r>
        <w:rPr>
          <w:rFonts w:hint="eastAsia" w:ascii="仿宋" w:hAnsi="仿宋" w:eastAsia="仿宋" w:cs="仿宋"/>
          <w:sz w:val="21"/>
          <w:szCs w:val="21"/>
        </w:rPr>
        <w:t xml:space="preserve"> </w:t>
      </w:r>
      <w:r>
        <w:rPr>
          <w:rFonts w:hint="eastAsia" w:ascii="仿宋" w:hAnsi="仿宋" w:eastAsia="仿宋" w:cs="仿宋"/>
          <w:sz w:val="21"/>
          <w:szCs w:val="21"/>
          <w:lang w:val="en-US" w:eastAsia="zh-CN"/>
        </w:rPr>
        <w:t>参见</w:t>
      </w:r>
      <w:r>
        <w:rPr>
          <w:rFonts w:hint="eastAsia" w:ascii="仿宋" w:hAnsi="仿宋" w:eastAsia="仿宋" w:cs="仿宋"/>
          <w:sz w:val="21"/>
          <w:szCs w:val="21"/>
        </w:rPr>
        <w:t>沈德咏主编：《最高人民法院民事诉讼法司法解释理解与适用（上）》，人民法院出版社</w:t>
      </w:r>
      <w:r>
        <w:rPr>
          <w:rFonts w:hint="eastAsia" w:ascii="仿宋" w:hAnsi="仿宋" w:eastAsia="仿宋" w:cs="仿宋"/>
          <w:sz w:val="21"/>
          <w:szCs w:val="21"/>
          <w:lang w:val="en-US" w:eastAsia="zh-CN"/>
        </w:rPr>
        <w:t>2015</w:t>
      </w:r>
      <w:r>
        <w:rPr>
          <w:rFonts w:hint="eastAsia" w:ascii="仿宋" w:hAnsi="仿宋" w:eastAsia="仿宋" w:cs="仿宋"/>
          <w:sz w:val="21"/>
          <w:szCs w:val="21"/>
        </w:rPr>
        <w:t>年版，第</w:t>
      </w:r>
      <w:r>
        <w:rPr>
          <w:rFonts w:hint="eastAsia" w:ascii="仿宋" w:hAnsi="仿宋" w:eastAsia="仿宋" w:cs="仿宋"/>
          <w:sz w:val="21"/>
          <w:szCs w:val="21"/>
          <w:lang w:val="en-US" w:eastAsia="zh-CN"/>
        </w:rPr>
        <w:t>316</w:t>
      </w:r>
      <w:r>
        <w:rPr>
          <w:rFonts w:hint="eastAsia" w:ascii="仿宋" w:hAnsi="仿宋" w:eastAsia="仿宋" w:cs="仿宋"/>
          <w:sz w:val="21"/>
          <w:szCs w:val="21"/>
        </w:rPr>
        <w:t>页</w:t>
      </w:r>
      <w:r>
        <w:rPr>
          <w:rFonts w:hint="eastAsia" w:ascii="仿宋" w:hAnsi="仿宋" w:eastAsia="仿宋" w:cs="仿宋"/>
          <w:sz w:val="21"/>
          <w:szCs w:val="21"/>
          <w:lang w:eastAsia="zh-CN"/>
        </w:rPr>
        <w:t>。</w:t>
      </w:r>
    </w:p>
  </w:footnote>
  <w:footnote w:id="55">
    <w:p w14:paraId="654B15F1">
      <w:pPr>
        <w:pStyle w:val="6"/>
        <w:snapToGrid w:val="0"/>
        <w:rPr>
          <w:rFonts w:hint="default" w:eastAsiaTheme="minorEastAsia"/>
          <w:lang w:val="en-US" w:eastAsia="zh-CN"/>
        </w:rPr>
      </w:pPr>
      <w:r>
        <w:rPr>
          <w:rStyle w:val="11"/>
          <w:rFonts w:hint="eastAsia" w:ascii="仿宋" w:hAnsi="仿宋" w:eastAsia="仿宋" w:cs="仿宋"/>
          <w:sz w:val="21"/>
          <w:szCs w:val="21"/>
        </w:rPr>
        <w:footnoteRef/>
      </w:r>
      <w:r>
        <w:rPr>
          <w:rFonts w:hint="eastAsia" w:ascii="仿宋" w:hAnsi="仿宋" w:eastAsia="仿宋" w:cs="仿宋"/>
          <w:sz w:val="21"/>
          <w:szCs w:val="21"/>
        </w:rPr>
        <w:t xml:space="preserve"> </w:t>
      </w:r>
      <w:r>
        <w:rPr>
          <w:rFonts w:hint="eastAsia" w:ascii="仿宋" w:hAnsi="仿宋" w:eastAsia="仿宋" w:cs="仿宋"/>
          <w:sz w:val="21"/>
          <w:szCs w:val="21"/>
          <w:lang w:val="en-US" w:eastAsia="zh-CN"/>
        </w:rPr>
        <w:t>参见袁中华：《证明责任分配的一般原则及其适用——&lt;民事诉讼法&gt;司法解释第91条之述评》，载《法律适用》2015年第8期，第48页。</w:t>
      </w:r>
    </w:p>
  </w:footnote>
  <w:footnote w:id="56">
    <w:p w14:paraId="3560C295">
      <w:pPr>
        <w:pStyle w:val="6"/>
        <w:snapToGrid w:val="0"/>
        <w:rPr>
          <w:rFonts w:hint="default" w:eastAsiaTheme="minorEastAsia"/>
          <w:lang w:val="en-US" w:eastAsia="zh-CN"/>
        </w:rPr>
      </w:pPr>
      <w:r>
        <w:rPr>
          <w:rStyle w:val="11"/>
          <w:rFonts w:hint="eastAsia" w:ascii="仿宋" w:hAnsi="仿宋" w:eastAsia="仿宋" w:cs="仿宋"/>
          <w:sz w:val="21"/>
          <w:szCs w:val="21"/>
        </w:rPr>
        <w:footnoteRef/>
      </w:r>
      <w:r>
        <w:rPr>
          <w:rFonts w:hint="eastAsia" w:ascii="仿宋" w:hAnsi="仿宋" w:eastAsia="仿宋" w:cs="仿宋"/>
          <w:sz w:val="21"/>
          <w:szCs w:val="21"/>
        </w:rPr>
        <w:t xml:space="preserve"> </w:t>
      </w:r>
      <w:r>
        <w:rPr>
          <w:rFonts w:hint="eastAsia" w:ascii="仿宋" w:hAnsi="仿宋" w:eastAsia="仿宋" w:cs="仿宋"/>
          <w:sz w:val="21"/>
          <w:szCs w:val="21"/>
          <w:lang w:val="en-US" w:eastAsia="zh-CN"/>
        </w:rPr>
        <w:t>参见范世乾：《信义义务的概念》，载《湖北大学学报（哲学社会科学版）》2012年第1期，第65-66页。</w:t>
      </w:r>
    </w:p>
  </w:footnote>
  <w:footnote w:id="57">
    <w:p w14:paraId="25E71116">
      <w:pPr>
        <w:pStyle w:val="6"/>
        <w:snapToGrid w:val="0"/>
        <w:rPr>
          <w:rFonts w:hint="eastAsia" w:ascii="仿宋" w:hAnsi="仿宋" w:eastAsia="仿宋" w:cs="仿宋"/>
          <w:sz w:val="21"/>
          <w:szCs w:val="21"/>
          <w:lang w:val="en-US" w:eastAsia="zh-CN"/>
        </w:rPr>
      </w:pPr>
      <w:r>
        <w:rPr>
          <w:rStyle w:val="11"/>
          <w:rFonts w:hint="eastAsia" w:ascii="仿宋" w:hAnsi="仿宋" w:eastAsia="仿宋" w:cs="仿宋"/>
          <w:sz w:val="21"/>
          <w:szCs w:val="21"/>
        </w:rPr>
        <w:footnoteRef/>
      </w:r>
      <w:r>
        <w:rPr>
          <w:rFonts w:hint="eastAsia" w:ascii="仿宋" w:hAnsi="仿宋" w:eastAsia="仿宋" w:cs="仿宋"/>
          <w:sz w:val="21"/>
          <w:szCs w:val="21"/>
        </w:rPr>
        <w:t xml:space="preserve"> </w:t>
      </w:r>
      <w:r>
        <w:rPr>
          <w:rFonts w:hint="eastAsia" w:ascii="仿宋" w:hAnsi="仿宋" w:eastAsia="仿宋" w:cs="仿宋"/>
          <w:sz w:val="21"/>
          <w:szCs w:val="21"/>
          <w:lang w:val="en-US" w:eastAsia="zh-CN"/>
        </w:rPr>
        <w:t>参见</w:t>
      </w:r>
      <w:r>
        <w:rPr>
          <w:rFonts w:hint="eastAsia" w:ascii="仿宋" w:hAnsi="仿宋" w:eastAsia="仿宋" w:cs="仿宋"/>
          <w:sz w:val="21"/>
          <w:szCs w:val="21"/>
        </w:rPr>
        <w:t>叶林</w:t>
      </w:r>
      <w:r>
        <w:rPr>
          <w:rFonts w:hint="eastAsia" w:ascii="仿宋" w:hAnsi="仿宋" w:eastAsia="仿宋" w:cs="仿宋"/>
          <w:sz w:val="21"/>
          <w:szCs w:val="21"/>
          <w:lang w:eastAsia="zh-CN"/>
        </w:rPr>
        <w:t>、</w:t>
      </w:r>
      <w:r>
        <w:rPr>
          <w:rFonts w:hint="eastAsia" w:ascii="仿宋" w:hAnsi="仿宋" w:eastAsia="仿宋" w:cs="仿宋"/>
          <w:sz w:val="21"/>
          <w:szCs w:val="21"/>
        </w:rPr>
        <w:t>龚文瑾</w:t>
      </w:r>
      <w:r>
        <w:rPr>
          <w:rFonts w:hint="eastAsia" w:ascii="仿宋" w:hAnsi="仿宋" w:eastAsia="仿宋" w:cs="仿宋"/>
          <w:sz w:val="21"/>
          <w:szCs w:val="21"/>
          <w:lang w:eastAsia="zh-CN"/>
        </w:rPr>
        <w:t>：《股东抽逃出资公司法禁令的检视——兼论</w:t>
      </w:r>
      <w:r>
        <w:rPr>
          <w:rFonts w:hint="eastAsia" w:ascii="仿宋" w:hAnsi="仿宋" w:eastAsia="仿宋" w:cs="仿宋"/>
          <w:sz w:val="21"/>
          <w:szCs w:val="21"/>
          <w:lang w:val="en-US" w:eastAsia="zh-CN"/>
        </w:rPr>
        <w:t>&lt;</w:t>
      </w:r>
      <w:r>
        <w:rPr>
          <w:rFonts w:hint="eastAsia" w:ascii="仿宋" w:hAnsi="仿宋" w:eastAsia="仿宋" w:cs="仿宋"/>
          <w:sz w:val="21"/>
          <w:szCs w:val="21"/>
          <w:lang w:eastAsia="zh-CN"/>
        </w:rPr>
        <w:t>公司法司法解释三</w:t>
      </w:r>
      <w:r>
        <w:rPr>
          <w:rFonts w:hint="eastAsia" w:ascii="仿宋" w:hAnsi="仿宋" w:eastAsia="仿宋" w:cs="仿宋"/>
          <w:sz w:val="21"/>
          <w:szCs w:val="21"/>
          <w:lang w:val="en-US" w:eastAsia="zh-CN"/>
        </w:rPr>
        <w:t>&gt;</w:t>
      </w:r>
      <w:r>
        <w:rPr>
          <w:rFonts w:hint="eastAsia" w:ascii="仿宋" w:hAnsi="仿宋" w:eastAsia="仿宋" w:cs="仿宋"/>
          <w:sz w:val="21"/>
          <w:szCs w:val="21"/>
          <w:lang w:eastAsia="zh-CN"/>
        </w:rPr>
        <w:t>》，</w:t>
      </w:r>
      <w:r>
        <w:rPr>
          <w:rFonts w:hint="eastAsia" w:ascii="仿宋" w:hAnsi="仿宋" w:eastAsia="仿宋" w:cs="仿宋"/>
          <w:sz w:val="21"/>
          <w:szCs w:val="21"/>
          <w:lang w:val="en-US" w:eastAsia="zh-CN"/>
        </w:rPr>
        <w:t>载《河南社会科学》2024年第5期，第33页。</w:t>
      </w:r>
    </w:p>
  </w:footnote>
  <w:footnote w:id="58">
    <w:p w14:paraId="616193C9">
      <w:pPr>
        <w:pStyle w:val="6"/>
        <w:snapToGrid w:val="0"/>
        <w:rPr>
          <w:rFonts w:hint="eastAsia" w:ascii="仿宋" w:hAnsi="仿宋" w:eastAsia="仿宋" w:cs="仿宋"/>
          <w:sz w:val="21"/>
          <w:szCs w:val="21"/>
          <w:lang w:val="en-US" w:eastAsia="zh-CN"/>
        </w:rPr>
      </w:pPr>
      <w:r>
        <w:rPr>
          <w:rStyle w:val="11"/>
          <w:rFonts w:hint="eastAsia" w:ascii="仿宋" w:hAnsi="仿宋" w:eastAsia="仿宋" w:cs="仿宋"/>
          <w:sz w:val="21"/>
          <w:szCs w:val="21"/>
        </w:rPr>
        <w:footnoteRef/>
      </w:r>
      <w:r>
        <w:rPr>
          <w:rFonts w:hint="eastAsia" w:ascii="仿宋" w:hAnsi="仿宋" w:eastAsia="仿宋" w:cs="仿宋"/>
          <w:sz w:val="21"/>
          <w:szCs w:val="21"/>
        </w:rPr>
        <w:t xml:space="preserve"> </w:t>
      </w:r>
      <w:r>
        <w:rPr>
          <w:rFonts w:hint="eastAsia" w:ascii="仿宋" w:hAnsi="仿宋" w:eastAsia="仿宋" w:cs="仿宋"/>
          <w:sz w:val="21"/>
          <w:szCs w:val="21"/>
          <w:lang w:val="en-US" w:eastAsia="zh-CN"/>
        </w:rPr>
        <w:t>参见</w:t>
      </w:r>
      <w:r>
        <w:rPr>
          <w:rFonts w:hint="eastAsia" w:ascii="仿宋" w:hAnsi="仿宋" w:eastAsia="仿宋" w:cs="仿宋"/>
          <w:sz w:val="21"/>
          <w:szCs w:val="21"/>
        </w:rPr>
        <w:t>叶林</w:t>
      </w:r>
      <w:r>
        <w:rPr>
          <w:rFonts w:hint="eastAsia" w:ascii="仿宋" w:hAnsi="仿宋" w:eastAsia="仿宋" w:cs="仿宋"/>
          <w:sz w:val="21"/>
          <w:szCs w:val="21"/>
          <w:lang w:eastAsia="zh-CN"/>
        </w:rPr>
        <w:t>、</w:t>
      </w:r>
      <w:r>
        <w:rPr>
          <w:rFonts w:hint="eastAsia" w:ascii="仿宋" w:hAnsi="仿宋" w:eastAsia="仿宋" w:cs="仿宋"/>
          <w:sz w:val="21"/>
          <w:szCs w:val="21"/>
        </w:rPr>
        <w:t>龚文瑾</w:t>
      </w:r>
      <w:r>
        <w:rPr>
          <w:rFonts w:hint="eastAsia" w:ascii="仿宋" w:hAnsi="仿宋" w:eastAsia="仿宋" w:cs="仿宋"/>
          <w:sz w:val="21"/>
          <w:szCs w:val="21"/>
          <w:lang w:eastAsia="zh-CN"/>
        </w:rPr>
        <w:t>：《股东抽逃出资公司法禁令的检视——兼论</w:t>
      </w:r>
      <w:r>
        <w:rPr>
          <w:rFonts w:hint="eastAsia" w:ascii="仿宋" w:hAnsi="仿宋" w:eastAsia="仿宋" w:cs="仿宋"/>
          <w:sz w:val="21"/>
          <w:szCs w:val="21"/>
          <w:lang w:val="en-US" w:eastAsia="zh-CN"/>
        </w:rPr>
        <w:t>&lt;</w:t>
      </w:r>
      <w:r>
        <w:rPr>
          <w:rFonts w:hint="eastAsia" w:ascii="仿宋" w:hAnsi="仿宋" w:eastAsia="仿宋" w:cs="仿宋"/>
          <w:sz w:val="21"/>
          <w:szCs w:val="21"/>
          <w:lang w:eastAsia="zh-CN"/>
        </w:rPr>
        <w:t>公司法司法解释三</w:t>
      </w:r>
      <w:r>
        <w:rPr>
          <w:rFonts w:hint="eastAsia" w:ascii="仿宋" w:hAnsi="仿宋" w:eastAsia="仿宋" w:cs="仿宋"/>
          <w:sz w:val="21"/>
          <w:szCs w:val="21"/>
          <w:lang w:val="en-US" w:eastAsia="zh-CN"/>
        </w:rPr>
        <w:t>&gt;</w:t>
      </w:r>
      <w:r>
        <w:rPr>
          <w:rFonts w:hint="eastAsia" w:ascii="仿宋" w:hAnsi="仿宋" w:eastAsia="仿宋" w:cs="仿宋"/>
          <w:sz w:val="21"/>
          <w:szCs w:val="21"/>
          <w:lang w:eastAsia="zh-CN"/>
        </w:rPr>
        <w:t>》，</w:t>
      </w:r>
      <w:r>
        <w:rPr>
          <w:rFonts w:hint="eastAsia" w:ascii="仿宋" w:hAnsi="仿宋" w:eastAsia="仿宋" w:cs="仿宋"/>
          <w:sz w:val="21"/>
          <w:szCs w:val="21"/>
          <w:lang w:val="en-US" w:eastAsia="zh-CN"/>
        </w:rPr>
        <w:t>载《河南社会科学》2024年第5期，第33页。</w:t>
      </w:r>
    </w:p>
  </w:footnote>
  <w:footnote w:id="59">
    <w:p w14:paraId="77393EBF">
      <w:pPr>
        <w:pStyle w:val="6"/>
        <w:snapToGrid w:val="0"/>
        <w:rPr>
          <w:rFonts w:hint="eastAsia" w:ascii="仿宋" w:hAnsi="仿宋" w:eastAsia="仿宋" w:cs="仿宋"/>
          <w:sz w:val="21"/>
          <w:szCs w:val="21"/>
          <w:lang w:val="en-US" w:eastAsia="zh-CN"/>
        </w:rPr>
      </w:pPr>
      <w:r>
        <w:rPr>
          <w:rStyle w:val="11"/>
          <w:rFonts w:hint="eastAsia" w:ascii="仿宋" w:hAnsi="仿宋" w:eastAsia="仿宋" w:cs="仿宋"/>
          <w:sz w:val="21"/>
          <w:szCs w:val="21"/>
        </w:rPr>
        <w:footnoteRef/>
      </w:r>
      <w:r>
        <w:rPr>
          <w:rFonts w:hint="eastAsia" w:ascii="仿宋" w:hAnsi="仿宋" w:eastAsia="仿宋" w:cs="仿宋"/>
          <w:sz w:val="21"/>
          <w:szCs w:val="21"/>
        </w:rPr>
        <w:t xml:space="preserve"> </w:t>
      </w:r>
      <w:r>
        <w:rPr>
          <w:rFonts w:hint="eastAsia" w:ascii="仿宋" w:hAnsi="仿宋" w:eastAsia="仿宋" w:cs="仿宋"/>
          <w:sz w:val="21"/>
          <w:szCs w:val="21"/>
          <w:lang w:val="en-US" w:eastAsia="zh-CN"/>
        </w:rPr>
        <w:t>参见徐化耿：《信义义务的一般理论及其在中国法上的展开》，载《中外法学》2020年第6期，第1574-1576页。</w:t>
      </w:r>
    </w:p>
  </w:footnote>
  <w:footnote w:id="60">
    <w:p w14:paraId="1395C242">
      <w:pPr>
        <w:pStyle w:val="6"/>
        <w:snapToGrid w:val="0"/>
        <w:rPr>
          <w:rFonts w:hint="eastAsia" w:ascii="仿宋" w:hAnsi="仿宋" w:eastAsia="仿宋" w:cs="仿宋"/>
          <w:sz w:val="21"/>
          <w:szCs w:val="21"/>
          <w:lang w:val="en-US" w:eastAsia="zh-CN"/>
        </w:rPr>
      </w:pPr>
      <w:r>
        <w:rPr>
          <w:rStyle w:val="11"/>
          <w:rFonts w:hint="eastAsia" w:ascii="仿宋" w:hAnsi="仿宋" w:eastAsia="仿宋" w:cs="仿宋"/>
          <w:sz w:val="21"/>
          <w:szCs w:val="21"/>
        </w:rPr>
        <w:footnoteRef/>
      </w:r>
      <w:r>
        <w:rPr>
          <w:rFonts w:hint="eastAsia" w:ascii="仿宋" w:hAnsi="仿宋" w:eastAsia="仿宋" w:cs="仿宋"/>
          <w:sz w:val="21"/>
          <w:szCs w:val="21"/>
        </w:rPr>
        <w:t xml:space="preserve"> </w:t>
      </w:r>
      <w:r>
        <w:rPr>
          <w:rFonts w:hint="eastAsia" w:ascii="仿宋" w:hAnsi="仿宋" w:eastAsia="仿宋" w:cs="仿宋"/>
          <w:sz w:val="21"/>
          <w:szCs w:val="21"/>
          <w:lang w:val="en-US" w:eastAsia="zh-CN"/>
        </w:rPr>
        <w:t>参见赵磊：《公司法上信义义务的体系构成——兼评新&lt;公司法&gt;相关规定》，载《财经法学》2024年第3期，第75-76页。</w:t>
      </w:r>
    </w:p>
  </w:footnote>
  <w:footnote w:id="61">
    <w:p w14:paraId="7D3FE5CC">
      <w:pPr>
        <w:pStyle w:val="6"/>
        <w:snapToGrid w:val="0"/>
        <w:rPr>
          <w:rFonts w:hint="default" w:eastAsiaTheme="minorEastAsia"/>
          <w:lang w:val="en-US" w:eastAsia="zh-CN"/>
        </w:rPr>
      </w:pPr>
      <w:r>
        <w:rPr>
          <w:rStyle w:val="11"/>
          <w:rFonts w:hint="eastAsia" w:ascii="仿宋" w:hAnsi="仿宋" w:eastAsia="仿宋" w:cs="仿宋"/>
          <w:sz w:val="21"/>
          <w:szCs w:val="21"/>
        </w:rPr>
        <w:footnoteRef/>
      </w:r>
      <w:r>
        <w:rPr>
          <w:rFonts w:hint="eastAsia" w:ascii="仿宋" w:hAnsi="仿宋" w:eastAsia="仿宋" w:cs="仿宋"/>
          <w:sz w:val="21"/>
          <w:szCs w:val="21"/>
        </w:rPr>
        <w:t xml:space="preserve"> </w:t>
      </w:r>
      <w:r>
        <w:rPr>
          <w:rFonts w:hint="eastAsia" w:ascii="仿宋" w:hAnsi="仿宋" w:eastAsia="仿宋" w:cs="仿宋"/>
          <w:sz w:val="21"/>
          <w:szCs w:val="21"/>
          <w:lang w:eastAsia="zh-CN"/>
        </w:rPr>
        <w:t>《</w:t>
      </w:r>
      <w:r>
        <w:rPr>
          <w:rFonts w:hint="eastAsia" w:ascii="仿宋" w:hAnsi="仿宋" w:eastAsia="仿宋" w:cs="仿宋"/>
          <w:sz w:val="21"/>
          <w:szCs w:val="21"/>
          <w:lang w:val="en-US" w:eastAsia="zh-CN"/>
        </w:rPr>
        <w:t>公司法</w:t>
      </w:r>
      <w:r>
        <w:rPr>
          <w:rFonts w:hint="eastAsia" w:ascii="仿宋" w:hAnsi="仿宋" w:eastAsia="仿宋" w:cs="仿宋"/>
          <w:sz w:val="21"/>
          <w:szCs w:val="21"/>
          <w:lang w:eastAsia="zh-CN"/>
        </w:rPr>
        <w:t>》</w:t>
      </w:r>
      <w:r>
        <w:rPr>
          <w:rFonts w:hint="eastAsia" w:ascii="仿宋" w:hAnsi="仿宋" w:eastAsia="仿宋" w:cs="仿宋"/>
          <w:sz w:val="21"/>
          <w:szCs w:val="21"/>
          <w:lang w:val="en-US" w:eastAsia="zh-CN"/>
        </w:rPr>
        <w:t>第一百八十条第三款规定：“公司的控股股东、实际控制人不担任公司董事但实际执行公司事务的，适用前两款规定。”</w:t>
      </w:r>
    </w:p>
  </w:footnote>
  <w:footnote w:id="62">
    <w:p w14:paraId="74D70685">
      <w:pPr>
        <w:pStyle w:val="6"/>
        <w:snapToGrid w:val="0"/>
        <w:rPr>
          <w:rFonts w:hint="eastAsia" w:ascii="仿宋" w:hAnsi="仿宋" w:eastAsia="仿宋" w:cs="仿宋"/>
          <w:sz w:val="21"/>
          <w:szCs w:val="21"/>
          <w:lang w:val="en-US" w:eastAsia="zh-CN"/>
        </w:rPr>
      </w:pPr>
      <w:r>
        <w:rPr>
          <w:rStyle w:val="11"/>
          <w:rFonts w:hint="eastAsia" w:ascii="仿宋" w:hAnsi="仿宋" w:eastAsia="仿宋" w:cs="仿宋"/>
          <w:sz w:val="21"/>
          <w:szCs w:val="21"/>
        </w:rPr>
        <w:footnoteRef/>
      </w:r>
      <w:r>
        <w:rPr>
          <w:rFonts w:hint="eastAsia" w:ascii="仿宋" w:hAnsi="仿宋" w:eastAsia="仿宋" w:cs="仿宋"/>
          <w:sz w:val="21"/>
          <w:szCs w:val="21"/>
        </w:rPr>
        <w:t xml:space="preserve"> </w:t>
      </w:r>
      <w:r>
        <w:rPr>
          <w:rFonts w:hint="eastAsia" w:ascii="仿宋" w:hAnsi="仿宋" w:eastAsia="仿宋" w:cs="仿宋"/>
          <w:sz w:val="21"/>
          <w:szCs w:val="21"/>
          <w:lang w:val="en-US" w:eastAsia="zh-CN"/>
        </w:rPr>
        <w:t>参见刘俊海：《论抽逃出资股东的民事责任》，《法学杂志》2008年第1期，第52页；</w:t>
      </w:r>
    </w:p>
  </w:footnote>
  <w:footnote w:id="63">
    <w:p w14:paraId="7DB954C9">
      <w:pPr>
        <w:pStyle w:val="6"/>
        <w:snapToGrid w:val="0"/>
        <w:rPr>
          <w:rFonts w:hint="eastAsia" w:ascii="仿宋" w:hAnsi="仿宋" w:eastAsia="仿宋" w:cs="仿宋"/>
          <w:sz w:val="21"/>
          <w:szCs w:val="21"/>
          <w:lang w:val="en-US" w:eastAsia="zh-CN"/>
        </w:rPr>
      </w:pPr>
      <w:r>
        <w:rPr>
          <w:rStyle w:val="11"/>
          <w:rFonts w:hint="eastAsia" w:ascii="仿宋" w:hAnsi="仿宋" w:eastAsia="仿宋" w:cs="仿宋"/>
          <w:sz w:val="21"/>
          <w:szCs w:val="21"/>
        </w:rPr>
        <w:footnoteRef/>
      </w:r>
      <w:r>
        <w:rPr>
          <w:rFonts w:hint="eastAsia" w:ascii="仿宋" w:hAnsi="仿宋" w:eastAsia="仿宋" w:cs="仿宋"/>
          <w:sz w:val="21"/>
          <w:szCs w:val="21"/>
        </w:rPr>
        <w:t xml:space="preserve"> </w:t>
      </w:r>
      <w:r>
        <w:rPr>
          <w:rFonts w:hint="eastAsia" w:ascii="仿宋" w:hAnsi="仿宋" w:eastAsia="仿宋" w:cs="仿宋"/>
          <w:sz w:val="21"/>
          <w:szCs w:val="21"/>
          <w:lang w:val="en-US" w:eastAsia="zh-CN"/>
        </w:rPr>
        <w:t>参见奚晓明主编：《最高人民法院关于公司法解释（三）、清算纪要理解与适用》，人民法院出版社2011年版，第211-214页。</w:t>
      </w:r>
    </w:p>
  </w:footnote>
  <w:footnote w:id="64">
    <w:p w14:paraId="2E9A8734">
      <w:pPr>
        <w:pStyle w:val="6"/>
        <w:snapToGrid w:val="0"/>
        <w:rPr>
          <w:rFonts w:hint="eastAsia" w:ascii="仿宋" w:hAnsi="仿宋" w:eastAsia="仿宋" w:cs="仿宋"/>
          <w:sz w:val="21"/>
          <w:szCs w:val="21"/>
          <w:lang w:val="en-US" w:eastAsia="zh-CN"/>
        </w:rPr>
      </w:pPr>
      <w:r>
        <w:rPr>
          <w:rStyle w:val="11"/>
          <w:rFonts w:hint="eastAsia" w:ascii="仿宋" w:hAnsi="仿宋" w:eastAsia="仿宋" w:cs="仿宋"/>
          <w:sz w:val="21"/>
          <w:szCs w:val="21"/>
        </w:rPr>
        <w:footnoteRef/>
      </w:r>
      <w:r>
        <w:rPr>
          <w:rFonts w:hint="eastAsia" w:ascii="仿宋" w:hAnsi="仿宋" w:eastAsia="仿宋" w:cs="仿宋"/>
          <w:sz w:val="21"/>
          <w:szCs w:val="21"/>
        </w:rPr>
        <w:t xml:space="preserve"> </w:t>
      </w:r>
      <w:r>
        <w:rPr>
          <w:rFonts w:hint="eastAsia" w:ascii="仿宋" w:hAnsi="仿宋" w:eastAsia="仿宋" w:cs="仿宋"/>
          <w:sz w:val="21"/>
          <w:szCs w:val="21"/>
          <w:lang w:val="en-US" w:eastAsia="zh-CN"/>
        </w:rPr>
        <w:t>参见冯静：《抽逃出资民事责任的性质及认定》，载《法学》2015年第6期，第68-69页。</w:t>
      </w:r>
    </w:p>
  </w:footnote>
  <w:footnote w:id="65">
    <w:p w14:paraId="6F317294">
      <w:pPr>
        <w:pStyle w:val="6"/>
        <w:snapToGrid w:val="0"/>
        <w:rPr>
          <w:rFonts w:hint="default" w:eastAsiaTheme="minorEastAsia"/>
          <w:lang w:val="en-US" w:eastAsia="zh-CN"/>
        </w:rPr>
      </w:pPr>
      <w:r>
        <w:rPr>
          <w:rStyle w:val="11"/>
          <w:rFonts w:hint="eastAsia" w:ascii="仿宋" w:hAnsi="仿宋" w:eastAsia="仿宋" w:cs="仿宋"/>
          <w:sz w:val="21"/>
          <w:szCs w:val="21"/>
        </w:rPr>
        <w:footnoteRef/>
      </w:r>
      <w:r>
        <w:rPr>
          <w:rFonts w:hint="eastAsia" w:ascii="仿宋" w:hAnsi="仿宋" w:eastAsia="仿宋" w:cs="仿宋"/>
          <w:sz w:val="21"/>
          <w:szCs w:val="21"/>
        </w:rPr>
        <w:t xml:space="preserve"> </w:t>
      </w:r>
      <w:r>
        <w:rPr>
          <w:rFonts w:hint="eastAsia" w:ascii="仿宋" w:hAnsi="仿宋" w:eastAsia="仿宋" w:cs="仿宋"/>
          <w:sz w:val="21"/>
          <w:szCs w:val="21"/>
          <w:lang w:val="en-US" w:eastAsia="zh-CN"/>
        </w:rPr>
        <w:t>参见安晨曦：《&lt;民法典&gt;视角下公司法中“连带责任”的语义检视》，载《交大法学》2023年第5期，第82页。</w:t>
      </w:r>
    </w:p>
  </w:footnote>
</w:footnote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csn">
    <w15:presenceInfo w15:providerId="WPS Office" w15:userId="342864964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numFmt w:val="decimalEnclosedCircleChinese"/>
    <w:numRestart w:val="eachPage"/>
    <w:footnote w:id="132"/>
    <w:footnote w:id="133"/>
  </w:foot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TA0MjllZGYzNGEzZDdlZjBjZmNjZDZmZjJiMjlkYzEifQ=="/>
  </w:docVars>
  <w:rsids>
    <w:rsidRoot w:val="7F3F0DA7"/>
    <w:rsid w:val="06317FBC"/>
    <w:rsid w:val="07FF1668"/>
    <w:rsid w:val="17BE50F1"/>
    <w:rsid w:val="19A961B6"/>
    <w:rsid w:val="1B5F9492"/>
    <w:rsid w:val="1DFB2ECF"/>
    <w:rsid w:val="1DFE52AA"/>
    <w:rsid w:val="1F337AE8"/>
    <w:rsid w:val="21CFDD03"/>
    <w:rsid w:val="2BE7874E"/>
    <w:rsid w:val="32DBD298"/>
    <w:rsid w:val="3BCC48EE"/>
    <w:rsid w:val="3EF9E6FA"/>
    <w:rsid w:val="3F4B6044"/>
    <w:rsid w:val="4BC7589A"/>
    <w:rsid w:val="4F7F7420"/>
    <w:rsid w:val="4FED048F"/>
    <w:rsid w:val="5774FBD4"/>
    <w:rsid w:val="5BEEB925"/>
    <w:rsid w:val="5BFF1965"/>
    <w:rsid w:val="5DFBEBA2"/>
    <w:rsid w:val="5FED9527"/>
    <w:rsid w:val="5FFDD17F"/>
    <w:rsid w:val="68E7D936"/>
    <w:rsid w:val="6A36EDAD"/>
    <w:rsid w:val="6B5BA390"/>
    <w:rsid w:val="6BF6FC60"/>
    <w:rsid w:val="6EB36907"/>
    <w:rsid w:val="74ED83AF"/>
    <w:rsid w:val="76FE09D3"/>
    <w:rsid w:val="775F7D21"/>
    <w:rsid w:val="78BDC880"/>
    <w:rsid w:val="7BFE9EAC"/>
    <w:rsid w:val="7CDF4CCC"/>
    <w:rsid w:val="7CFEC80A"/>
    <w:rsid w:val="7CFF58F9"/>
    <w:rsid w:val="7D6F6F5D"/>
    <w:rsid w:val="7DEE8013"/>
    <w:rsid w:val="7E79529B"/>
    <w:rsid w:val="7E7D2954"/>
    <w:rsid w:val="7EFF18CA"/>
    <w:rsid w:val="7EFFA8BA"/>
    <w:rsid w:val="7F3F0DA7"/>
    <w:rsid w:val="7F4E31A9"/>
    <w:rsid w:val="7F4FC48A"/>
    <w:rsid w:val="7F7A4CD9"/>
    <w:rsid w:val="7F7B52C2"/>
    <w:rsid w:val="7F7EA8BD"/>
    <w:rsid w:val="7FE7B204"/>
    <w:rsid w:val="7FFE69F0"/>
    <w:rsid w:val="7FFFE8D9"/>
    <w:rsid w:val="89EF16FE"/>
    <w:rsid w:val="8E6F3E56"/>
    <w:rsid w:val="9D7FA53A"/>
    <w:rsid w:val="9FBFA34B"/>
    <w:rsid w:val="AFAFAE1F"/>
    <w:rsid w:val="AFC7070C"/>
    <w:rsid w:val="B7B75C77"/>
    <w:rsid w:val="BFF53E2F"/>
    <w:rsid w:val="BFFB6E93"/>
    <w:rsid w:val="CBDB0443"/>
    <w:rsid w:val="CF6E213A"/>
    <w:rsid w:val="CFDAE1AB"/>
    <w:rsid w:val="D9EFCE15"/>
    <w:rsid w:val="D9FF3621"/>
    <w:rsid w:val="DBEE97C8"/>
    <w:rsid w:val="DCBDDEF9"/>
    <w:rsid w:val="DDBB62AB"/>
    <w:rsid w:val="DDBEB7BB"/>
    <w:rsid w:val="DEFF11AD"/>
    <w:rsid w:val="DFEE6861"/>
    <w:rsid w:val="DFFB198D"/>
    <w:rsid w:val="E77B3647"/>
    <w:rsid w:val="E7B7F694"/>
    <w:rsid w:val="EA97EDB7"/>
    <w:rsid w:val="EBDD3B6A"/>
    <w:rsid w:val="EEF7184B"/>
    <w:rsid w:val="EFBCBCDE"/>
    <w:rsid w:val="EFEB3AED"/>
    <w:rsid w:val="EFEF1CA2"/>
    <w:rsid w:val="EFFCBFD7"/>
    <w:rsid w:val="EFFDBB65"/>
    <w:rsid w:val="F3749358"/>
    <w:rsid w:val="F447BD83"/>
    <w:rsid w:val="F51DDDC1"/>
    <w:rsid w:val="F5DF84D9"/>
    <w:rsid w:val="F5F7FE8D"/>
    <w:rsid w:val="F6BBF548"/>
    <w:rsid w:val="F6D7621F"/>
    <w:rsid w:val="F7BBEBA8"/>
    <w:rsid w:val="F7FF3C4D"/>
    <w:rsid w:val="FB7E98C5"/>
    <w:rsid w:val="FD9FB15D"/>
    <w:rsid w:val="FE4E6B78"/>
    <w:rsid w:val="FEB34A01"/>
    <w:rsid w:val="FEBF90D2"/>
    <w:rsid w:val="FF2B4E8C"/>
    <w:rsid w:val="FF7F6DFC"/>
    <w:rsid w:val="FFCF2737"/>
    <w:rsid w:val="FFEF1B0C"/>
    <w:rsid w:val="FFF1FDC8"/>
    <w:rsid w:val="FFFB3C21"/>
    <w:rsid w:val="FFFF65D9"/>
    <w:rsid w:val="FFFF8A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3">
    <w:name w:val="annotation text"/>
    <w:basedOn w:val="1"/>
    <w:uiPriority w:val="0"/>
    <w:pPr>
      <w:jc w:val="left"/>
    </w:p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6">
    <w:name w:val="footnote text"/>
    <w:basedOn w:val="1"/>
    <w:qFormat/>
    <w:uiPriority w:val="0"/>
    <w:pPr>
      <w:snapToGrid w:val="0"/>
      <w:jc w:val="left"/>
    </w:pPr>
    <w:rPr>
      <w:sz w:val="18"/>
    </w:rPr>
  </w:style>
  <w:style w:type="character" w:styleId="9">
    <w:name w:val="Strong"/>
    <w:basedOn w:val="8"/>
    <w:qFormat/>
    <w:uiPriority w:val="0"/>
    <w:rPr>
      <w:b/>
    </w:rPr>
  </w:style>
  <w:style w:type="character" w:styleId="10">
    <w:name w:val="Emphasis"/>
    <w:basedOn w:val="8"/>
    <w:qFormat/>
    <w:uiPriority w:val="0"/>
    <w:rPr>
      <w:i/>
    </w:rPr>
  </w:style>
  <w:style w:type="character" w:styleId="11">
    <w:name w:val="footnote reference"/>
    <w:basedOn w:val="8"/>
    <w:qFormat/>
    <w:uiPriority w:val="0"/>
    <w:rPr>
      <w:vertAlign w:val="superscript"/>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0" Type="http://schemas.microsoft.com/office/2011/relationships/people" Target="peop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20</Pages>
  <Words>15208</Words>
  <Characters>15232</Characters>
  <Lines>0</Lines>
  <Paragraphs>0</Paragraphs>
  <TotalTime>89</TotalTime>
  <ScaleCrop>false</ScaleCrop>
  <LinksUpToDate>false</LinksUpToDate>
  <CharactersWithSpaces>15232</CharactersWithSpaces>
  <Application>WPS Office_6.11.0.8885_F1E327BC-269C-435d-A152-05C5408002CA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2025-07-03T02:36:00Z</dcterms:created>
  <dc:creator>周正阳</dc:creator>
  <cp:lastModifiedBy>csn</cp:lastModifiedBy>
  <dcterms:modified xsi:type="dcterms:W3CDTF">2025-10-28T19:46:53Z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2052-6.11.0.8885</vt:lpwstr>
  </property>
  <property fmtid="{D5CDD505-2E9C-101B-9397-08002B2CF9AE}" pid="3" name="ICV">
    <vt:lpwstr>2F24887720F8D6C72F97C26855598195_43</vt:lpwstr>
  </property>
</Properties>
</file>