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76DBF6">
      <w:pPr>
        <w:keepNext w:val="0"/>
        <w:keepLines w:val="0"/>
        <w:pageBreakBefore w:val="0"/>
        <w:widowControl w:val="0"/>
        <w:numPr>
          <w:ilvl w:val="-1"/>
          <w:numId w:val="0"/>
        </w:numPr>
        <w:kinsoku/>
        <w:wordWrap/>
        <w:overflowPunct/>
        <w:topLinePunct w:val="0"/>
        <w:autoSpaceDE/>
        <w:autoSpaceDN/>
        <w:bidi w:val="0"/>
        <w:adjustRightInd w:val="0"/>
        <w:snapToGrid w:val="0"/>
        <w:jc w:val="center"/>
        <w:textAlignment w:val="auto"/>
        <w:outlineLvl w:val="0"/>
        <w:rPr>
          <w:rFonts w:hint="eastAsia" w:ascii="仿宋_GB2312" w:hAnsi="仿宋_GB2312" w:eastAsia="仿宋_GB2312" w:cs="仿宋_GB2312"/>
          <w:b/>
          <w:bCs/>
          <w:color w:val="auto"/>
          <w:spacing w:val="-23"/>
          <w:w w:val="90"/>
          <w:sz w:val="28"/>
          <w:szCs w:val="28"/>
          <w:highlight w:val="none"/>
          <w:lang w:val="en-US" w:eastAsia="zh-CN"/>
        </w:rPr>
      </w:pPr>
      <w:r>
        <w:rPr>
          <w:rFonts w:hint="eastAsia" w:ascii="黑体" w:hAnsi="黑体" w:eastAsia="黑体" w:cs="黑体"/>
          <w:color w:val="auto"/>
          <w:spacing w:val="-23"/>
          <w:w w:val="90"/>
          <w:kern w:val="0"/>
          <w:sz w:val="36"/>
          <w:szCs w:val="36"/>
          <w:highlight w:val="none"/>
          <w:lang w:val="en-US" w:eastAsia="zh-CN"/>
        </w:rPr>
        <w:t>物法与商法交织视角下公司证照返还纠纷的诉讼构造及裁判进路</w:t>
      </w:r>
    </w:p>
    <w:p w14:paraId="29EF4A41">
      <w:pPr>
        <w:keepNext w:val="0"/>
        <w:keepLines w:val="0"/>
        <w:pageBreakBefore w:val="0"/>
        <w:widowControl w:val="0"/>
        <w:kinsoku/>
        <w:wordWrap/>
        <w:overflowPunct/>
        <w:topLinePunct w:val="0"/>
        <w:bidi w:val="0"/>
        <w:spacing w:line="240" w:lineRule="auto"/>
        <w:ind w:right="70"/>
        <w:jc w:val="center"/>
        <w:textAlignment w:val="auto"/>
        <w:outlineLvl w:val="0"/>
        <w:rPr>
          <w:rFonts w:hint="default" w:ascii="楷体" w:hAnsi="楷体" w:eastAsia="楷体" w:cs="楷体"/>
          <w:color w:val="auto"/>
          <w:sz w:val="30"/>
          <w:szCs w:val="30"/>
          <w:highlight w:val="none"/>
          <w:lang w:val="en-US" w:eastAsia="zh-CN"/>
        </w:rPr>
      </w:pPr>
      <w:commentRangeStart w:id="0"/>
      <w:r>
        <w:rPr>
          <w:rFonts w:hint="eastAsia" w:ascii="楷体" w:hAnsi="楷体" w:eastAsia="楷体" w:cs="楷体"/>
          <w:color w:val="auto"/>
          <w:sz w:val="30"/>
          <w:szCs w:val="30"/>
          <w:highlight w:val="none"/>
          <w:lang w:eastAsia="zh-CN"/>
        </w:rPr>
        <w:t>——</w:t>
      </w:r>
      <w:r>
        <w:rPr>
          <w:rFonts w:hint="eastAsia" w:ascii="楷体" w:hAnsi="楷体" w:eastAsia="楷体" w:cs="楷体"/>
          <w:color w:val="auto"/>
          <w:sz w:val="30"/>
          <w:szCs w:val="30"/>
          <w:highlight w:val="none"/>
          <w:lang w:val="en-US" w:eastAsia="zh-CN"/>
        </w:rPr>
        <w:t>以厦门某地产项目“保险箱争夺案”为例</w:t>
      </w:r>
      <w:commentRangeEnd w:id="0"/>
      <w:r>
        <w:commentReference w:id="0"/>
      </w:r>
    </w:p>
    <w:p w14:paraId="357C407E">
      <w:pPr>
        <w:keepNext w:val="0"/>
        <w:keepLines w:val="0"/>
        <w:pageBreakBefore w:val="0"/>
        <w:kinsoku/>
        <w:wordWrap/>
        <w:overflowPunct/>
        <w:topLinePunct w:val="0"/>
        <w:autoSpaceDE/>
        <w:autoSpaceDN/>
        <w:bidi w:val="0"/>
        <w:adjustRightInd/>
        <w:snapToGrid/>
        <w:jc w:val="center"/>
        <w:textAlignment w:val="auto"/>
        <w:rPr>
          <w:rFonts w:hint="eastAsia" w:ascii="宋体" w:hAnsi="宋体"/>
          <w:b/>
          <w:color w:val="auto"/>
          <w:sz w:val="28"/>
          <w:szCs w:val="28"/>
          <w:highlight w:val="none"/>
        </w:rPr>
      </w:pPr>
    </w:p>
    <w:p w14:paraId="3FE3219E">
      <w:pPr>
        <w:keepNext w:val="0"/>
        <w:keepLines w:val="0"/>
        <w:pageBreakBefore w:val="0"/>
        <w:widowControl w:val="0"/>
        <w:kinsoku/>
        <w:wordWrap/>
        <w:overflowPunct/>
        <w:topLinePunct w:val="0"/>
        <w:autoSpaceDE/>
        <w:autoSpaceDN/>
        <w:bidi w:val="0"/>
        <w:adjustRightInd w:val="0"/>
        <w:snapToGrid w:val="0"/>
        <w:ind w:firstLine="562" w:firstLineChars="200"/>
        <w:jc w:val="both"/>
        <w:textAlignment w:val="auto"/>
        <w:rPr>
          <w:rFonts w:hint="default"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摘要：</w:t>
      </w:r>
      <w:r>
        <w:rPr>
          <w:rFonts w:hint="eastAsia" w:ascii="仿宋_GB2312" w:hAnsi="仿宋_GB2312" w:eastAsia="仿宋_GB2312" w:cs="仿宋_GB2312"/>
          <w:b w:val="0"/>
          <w:bCs w:val="0"/>
          <w:color w:val="auto"/>
          <w:sz w:val="28"/>
          <w:szCs w:val="28"/>
          <w:highlight w:val="none"/>
          <w:lang w:val="en-US" w:eastAsia="zh-CN"/>
        </w:rPr>
        <w:t>印章证照作为任何公司必然拥有的财产，既有动产的一般物权属性，又具有公司法上的证明、代表、治理等功能。公司证照返还纠纷并非其表征的单纯物权争议，而是公司治理矛盾和公司控制权争夺聚焦于印章证照归属的独特纠纷类型，实质为围绕谁有权代表和控制公司而衍生的冲突。公司证照返还请求权具有物权法与公司法双重面相，其适格原告不仅以物权法为依据，还需结合公司法的特别规定加以认定，从而呈现“公司一元化”向“多元关联主体”扩张趋势。确定“公司证照”范围及其返还的对象主体，根据公司章程、股东会决议、董事会决议等公司治理规则以及公司法有关规定，全面审查占有权源的合法性，是此类案件的审理要点。公司证照争议的差异往往取决于侵占主体身份的不同，可据此对此类案件进行类型化划分，从而实现裁判规则的精准适配</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 xml:space="preserve"> </w:t>
      </w:r>
    </w:p>
    <w:p w14:paraId="7BB9A8C2">
      <w:pPr>
        <w:keepNext w:val="0"/>
        <w:keepLines w:val="0"/>
        <w:pageBreakBefore w:val="0"/>
        <w:widowControl w:val="0"/>
        <w:kinsoku/>
        <w:wordWrap/>
        <w:overflowPunct/>
        <w:topLinePunct w:val="0"/>
        <w:autoSpaceDE/>
        <w:autoSpaceDN/>
        <w:bidi w:val="0"/>
        <w:adjustRightInd w:val="0"/>
        <w:snapToGrid w:val="0"/>
        <w:ind w:firstLine="562" w:firstLineChars="200"/>
        <w:jc w:val="both"/>
        <w:textAlignment w:val="auto"/>
        <w:rPr>
          <w:rFonts w:hint="eastAsia"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关键词：</w:t>
      </w:r>
      <w:r>
        <w:rPr>
          <w:rFonts w:hint="eastAsia" w:ascii="仿宋_GB2312" w:hAnsi="仿宋_GB2312" w:eastAsia="仿宋_GB2312" w:cs="仿宋_GB2312"/>
          <w:b w:val="0"/>
          <w:bCs w:val="0"/>
          <w:color w:val="auto"/>
          <w:kern w:val="0"/>
          <w:sz w:val="28"/>
          <w:szCs w:val="28"/>
          <w:highlight w:val="none"/>
          <w:lang w:val="en-US" w:eastAsia="zh-CN"/>
        </w:rPr>
        <w:t>返还原物；占有物返还；占有权源；</w:t>
      </w:r>
      <w:r>
        <w:rPr>
          <w:rFonts w:hint="eastAsia" w:ascii="仿宋_GB2312" w:hAnsi="仿宋_GB2312" w:eastAsia="仿宋_GB2312" w:cs="仿宋_GB2312"/>
          <w:color w:val="auto"/>
          <w:kern w:val="0"/>
          <w:sz w:val="28"/>
          <w:szCs w:val="28"/>
          <w:highlight w:val="none"/>
          <w:lang w:val="en-US" w:eastAsia="zh-CN"/>
        </w:rPr>
        <w:t>公司控制权；公司治理；股东代表诉讼；股东双重代表诉讼</w:t>
      </w:r>
    </w:p>
    <w:p w14:paraId="2A866D1B">
      <w:pPr>
        <w:keepNext w:val="0"/>
        <w:keepLines w:val="0"/>
        <w:pageBreakBefore w:val="0"/>
        <w:widowControl w:val="0"/>
        <w:kinsoku/>
        <w:wordWrap/>
        <w:overflowPunct/>
        <w:topLinePunct w:val="0"/>
        <w:autoSpaceDE/>
        <w:autoSpaceDN/>
        <w:bidi w:val="0"/>
        <w:adjustRightInd w:val="0"/>
        <w:snapToGrid w:val="0"/>
        <w:ind w:firstLine="560" w:firstLineChars="200"/>
        <w:jc w:val="both"/>
        <w:textAlignment w:val="auto"/>
        <w:rPr>
          <w:rFonts w:hint="eastAsia" w:ascii="仿宋_GB2312" w:hAnsi="仿宋_GB2312" w:eastAsia="仿宋_GB2312" w:cs="仿宋_GB2312"/>
          <w:color w:val="auto"/>
          <w:kern w:val="0"/>
          <w:sz w:val="28"/>
          <w:szCs w:val="28"/>
          <w:highlight w:val="none"/>
          <w:lang w:val="en-US" w:eastAsia="zh-CN"/>
        </w:rPr>
      </w:pPr>
    </w:p>
    <w:p w14:paraId="50BBB227">
      <w:pPr>
        <w:keepNext w:val="0"/>
        <w:keepLines w:val="0"/>
        <w:pageBreakBefore w:val="0"/>
        <w:widowControl w:val="0"/>
        <w:numPr>
          <w:ilvl w:val="-1"/>
          <w:numId w:val="0"/>
        </w:numPr>
        <w:kinsoku/>
        <w:wordWrap/>
        <w:overflowPunct/>
        <w:topLinePunct w:val="0"/>
        <w:autoSpaceDE/>
        <w:autoSpaceDN/>
        <w:bidi w:val="0"/>
        <w:adjustRightInd w:val="0"/>
        <w:snapToGrid w:val="0"/>
        <w:ind w:firstLine="562" w:firstLineChars="200"/>
        <w:textAlignment w:val="auto"/>
        <w:outlineLvl w:val="0"/>
        <w:rPr>
          <w:rFonts w:hint="default"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 xml:space="preserve">一、问题的提出 </w:t>
      </w:r>
    </w:p>
    <w:p w14:paraId="18BEEDF9">
      <w:pPr>
        <w:keepNext w:val="0"/>
        <w:keepLines w:val="0"/>
        <w:pageBreakBefore w:val="0"/>
        <w:widowControl w:val="0"/>
        <w:numPr>
          <w:ilvl w:val="-1"/>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公司证照返还纠纷，是指保管、持有（包括非法持有）公司证照的公司相关人员应当将公司证照返还给公司而不履行此义务引起的纠纷。</w:t>
      </w:r>
      <w:r>
        <w:rPr>
          <w:rStyle w:val="14"/>
          <w:rFonts w:hint="eastAsia" w:ascii="仿宋_GB2312" w:hAnsi="仿宋_GB2312" w:eastAsia="仿宋_GB2312" w:cs="仿宋_GB2312"/>
          <w:b w:val="0"/>
          <w:bCs w:val="0"/>
          <w:color w:val="auto"/>
          <w:sz w:val="28"/>
          <w:szCs w:val="28"/>
          <w:highlight w:val="none"/>
          <w:lang w:val="en-US" w:eastAsia="zh-CN"/>
        </w:rPr>
        <w:footnoteReference w:id="0"/>
      </w:r>
      <w:r>
        <w:rPr>
          <w:rFonts w:hint="eastAsia" w:ascii="仿宋_GB2312" w:hAnsi="仿宋_GB2312" w:eastAsia="仿宋_GB2312" w:cs="仿宋_GB2312"/>
          <w:b w:val="0"/>
          <w:bCs w:val="0"/>
          <w:color w:val="auto"/>
          <w:sz w:val="28"/>
          <w:szCs w:val="28"/>
          <w:highlight w:val="none"/>
          <w:lang w:val="en-US" w:eastAsia="zh-CN"/>
        </w:rPr>
        <w:t>此类纠纷虽归属于原物返还纠纷，但印章证照常</w:t>
      </w:r>
      <w:r>
        <w:rPr>
          <w:rFonts w:hint="eastAsia" w:ascii="仿宋" w:hAnsi="仿宋" w:eastAsia="仿宋" w:cs="仿宋"/>
          <w:sz w:val="30"/>
          <w:szCs w:val="30"/>
        </w:rPr>
        <w:t>用于象征权力等级以及证明身份行为</w:t>
      </w:r>
      <w:r>
        <w:rPr>
          <w:rFonts w:hint="eastAsia" w:ascii="仿宋" w:hAnsi="仿宋" w:eastAsia="仿宋" w:cs="仿宋"/>
          <w:sz w:val="30"/>
          <w:szCs w:val="30"/>
          <w:lang w:eastAsia="zh-CN"/>
        </w:rPr>
        <w:t>，</w:t>
      </w:r>
      <w:r>
        <w:rPr>
          <w:rStyle w:val="14"/>
          <w:rFonts w:hint="eastAsia" w:ascii="仿宋" w:hAnsi="仿宋" w:eastAsia="仿宋" w:cs="仿宋"/>
          <w:sz w:val="30"/>
          <w:szCs w:val="30"/>
        </w:rPr>
        <w:footnoteReference w:id="1"/>
      </w:r>
      <w:r>
        <w:rPr>
          <w:rFonts w:hint="eastAsia" w:ascii="仿宋" w:hAnsi="仿宋" w:eastAsia="仿宋" w:cs="仿宋"/>
          <w:sz w:val="30"/>
          <w:szCs w:val="30"/>
          <w:lang w:eastAsia="zh-CN"/>
        </w:rPr>
        <w:t>在</w:t>
      </w:r>
      <w:r>
        <w:rPr>
          <w:rFonts w:hint="eastAsia" w:ascii="仿宋_GB2312" w:hAnsi="仿宋_GB2312" w:eastAsia="仿宋_GB2312" w:cs="仿宋_GB2312"/>
          <w:b w:val="0"/>
          <w:bCs w:val="0"/>
          <w:color w:val="auto"/>
          <w:sz w:val="28"/>
          <w:szCs w:val="28"/>
          <w:highlight w:val="none"/>
          <w:lang w:val="en-US" w:eastAsia="zh-CN"/>
        </w:rPr>
        <w:t>我国商事传统中被赋予“人格物”属性，常其与公司人格具有内在同一性，</w:t>
      </w:r>
      <w:r>
        <w:rPr>
          <w:rStyle w:val="14"/>
          <w:rFonts w:hint="eastAsia" w:ascii="仿宋" w:hAnsi="仿宋" w:eastAsia="仿宋" w:cs="仿宋"/>
          <w:sz w:val="30"/>
          <w:szCs w:val="30"/>
        </w:rPr>
        <w:footnoteReference w:id="2"/>
      </w:r>
      <w:r>
        <w:rPr>
          <w:rFonts w:hint="eastAsia" w:ascii="仿宋_GB2312" w:hAnsi="仿宋_GB2312" w:eastAsia="仿宋_GB2312" w:cs="仿宋_GB2312"/>
          <w:b w:val="0"/>
          <w:bCs w:val="0"/>
          <w:color w:val="auto"/>
          <w:sz w:val="28"/>
          <w:szCs w:val="28"/>
          <w:highlight w:val="none"/>
          <w:lang w:val="en-US" w:eastAsia="zh-CN"/>
        </w:rPr>
        <w:t>故实践中多数该类纠纷的本质是公司控制权争夺的外在表现。</w:t>
      </w:r>
      <w:commentRangeStart w:id="1"/>
      <w:r>
        <w:rPr>
          <w:rFonts w:hint="eastAsia" w:ascii="仿宋_GB2312" w:hAnsi="仿宋_GB2312" w:eastAsia="仿宋_GB2312" w:cs="仿宋_GB2312"/>
          <w:b w:val="0"/>
          <w:bCs w:val="0"/>
          <w:color w:val="auto"/>
          <w:sz w:val="28"/>
          <w:szCs w:val="28"/>
          <w:highlight w:val="none"/>
          <w:lang w:val="en-US" w:eastAsia="zh-CN"/>
        </w:rPr>
        <w:t>笔者所在地区法院审理了一起母公司股东以请求返还公司证照为由争夺公司控制权的典型案件。</w:t>
      </w:r>
      <w:commentRangeEnd w:id="1"/>
      <w:r>
        <w:commentReference w:id="1"/>
      </w:r>
    </w:p>
    <w:p w14:paraId="37A95911">
      <w:pPr>
        <w:keepNext w:val="0"/>
        <w:keepLines w:val="0"/>
        <w:pageBreakBefore w:val="0"/>
        <w:widowControl w:val="0"/>
        <w:numPr>
          <w:ilvl w:val="-1"/>
          <w:numId w:val="0"/>
        </w:numPr>
        <w:kinsoku/>
        <w:wordWrap/>
        <w:overflowPunct/>
        <w:topLinePunct w:val="0"/>
        <w:autoSpaceDE/>
        <w:autoSpaceDN/>
        <w:bidi w:val="0"/>
        <w:adjustRightInd w:val="0"/>
        <w:snapToGrid w:val="0"/>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（一）案情简介</w:t>
      </w:r>
    </w:p>
    <w:p w14:paraId="2B239370">
      <w:pPr>
        <w:keepNext w:val="0"/>
        <w:keepLines w:val="0"/>
        <w:pageBreakBefore w:val="0"/>
        <w:widowControl w:val="0"/>
        <w:numPr>
          <w:ilvl w:val="-1"/>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厦门正某公司由厦门荣某公司持股51%，厦门某信托公司持股44%，厦门梁某公司持股5%。厦门某颂公司由厦门正某公司持有100%股份。厦门某衡公司由厦门某颂公司持有100%股份。2021年8月16日，厦门某信托公司、正某地产控股公司、中某地产集团公司、厦门荣某公司、厦门梁某公司、厦门正某公司（SPV1公司）、厦门某颂公司（SPV2公司）、厦门某衡公司（项目公司）签订《合作协议》，约定：厦门正某公司、厦门某颂公司、厦门某衡公司董事会均由3名董事组成，由厦门某信托公司、厦门荣某公司、厦门梁某公司各推荐一名董事，实行一人一票制，任何表决须经全体董事一致同意方可通过；各方同意委托第三方共同监管厦门正某公司、厦门某颂公司、厦门某衡公司的账户、证章照、用印文件。同日，厦门某信托公司、厦门正某公司、厦门某颂公司、厦门某衡公司、厦门荣某公司、厦门梁某公司、深圳世某公司签订《投后管理协议》，约定：委托深圳世某公司作为监管人，协助厦门某信托公司对厦门正某公司、厦门某颂公司、厦门某衡公司进行日常管理和监管，内容涵盖印章及证照的监管、资金监管、工程监管、合同监管等；若厦门某衡公司或厦门荣某公司、厦门梁某公司违约以致无法实现有效监管的，厦门某信托公司及深圳世某公司有权要求开启相应保险柜，独立对放置在保险柜中的印章、证照等进行“救济监管”。2023年5月30日，厦门市中级人民法院判决认定厦门荣某公司、厦门梁某公司存在重大违约行为，应向厦门某信托公司支付4.77亿元款项及违约金。2023年5月6日，厦门荣某公司调取监控发现，存放有厦门正某公司、厦门某颂公司、厦门某衡公司印章证照的保险柜被厦门某信托公司及深圳世某公司人员取走。同月，厦门荣某公司、厦门梁某公司重刻并补办厦门正某公司、厦门某颂公司、厦门某衡公司印章照。2023年7月11日，厦门某信托公司起诉至福建省厦门市思明区人民法院，请求判令：1.确认厦门荣某公司、厦门梁某公司等重办的厦门正某公司、厦门某颂公司、厦门某衡公司证照、印章、账户等无效；2.厦门荣某公司、厦门梁某公司等向深圳世某公司交付重办的厦门正某公司、厦门某颂公司、厦门某衡公司证照、印章、账户等。</w:t>
      </w:r>
    </w:p>
    <w:p w14:paraId="55958DD6">
      <w:pPr>
        <w:keepNext w:val="0"/>
        <w:keepLines w:val="0"/>
        <w:pageBreakBefore w:val="0"/>
        <w:widowControl w:val="0"/>
        <w:numPr>
          <w:ilvl w:val="-1"/>
          <w:numId w:val="0"/>
        </w:numPr>
        <w:kinsoku/>
        <w:wordWrap/>
        <w:overflowPunct/>
        <w:topLinePunct w:val="0"/>
        <w:autoSpaceDE/>
        <w:autoSpaceDN/>
        <w:bidi w:val="0"/>
        <w:adjustRightInd w:val="0"/>
        <w:snapToGrid w:val="0"/>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（二）裁判结果</w:t>
      </w:r>
    </w:p>
    <w:p w14:paraId="0D5A6184">
      <w:pPr>
        <w:keepNext w:val="0"/>
        <w:keepLines w:val="0"/>
        <w:pageBreakBefore w:val="0"/>
        <w:widowControl w:val="0"/>
        <w:numPr>
          <w:ilvl w:val="-1"/>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b w:val="0"/>
          <w:bCs w:val="0"/>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2024年3月18日福建省厦门市思明区法院作出判决认为，对行政主管部门颁发的公司印章证照的效力争议，不属于平等主体之间的民事纠纷，不属于人民法院受理民事诉讼的范围。厦门某信托公司与厦门荣某公司、厦门梁某公司同为厦门正某公司的股东，均对返还厦门正某公司及其全资子公司厦门某颂公司、厦门某衡公司的印章证照享有诉权，厦门某信托公司系适格原告。2021年8月16日《合作协议》签署主体包括厦门正某公司的全部股东，签署内容涉及厦门正某公司公司治理事项，协议相关内容具有厦门正某公司股东会决议性质，全体股东应当遵照执行。厦门荣某公司、厦门梁某公司构成《合作协议》《投后管理协议》项下违约，厦门某信托公司依约行使“救济监管”并无不妥，厦门荣某公司、厦门梁某公司已无权占有厦门正某公司、厦门某颂公司、厦门某衡公司的印章证照。厦门荣某公司、厦门梁某公司通过主导补办手段获取新的印章证照，仍系对补办印章证照无权占有，应当根据《合作协议》《投后管理协议》约定向托管方深圳世某公司交付补办的印章证照。据此，依照《中华人民共和国民法典》第235条、第241条，《中华人民共和国公司法》（2018年修正）第3条第1款、第37条、第151条规定判决：厦门荣某公司、厦门梁某公司向深圳世某公司交付重新刻制的厦门正某公司、厦门某颂公司、厦门某衡公司公章、财务章、发票章、法定代表人章以及补办的营业执照正副本。该判决作出后当事人均未上诉，一审发生法律效力。鉴于各方服判息诉，公司控制权纷争平息，涉案公司迅速完成重组，讼争项目很快恢复施工，“濒死”楼盘起死回生，“保交楼”得以顺利推进。</w:t>
      </w:r>
    </w:p>
    <w:p w14:paraId="3043EDE9">
      <w:pPr>
        <w:keepNext w:val="0"/>
        <w:keepLines w:val="0"/>
        <w:pageBreakBefore w:val="0"/>
        <w:widowControl w:val="0"/>
        <w:numPr>
          <w:ilvl w:val="-1"/>
          <w:numId w:val="0"/>
        </w:numPr>
        <w:kinsoku/>
        <w:wordWrap/>
        <w:overflowPunct/>
        <w:topLinePunct w:val="0"/>
        <w:autoSpaceDE/>
        <w:autoSpaceDN/>
        <w:bidi w:val="0"/>
        <w:adjustRightInd w:val="0"/>
        <w:snapToGrid w:val="0"/>
        <w:ind w:firstLine="562" w:firstLineChars="200"/>
        <w:textAlignment w:val="auto"/>
        <w:outlineLvl w:val="1"/>
        <w:rPr>
          <w:rFonts w:hint="default"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（三）争议焦点</w:t>
      </w:r>
    </w:p>
    <w:p w14:paraId="0E85C5E6">
      <w:pPr>
        <w:keepNext w:val="0"/>
        <w:keepLines w:val="0"/>
        <w:pageBreakBefore w:val="0"/>
        <w:widowControl w:val="0"/>
        <w:numPr>
          <w:ilvl w:val="-1"/>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val="0"/>
          <w:bCs w:val="0"/>
          <w:color w:val="auto"/>
          <w:sz w:val="28"/>
          <w:szCs w:val="28"/>
          <w:highlight w:val="none"/>
          <w:lang w:val="en-US" w:eastAsia="zh-CN"/>
        </w:rPr>
        <w:t>该案牵涉利益巨大，社会影响广泛，当事人对程序问题、事实问题以及法律适用均存在重大争议。诉讼期间，住建部主管的行业权威媒体《中国房地产报》接连刊发《保险柜“失踪”背后：厦门某信托与正某、中某合作纠葛》《保险箱争夺背后：厦门某信托与正某、中某的“拉锯战”》等文章进行报道，各媒体、公众号纷纷跟进，房地产业内及社会各界高度关注，引发了对公司运营中印章证照归属和管领的讨论。该案折射出公司证照返还纠纷司法实践存在规范困境与观点分歧，以下问题有待深入探讨：一是公司证照的法律概念如何界定；二是公司证照返还之诉适格原告范围如何框定；三是公司证照返还请求权具有何种特性，在诉讼构造、裁判规则上又当如何妥善因应。本文将以此案为切入口，尝试对这些问题加以探讨，总结归纳裁判规则并作类型化分析，旨在为司法实践提供有益参考。</w:t>
      </w:r>
    </w:p>
    <w:p w14:paraId="43C0293A">
      <w:pPr>
        <w:keepNext w:val="0"/>
        <w:keepLines w:val="0"/>
        <w:pageBreakBefore w:val="0"/>
        <w:widowControl w:val="0"/>
        <w:numPr>
          <w:ilvl w:val="-1"/>
          <w:numId w:val="0"/>
        </w:numPr>
        <w:kinsoku/>
        <w:wordWrap/>
        <w:overflowPunct/>
        <w:topLinePunct w:val="0"/>
        <w:autoSpaceDE/>
        <w:autoSpaceDN/>
        <w:bidi w:val="0"/>
        <w:adjustRightInd w:val="0"/>
        <w:snapToGrid w:val="0"/>
        <w:ind w:left="0" w:firstLine="562" w:firstLineChars="200"/>
        <w:jc w:val="left"/>
        <w:textAlignment w:val="auto"/>
        <w:outlineLvl w:val="0"/>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二、公司证照返还请求权的物法与商法双重面相</w:t>
      </w:r>
    </w:p>
    <w:p w14:paraId="4A2919A7">
      <w:pPr>
        <w:keepNext w:val="0"/>
        <w:keepLines w:val="0"/>
        <w:pageBreakBefore w:val="0"/>
        <w:widowControl w:val="0"/>
        <w:numPr>
          <w:ilvl w:val="-1"/>
          <w:numId w:val="0"/>
        </w:numPr>
        <w:kinsoku/>
        <w:wordWrap/>
        <w:overflowPunct/>
        <w:topLinePunct w:val="0"/>
        <w:autoSpaceDE/>
        <w:autoSpaceDN/>
        <w:bidi w:val="0"/>
        <w:adjustRightInd w:val="0"/>
        <w:snapToGrid w:val="0"/>
        <w:ind w:left="0" w:firstLine="560" w:firstLineChars="200"/>
        <w:jc w:val="left"/>
        <w:textAlignment w:val="auto"/>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最高人民法院有关著述指出，《中华人民共和国民法典》第179条、第235条与《中华人民共和国公司法》（2018年修正）第147条、第149条系公司证照返还纠纷案由的规范依据。</w:t>
      </w:r>
      <w:r>
        <w:rPr>
          <w:rStyle w:val="14"/>
          <w:rFonts w:hint="eastAsia" w:ascii="仿宋_GB2312" w:hAnsi="仿宋_GB2312" w:eastAsia="仿宋_GB2312" w:cs="仿宋_GB2312"/>
          <w:color w:val="auto"/>
          <w:sz w:val="28"/>
          <w:szCs w:val="28"/>
          <w:highlight w:val="none"/>
          <w:lang w:val="en-US" w:eastAsia="zh-CN"/>
        </w:rPr>
        <w:footnoteReference w:id="3"/>
      </w:r>
      <w:r>
        <w:rPr>
          <w:rFonts w:hint="eastAsia" w:ascii="仿宋_GB2312" w:hAnsi="仿宋_GB2312" w:eastAsia="仿宋_GB2312" w:cs="仿宋_GB2312"/>
          <w:color w:val="auto"/>
          <w:sz w:val="28"/>
          <w:szCs w:val="28"/>
          <w:highlight w:val="none"/>
          <w:lang w:val="en-US" w:eastAsia="zh-CN"/>
        </w:rPr>
        <w:t>实务中，公司证照返还请求权具有物权法和公司法的双重属性虽已形成共识，但仍有必要予以深入探析。通过分析其请求权基础的双重面相，对后文分析公司证照返还之诉适格原告奠定基础。</w:t>
      </w:r>
    </w:p>
    <w:p w14:paraId="6733CFC6">
      <w:pPr>
        <w:keepNext w:val="0"/>
        <w:keepLines w:val="0"/>
        <w:pageBreakBefore w:val="0"/>
        <w:widowControl w:val="0"/>
        <w:numPr>
          <w:ilvl w:val="-1"/>
          <w:numId w:val="0"/>
        </w:numPr>
        <w:kinsoku/>
        <w:wordWrap/>
        <w:overflowPunct/>
        <w:topLinePunct w:val="0"/>
        <w:autoSpaceDE/>
        <w:autoSpaceDN/>
        <w:bidi w:val="0"/>
        <w:adjustRightInd w:val="0"/>
        <w:snapToGrid w:val="0"/>
        <w:ind w:firstLine="562" w:firstLineChars="200"/>
        <w:jc w:val="left"/>
        <w:textAlignment w:val="auto"/>
        <w:outlineLvl w:val="1"/>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（一）基于所有权的返还原物请求权</w:t>
      </w:r>
    </w:p>
    <w:p w14:paraId="74E0920D">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公司证照作为一种动产而存在。动产是</w:t>
      </w:r>
      <w:commentRangeStart w:id="2"/>
      <w:r>
        <w:rPr>
          <w:rFonts w:hint="eastAsia" w:ascii="仿宋_GB2312" w:hAnsi="仿宋_GB2312" w:eastAsia="仿宋_GB2312" w:cs="仿宋_GB2312"/>
          <w:color w:val="auto"/>
          <w:sz w:val="28"/>
          <w:szCs w:val="28"/>
          <w:highlight w:val="none"/>
          <w:lang w:val="en-US" w:eastAsia="zh-CN"/>
        </w:rPr>
        <w:t>指“能够移动而不损害其经济用途和价值的物”</w:t>
      </w:r>
      <w:commentRangeEnd w:id="2"/>
      <w:r>
        <w:commentReference w:id="2"/>
      </w:r>
      <w:r>
        <w:rPr>
          <w:rFonts w:hint="eastAsia" w:ascii="仿宋_GB2312" w:hAnsi="仿宋_GB2312" w:eastAsia="仿宋_GB2312" w:cs="仿宋_GB2312"/>
          <w:color w:val="auto"/>
          <w:sz w:val="28"/>
          <w:szCs w:val="28"/>
          <w:highlight w:val="none"/>
          <w:lang w:val="en-US" w:eastAsia="zh-CN"/>
        </w:rPr>
        <w:t>，其核心特征在于可支配性与特定性。公司证照虽承载法律上的证明功能，但其物理形态（纸质文书、金属/塑料印鉴、电子存储介质等）符合动产的本质属性：一方面，无论是营业执照、资质证书等文书，还是公章、财务章等印鉴，均具备可移动性，且移动行为不会导致其证明功能或经济价值丧失；另一方面，每一份证照或印鉴均指向特定公司，具有明确的</w:t>
      </w:r>
      <w:commentRangeStart w:id="3"/>
      <w:r>
        <w:rPr>
          <w:rFonts w:hint="eastAsia" w:ascii="仿宋_GB2312" w:hAnsi="仿宋_GB2312" w:eastAsia="仿宋_GB2312" w:cs="仿宋_GB2312"/>
          <w:color w:val="auto"/>
          <w:sz w:val="28"/>
          <w:szCs w:val="28"/>
          <w:highlight w:val="none"/>
          <w:lang w:val="en-US" w:eastAsia="zh-CN"/>
        </w:rPr>
        <w:t>归属指向性，符合“特定物”的认定标准。</w:t>
      </w:r>
      <w:commentRangeEnd w:id="3"/>
      <w:r>
        <w:commentReference w:id="3"/>
      </w:r>
      <w:r>
        <w:rPr>
          <w:rFonts w:hint="eastAsia" w:ascii="仿宋_GB2312" w:hAnsi="仿宋_GB2312" w:eastAsia="仿宋_GB2312" w:cs="仿宋_GB2312"/>
          <w:color w:val="auto"/>
          <w:sz w:val="28"/>
          <w:szCs w:val="28"/>
          <w:highlight w:val="none"/>
          <w:lang w:val="en-US" w:eastAsia="zh-CN"/>
        </w:rPr>
        <w:t>需特别说明电子证照的动产属性。伴随数字时代转型，电子营业执照、电子印章等逐渐普及，此类证照以电子数据形式存储于特定介质（如手机、U盾），虽无传统物理形态，但其本质是“附着于特定介质的权利凭证”，仍具备可支配性（通过控制存储介质实现支配）与特定性（绑定特定公司身份信息），</w:t>
      </w:r>
      <w:commentRangeStart w:id="4"/>
      <w:r>
        <w:rPr>
          <w:rFonts w:hint="eastAsia" w:ascii="仿宋_GB2312" w:hAnsi="仿宋_GB2312" w:eastAsia="仿宋_GB2312" w:cs="仿宋_GB2312"/>
          <w:color w:val="auto"/>
          <w:sz w:val="28"/>
          <w:szCs w:val="28"/>
          <w:highlight w:val="none"/>
          <w:lang w:val="en-US" w:eastAsia="zh-CN"/>
        </w:rPr>
        <w:t>司法实践已普遍认可其法律效力——如《电子营业执照管理办法（试行》第2条第2款明确电子营业执照与纸质营业执照具有同等法律效力。</w:t>
      </w:r>
      <w:commentRangeEnd w:id="4"/>
      <w:r>
        <w:commentReference w:id="4"/>
      </w:r>
      <w:r>
        <w:rPr>
          <w:rStyle w:val="14"/>
          <w:rFonts w:hint="eastAsia" w:ascii="仿宋_GB2312" w:hAnsi="仿宋_GB2312" w:eastAsia="仿宋_GB2312" w:cs="仿宋_GB2312"/>
          <w:color w:val="auto"/>
          <w:sz w:val="28"/>
          <w:szCs w:val="28"/>
          <w:highlight w:val="none"/>
          <w:lang w:val="en-US" w:eastAsia="zh-CN"/>
        </w:rPr>
        <w:footnoteReference w:id="4"/>
      </w:r>
    </w:p>
    <w:p w14:paraId="3ABFE0F4">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公司对作为动产的证照享有完整的物权。法理逻辑层面，公司证照的产生与公司主体资格紧密关联——官方制发类证照用以证明公司主体身份，自核发时起归属于公司；公司自刻类印鉴需凭营业执照等法定文件刻制，其所有权自刻制完成时归属于公司；同时，公司正常运转及公司对外业务经营离不开公司证照，公司证照特别是自刻类印章是公司对外表意的重要物理载体。法律规范层面，《中华人民共和国民法典》第269条规定：“营利法人对其不动产和动产依照法律、行政法规以及章程享有占有、使用、收益和处分的权利。营利法人以外的法人，对其不动产和动产的权利，适用有关法律、行政法规以及章程的规定。”《中华人民共和国公司法》第3条规定，“公司是企业法人，有独立的法人财产，享有法人财产权。”公司证照作为公司财产，公司对其证照当然享有财产权利。《中华人民共和国民法典》第240条规定，所有权人对自己的不动产或者动产，依法享有占有、使用、收益和处分的权利。公司作为证照的所有权人，对其证照依法享有占有、使用、处分等权利。即使证照由自然人（如法定代表人、股东）实际持有，</w:t>
      </w:r>
      <w:commentRangeStart w:id="5"/>
      <w:r>
        <w:rPr>
          <w:rFonts w:hint="eastAsia" w:ascii="仿宋_GB2312" w:hAnsi="仿宋_GB2312" w:eastAsia="仿宋_GB2312" w:cs="仿宋_GB2312"/>
          <w:color w:val="auto"/>
          <w:sz w:val="28"/>
          <w:szCs w:val="28"/>
          <w:highlight w:val="none"/>
          <w:lang w:val="en-US" w:eastAsia="zh-CN"/>
        </w:rPr>
        <w:t>该持有行为仅为“代公司行使占有权”，而非所有权归属的转移。</w:t>
      </w:r>
      <w:commentRangeEnd w:id="5"/>
      <w:r>
        <w:commentReference w:id="5"/>
      </w:r>
      <w:r>
        <w:rPr>
          <w:rFonts w:hint="eastAsia" w:ascii="仿宋_GB2312" w:hAnsi="仿宋_GB2312" w:eastAsia="仿宋_GB2312" w:cs="仿宋_GB2312"/>
          <w:color w:val="auto"/>
          <w:sz w:val="28"/>
          <w:szCs w:val="28"/>
          <w:highlight w:val="none"/>
          <w:lang w:val="en-US" w:eastAsia="zh-CN"/>
        </w:rPr>
        <w:t>公司因其证照上享有的物权遭受侵害时，可按照民法典中物权的保护章节中的规定对其享有的物权进行保护与救济。故公司证照返还纠纷首先是一种返还原物纠纷。《中华人民共和国民法典》第114条关于物权的定义以及第235条规定的返还原物请求权，明确物权权利人依法对特定的物享有直接支配和排他的权利，有权要求无权占有者返还原物。《中华人民共和国公司法》第2条（公司法人财产权）则赋予公司对证照的独立所有权。根据上述法律规定，印章证照登记于公司名下，属于公司所有的动产，公司对其享有直接支配和排他的权利。物权法上请求权在司法实践中的意义主要在于，对证照的所有权归属以及权利救济方式提供了基本依据。</w:t>
      </w:r>
    </w:p>
    <w:p w14:paraId="79D48CD9">
      <w:pPr>
        <w:widowControl w:val="0"/>
        <w:numPr>
          <w:ilvl w:val="0"/>
          <w:numId w:val="0"/>
        </w:numPr>
        <w:tabs>
          <w:tab w:val="left" w:pos="460"/>
        </w:tabs>
        <w:adjustRightInd w:val="0"/>
        <w:snapToGrid w:val="0"/>
        <w:ind w:firstLine="562" w:firstLineChars="200"/>
        <w:outlineLvl w:val="1"/>
        <w:rPr>
          <w:rFonts w:hint="eastAsia"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（二）基于治理结构与代表规则的公司权力象征物归属请求权</w:t>
      </w:r>
    </w:p>
    <w:p w14:paraId="6E0AAD36">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kern w:val="0"/>
          <w:sz w:val="28"/>
          <w:szCs w:val="28"/>
          <w:highlight w:val="none"/>
          <w:lang w:val="en-US" w:eastAsia="zh-CN"/>
        </w:rPr>
      </w:pPr>
      <w:commentRangeStart w:id="6"/>
      <w:r>
        <w:rPr>
          <w:rFonts w:hint="eastAsia" w:ascii="仿宋_GB2312" w:hAnsi="仿宋_GB2312" w:eastAsia="仿宋_GB2312" w:cs="仿宋_GB2312"/>
          <w:color w:val="auto"/>
          <w:kern w:val="0"/>
          <w:sz w:val="28"/>
          <w:szCs w:val="28"/>
          <w:highlight w:val="none"/>
          <w:lang w:val="en-US" w:eastAsia="zh-CN"/>
        </w:rPr>
        <w:t>诚然公司证照返还纠纷具有</w:t>
      </w:r>
      <w:r>
        <w:rPr>
          <w:rFonts w:hint="eastAsia" w:ascii="仿宋_GB2312" w:hAnsi="仿宋_GB2312" w:eastAsia="仿宋_GB2312" w:cs="仿宋_GB2312"/>
          <w:color w:val="auto"/>
          <w:kern w:val="0"/>
          <w:sz w:val="28"/>
          <w:szCs w:val="28"/>
          <w:highlight w:val="none"/>
        </w:rPr>
        <w:t>返还原物纠纷</w:t>
      </w:r>
      <w:r>
        <w:rPr>
          <w:rFonts w:hint="eastAsia" w:ascii="仿宋_GB2312" w:hAnsi="仿宋_GB2312" w:eastAsia="仿宋_GB2312" w:cs="仿宋_GB2312"/>
          <w:color w:val="auto"/>
          <w:kern w:val="0"/>
          <w:sz w:val="28"/>
          <w:szCs w:val="28"/>
          <w:highlight w:val="none"/>
          <w:lang w:val="en-US" w:eastAsia="zh-CN"/>
        </w:rPr>
        <w:t>之性质，但因公司系法律拟制之“人”，其欲实现对印章证照的所有权权能，需借助特定自然人之力，亦有赖于具体公司治理规则提供规范指引，故其纠纷特点明显有别于普通返还原物纠纷。承前所述，在诉讼案由层面，</w:t>
      </w:r>
      <w:r>
        <w:rPr>
          <w:rFonts w:hint="eastAsia" w:ascii="仿宋_GB2312" w:hAnsi="仿宋_GB2312" w:eastAsia="仿宋_GB2312" w:cs="仿宋_GB2312"/>
          <w:color w:val="auto"/>
          <w:kern w:val="0"/>
          <w:sz w:val="28"/>
          <w:szCs w:val="28"/>
          <w:highlight w:val="none"/>
          <w:lang w:val="en-US" w:eastAsia="zh-CN" w:bidi="ar"/>
        </w:rPr>
        <w:t>“公司证照返还纠纷”与“返还原物纠纷”分属不同上级案由。“公司证照返还纠纷”属于</w:t>
      </w:r>
      <w:r>
        <w:rPr>
          <w:rFonts w:hint="eastAsia" w:ascii="仿宋_GB2312" w:hAnsi="仿宋_GB2312" w:eastAsia="仿宋_GB2312" w:cs="仿宋_GB2312"/>
          <w:color w:val="auto"/>
          <w:kern w:val="0"/>
          <w:sz w:val="28"/>
          <w:szCs w:val="28"/>
          <w:highlight w:val="none"/>
          <w:lang w:val="en-US" w:eastAsia="zh-CN"/>
        </w:rPr>
        <w:t>“与公司、证券、保险、票据等有关的民事纠纷”项下“与公司有关纠纷”的子案由；返还原物纠纷属于“物权纠纷”项下“物权保护纠纷”的子案由。</w:t>
      </w:r>
      <w:r>
        <w:rPr>
          <w:rFonts w:hint="eastAsia" w:ascii="仿宋_GB2312" w:hAnsi="仿宋_GB2312" w:eastAsia="仿宋_GB2312" w:cs="仿宋_GB2312"/>
          <w:color w:val="auto"/>
          <w:kern w:val="0"/>
          <w:sz w:val="28"/>
          <w:szCs w:val="28"/>
          <w:highlight w:val="none"/>
          <w:lang w:val="en-US" w:eastAsia="zh-CN" w:bidi="ar"/>
        </w:rPr>
        <w:t>由此进一步照见公司证照返还的公司法面相，其并非纯粹基于返还原物请求权，相关纠纷的解决还应当参照公司法的相关规定，兼顾公司治理的制度资源。</w:t>
      </w:r>
      <w:r>
        <w:rPr>
          <w:rFonts w:hint="eastAsia" w:ascii="仿宋_GB2312" w:hAnsi="仿宋_GB2312" w:eastAsia="仿宋_GB2312" w:cs="仿宋_GB2312"/>
          <w:color w:val="auto"/>
          <w:kern w:val="0"/>
          <w:sz w:val="28"/>
          <w:szCs w:val="28"/>
          <w:highlight w:val="none"/>
          <w:lang w:val="en-US" w:eastAsia="zh-CN"/>
        </w:rPr>
        <w:t>现实中，公司证照返还纠纷往往爆发于公司治理失灵、权力出现真空或争夺的特殊时期，其并非索回物品这样的单纯物权争议，而是公司治理和公司控制权争议在特定物件上的集中体现，纠纷的表征为印章证照归属，实质则是谁有权代表和控制公司。与之相应，公司证照返还之诉根本上要解决的问题是，何种主体有权代表公司起诉，以及作为公司控制权象征的印章证照应当向谁返还，其法理基础是公司法中关于公司治理结构、代表权、信义义务等一系列动态、复杂的规则，涉及公司内部的权力分配和控制。</w:t>
      </w:r>
      <w:commentRangeEnd w:id="6"/>
      <w:r>
        <w:commentReference w:id="6"/>
      </w:r>
    </w:p>
    <w:p w14:paraId="282669BE">
      <w:pPr>
        <w:keepNext w:val="0"/>
        <w:keepLines w:val="0"/>
        <w:pageBreakBefore w:val="0"/>
        <w:kinsoku/>
        <w:wordWrap/>
        <w:overflowPunct/>
        <w:topLinePunct w:val="0"/>
        <w:autoSpaceDE/>
        <w:autoSpaceDN/>
        <w:bidi w:val="0"/>
        <w:adjustRightInd w:val="0"/>
        <w:snapToGrid w:val="0"/>
        <w:ind w:firstLine="562" w:firstLineChars="200"/>
        <w:textAlignment w:val="auto"/>
        <w:outlineLvl w:val="0"/>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三、</w:t>
      </w:r>
      <w:r>
        <w:rPr>
          <w:rFonts w:hint="eastAsia" w:ascii="仿宋_GB2312" w:hAnsi="仿宋_GB2312" w:eastAsia="仿宋_GB2312" w:cs="仿宋_GB2312"/>
          <w:b/>
          <w:bCs/>
          <w:color w:val="auto"/>
          <w:sz w:val="28"/>
          <w:szCs w:val="28"/>
          <w:highlight w:val="none"/>
        </w:rPr>
        <w:t>公司证照返还</w:t>
      </w:r>
      <w:r>
        <w:rPr>
          <w:rFonts w:hint="eastAsia" w:ascii="仿宋_GB2312" w:hAnsi="仿宋_GB2312" w:eastAsia="仿宋_GB2312" w:cs="仿宋_GB2312"/>
          <w:b/>
          <w:bCs/>
          <w:color w:val="auto"/>
          <w:sz w:val="28"/>
          <w:szCs w:val="28"/>
          <w:highlight w:val="none"/>
          <w:lang w:val="en-US" w:eastAsia="zh-CN"/>
        </w:rPr>
        <w:t>之诉适格</w:t>
      </w:r>
      <w:r>
        <w:rPr>
          <w:rFonts w:hint="eastAsia" w:ascii="仿宋_GB2312" w:hAnsi="仿宋_GB2312" w:eastAsia="仿宋_GB2312" w:cs="仿宋_GB2312"/>
          <w:b/>
          <w:bCs/>
          <w:color w:val="auto"/>
          <w:sz w:val="28"/>
          <w:szCs w:val="28"/>
          <w:highlight w:val="none"/>
        </w:rPr>
        <w:t>原告的</w:t>
      </w:r>
      <w:r>
        <w:rPr>
          <w:rFonts w:hint="eastAsia" w:ascii="仿宋_GB2312" w:hAnsi="仿宋_GB2312" w:eastAsia="仿宋_GB2312" w:cs="仿宋_GB2312"/>
          <w:b/>
          <w:bCs/>
          <w:color w:val="auto"/>
          <w:sz w:val="28"/>
          <w:szCs w:val="28"/>
          <w:highlight w:val="none"/>
          <w:lang w:val="en-US" w:eastAsia="zh-CN"/>
        </w:rPr>
        <w:t>范围扩张</w:t>
      </w:r>
    </w:p>
    <w:p w14:paraId="0E86AF59">
      <w:pPr>
        <w:keepNext w:val="0"/>
        <w:keepLines w:val="0"/>
        <w:pageBreakBefore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作为一种特殊的原物返还请求权，公司证照返还纠纷的处理还应当参照公司法的相关规定，兼顾公司治理的制度资源。因此，该类纠纷的适格原告范围不应仅以物权法为唯一依据，还需结合公司法的特别规定加以认定。近年来，随着公司法框架下股东代表诉讼制度的逐步确立与完善，公司证照返还之诉的适格原告范围已呈现明显的扩张趋势，从“公司一元化”主张，逐渐延伸至与公司控制权相关的多元主体。</w:t>
      </w:r>
    </w:p>
    <w:p w14:paraId="2E60FA53">
      <w:pPr>
        <w:keepNext w:val="0"/>
        <w:keepLines w:val="0"/>
        <w:pageBreakBefore w:val="0"/>
        <w:kinsoku/>
        <w:wordWrap/>
        <w:overflowPunct/>
        <w:topLinePunct w:val="0"/>
        <w:autoSpaceDE/>
        <w:autoSpaceDN/>
        <w:bidi w:val="0"/>
        <w:adjustRightInd w:val="0"/>
        <w:snapToGrid w:val="0"/>
        <w:ind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一</w:t>
      </w: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公司直接起诉</w:t>
      </w:r>
    </w:p>
    <w:p w14:paraId="0FDCF247">
      <w:pPr>
        <w:keepNext w:val="0"/>
        <w:keepLines w:val="0"/>
        <w:pageBreakBefore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通常</w:t>
      </w:r>
      <w:r>
        <w:rPr>
          <w:rFonts w:hint="eastAsia" w:ascii="仿宋_GB2312" w:hAnsi="仿宋_GB2312" w:eastAsia="仿宋_GB2312" w:cs="仿宋_GB2312"/>
          <w:color w:val="auto"/>
          <w:sz w:val="28"/>
          <w:szCs w:val="28"/>
          <w:highlight w:val="none"/>
        </w:rPr>
        <w:t>认为</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公司为公司证照返还纠纷的唯一适格原告</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多数法院以此作为立案审查标准</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“公司一元</w:t>
      </w:r>
      <w:r>
        <w:rPr>
          <w:rFonts w:hint="eastAsia" w:ascii="仿宋_GB2312" w:hAnsi="仿宋_GB2312" w:eastAsia="仿宋_GB2312" w:cs="仿宋_GB2312"/>
          <w:color w:val="auto"/>
          <w:sz w:val="28"/>
          <w:szCs w:val="28"/>
          <w:highlight w:val="none"/>
          <w:lang w:val="en-US" w:eastAsia="zh-CN"/>
        </w:rPr>
        <w:t>化</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sz w:val="28"/>
          <w:szCs w:val="28"/>
          <w:highlight w:val="none"/>
          <w:lang w:eastAsia="zh-CN"/>
        </w:rPr>
        <w:t>的</w:t>
      </w:r>
      <w:r>
        <w:rPr>
          <w:rFonts w:hint="eastAsia" w:ascii="仿宋_GB2312" w:hAnsi="仿宋_GB2312" w:eastAsia="仿宋_GB2312" w:cs="仿宋_GB2312"/>
          <w:color w:val="auto"/>
          <w:sz w:val="28"/>
          <w:szCs w:val="28"/>
          <w:highlight w:val="none"/>
          <w:lang w:val="en-US" w:eastAsia="zh-CN"/>
        </w:rPr>
        <w:t>基本</w:t>
      </w:r>
      <w:r>
        <w:rPr>
          <w:rFonts w:hint="eastAsia" w:ascii="仿宋_GB2312" w:hAnsi="仿宋_GB2312" w:eastAsia="仿宋_GB2312" w:cs="仿宋_GB2312"/>
          <w:color w:val="auto"/>
          <w:sz w:val="28"/>
          <w:szCs w:val="28"/>
          <w:highlight w:val="none"/>
        </w:rPr>
        <w:t>逻辑为：证照属于公司所有的动产</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公司证照返还纠纷本质为返还原物纠纷</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公司作为证照的物权权利人是当然的原告。</w:t>
      </w:r>
      <w:r>
        <w:rPr>
          <w:rFonts w:hint="eastAsia" w:ascii="仿宋_GB2312" w:hAnsi="仿宋_GB2312" w:eastAsia="仿宋_GB2312" w:cs="仿宋_GB2312"/>
          <w:color w:val="auto"/>
          <w:sz w:val="28"/>
          <w:szCs w:val="28"/>
          <w:highlight w:val="none"/>
          <w:lang w:val="en-US" w:eastAsia="zh-CN"/>
        </w:rPr>
        <w:t>其</w:t>
      </w:r>
      <w:r>
        <w:rPr>
          <w:rFonts w:hint="eastAsia" w:ascii="仿宋_GB2312" w:hAnsi="仿宋_GB2312" w:eastAsia="仿宋_GB2312" w:cs="仿宋_GB2312"/>
          <w:color w:val="auto"/>
          <w:sz w:val="28"/>
          <w:szCs w:val="28"/>
          <w:highlight w:val="none"/>
        </w:rPr>
        <w:t>强调公司证照返还的物权法面</w:t>
      </w:r>
      <w:r>
        <w:rPr>
          <w:rFonts w:hint="eastAsia" w:ascii="仿宋_GB2312" w:hAnsi="仿宋_GB2312" w:eastAsia="仿宋_GB2312" w:cs="仿宋_GB2312"/>
          <w:color w:val="auto"/>
          <w:sz w:val="28"/>
          <w:szCs w:val="28"/>
          <w:highlight w:val="none"/>
          <w:lang w:val="en-US" w:eastAsia="zh-CN"/>
        </w:rPr>
        <w:t>相</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采取返还原物之诉的典型诉讼构造，以物权权利人即公司为适格原告，无权占有人为被告</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然而，公司系拟制法人，需要有特定载体将其真实意思表示外化。公司证照返还纠纷的起因即为以公章为代表的公司证照被他人不当占有，若公司在诉讼时无法在起诉状及诉讼材料中加盖公章，公司的法定代表人作为代表法人行使职权的负责人，法定代表人在诉讼文件上的签名与加盖公司公章应具有同等效力。</w:t>
      </w:r>
      <w:r>
        <w:rPr>
          <w:rStyle w:val="14"/>
          <w:rFonts w:hint="eastAsia" w:ascii="仿宋_GB2312" w:hAnsi="仿宋_GB2312" w:eastAsia="仿宋_GB2312" w:cs="仿宋_GB2312"/>
          <w:color w:val="auto"/>
          <w:sz w:val="28"/>
          <w:szCs w:val="28"/>
          <w:highlight w:val="none"/>
        </w:rPr>
        <w:footnoteReference w:id="5"/>
      </w:r>
      <w:r>
        <w:rPr>
          <w:rFonts w:hint="eastAsia" w:ascii="仿宋_GB2312" w:hAnsi="仿宋_GB2312" w:eastAsia="仿宋_GB2312" w:cs="仿宋_GB2312"/>
          <w:color w:val="auto"/>
          <w:sz w:val="28"/>
          <w:szCs w:val="28"/>
          <w:highlight w:val="none"/>
          <w:lang w:val="en-US" w:eastAsia="zh-CN"/>
        </w:rPr>
        <w:t>但需要明确的是，公司证照所有权归属于公司所有，法定代表人系代表公司意志参与诉讼环节，法定代表人无法单独作为原告提起公司证照返还之诉。</w:t>
      </w:r>
      <w:commentRangeStart w:id="7"/>
      <w:r>
        <w:rPr>
          <w:rFonts w:hint="eastAsia" w:ascii="仿宋_GB2312" w:hAnsi="仿宋_GB2312" w:eastAsia="仿宋_GB2312" w:cs="仿宋_GB2312"/>
          <w:color w:val="auto"/>
          <w:sz w:val="28"/>
          <w:szCs w:val="28"/>
          <w:highlight w:val="none"/>
          <w:lang w:val="en-US" w:eastAsia="zh-CN"/>
        </w:rPr>
        <w:t>司法实践中即有观点认为：“法定代表人可以作为原告发起公司执照返还纠纷。”</w:t>
      </w:r>
      <w:commentRangeEnd w:id="7"/>
      <w:r>
        <w:commentReference w:id="7"/>
      </w:r>
      <w:r>
        <w:rPr>
          <w:rFonts w:hint="eastAsia" w:ascii="仿宋_GB2312" w:hAnsi="仿宋_GB2312" w:eastAsia="仿宋_GB2312" w:cs="仿宋_GB2312"/>
          <w:color w:val="auto"/>
          <w:sz w:val="28"/>
          <w:szCs w:val="28"/>
          <w:highlight w:val="none"/>
          <w:lang w:val="en-US" w:eastAsia="zh-CN"/>
        </w:rPr>
        <w:t>该观点系将法定代表人与公司身份混同后产生的错误认知，公司证照的所有权为公司，公司证照返还纠纷作为一种特殊的原物返还纠纷，仅有公司当为适格原告，而非法定代表人。依此逻辑，公司证照管理人仅为公司证照的合法占有人，对公司证照享有占有权，故其亦不能作为原告提起公司证照返还之诉。“公司一元化”将适格原告限制为公司，将诸多主体排除出适格原告范围，对适格原告进行范围“提纯”。延续到司法实践中普遍存在，公司召开股东会作出变更法定代表人的决议，原法定代表人拒不返还公司证照，公司提起证照返还之诉的情形。原法定代表人抗辩理由通常为公司决议无效，其法定代表人身份仍然合法有效，可以依法继续占有；此时，对相关公司证照返还纠纷作出裁判的前提为对公司决议效力进行认定。</w:t>
      </w:r>
    </w:p>
    <w:p w14:paraId="51018882">
      <w:pPr>
        <w:keepNext w:val="0"/>
        <w:keepLines w:val="0"/>
        <w:pageBreakBefore w:val="0"/>
        <w:kinsoku/>
        <w:wordWrap/>
        <w:overflowPunct/>
        <w:topLinePunct w:val="0"/>
        <w:autoSpaceDE/>
        <w:autoSpaceDN/>
        <w:bidi w:val="0"/>
        <w:adjustRightInd w:val="0"/>
        <w:snapToGrid w:val="0"/>
        <w:ind w:firstLine="562" w:firstLineChars="200"/>
        <w:textAlignment w:val="auto"/>
        <w:outlineLvl w:val="1"/>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二</w:t>
      </w: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股东代位行使诉权</w:t>
      </w:r>
    </w:p>
    <w:p w14:paraId="4E55E1B1">
      <w:pPr>
        <w:keepNext w:val="0"/>
        <w:keepLines w:val="0"/>
        <w:pageBreakBefore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kern w:val="0"/>
          <w:sz w:val="28"/>
          <w:szCs w:val="28"/>
          <w:highlight w:val="none"/>
          <w:lang w:val="en-US" w:eastAsia="zh-CN" w:bidi="ar"/>
        </w:rPr>
      </w:pPr>
      <w:r>
        <w:rPr>
          <w:rFonts w:hint="eastAsia" w:ascii="仿宋_GB2312" w:hAnsi="仿宋_GB2312" w:eastAsia="仿宋_GB2312" w:cs="仿宋_GB2312"/>
          <w:color w:val="auto"/>
          <w:sz w:val="28"/>
          <w:szCs w:val="28"/>
          <w:highlight w:val="none"/>
          <w:lang w:val="en-US" w:eastAsia="zh-CN"/>
        </w:rPr>
        <w:t>“公司一元化”遵循返还原物之诉的典型诉讼构造，将公司证照返还之诉适格主体限定为“公司”，是坚守公司独立法人人格的体现，一定程度上避免了公司与其相关管理人员身份混同的情形存在。然而，有时当事人欲通过争夺证照而实现对公司经营决策的掌控，该情形实为公司控制权关联主体之间纠纷，诉讼标的及其所蕴含的诉的利益实质上是“公司控制权之确认”，博弈各方均认为自己管控证照（控制公司）才符合公司利益。当侵占证照行为主体为董监高、股东等有权参与公司治理的内部人员的，公司陷入治理僵局而无法形成提起证照返还之诉的公司意志表征，此时坚守“公司一元化”便封堵了救济渠道，使得聚焦于证照占有的公司控制权争夺陷入司法真空窘境。</w:t>
      </w:r>
      <w:r>
        <w:rPr>
          <w:rFonts w:hint="eastAsia" w:ascii="仿宋_GB2312" w:hAnsi="仿宋_GB2312" w:eastAsia="仿宋_GB2312" w:cs="仿宋_GB2312"/>
          <w:color w:val="auto"/>
          <w:kern w:val="0"/>
          <w:sz w:val="28"/>
          <w:szCs w:val="28"/>
          <w:highlight w:val="none"/>
          <w:lang w:val="en-US" w:eastAsia="zh-CN" w:bidi="ar"/>
        </w:rPr>
        <w:t>应当充分考量公司证照返还的公司法面相，相关纠纷的解决还应当参照公司法的相关规定，兼顾公司治理的制度资源。</w:t>
      </w:r>
    </w:p>
    <w:p w14:paraId="76128816">
      <w:pPr>
        <w:keepNext w:val="0"/>
        <w:keepLines w:val="0"/>
        <w:pageBreakBefore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对于公司证照返还纠纷的适格主体，参照公司法相关规定，可以向</w:t>
      </w:r>
      <w:r>
        <w:rPr>
          <w:rFonts w:hint="eastAsia" w:ascii="仿宋_GB2312" w:hAnsi="仿宋_GB2312" w:eastAsia="仿宋_GB2312" w:cs="仿宋_GB2312"/>
          <w:color w:val="auto"/>
          <w:sz w:val="28"/>
          <w:szCs w:val="28"/>
          <w:highlight w:val="none"/>
        </w:rPr>
        <w:t>“控制权关联主体”扩张</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以“多元适格主体”</w:t>
      </w:r>
      <w:r>
        <w:rPr>
          <w:rFonts w:hint="eastAsia" w:ascii="仿宋_GB2312" w:hAnsi="仿宋_GB2312" w:eastAsia="仿宋_GB2312" w:cs="仿宋_GB2312"/>
          <w:color w:val="auto"/>
          <w:sz w:val="28"/>
          <w:szCs w:val="28"/>
          <w:highlight w:val="none"/>
        </w:rPr>
        <w:t>应对</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解决公司无法以自己的意志起诉的</w:t>
      </w:r>
      <w:r>
        <w:rPr>
          <w:rFonts w:hint="eastAsia" w:ascii="仿宋_GB2312" w:hAnsi="仿宋_GB2312" w:eastAsia="仿宋_GB2312" w:cs="仿宋_GB2312"/>
          <w:color w:val="auto"/>
          <w:sz w:val="28"/>
          <w:szCs w:val="28"/>
          <w:highlight w:val="none"/>
          <w:lang w:val="en-US" w:eastAsia="zh-CN"/>
        </w:rPr>
        <w:t>现实</w:t>
      </w:r>
      <w:r>
        <w:rPr>
          <w:rFonts w:hint="eastAsia" w:ascii="仿宋_GB2312" w:hAnsi="仿宋_GB2312" w:eastAsia="仿宋_GB2312" w:cs="仿宋_GB2312"/>
          <w:color w:val="auto"/>
          <w:sz w:val="28"/>
          <w:szCs w:val="28"/>
          <w:highlight w:val="none"/>
        </w:rPr>
        <w:t>困境。在现行公司法规范下</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可借由股东代位提起“损害公司利益责任之诉”实现适格原告范围扩张之目的</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此时</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证照返还纠纷产生与返还原物纠纷（物权法的</w:t>
      </w:r>
      <w:r>
        <w:rPr>
          <w:rFonts w:hint="eastAsia" w:ascii="仿宋_GB2312" w:hAnsi="仿宋_GB2312" w:eastAsia="仿宋_GB2312" w:cs="仿宋_GB2312"/>
          <w:color w:val="auto"/>
          <w:sz w:val="28"/>
          <w:szCs w:val="28"/>
          <w:highlight w:val="none"/>
          <w:lang w:val="en-US" w:eastAsia="zh-CN"/>
        </w:rPr>
        <w:t>外部规范</w:t>
      </w:r>
      <w:r>
        <w:rPr>
          <w:rFonts w:hint="eastAsia" w:ascii="仿宋_GB2312" w:hAnsi="仿宋_GB2312" w:eastAsia="仿宋_GB2312" w:cs="仿宋_GB2312"/>
          <w:color w:val="auto"/>
          <w:sz w:val="28"/>
          <w:szCs w:val="28"/>
          <w:highlight w:val="none"/>
        </w:rPr>
        <w:t>竞合）、损害公司利益责任纠纷（公司法的内部</w:t>
      </w:r>
      <w:r>
        <w:rPr>
          <w:rFonts w:hint="eastAsia" w:ascii="仿宋_GB2312" w:hAnsi="仿宋_GB2312" w:eastAsia="仿宋_GB2312" w:cs="仿宋_GB2312"/>
          <w:color w:val="auto"/>
          <w:sz w:val="28"/>
          <w:szCs w:val="28"/>
          <w:highlight w:val="none"/>
          <w:lang w:val="en-US" w:eastAsia="zh-CN"/>
        </w:rPr>
        <w:t>规范</w:t>
      </w:r>
      <w:r>
        <w:rPr>
          <w:rFonts w:hint="eastAsia" w:ascii="仿宋_GB2312" w:hAnsi="仿宋_GB2312" w:eastAsia="仿宋_GB2312" w:cs="仿宋_GB2312"/>
          <w:color w:val="auto"/>
          <w:sz w:val="28"/>
          <w:szCs w:val="28"/>
          <w:highlight w:val="none"/>
        </w:rPr>
        <w:t>竞合）的多重请求权竞合</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“损害公司利益责任纠纷”中交织了“公司证照返还纠纷”</w:t>
      </w:r>
      <w:r>
        <w:rPr>
          <w:rFonts w:hint="eastAsia" w:ascii="仿宋_GB2312" w:hAnsi="仿宋_GB2312" w:eastAsia="仿宋_GB2312" w:cs="仿宋_GB2312"/>
          <w:color w:val="auto"/>
          <w:sz w:val="28"/>
          <w:szCs w:val="28"/>
          <w:highlight w:val="none"/>
        </w:rPr>
        <w:t>。具体而言</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股东滥用股东权利（《</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公司法》第</w:t>
      </w:r>
      <w:r>
        <w:rPr>
          <w:rFonts w:hint="eastAsia" w:ascii="仿宋_GB2312" w:hAnsi="仿宋_GB2312" w:eastAsia="仿宋_GB2312" w:cs="仿宋_GB2312"/>
          <w:color w:val="auto"/>
          <w:sz w:val="28"/>
          <w:szCs w:val="28"/>
          <w:highlight w:val="none"/>
          <w:lang w:eastAsia="zh-CN"/>
        </w:rPr>
        <w:t>2</w:t>
      </w:r>
      <w:r>
        <w:rPr>
          <w:rFonts w:hint="eastAsia" w:ascii="仿宋_GB2312" w:hAnsi="仿宋_GB2312" w:eastAsia="仿宋_GB2312" w:cs="仿宋_GB2312"/>
          <w:color w:val="auto"/>
          <w:sz w:val="28"/>
          <w:szCs w:val="28"/>
          <w:highlight w:val="none"/>
          <w:lang w:val="en-US" w:eastAsia="zh-CN"/>
        </w:rPr>
        <w:t>1</w:t>
      </w:r>
      <w:r>
        <w:rPr>
          <w:rFonts w:hint="eastAsia" w:ascii="仿宋_GB2312" w:hAnsi="仿宋_GB2312" w:eastAsia="仿宋_GB2312" w:cs="仿宋_GB2312"/>
          <w:color w:val="auto"/>
          <w:sz w:val="28"/>
          <w:szCs w:val="28"/>
          <w:highlight w:val="none"/>
        </w:rPr>
        <w:t>条）</w:t>
      </w:r>
      <w:r>
        <w:rPr>
          <w:rStyle w:val="14"/>
          <w:rFonts w:hint="eastAsia" w:ascii="仿宋_GB2312" w:hAnsi="仿宋_GB2312" w:eastAsia="仿宋_GB2312" w:cs="仿宋_GB2312"/>
          <w:color w:val="auto"/>
          <w:sz w:val="28"/>
          <w:szCs w:val="28"/>
          <w:highlight w:val="none"/>
        </w:rPr>
        <w:footnoteReference w:id="6"/>
      </w:r>
      <w:r>
        <w:rPr>
          <w:rFonts w:hint="eastAsia" w:ascii="仿宋_GB2312" w:hAnsi="仿宋_GB2312" w:eastAsia="仿宋_GB2312" w:cs="仿宋_GB2312"/>
          <w:color w:val="auto"/>
          <w:sz w:val="28"/>
          <w:szCs w:val="28"/>
          <w:highlight w:val="none"/>
        </w:rPr>
        <w:t xml:space="preserve"> 或董事、监事、高级管理人员违反法定义务（《</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公司法》第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80</w:t>
      </w:r>
      <w:r>
        <w:rPr>
          <w:rFonts w:hint="eastAsia" w:ascii="仿宋_GB2312" w:hAnsi="仿宋_GB2312" w:eastAsia="仿宋_GB2312" w:cs="仿宋_GB2312"/>
          <w:color w:val="auto"/>
          <w:sz w:val="28"/>
          <w:szCs w:val="28"/>
          <w:highlight w:val="none"/>
        </w:rPr>
        <w:t>条、第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81</w:t>
      </w:r>
      <w:r>
        <w:rPr>
          <w:rFonts w:hint="eastAsia" w:ascii="仿宋_GB2312" w:hAnsi="仿宋_GB2312" w:eastAsia="仿宋_GB2312" w:cs="仿宋_GB2312"/>
          <w:color w:val="auto"/>
          <w:sz w:val="28"/>
          <w:szCs w:val="28"/>
          <w:highlight w:val="none"/>
        </w:rPr>
        <w:t>条、第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88</w:t>
      </w:r>
      <w:r>
        <w:rPr>
          <w:rFonts w:hint="eastAsia" w:ascii="仿宋_GB2312" w:hAnsi="仿宋_GB2312" w:eastAsia="仿宋_GB2312" w:cs="仿宋_GB2312"/>
          <w:color w:val="auto"/>
          <w:sz w:val="28"/>
          <w:szCs w:val="28"/>
          <w:highlight w:val="none"/>
        </w:rPr>
        <w:t>条）无权占有证照而损害公司利益的</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符合法定条件的股东在先诉请求落空或存在豁免事由的情形下</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可依据</w:t>
      </w:r>
      <w:r>
        <w:rPr>
          <w:rFonts w:hint="eastAsia" w:ascii="仿宋_GB2312" w:hAnsi="仿宋_GB2312" w:eastAsia="仿宋_GB2312" w:cs="仿宋_GB2312"/>
          <w:color w:val="auto"/>
          <w:sz w:val="28"/>
          <w:szCs w:val="28"/>
          <w:highlight w:val="none"/>
          <w:lang w:val="en-US" w:eastAsia="zh-CN"/>
        </w:rPr>
        <w:t>《中华人民共和国公司法》</w:t>
      </w:r>
      <w:r>
        <w:rPr>
          <w:rFonts w:hint="eastAsia" w:ascii="仿宋_GB2312" w:hAnsi="仿宋_GB2312" w:eastAsia="仿宋_GB2312" w:cs="仿宋_GB2312"/>
          <w:color w:val="auto"/>
          <w:sz w:val="28"/>
          <w:szCs w:val="28"/>
          <w:highlight w:val="none"/>
        </w:rPr>
        <w:t>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89</w:t>
      </w:r>
      <w:r>
        <w:rPr>
          <w:rFonts w:hint="eastAsia" w:ascii="仿宋_GB2312" w:hAnsi="仿宋_GB2312" w:eastAsia="仿宋_GB2312" w:cs="仿宋_GB2312"/>
          <w:color w:val="auto"/>
          <w:sz w:val="28"/>
          <w:szCs w:val="28"/>
          <w:highlight w:val="none"/>
        </w:rPr>
        <w:t>条规定“为公司利益以自己的名义直接向人民法院</w:t>
      </w:r>
      <w:r>
        <w:rPr>
          <w:rFonts w:hint="eastAsia" w:ascii="仿宋_GB2312" w:hAnsi="仿宋_GB2312" w:eastAsia="仿宋_GB2312" w:cs="仿宋_GB2312"/>
          <w:color w:val="auto"/>
          <w:sz w:val="28"/>
          <w:szCs w:val="28"/>
          <w:highlight w:val="none"/>
          <w:lang w:val="en-US" w:eastAsia="zh-CN"/>
        </w:rPr>
        <w:t>提起诉讼</w:t>
      </w:r>
      <w:r>
        <w:rPr>
          <w:rFonts w:hint="eastAsia" w:ascii="仿宋_GB2312" w:hAnsi="仿宋_GB2312" w:eastAsia="仿宋_GB2312" w:cs="仿宋_GB2312"/>
          <w:color w:val="auto"/>
          <w:sz w:val="28"/>
          <w:szCs w:val="28"/>
          <w:highlight w:val="none"/>
        </w:rPr>
        <w:t>”</w:t>
      </w:r>
      <w:r>
        <w:rPr>
          <w:rFonts w:hint="eastAsia" w:ascii="仿宋_GB2312" w:hAnsi="仿宋_GB2312" w:eastAsia="仿宋_GB2312" w:cs="仿宋_GB2312"/>
          <w:color w:val="auto"/>
          <w:kern w:val="0"/>
          <w:sz w:val="28"/>
          <w:szCs w:val="28"/>
          <w:highlight w:val="none"/>
          <w:lang w:val="en-US" w:eastAsia="zh-CN"/>
        </w:rPr>
        <w:t>要求返还证照</w:t>
      </w:r>
      <w:r>
        <w:rPr>
          <w:rFonts w:hint="eastAsia" w:ascii="仿宋_GB2312" w:hAnsi="仿宋_GB2312" w:eastAsia="仿宋_GB2312" w:cs="仿宋_GB2312"/>
          <w:color w:val="auto"/>
          <w:sz w:val="28"/>
          <w:szCs w:val="28"/>
          <w:highlight w:val="none"/>
        </w:rPr>
        <w:t>。</w:t>
      </w:r>
      <w:r>
        <w:rPr>
          <w:rStyle w:val="14"/>
          <w:rFonts w:hint="eastAsia" w:ascii="仿宋_GB2312" w:hAnsi="仿宋_GB2312" w:eastAsia="仿宋_GB2312" w:cs="仿宋_GB2312"/>
          <w:color w:val="auto"/>
          <w:sz w:val="28"/>
          <w:szCs w:val="28"/>
          <w:highlight w:val="none"/>
        </w:rPr>
        <w:footnoteReference w:id="7"/>
      </w:r>
      <w:r>
        <w:rPr>
          <w:rFonts w:hint="eastAsia" w:ascii="仿宋_GB2312" w:hAnsi="仿宋_GB2312" w:eastAsia="仿宋_GB2312" w:cs="仿宋_GB2312"/>
          <w:color w:val="auto"/>
          <w:sz w:val="28"/>
          <w:szCs w:val="28"/>
          <w:highlight w:val="none"/>
          <w:lang w:val="en-US" w:eastAsia="zh-CN"/>
        </w:rPr>
        <w:t>司法实践亦有裁判肯定了股东代位提起公司证照返还之路径。</w:t>
      </w:r>
      <w:r>
        <w:rPr>
          <w:rStyle w:val="14"/>
          <w:rFonts w:hint="eastAsia" w:ascii="仿宋_GB2312" w:hAnsi="仿宋_GB2312" w:eastAsia="仿宋_GB2312" w:cs="仿宋_GB2312"/>
          <w:color w:val="auto"/>
          <w:sz w:val="28"/>
          <w:szCs w:val="28"/>
          <w:highlight w:val="none"/>
          <w:lang w:val="en-US" w:eastAsia="zh-CN"/>
        </w:rPr>
        <w:footnoteReference w:id="8"/>
      </w:r>
      <w:r>
        <w:rPr>
          <w:rFonts w:hint="eastAsia" w:ascii="仿宋_GB2312" w:hAnsi="仿宋_GB2312" w:eastAsia="仿宋_GB2312" w:cs="仿宋_GB2312"/>
          <w:color w:val="auto"/>
          <w:sz w:val="28"/>
          <w:szCs w:val="28"/>
          <w:highlight w:val="none"/>
          <w:lang w:val="en-US" w:eastAsia="zh-CN"/>
        </w:rPr>
        <w:t>在股东代位行使诉权的公司证照返还纠纷下，此时原告应为公司股东，被告一般为占有公司证照的董监高或股东，公司作为第三人参加诉讼。原告主体资格的审查范围为股东（原告）是否具备代位公司（被告）提起本案诉讼的原告主体资格身份。</w:t>
      </w:r>
    </w:p>
    <w:p w14:paraId="68B19CA8">
      <w:pPr>
        <w:keepNext w:val="0"/>
        <w:keepLines w:val="0"/>
        <w:pageBreakBefore w:val="0"/>
        <w:widowControl/>
        <w:numPr>
          <w:ilvl w:val="-1"/>
          <w:numId w:val="0"/>
        </w:numPr>
        <w:kinsoku/>
        <w:wordWrap/>
        <w:overflowPunct/>
        <w:topLinePunct w:val="0"/>
        <w:autoSpaceDE/>
        <w:autoSpaceDN/>
        <w:bidi w:val="0"/>
        <w:adjustRightInd w:val="0"/>
        <w:snapToGrid w:val="0"/>
        <w:ind w:left="0" w:firstLine="562" w:firstLineChars="200"/>
        <w:textAlignment w:val="auto"/>
        <w:outlineLvl w:val="1"/>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（三）母公司股东双重代表诉讼</w:t>
      </w:r>
    </w:p>
    <w:p w14:paraId="5565E702">
      <w:pPr>
        <w:keepNext w:val="0"/>
        <w:keepLines w:val="0"/>
        <w:pageBreakBefore w:val="0"/>
        <w:widowControl w:val="0"/>
        <w:numPr>
          <w:ilvl w:val="-1"/>
          <w:numId w:val="0"/>
        </w:numPr>
        <w:kinsoku/>
        <w:wordWrap/>
        <w:overflowPunct/>
        <w:topLinePunct w:val="0"/>
        <w:autoSpaceDE/>
        <w:autoSpaceDN/>
        <w:bidi w:val="0"/>
        <w:adjustRightInd w:val="0"/>
        <w:snapToGrid w:val="0"/>
        <w:ind w:left="0" w:firstLine="560" w:firstLineChars="20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伴随着公司形态朝立体化方向发展，在多重母子公司架构逐渐成为现代公司集团化发展的重要形式背景下</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子公司利益遭到董监高或他人侵害</w:t>
      </w:r>
      <w:r>
        <w:rPr>
          <w:rFonts w:hint="eastAsia" w:ascii="仿宋_GB2312" w:hAnsi="仿宋_GB2312" w:eastAsia="仿宋_GB2312" w:cs="仿宋_GB2312"/>
          <w:color w:val="auto"/>
          <w:sz w:val="28"/>
          <w:szCs w:val="28"/>
          <w:highlight w:val="none"/>
          <w:lang w:eastAsia="zh-CN"/>
        </w:rPr>
        <w:t>的</w:t>
      </w:r>
      <w:r>
        <w:rPr>
          <w:rFonts w:hint="eastAsia" w:ascii="仿宋_GB2312" w:hAnsi="仿宋_GB2312" w:eastAsia="仿宋_GB2312" w:cs="仿宋_GB2312"/>
          <w:color w:val="auto"/>
          <w:sz w:val="28"/>
          <w:szCs w:val="28"/>
          <w:highlight w:val="none"/>
          <w:lang w:val="en-US" w:eastAsia="zh-CN"/>
        </w:rPr>
        <w:t>现象逐渐引起关注，</w:t>
      </w:r>
      <w:r>
        <w:rPr>
          <w:rFonts w:hint="eastAsia" w:ascii="仿宋_GB2312" w:hAnsi="仿宋_GB2312" w:eastAsia="仿宋_GB2312" w:cs="仿宋_GB2312"/>
          <w:color w:val="auto"/>
          <w:sz w:val="28"/>
          <w:szCs w:val="28"/>
          <w:highlight w:val="none"/>
        </w:rPr>
        <w:t>母公司股东提起代位诉讼的现实需求日益增长</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学界对</w:t>
      </w:r>
      <w:r>
        <w:rPr>
          <w:rFonts w:hint="eastAsia" w:ascii="仿宋_GB2312" w:hAnsi="仿宋_GB2312" w:eastAsia="仿宋_GB2312" w:cs="仿宋_GB2312"/>
          <w:color w:val="auto"/>
          <w:sz w:val="28"/>
          <w:szCs w:val="28"/>
          <w:highlight w:val="none"/>
          <w:lang w:val="en-US" w:eastAsia="zh-CN"/>
        </w:rPr>
        <w:t>是否创设</w:t>
      </w:r>
      <w:r>
        <w:rPr>
          <w:rFonts w:hint="eastAsia" w:ascii="仿宋_GB2312" w:hAnsi="仿宋_GB2312" w:eastAsia="仿宋_GB2312" w:cs="仿宋_GB2312"/>
          <w:color w:val="auto"/>
          <w:sz w:val="28"/>
          <w:szCs w:val="28"/>
          <w:highlight w:val="none"/>
        </w:rPr>
        <w:t>股东双重代表诉讼制度</w:t>
      </w:r>
      <w:r>
        <w:rPr>
          <w:rFonts w:hint="eastAsia" w:ascii="仿宋_GB2312" w:hAnsi="仿宋_GB2312" w:eastAsia="仿宋_GB2312" w:cs="仿宋_GB2312"/>
          <w:color w:val="auto"/>
          <w:sz w:val="28"/>
          <w:szCs w:val="28"/>
          <w:highlight w:val="none"/>
          <w:lang w:val="en-US" w:eastAsia="zh-CN"/>
        </w:rPr>
        <w:t>多有讨论。股东双重代表诉讼的制度功能在于，当子公司怠于或拒绝追究民事赔偿责任时，允许持有母公司股份的股东针对该子公司董事等侵害公司利益行为提起双重代表诉讼；防止母公司出资权益因子公司利益损失而遭到损害，持有母公司股份的股东也将因母公司权益损害而遭受间接损失。</w:t>
      </w:r>
      <w:r>
        <w:rPr>
          <w:rStyle w:val="14"/>
          <w:rFonts w:hint="eastAsia" w:ascii="仿宋_GB2312" w:hAnsi="仿宋_GB2312" w:eastAsia="仿宋_GB2312" w:cs="仿宋_GB2312"/>
          <w:color w:val="auto"/>
          <w:sz w:val="28"/>
          <w:szCs w:val="28"/>
          <w:highlight w:val="none"/>
          <w:lang w:val="en-US" w:eastAsia="zh-CN"/>
        </w:rPr>
        <w:footnoteReference w:id="9"/>
      </w:r>
      <w:r>
        <w:rPr>
          <w:rFonts w:hint="eastAsia" w:ascii="仿宋_GB2312" w:hAnsi="仿宋_GB2312" w:eastAsia="仿宋_GB2312" w:cs="仿宋_GB2312"/>
          <w:color w:val="auto"/>
          <w:sz w:val="28"/>
          <w:szCs w:val="28"/>
          <w:highlight w:val="none"/>
          <w:lang w:val="en-US" w:eastAsia="zh-CN"/>
        </w:rPr>
        <w:t>反对观点则认为，股东双重代表诉讼侵染</w:t>
      </w:r>
      <w:r>
        <w:rPr>
          <w:rFonts w:hint="eastAsia" w:ascii="仿宋_GB2312" w:hAnsi="仿宋_GB2312" w:eastAsia="仿宋_GB2312" w:cs="仿宋_GB2312"/>
          <w:color w:val="auto"/>
          <w:sz w:val="28"/>
          <w:szCs w:val="28"/>
          <w:highlight w:val="none"/>
        </w:rPr>
        <w:t>公司独立诉权和意思自治</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与资本多数决、公司有限责任存在潜在冲突，从而弱化公司人格独立原则。</w:t>
      </w:r>
      <w:r>
        <w:rPr>
          <w:rStyle w:val="14"/>
          <w:rFonts w:hint="eastAsia" w:ascii="仿宋_GB2312" w:hAnsi="仿宋_GB2312" w:eastAsia="仿宋_GB2312" w:cs="仿宋_GB2312"/>
          <w:color w:val="auto"/>
          <w:sz w:val="28"/>
          <w:szCs w:val="28"/>
          <w:highlight w:val="none"/>
          <w:lang w:val="en-US" w:eastAsia="zh-CN"/>
        </w:rPr>
        <w:footnoteReference w:id="10"/>
      </w:r>
      <w:r>
        <w:rPr>
          <w:rFonts w:hint="eastAsia" w:ascii="仿宋_GB2312" w:hAnsi="仿宋_GB2312" w:eastAsia="仿宋_GB2312" w:cs="仿宋_GB2312"/>
          <w:color w:val="auto"/>
          <w:sz w:val="28"/>
          <w:szCs w:val="28"/>
          <w:highlight w:val="none"/>
          <w:lang w:val="en-US" w:eastAsia="zh-CN"/>
        </w:rPr>
        <w:t>因旧公司法未明文规定股东双重代表诉讼制度，司法实务对此亦长期存在正反两种观点。</w:t>
      </w:r>
      <w:r>
        <w:rPr>
          <w:rFonts w:hint="eastAsia" w:ascii="仿宋_GB2312" w:hAnsi="仿宋_GB2312" w:eastAsia="仿宋_GB2312" w:cs="仿宋_GB2312"/>
          <w:color w:val="auto"/>
          <w:sz w:val="28"/>
          <w:szCs w:val="28"/>
          <w:highlight w:val="none"/>
        </w:rPr>
        <w:t>2008年“上海蔻薇尔案”</w:t>
      </w:r>
      <w:r>
        <w:rPr>
          <w:rFonts w:hint="eastAsia" w:ascii="仿宋_GB2312" w:hAnsi="仿宋_GB2312" w:eastAsia="仿宋_GB2312" w:cs="仿宋_GB2312"/>
          <w:color w:val="auto"/>
          <w:sz w:val="28"/>
          <w:szCs w:val="28"/>
          <w:highlight w:val="none"/>
          <w:lang w:val="en-US" w:eastAsia="zh-CN"/>
        </w:rPr>
        <w:t>中</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法院以旧公司法仅规定股东代表诉讼制度为由，认定母公司股东并非适格原告。</w:t>
      </w:r>
      <w:r>
        <w:rPr>
          <w:rStyle w:val="14"/>
          <w:rFonts w:hint="eastAsia" w:ascii="仿宋_GB2312" w:hAnsi="仿宋_GB2312" w:eastAsia="仿宋_GB2312" w:cs="仿宋_GB2312"/>
          <w:color w:val="auto"/>
          <w:sz w:val="28"/>
          <w:szCs w:val="28"/>
          <w:highlight w:val="none"/>
        </w:rPr>
        <w:footnoteReference w:id="11"/>
      </w:r>
      <w:r>
        <w:rPr>
          <w:rFonts w:hint="eastAsia" w:ascii="仿宋_GB2312" w:hAnsi="仿宋_GB2312" w:eastAsia="仿宋_GB2312" w:cs="仿宋_GB2312"/>
          <w:color w:val="auto"/>
          <w:sz w:val="28"/>
          <w:szCs w:val="28"/>
          <w:highlight w:val="none"/>
          <w:lang w:val="en-US" w:eastAsia="zh-CN"/>
        </w:rPr>
        <w:t>与之相反，“海航酒店控股集团有限公司等诉赵小海损害公司利益责任纠纷案”中，法院则认为</w:t>
      </w:r>
      <w:r>
        <w:rPr>
          <w:rFonts w:hint="eastAsia" w:ascii="仿宋_GB2312" w:hAnsi="仿宋_GB2312" w:eastAsia="仿宋_GB2312" w:cs="仿宋_GB2312"/>
          <w:i w:val="0"/>
          <w:iCs w:val="0"/>
          <w:caps w:val="0"/>
          <w:color w:val="auto"/>
          <w:spacing w:val="0"/>
          <w:kern w:val="2"/>
          <w:sz w:val="28"/>
          <w:szCs w:val="28"/>
          <w:highlight w:val="none"/>
          <w:u w:val="none"/>
          <w:shd w:val="clear" w:fill="auto"/>
          <w:lang w:val="en-US" w:eastAsia="zh-CN" w:bidi="ar"/>
        </w:rPr>
        <w:t>母公司的股东为了子公司的利益以自己的名义提起诉讼不违反</w:t>
      </w:r>
      <w:r>
        <w:rPr>
          <w:rFonts w:hint="eastAsia" w:ascii="仿宋_GB2312" w:hAnsi="仿宋_GB2312" w:eastAsia="仿宋_GB2312" w:cs="仿宋_GB2312"/>
          <w:i w:val="0"/>
          <w:iCs w:val="0"/>
          <w:caps w:val="0"/>
          <w:color w:val="auto"/>
          <w:spacing w:val="0"/>
          <w:kern w:val="2"/>
          <w:sz w:val="28"/>
          <w:szCs w:val="28"/>
          <w:highlight w:val="none"/>
          <w:u w:val="none"/>
          <w:vertAlign w:val="baseline"/>
          <w:lang w:val="en-US" w:eastAsia="zh-CN" w:bidi="ar"/>
        </w:rPr>
        <w:fldChar w:fldCharType="begin"/>
      </w:r>
      <w:r>
        <w:rPr>
          <w:rFonts w:hint="eastAsia" w:ascii="仿宋_GB2312" w:hAnsi="仿宋_GB2312" w:eastAsia="仿宋_GB2312" w:cs="仿宋_GB2312"/>
          <w:i w:val="0"/>
          <w:iCs w:val="0"/>
          <w:caps w:val="0"/>
          <w:color w:val="auto"/>
          <w:spacing w:val="0"/>
          <w:kern w:val="2"/>
          <w:sz w:val="28"/>
          <w:szCs w:val="28"/>
          <w:highlight w:val="none"/>
          <w:u w:val="none"/>
          <w:vertAlign w:val="baseline"/>
          <w:lang w:val="en-US" w:eastAsia="zh-CN" w:bidi="ar"/>
        </w:rPr>
        <w:instrText xml:space="preserve"> HYPERLINK "http://gfggi66f6a8ad06ba47d9s9nvvonxnw0uu666x.fbch.oca.swupl.edu.cn/chl/1b2641cb68c3ed21bdfb.html?way=textSlc" \t "/Users/gongwenjuan/Documents\\x/_blank" </w:instrText>
      </w:r>
      <w:r>
        <w:rPr>
          <w:rFonts w:hint="eastAsia" w:ascii="仿宋_GB2312" w:hAnsi="仿宋_GB2312" w:eastAsia="仿宋_GB2312" w:cs="仿宋_GB2312"/>
          <w:i w:val="0"/>
          <w:iCs w:val="0"/>
          <w:caps w:val="0"/>
          <w:color w:val="auto"/>
          <w:spacing w:val="0"/>
          <w:kern w:val="2"/>
          <w:sz w:val="28"/>
          <w:szCs w:val="28"/>
          <w:highlight w:val="none"/>
          <w:u w:val="none"/>
          <w:vertAlign w:val="baseline"/>
          <w:lang w:val="en-US" w:eastAsia="zh-CN" w:bidi="ar"/>
        </w:rPr>
        <w:fldChar w:fldCharType="separate"/>
      </w:r>
      <w:r>
        <w:rPr>
          <w:rStyle w:val="12"/>
          <w:rFonts w:hint="eastAsia" w:ascii="仿宋_GB2312" w:hAnsi="仿宋_GB2312" w:eastAsia="仿宋_GB2312" w:cs="仿宋_GB2312"/>
          <w:i w:val="0"/>
          <w:iCs w:val="0"/>
          <w:caps w:val="0"/>
          <w:color w:val="auto"/>
          <w:spacing w:val="0"/>
          <w:sz w:val="28"/>
          <w:szCs w:val="28"/>
          <w:highlight w:val="none"/>
          <w:u w:val="none"/>
          <w:vertAlign w:val="baseline"/>
        </w:rPr>
        <w:t>公司法</w:t>
      </w:r>
      <w:r>
        <w:rPr>
          <w:rFonts w:hint="eastAsia" w:ascii="仿宋_GB2312" w:hAnsi="仿宋_GB2312" w:eastAsia="仿宋_GB2312" w:cs="仿宋_GB2312"/>
          <w:i w:val="0"/>
          <w:iCs w:val="0"/>
          <w:caps w:val="0"/>
          <w:color w:val="auto"/>
          <w:spacing w:val="0"/>
          <w:kern w:val="2"/>
          <w:sz w:val="28"/>
          <w:szCs w:val="28"/>
          <w:highlight w:val="none"/>
          <w:u w:val="none"/>
          <w:vertAlign w:val="baseline"/>
          <w:lang w:val="en-US" w:eastAsia="zh-CN" w:bidi="ar"/>
        </w:rPr>
        <w:fldChar w:fldCharType="end"/>
      </w:r>
      <w:r>
        <w:rPr>
          <w:rFonts w:hint="eastAsia" w:ascii="仿宋_GB2312" w:hAnsi="仿宋_GB2312" w:eastAsia="仿宋_GB2312" w:cs="仿宋_GB2312"/>
          <w:i w:val="0"/>
          <w:iCs w:val="0"/>
          <w:caps w:val="0"/>
          <w:color w:val="auto"/>
          <w:spacing w:val="0"/>
          <w:kern w:val="2"/>
          <w:sz w:val="28"/>
          <w:szCs w:val="28"/>
          <w:highlight w:val="none"/>
          <w:u w:val="none"/>
          <w:shd w:val="clear" w:fill="auto"/>
          <w:lang w:val="en-US" w:eastAsia="zh-CN" w:bidi="ar"/>
        </w:rPr>
        <w:t>规定。</w:t>
      </w:r>
      <w:r>
        <w:rPr>
          <w:rStyle w:val="14"/>
          <w:rFonts w:hint="eastAsia" w:ascii="仿宋_GB2312" w:hAnsi="仿宋_GB2312" w:eastAsia="仿宋_GB2312" w:cs="仿宋_GB2312"/>
          <w:i w:val="0"/>
          <w:iCs w:val="0"/>
          <w:caps w:val="0"/>
          <w:color w:val="auto"/>
          <w:spacing w:val="0"/>
          <w:kern w:val="2"/>
          <w:sz w:val="28"/>
          <w:szCs w:val="28"/>
          <w:highlight w:val="none"/>
          <w:u w:val="none"/>
          <w:shd w:val="clear"/>
          <w:lang w:val="en-US" w:eastAsia="zh-CN" w:bidi="ar"/>
        </w:rPr>
        <w:footnoteReference w:id="12"/>
      </w:r>
      <w:r>
        <w:rPr>
          <w:rFonts w:hint="eastAsia" w:ascii="仿宋_GB2312" w:hAnsi="仿宋_GB2312" w:eastAsia="仿宋_GB2312" w:cs="仿宋_GB2312"/>
          <w:i w:val="0"/>
          <w:iCs w:val="0"/>
          <w:caps w:val="0"/>
          <w:color w:val="auto"/>
          <w:spacing w:val="0"/>
          <w:kern w:val="2"/>
          <w:sz w:val="28"/>
          <w:szCs w:val="28"/>
          <w:highlight w:val="none"/>
          <w:u w:val="none"/>
          <w:shd w:val="clear"/>
          <w:lang w:val="en-US" w:eastAsia="zh-CN" w:bidi="ar"/>
        </w:rPr>
        <w:t>关于</w:t>
      </w:r>
      <w:r>
        <w:rPr>
          <w:rFonts w:hint="eastAsia" w:ascii="仿宋_GB2312" w:hAnsi="仿宋_GB2312" w:eastAsia="仿宋_GB2312" w:cs="仿宋_GB2312"/>
          <w:color w:val="auto"/>
          <w:sz w:val="28"/>
          <w:szCs w:val="28"/>
          <w:highlight w:val="none"/>
          <w:lang w:val="en-US" w:eastAsia="zh-CN"/>
        </w:rPr>
        <w:t>股东双重代表诉讼的观点分歧实质是公司人格独立与股东监督之间价值取向分歧。</w:t>
      </w:r>
      <w:r>
        <w:rPr>
          <w:rStyle w:val="14"/>
          <w:rFonts w:hint="eastAsia" w:ascii="仿宋_GB2312" w:hAnsi="仿宋_GB2312" w:eastAsia="仿宋_GB2312" w:cs="仿宋_GB2312"/>
          <w:color w:val="auto"/>
          <w:sz w:val="28"/>
          <w:szCs w:val="28"/>
          <w:highlight w:val="none"/>
          <w:lang w:val="en-US" w:eastAsia="zh-CN"/>
        </w:rPr>
        <w:footnoteReference w:id="13"/>
      </w:r>
      <w:r>
        <w:rPr>
          <w:rFonts w:hint="eastAsia" w:ascii="仿宋_GB2312" w:hAnsi="仿宋_GB2312" w:eastAsia="仿宋_GB2312" w:cs="仿宋_GB2312"/>
          <w:color w:val="auto"/>
          <w:sz w:val="28"/>
          <w:szCs w:val="28"/>
          <w:highlight w:val="none"/>
          <w:lang w:val="en-US" w:eastAsia="zh-CN"/>
        </w:rPr>
        <w:t>笔者认为，</w:t>
      </w:r>
      <w:r>
        <w:rPr>
          <w:rFonts w:hint="eastAsia" w:ascii="仿宋_GB2312" w:hAnsi="仿宋_GB2312" w:eastAsia="仿宋_GB2312" w:cs="仿宋_GB2312"/>
          <w:color w:val="auto"/>
          <w:sz w:val="28"/>
          <w:szCs w:val="28"/>
          <w:highlight w:val="none"/>
        </w:rPr>
        <w:t>公司多重间接持股架构</w:t>
      </w:r>
      <w:r>
        <w:rPr>
          <w:rFonts w:hint="eastAsia" w:ascii="仿宋_GB2312" w:hAnsi="仿宋_GB2312" w:eastAsia="仿宋_GB2312" w:cs="仿宋_GB2312"/>
          <w:color w:val="auto"/>
          <w:sz w:val="28"/>
          <w:szCs w:val="28"/>
          <w:highlight w:val="none"/>
          <w:lang w:val="en-US" w:eastAsia="zh-CN"/>
        </w:rPr>
        <w:t>愈发常见，大量实例表明其一方面为资本带来控制力与风险隔离等好处，另一方面却衍生公司治理困局与中小股东利益保护缺失等隐患，此时股东双重代表诉讼作为一种衡平法上的例外或补充性救济措施便显得尤为必要。</w:t>
      </w:r>
      <w:commentRangeStart w:id="8"/>
      <w:r>
        <w:rPr>
          <w:rFonts w:hint="eastAsia" w:ascii="仿宋_GB2312" w:hAnsi="仿宋_GB2312" w:eastAsia="仿宋_GB2312" w:cs="仿宋_GB2312"/>
          <w:color w:val="auto"/>
          <w:sz w:val="28"/>
          <w:szCs w:val="28"/>
          <w:highlight w:val="none"/>
          <w:lang w:val="en-US" w:eastAsia="zh-CN"/>
        </w:rPr>
        <w:t>其理论基础主要包括诉讼法上的诉讼担当论，以及公司法上的控制权论、期待利益落空论、财产独立与资产分割论等。</w:t>
      </w:r>
      <w:commentRangeEnd w:id="8"/>
      <w:r>
        <w:commentReference w:id="8"/>
      </w:r>
      <w:r>
        <w:rPr>
          <w:rStyle w:val="14"/>
          <w:rFonts w:hint="eastAsia" w:ascii="仿宋_GB2312" w:hAnsi="仿宋_GB2312" w:eastAsia="仿宋_GB2312" w:cs="仿宋_GB2312"/>
          <w:color w:val="auto"/>
          <w:sz w:val="28"/>
          <w:szCs w:val="28"/>
          <w:highlight w:val="none"/>
          <w:lang w:val="en-US" w:eastAsia="zh-CN"/>
        </w:rPr>
        <w:footnoteReference w:id="14"/>
      </w:r>
      <w:commentRangeStart w:id="9"/>
      <w:r>
        <w:rPr>
          <w:rFonts w:hint="eastAsia" w:ascii="仿宋_GB2312" w:hAnsi="仿宋_GB2312" w:eastAsia="仿宋_GB2312" w:cs="仿宋_GB2312"/>
          <w:color w:val="auto"/>
          <w:sz w:val="28"/>
          <w:szCs w:val="28"/>
          <w:highlight w:val="none"/>
          <w:lang w:val="en-US" w:eastAsia="zh-CN"/>
        </w:rPr>
        <w:t>私法是国家试图规制市场的一种制度安排</w:t>
      </w:r>
      <w:commentRangeEnd w:id="9"/>
      <w:r>
        <w:commentReference w:id="9"/>
      </w:r>
      <w:r>
        <w:rPr>
          <w:rFonts w:hint="eastAsia" w:ascii="仿宋_GB2312" w:hAnsi="仿宋_GB2312" w:eastAsia="仿宋_GB2312" w:cs="仿宋_GB2312"/>
          <w:color w:val="auto"/>
          <w:sz w:val="28"/>
          <w:szCs w:val="28"/>
          <w:highlight w:val="none"/>
          <w:lang w:val="en-US" w:eastAsia="zh-CN"/>
        </w:rPr>
        <w:t>，</w:t>
      </w:r>
      <w:r>
        <w:rPr>
          <w:rStyle w:val="14"/>
          <w:rFonts w:hint="eastAsia" w:ascii="仿宋_GB2312" w:hAnsi="仿宋_GB2312" w:eastAsia="仿宋_GB2312" w:cs="仿宋_GB2312"/>
          <w:color w:val="auto"/>
          <w:sz w:val="28"/>
          <w:szCs w:val="28"/>
          <w:highlight w:val="none"/>
          <w:lang w:val="en-US" w:eastAsia="zh-CN"/>
        </w:rPr>
        <w:t>[</w:t>
      </w:r>
      <w:r>
        <w:rPr>
          <w:rStyle w:val="14"/>
          <w:rFonts w:hint="eastAsia" w:ascii="仿宋_GB2312" w:hAnsi="仿宋_GB2312" w:eastAsia="仿宋_GB2312" w:cs="仿宋_GB2312"/>
          <w:color w:val="auto"/>
          <w:sz w:val="28"/>
          <w:szCs w:val="28"/>
          <w:highlight w:val="none"/>
          <w:lang w:val="en-US" w:eastAsia="zh-CN"/>
        </w:rPr>
        <w:footnoteReference w:id="15"/>
      </w:r>
      <w:r>
        <w:rPr>
          <w:rStyle w:val="14"/>
          <w:rFonts w:hint="eastAsia" w:ascii="仿宋_GB2312" w:hAnsi="仿宋_GB2312" w:eastAsia="仿宋_GB2312" w:cs="仿宋_GB2312"/>
          <w:color w:val="auto"/>
          <w:sz w:val="28"/>
          <w:szCs w:val="28"/>
          <w:highlight w:val="none"/>
          <w:lang w:val="en-US" w:eastAsia="zh-CN"/>
        </w:rPr>
        <w:t>]</w:t>
      </w:r>
      <w:r>
        <w:rPr>
          <w:rFonts w:hint="eastAsia" w:ascii="仿宋_GB2312" w:hAnsi="仿宋_GB2312" w:eastAsia="仿宋_GB2312" w:cs="仿宋_GB2312"/>
          <w:color w:val="auto"/>
          <w:sz w:val="28"/>
          <w:szCs w:val="28"/>
          <w:highlight w:val="none"/>
          <w:lang w:val="en-US" w:eastAsia="zh-CN"/>
        </w:rPr>
        <w:t>为因应社会发展需求立法者采纳了肯定说，2023年</w:t>
      </w:r>
      <w:r>
        <w:rPr>
          <w:rFonts w:hint="eastAsia" w:ascii="仿宋_GB2312" w:hAnsi="仿宋_GB2312" w:eastAsia="仿宋_GB2312" w:cs="仿宋_GB2312"/>
          <w:color w:val="auto"/>
          <w:sz w:val="28"/>
          <w:szCs w:val="28"/>
          <w:highlight w:val="none"/>
        </w:rPr>
        <w:t>12月29日修订</w:t>
      </w:r>
      <w:r>
        <w:rPr>
          <w:rFonts w:hint="eastAsia" w:ascii="仿宋_GB2312" w:hAnsi="仿宋_GB2312" w:eastAsia="仿宋_GB2312" w:cs="仿宋_GB2312"/>
          <w:color w:val="auto"/>
          <w:sz w:val="28"/>
          <w:szCs w:val="28"/>
          <w:highlight w:val="none"/>
          <w:lang w:val="en-US" w:eastAsia="zh-CN"/>
        </w:rPr>
        <w:t>的《中华人民共和国公司法》</w:t>
      </w:r>
      <w:r>
        <w:rPr>
          <w:rFonts w:hint="eastAsia" w:ascii="仿宋_GB2312" w:hAnsi="仿宋_GB2312" w:eastAsia="仿宋_GB2312" w:cs="仿宋_GB2312"/>
          <w:color w:val="auto"/>
          <w:sz w:val="28"/>
          <w:szCs w:val="28"/>
          <w:highlight w:val="none"/>
        </w:rPr>
        <w:t>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89</w:t>
      </w:r>
      <w:r>
        <w:rPr>
          <w:rFonts w:hint="eastAsia" w:ascii="仿宋_GB2312" w:hAnsi="仿宋_GB2312" w:eastAsia="仿宋_GB2312" w:cs="仿宋_GB2312"/>
          <w:color w:val="auto"/>
          <w:sz w:val="28"/>
          <w:szCs w:val="28"/>
          <w:highlight w:val="none"/>
        </w:rPr>
        <w:t>条第</w:t>
      </w:r>
      <w:r>
        <w:rPr>
          <w:rFonts w:hint="eastAsia" w:ascii="仿宋_GB2312" w:hAnsi="仿宋_GB2312" w:eastAsia="仿宋_GB2312" w:cs="仿宋_GB2312"/>
          <w:color w:val="auto"/>
          <w:sz w:val="28"/>
          <w:szCs w:val="28"/>
          <w:highlight w:val="none"/>
          <w:lang w:eastAsia="zh-CN"/>
        </w:rPr>
        <w:t>4</w:t>
      </w:r>
      <w:r>
        <w:rPr>
          <w:rFonts w:hint="eastAsia" w:ascii="仿宋_GB2312" w:hAnsi="仿宋_GB2312" w:eastAsia="仿宋_GB2312" w:cs="仿宋_GB2312"/>
          <w:color w:val="auto"/>
          <w:sz w:val="28"/>
          <w:szCs w:val="28"/>
          <w:highlight w:val="none"/>
        </w:rPr>
        <w:t>款新增股东双重代表诉讼制度</w:t>
      </w:r>
      <w:r>
        <w:rPr>
          <w:rFonts w:hint="eastAsia" w:ascii="仿宋_GB2312" w:hAnsi="仿宋_GB2312" w:eastAsia="仿宋_GB2312" w:cs="仿宋_GB2312"/>
          <w:color w:val="auto"/>
          <w:sz w:val="28"/>
          <w:szCs w:val="28"/>
          <w:highlight w:val="none"/>
          <w:lang w:eastAsia="zh-CN"/>
        </w:rPr>
        <w:t>，</w:t>
      </w:r>
      <w:r>
        <w:rPr>
          <w:rStyle w:val="14"/>
          <w:rFonts w:hint="eastAsia" w:ascii="仿宋_GB2312" w:hAnsi="仿宋_GB2312" w:eastAsia="仿宋_GB2312" w:cs="仿宋_GB2312"/>
          <w:color w:val="auto"/>
          <w:sz w:val="28"/>
          <w:szCs w:val="28"/>
          <w:highlight w:val="none"/>
        </w:rPr>
        <w:footnoteReference w:id="16"/>
      </w:r>
      <w:r>
        <w:rPr>
          <w:rFonts w:hint="eastAsia" w:ascii="仿宋_GB2312" w:hAnsi="仿宋_GB2312" w:eastAsia="仿宋_GB2312" w:cs="仿宋_GB2312"/>
          <w:color w:val="auto"/>
          <w:sz w:val="28"/>
          <w:szCs w:val="28"/>
          <w:highlight w:val="none"/>
          <w:lang w:val="en-US" w:eastAsia="zh-CN"/>
        </w:rPr>
        <w:t>以此实定法平息了理论之争。</w:t>
      </w:r>
    </w:p>
    <w:p w14:paraId="0C38C6CB">
      <w:pPr>
        <w:keepNext w:val="0"/>
        <w:keepLines w:val="0"/>
        <w:pageBreakBefore w:val="0"/>
        <w:widowControl w:val="0"/>
        <w:numPr>
          <w:ilvl w:val="-1"/>
          <w:numId w:val="0"/>
        </w:numPr>
        <w:kinsoku/>
        <w:wordWrap/>
        <w:overflowPunct/>
        <w:topLinePunct w:val="0"/>
        <w:autoSpaceDE/>
        <w:autoSpaceDN/>
        <w:bidi w:val="0"/>
        <w:adjustRightInd w:val="0"/>
        <w:snapToGrid w:val="0"/>
        <w:ind w:left="0" w:firstLine="560" w:firstLineChars="200"/>
        <w:jc w:val="left"/>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具体到公司证照返还纠纷，因公司证照为用于证明公司身份、资格、资质的证件和执照，系</w:t>
      </w:r>
      <w:r>
        <w:rPr>
          <w:rFonts w:hint="eastAsia" w:ascii="仿宋_GB2312" w:hAnsi="仿宋_GB2312" w:eastAsia="仿宋_GB2312" w:cs="仿宋_GB2312"/>
          <w:color w:val="auto"/>
          <w:kern w:val="0"/>
          <w:sz w:val="28"/>
          <w:szCs w:val="28"/>
          <w:highlight w:val="none"/>
          <w:lang w:val="en-US" w:eastAsia="zh-CN"/>
        </w:rPr>
        <w:t>公司日常经营所需的具有象征功能和证明功能各类物品，故公司证照</w:t>
      </w:r>
      <w:r>
        <w:rPr>
          <w:rFonts w:hint="eastAsia" w:ascii="仿宋_GB2312" w:hAnsi="仿宋_GB2312" w:eastAsia="仿宋_GB2312" w:cs="仿宋_GB2312"/>
          <w:color w:val="auto"/>
          <w:sz w:val="28"/>
          <w:szCs w:val="28"/>
          <w:highlight w:val="none"/>
          <w:lang w:val="en-US" w:eastAsia="zh-CN"/>
        </w:rPr>
        <w:t>被他人侵占将对公司正常经营产生严重影响，是公司利益受损的一种表现形式，存在触发股东双重代表诉讼的可能性。母公司作为全资股东，依据《中华人民共和国公司法》第4条对子公司依法享有资产收益等权利；实际上，子公司即为母公司的资产。子公司证照被不法侵占，产生经营失范风险，对其盈利能力产生负面影响；子公司资产价值受损对母公司资产产生直接负面影响，进而对母公司股东的资产收益造成不良影响。本文所列举的</w:t>
      </w:r>
      <w:r>
        <w:rPr>
          <w:rFonts w:hint="eastAsia" w:ascii="仿宋_GB2312" w:hAnsi="仿宋_GB2312" w:eastAsia="仿宋_GB2312" w:cs="仿宋_GB2312"/>
          <w:color w:val="auto"/>
          <w:spacing w:val="-20"/>
          <w:sz w:val="28"/>
          <w:szCs w:val="28"/>
          <w:highlight w:val="none"/>
          <w:lang w:eastAsia="zh-CN"/>
        </w:rPr>
        <w:t>“</w:t>
      </w:r>
      <w:r>
        <w:rPr>
          <w:rFonts w:hint="eastAsia" w:ascii="仿宋_GB2312" w:hAnsi="仿宋_GB2312" w:eastAsia="仿宋_GB2312" w:cs="仿宋_GB2312"/>
          <w:color w:val="auto"/>
          <w:spacing w:val="-20"/>
          <w:sz w:val="28"/>
          <w:szCs w:val="28"/>
          <w:highlight w:val="none"/>
          <w:lang w:val="en-US" w:eastAsia="zh-CN"/>
        </w:rPr>
        <w:t>保险箱争夺案</w:t>
      </w:r>
      <w:r>
        <w:rPr>
          <w:rFonts w:hint="eastAsia" w:ascii="仿宋_GB2312" w:hAnsi="仿宋_GB2312" w:eastAsia="仿宋_GB2312" w:cs="仿宋_GB2312"/>
          <w:color w:val="auto"/>
          <w:spacing w:val="-20"/>
          <w:sz w:val="28"/>
          <w:szCs w:val="28"/>
          <w:highlight w:val="none"/>
          <w:lang w:eastAsia="zh-CN"/>
        </w:rPr>
        <w:t>”的</w:t>
      </w:r>
      <w:r>
        <w:rPr>
          <w:rFonts w:hint="eastAsia" w:ascii="仿宋_GB2312" w:hAnsi="仿宋_GB2312" w:eastAsia="仿宋_GB2312" w:cs="仿宋_GB2312"/>
          <w:color w:val="auto"/>
          <w:sz w:val="28"/>
          <w:szCs w:val="28"/>
          <w:highlight w:val="none"/>
          <w:lang w:val="en-US" w:eastAsia="zh-CN"/>
        </w:rPr>
        <w:t>恰好发生于</w:t>
      </w:r>
      <w:r>
        <w:rPr>
          <w:rFonts w:hint="eastAsia" w:ascii="仿宋_GB2312" w:hAnsi="仿宋_GB2312" w:eastAsia="仿宋_GB2312" w:cs="仿宋_GB2312"/>
          <w:color w:val="auto"/>
          <w:sz w:val="28"/>
          <w:szCs w:val="28"/>
          <w:highlight w:val="none"/>
          <w:lang w:eastAsia="zh-CN"/>
        </w:rPr>
        <w:t>《中华人民共和国公司法》</w:t>
      </w:r>
      <w:r>
        <w:rPr>
          <w:rFonts w:hint="eastAsia" w:ascii="仿宋_GB2312" w:hAnsi="仿宋_GB2312" w:eastAsia="仿宋_GB2312" w:cs="仿宋_GB2312"/>
          <w:color w:val="auto"/>
          <w:sz w:val="28"/>
          <w:szCs w:val="28"/>
          <w:highlight w:val="none"/>
          <w:lang w:val="en-US" w:eastAsia="zh-CN"/>
        </w:rPr>
        <w:t>修订期间，在</w:t>
      </w:r>
      <w:r>
        <w:rPr>
          <w:rFonts w:hint="eastAsia" w:ascii="仿宋_GB2312" w:hAnsi="仿宋_GB2312" w:eastAsia="仿宋_GB2312" w:cs="仿宋_GB2312"/>
          <w:color w:val="auto"/>
          <w:sz w:val="28"/>
          <w:szCs w:val="28"/>
          <w:highlight w:val="none"/>
        </w:rPr>
        <w:t>制度空白</w:t>
      </w:r>
      <w:r>
        <w:rPr>
          <w:rFonts w:hint="eastAsia" w:ascii="仿宋_GB2312" w:hAnsi="仿宋_GB2312" w:eastAsia="仿宋_GB2312" w:cs="仿宋_GB2312"/>
          <w:color w:val="auto"/>
          <w:sz w:val="28"/>
          <w:szCs w:val="28"/>
          <w:highlight w:val="none"/>
          <w:lang w:val="en-US" w:eastAsia="zh-CN"/>
        </w:rPr>
        <w:t>期</w:t>
      </w:r>
      <w:r>
        <w:rPr>
          <w:rFonts w:hint="eastAsia" w:ascii="仿宋_GB2312" w:hAnsi="仿宋_GB2312" w:eastAsia="仿宋_GB2312" w:cs="仿宋_GB2312"/>
          <w:color w:val="auto"/>
          <w:sz w:val="28"/>
          <w:szCs w:val="28"/>
          <w:highlight w:val="none"/>
        </w:rPr>
        <w:t>法院作出了肯定</w:t>
      </w:r>
      <w:r>
        <w:rPr>
          <w:rFonts w:hint="eastAsia" w:ascii="仿宋_GB2312" w:hAnsi="仿宋_GB2312" w:eastAsia="仿宋_GB2312" w:cs="仿宋_GB2312"/>
          <w:color w:val="auto"/>
          <w:sz w:val="28"/>
          <w:szCs w:val="28"/>
          <w:highlight w:val="none"/>
          <w:lang w:val="en-US" w:eastAsia="zh-CN"/>
        </w:rPr>
        <w:t>性判断</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允许母公司</w:t>
      </w:r>
      <w:r>
        <w:rPr>
          <w:rFonts w:hint="eastAsia" w:ascii="仿宋_GB2312" w:hAnsi="仿宋_GB2312" w:eastAsia="仿宋_GB2312" w:cs="仿宋_GB2312"/>
          <w:color w:val="auto"/>
          <w:sz w:val="28"/>
          <w:szCs w:val="28"/>
          <w:highlight w:val="none"/>
        </w:rPr>
        <w:t>股东</w:t>
      </w:r>
      <w:r>
        <w:rPr>
          <w:rFonts w:hint="eastAsia" w:ascii="仿宋_GB2312" w:hAnsi="仿宋_GB2312" w:eastAsia="仿宋_GB2312" w:cs="仿宋_GB2312"/>
          <w:color w:val="auto"/>
          <w:sz w:val="28"/>
          <w:szCs w:val="28"/>
          <w:highlight w:val="none"/>
          <w:lang w:val="en-US" w:eastAsia="zh-CN"/>
        </w:rPr>
        <w:t>代位提起返还子公司证照之诉。判决理由即在于股东与公司及其全资子公司</w:t>
      </w:r>
      <w:r>
        <w:rPr>
          <w:rFonts w:hint="eastAsia" w:ascii="仿宋_GB2312" w:hAnsi="仿宋_GB2312" w:eastAsia="仿宋_GB2312" w:cs="仿宋_GB2312"/>
          <w:color w:val="auto"/>
          <w:sz w:val="28"/>
          <w:szCs w:val="28"/>
          <w:highlight w:val="none"/>
        </w:rPr>
        <w:t>之间利益高度一致</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母公司股东为</w:t>
      </w:r>
      <w:r>
        <w:rPr>
          <w:rFonts w:hint="eastAsia" w:ascii="仿宋_GB2312" w:hAnsi="仿宋_GB2312" w:eastAsia="仿宋_GB2312" w:cs="仿宋_GB2312"/>
          <w:color w:val="auto"/>
          <w:sz w:val="28"/>
          <w:szCs w:val="28"/>
          <w:highlight w:val="none"/>
        </w:rPr>
        <w:t>维护</w:t>
      </w:r>
      <w:r>
        <w:rPr>
          <w:rFonts w:hint="eastAsia" w:ascii="仿宋_GB2312" w:hAnsi="仿宋_GB2312" w:eastAsia="仿宋_GB2312" w:cs="仿宋_GB2312"/>
          <w:color w:val="auto"/>
          <w:sz w:val="28"/>
          <w:szCs w:val="28"/>
          <w:highlight w:val="none"/>
          <w:lang w:val="en-US" w:eastAsia="zh-CN"/>
        </w:rPr>
        <w:t>全资子公司</w:t>
      </w:r>
      <w:r>
        <w:rPr>
          <w:rFonts w:hint="eastAsia" w:ascii="仿宋_GB2312" w:hAnsi="仿宋_GB2312" w:eastAsia="仿宋_GB2312" w:cs="仿宋_GB2312"/>
          <w:color w:val="auto"/>
          <w:sz w:val="28"/>
          <w:szCs w:val="28"/>
          <w:highlight w:val="none"/>
        </w:rPr>
        <w:t>利益</w:t>
      </w:r>
      <w:r>
        <w:rPr>
          <w:rFonts w:hint="eastAsia" w:ascii="仿宋_GB2312" w:hAnsi="仿宋_GB2312" w:eastAsia="仿宋_GB2312" w:cs="仿宋_GB2312"/>
          <w:color w:val="auto"/>
          <w:sz w:val="28"/>
          <w:szCs w:val="28"/>
          <w:highlight w:val="none"/>
          <w:lang w:val="en-US" w:eastAsia="zh-CN"/>
        </w:rPr>
        <w:t>而提出证照返还诉求</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本质上是维护</w:t>
      </w:r>
      <w:r>
        <w:rPr>
          <w:rFonts w:hint="eastAsia" w:ascii="仿宋_GB2312" w:hAnsi="仿宋_GB2312" w:eastAsia="仿宋_GB2312" w:cs="仿宋_GB2312"/>
          <w:color w:val="auto"/>
          <w:sz w:val="28"/>
          <w:szCs w:val="28"/>
          <w:highlight w:val="none"/>
          <w:lang w:val="en-US" w:eastAsia="zh-CN"/>
        </w:rPr>
        <w:t>母公司</w:t>
      </w:r>
      <w:r>
        <w:rPr>
          <w:rFonts w:hint="eastAsia" w:ascii="仿宋_GB2312" w:hAnsi="仿宋_GB2312" w:eastAsia="仿宋_GB2312" w:cs="仿宋_GB2312"/>
          <w:color w:val="auto"/>
          <w:sz w:val="28"/>
          <w:szCs w:val="28"/>
          <w:highlight w:val="none"/>
          <w:lang w:eastAsia="zh-CN"/>
        </w:rPr>
        <w:t>的</w:t>
      </w:r>
      <w:r>
        <w:rPr>
          <w:rFonts w:hint="eastAsia" w:ascii="仿宋_GB2312" w:hAnsi="仿宋_GB2312" w:eastAsia="仿宋_GB2312" w:cs="仿宋_GB2312"/>
          <w:color w:val="auto"/>
          <w:sz w:val="28"/>
          <w:szCs w:val="28"/>
          <w:highlight w:val="none"/>
        </w:rPr>
        <w:t>利益</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故而母公司股东</w:t>
      </w:r>
      <w:r>
        <w:rPr>
          <w:rFonts w:hint="eastAsia" w:ascii="仿宋_GB2312" w:hAnsi="仿宋_GB2312" w:eastAsia="仿宋_GB2312" w:cs="仿宋_GB2312"/>
          <w:color w:val="auto"/>
          <w:sz w:val="28"/>
          <w:szCs w:val="28"/>
          <w:highlight w:val="none"/>
        </w:rPr>
        <w:t>享有诉权</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属于</w:t>
      </w:r>
      <w:r>
        <w:rPr>
          <w:rFonts w:hint="eastAsia" w:ascii="仿宋_GB2312" w:hAnsi="仿宋_GB2312" w:eastAsia="仿宋_GB2312" w:cs="仿宋_GB2312"/>
          <w:color w:val="auto"/>
          <w:sz w:val="28"/>
          <w:szCs w:val="28"/>
          <w:highlight w:val="none"/>
        </w:rPr>
        <w:t>适格原告。如今复盘审视</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此种裁判观点契合</w:t>
      </w:r>
      <w:r>
        <w:rPr>
          <w:rFonts w:hint="eastAsia" w:ascii="仿宋_GB2312" w:hAnsi="仿宋_GB2312" w:eastAsia="仿宋_GB2312" w:cs="仿宋_GB2312"/>
          <w:color w:val="auto"/>
          <w:sz w:val="28"/>
          <w:szCs w:val="28"/>
          <w:highlight w:val="none"/>
          <w:lang w:val="en-US" w:eastAsia="zh-CN"/>
        </w:rPr>
        <w:t>新</w:t>
      </w:r>
      <w:r>
        <w:rPr>
          <w:rFonts w:hint="eastAsia" w:ascii="仿宋_GB2312" w:hAnsi="仿宋_GB2312" w:eastAsia="仿宋_GB2312" w:cs="仿宋_GB2312"/>
          <w:color w:val="auto"/>
          <w:sz w:val="28"/>
          <w:szCs w:val="28"/>
          <w:highlight w:val="none"/>
          <w:lang w:eastAsia="zh-CN"/>
        </w:rPr>
        <w:t>公司法</w:t>
      </w:r>
      <w:r>
        <w:rPr>
          <w:rFonts w:hint="eastAsia" w:ascii="仿宋_GB2312" w:hAnsi="仿宋_GB2312" w:eastAsia="仿宋_GB2312" w:cs="仿宋_GB2312"/>
          <w:color w:val="auto"/>
          <w:sz w:val="28"/>
          <w:szCs w:val="28"/>
          <w:highlight w:val="none"/>
        </w:rPr>
        <w:t>所确立的股东双重代表诉讼制度精神</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具有一定前瞻性。</w:t>
      </w:r>
      <w:r>
        <w:rPr>
          <w:rFonts w:hint="eastAsia" w:ascii="仿宋_GB2312" w:hAnsi="仿宋_GB2312" w:eastAsia="仿宋_GB2312" w:cs="仿宋_GB2312"/>
          <w:color w:val="auto"/>
          <w:sz w:val="28"/>
          <w:szCs w:val="28"/>
          <w:highlight w:val="none"/>
          <w:lang w:val="en-US" w:eastAsia="zh-CN"/>
        </w:rPr>
        <w:t>从裁判效果上看，同为母公司股东但系对抗两造的厦门某信托公司、厦门荣某公司、厦门梁某公司对法院关于起诉资格的认定均予认同，并未就此提出上诉，这恰也印证了股东双重代表诉讼的制度价值与生命力，其与公司自己起诉、普通股东代表诉讼共同构建起</w:t>
      </w:r>
      <w:r>
        <w:rPr>
          <w:rFonts w:hint="eastAsia" w:ascii="仿宋_GB2312" w:hAnsi="仿宋_GB2312" w:eastAsia="仿宋_GB2312" w:cs="仿宋_GB2312"/>
          <w:color w:val="auto"/>
          <w:sz w:val="28"/>
          <w:szCs w:val="28"/>
          <w:highlight w:val="none"/>
        </w:rPr>
        <w:t>逻辑自洽</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rPr>
        <w:t>功能完备的</w:t>
      </w:r>
      <w:r>
        <w:rPr>
          <w:rFonts w:hint="eastAsia" w:ascii="仿宋_GB2312" w:hAnsi="仿宋_GB2312" w:eastAsia="仿宋_GB2312" w:cs="仿宋_GB2312"/>
          <w:color w:val="auto"/>
          <w:sz w:val="28"/>
          <w:szCs w:val="28"/>
          <w:highlight w:val="none"/>
          <w:lang w:val="en-US" w:eastAsia="zh-CN"/>
        </w:rPr>
        <w:t>证照返还</w:t>
      </w:r>
      <w:r>
        <w:rPr>
          <w:rFonts w:hint="eastAsia" w:ascii="仿宋_GB2312" w:hAnsi="仿宋_GB2312" w:eastAsia="仿宋_GB2312" w:cs="仿宋_GB2312"/>
          <w:color w:val="auto"/>
          <w:sz w:val="28"/>
          <w:szCs w:val="28"/>
          <w:highlight w:val="none"/>
        </w:rPr>
        <w:t>诉讼构造</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能够较好地应对解决现实中纷繁复杂的证照纠纷样态</w:t>
      </w:r>
      <w:r>
        <w:rPr>
          <w:rFonts w:hint="eastAsia" w:ascii="仿宋_GB2312" w:hAnsi="仿宋_GB2312" w:eastAsia="仿宋_GB2312" w:cs="仿宋_GB2312"/>
          <w:color w:val="auto"/>
          <w:sz w:val="28"/>
          <w:szCs w:val="28"/>
          <w:highlight w:val="none"/>
        </w:rPr>
        <w:t>。</w:t>
      </w:r>
    </w:p>
    <w:p w14:paraId="2640B7F6">
      <w:pPr>
        <w:keepNext w:val="0"/>
        <w:keepLines w:val="0"/>
        <w:pageBreakBefore w:val="0"/>
        <w:widowControl w:val="0"/>
        <w:numPr>
          <w:ilvl w:val="-1"/>
          <w:numId w:val="0"/>
        </w:numPr>
        <w:kinsoku/>
        <w:wordWrap/>
        <w:overflowPunct/>
        <w:topLinePunct w:val="0"/>
        <w:autoSpaceDE/>
        <w:autoSpaceDN/>
        <w:bidi w:val="0"/>
        <w:adjustRightInd w:val="0"/>
        <w:snapToGrid w:val="0"/>
        <w:ind w:left="0" w:firstLine="562" w:firstLineChars="200"/>
        <w:jc w:val="left"/>
        <w:textAlignment w:val="auto"/>
        <w:outlineLvl w:val="0"/>
        <w:rPr>
          <w:rFonts w:hint="eastAsia" w:ascii="仿宋_GB2312" w:hAnsi="仿宋_GB2312" w:eastAsia="仿宋_GB2312" w:cs="仿宋_GB2312"/>
          <w:b/>
          <w:bCs/>
          <w:color w:val="auto"/>
          <w:kern w:val="0"/>
          <w:sz w:val="28"/>
          <w:szCs w:val="28"/>
          <w:highlight w:val="none"/>
          <w:lang w:val="en-US" w:eastAsia="zh-CN"/>
        </w:rPr>
      </w:pPr>
      <w:commentRangeStart w:id="10"/>
      <w:r>
        <w:rPr>
          <w:rFonts w:hint="eastAsia" w:ascii="仿宋_GB2312" w:hAnsi="仿宋_GB2312" w:eastAsia="仿宋_GB2312" w:cs="仿宋_GB2312"/>
          <w:b/>
          <w:bCs/>
          <w:color w:val="auto"/>
          <w:sz w:val="28"/>
          <w:szCs w:val="28"/>
          <w:highlight w:val="none"/>
          <w:lang w:val="en-US" w:eastAsia="zh-CN"/>
        </w:rPr>
        <w:t>四</w:t>
      </w: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kern w:val="0"/>
          <w:sz w:val="28"/>
          <w:szCs w:val="28"/>
          <w:highlight w:val="none"/>
          <w:lang w:val="en-US" w:eastAsia="zh-CN"/>
        </w:rPr>
        <w:t>公司证照返还纠纷的案件审查要点</w:t>
      </w:r>
      <w:commentRangeEnd w:id="10"/>
      <w:r>
        <w:commentReference w:id="10"/>
      </w:r>
    </w:p>
    <w:p w14:paraId="1C3346EC">
      <w:pPr>
        <w:keepNext w:val="0"/>
        <w:keepLines w:val="0"/>
        <w:pageBreakBefore w:val="0"/>
        <w:widowControl w:val="0"/>
        <w:numPr>
          <w:ilvl w:val="-1"/>
          <w:numId w:val="0"/>
        </w:numPr>
        <w:kinsoku/>
        <w:wordWrap/>
        <w:overflowPunct/>
        <w:topLinePunct w:val="0"/>
        <w:autoSpaceDE/>
        <w:autoSpaceDN/>
        <w:bidi w:val="0"/>
        <w:adjustRightInd w:val="0"/>
        <w:snapToGrid w:val="0"/>
        <w:ind w:left="0" w:firstLine="560" w:firstLineChars="200"/>
        <w:jc w:val="left"/>
        <w:textAlignment w:val="auto"/>
        <w:rPr>
          <w:rFonts w:hint="default"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公司证照返还纠纷案件的审理主要围绕应当返还的公司证照范围、被告无权占有事实的认定、公司证照返还相对方的确定而展开。</w:t>
      </w:r>
    </w:p>
    <w:p w14:paraId="52FF0F29">
      <w:pPr>
        <w:keepNext w:val="0"/>
        <w:keepLines w:val="0"/>
        <w:pageBreakBefore w:val="0"/>
        <w:widowControl w:val="0"/>
        <w:numPr>
          <w:ilvl w:val="0"/>
          <w:numId w:val="0"/>
        </w:numPr>
        <w:kinsoku/>
        <w:wordWrap/>
        <w:overflowPunct/>
        <w:topLinePunct w:val="0"/>
        <w:autoSpaceDE/>
        <w:autoSpaceDN/>
        <w:bidi w:val="0"/>
        <w:adjustRightInd w:val="0"/>
        <w:snapToGrid w:val="0"/>
        <w:ind w:firstLine="562" w:firstLineChars="200"/>
        <w:textAlignment w:val="auto"/>
        <w:outlineLvl w:val="1"/>
        <w:rPr>
          <w:rFonts w:hint="default"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（一）作为法律概念的“公司证照”</w:t>
      </w:r>
    </w:p>
    <w:p w14:paraId="62095ED0">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证照是证件和执照的统称，用于证明身份、资格或资质，依此定义，公司证照为用于证明公司身份、资格、资质的证件和执照。从制证主体维度可作二元划分：官方制作的证件类物品与公司自行刻制的印章类物品。营业执照为典型的官方制作的证件类物品，依据《中华人民共和国市场主体登记管理条例》第21条，营业执照为申请人申请设立市场主体，登记机关依法登记后向新设立的市场主体签发的证照，营业执照载明公司名称、统一社会信用代码、住所地、注册资本、经营范围、法定代表人等公司基本信息。除营业执照外，还包括行政许可证书、行业资质证书等各种归属于公司的纸质或电子证件。公司自行刻制的印章类物品包括公章、合同专用章、财务专用章、项目专用章、人事专用章等各种公司印鉴公司印章刻有公司法定名称，是公司主体身份最直接、正式的证明，因而公司印章具有身份确认的功能。公司作为法律拟制的“法人”，并不存在物理实体，在对外表意上无法同自然人一般“签字画押”，故其必须通过一定机制和外观向外界传达其意志，而具有身份确认功能的公司印章作为公司对外表意的物理载体和形式化工具则成为首选。在法律规范层面，《中华人民共和国民法典》第490条、493条规定将盖章作为确认合同成立时间、地点的形式要件之一。</w:t>
      </w:r>
      <w:r>
        <w:rPr>
          <w:rStyle w:val="14"/>
          <w:rFonts w:hint="eastAsia" w:ascii="仿宋_GB2312" w:hAnsi="仿宋_GB2312" w:eastAsia="仿宋_GB2312" w:cs="仿宋_GB2312"/>
          <w:color w:val="auto"/>
          <w:sz w:val="28"/>
          <w:szCs w:val="28"/>
          <w:highlight w:val="none"/>
          <w:lang w:val="en-US" w:eastAsia="zh-CN"/>
        </w:rPr>
        <w:footnoteReference w:id="17"/>
      </w:r>
      <w:r>
        <w:rPr>
          <w:rFonts w:hint="eastAsia" w:ascii="仿宋_GB2312" w:hAnsi="仿宋_GB2312" w:eastAsia="仿宋_GB2312" w:cs="仿宋_GB2312"/>
          <w:color w:val="auto"/>
          <w:sz w:val="28"/>
          <w:szCs w:val="28"/>
          <w:highlight w:val="none"/>
          <w:lang w:val="en-US" w:eastAsia="zh-CN"/>
        </w:rPr>
        <w:t>伴随着</w:t>
      </w:r>
      <w:r>
        <w:rPr>
          <w:rFonts w:hint="eastAsia" w:ascii="仿宋_GB2312" w:hAnsi="仿宋_GB2312" w:eastAsia="仿宋_GB2312" w:cs="仿宋_GB2312"/>
          <w:color w:val="auto"/>
          <w:sz w:val="28"/>
          <w:szCs w:val="28"/>
          <w:highlight w:val="none"/>
        </w:rPr>
        <w:t>公司证照返还纠纷</w:t>
      </w:r>
      <w:r>
        <w:rPr>
          <w:rFonts w:hint="eastAsia" w:ascii="仿宋_GB2312" w:hAnsi="仿宋_GB2312" w:eastAsia="仿宋_GB2312" w:cs="仿宋_GB2312"/>
          <w:color w:val="auto"/>
          <w:sz w:val="28"/>
          <w:szCs w:val="28"/>
          <w:highlight w:val="none"/>
          <w:lang w:val="en-US" w:eastAsia="zh-CN"/>
        </w:rPr>
        <w:t>案由</w:t>
      </w:r>
      <w:r>
        <w:rPr>
          <w:rFonts w:hint="eastAsia" w:ascii="仿宋_GB2312" w:hAnsi="仿宋_GB2312" w:eastAsia="仿宋_GB2312" w:cs="仿宋_GB2312"/>
          <w:color w:val="auto"/>
          <w:kern w:val="0"/>
          <w:sz w:val="28"/>
          <w:szCs w:val="28"/>
          <w:highlight w:val="none"/>
          <w:lang w:val="en-US" w:eastAsia="zh-CN"/>
        </w:rPr>
        <w:t>沿革经历了从“狭义证照”到“治理工具集合”的过程</w:t>
      </w:r>
      <w:r>
        <w:rPr>
          <w:rStyle w:val="14"/>
          <w:rFonts w:hint="eastAsia" w:ascii="仿宋_GB2312" w:hAnsi="仿宋_GB2312" w:eastAsia="仿宋_GB2312" w:cs="仿宋_GB2312"/>
          <w:color w:val="auto"/>
          <w:kern w:val="0"/>
          <w:sz w:val="28"/>
          <w:szCs w:val="28"/>
          <w:highlight w:val="none"/>
          <w:lang w:val="en-US" w:eastAsia="zh-CN"/>
        </w:rPr>
        <w:footnoteReference w:id="18"/>
      </w:r>
      <w:r>
        <w:rPr>
          <w:rFonts w:hint="eastAsia" w:ascii="仿宋_GB2312" w:hAnsi="仿宋_GB2312" w:eastAsia="仿宋_GB2312" w:cs="仿宋_GB2312"/>
          <w:color w:val="auto"/>
          <w:kern w:val="0"/>
          <w:sz w:val="28"/>
          <w:szCs w:val="28"/>
          <w:highlight w:val="none"/>
          <w:lang w:val="en-US" w:eastAsia="zh-CN"/>
        </w:rPr>
        <w:t>，司法实践关于“公司证照”的定义从字面含义上的证件和营业执照，逐渐演变为以功能主义标准，将“公司证照”扩张解释公司日常经营所需的具有象征功能和证明功能各类物品。在此标准下诸如存折、银行卡、网银密码器、保险箱钥匙、财务账册等公司日常经营所需的具有象征功能和证明功能的物品亦纳入公司证照范围。例如有判决指出：“本院认为公司证照不限于营业执照、公章等，原告主张的U盾、支付密码器、单位名称章等均与公司经营密切相关，应予返还。关于银行和现金日记账本，即便不属于公司证照，但亦属于公司财物，为避免诉累，本院对原告主张返还财物清单上的物品均予以支持。”</w:t>
      </w:r>
      <w:r>
        <w:rPr>
          <w:rStyle w:val="14"/>
          <w:rFonts w:hint="eastAsia" w:ascii="仿宋_GB2312" w:hAnsi="仿宋_GB2312" w:eastAsia="仿宋_GB2312" w:cs="仿宋_GB2312"/>
          <w:color w:val="auto"/>
          <w:kern w:val="0"/>
          <w:sz w:val="28"/>
          <w:szCs w:val="28"/>
          <w:highlight w:val="none"/>
          <w:lang w:val="en-US" w:eastAsia="zh-CN"/>
        </w:rPr>
        <w:footnoteReference w:id="19"/>
      </w:r>
    </w:p>
    <w:p w14:paraId="67E46269">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default"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color w:val="auto"/>
          <w:kern w:val="0"/>
          <w:sz w:val="28"/>
          <w:szCs w:val="28"/>
          <w:highlight w:val="none"/>
          <w:lang w:val="en-US" w:eastAsia="zh-CN"/>
        </w:rPr>
        <w:t>鉴于公司证照返还之诉为给付之诉，立案程序中的诉讼请求与裁判阶段判决主文的明确是给付之诉对其内容的固有要求。</w:t>
      </w:r>
      <w:r>
        <w:rPr>
          <w:rStyle w:val="14"/>
          <w:rFonts w:hint="eastAsia" w:ascii="仿宋_GB2312" w:hAnsi="仿宋_GB2312" w:eastAsia="仿宋_GB2312" w:cs="仿宋_GB2312"/>
          <w:color w:val="auto"/>
          <w:kern w:val="0"/>
          <w:sz w:val="28"/>
          <w:szCs w:val="28"/>
          <w:highlight w:val="none"/>
          <w:lang w:val="en-US" w:eastAsia="zh-CN"/>
        </w:rPr>
        <w:footnoteReference w:id="20"/>
      </w:r>
      <w:r>
        <w:rPr>
          <w:rFonts w:hint="eastAsia" w:ascii="仿宋_GB2312" w:hAnsi="仿宋_GB2312" w:eastAsia="仿宋_GB2312" w:cs="仿宋_GB2312"/>
          <w:color w:val="auto"/>
          <w:kern w:val="0"/>
          <w:sz w:val="28"/>
          <w:szCs w:val="28"/>
          <w:highlight w:val="none"/>
          <w:lang w:val="en-US" w:eastAsia="zh-CN"/>
        </w:rPr>
        <w:t>《民事诉讼法》第122条第 3 项也将“有具体的诉讼请求和事实、理由”作为原告提起诉讼的必要条件。具体到公司证照返还之诉中，即原告需要明确要求被告返还的具体证照名称、份数。</w:t>
      </w:r>
      <w:r>
        <w:rPr>
          <w:rFonts w:hint="default" w:ascii="仿宋_GB2312" w:hAnsi="仿宋_GB2312" w:eastAsia="仿宋_GB2312" w:cs="仿宋_GB2312"/>
          <w:color w:val="auto"/>
          <w:kern w:val="0"/>
          <w:sz w:val="28"/>
          <w:szCs w:val="28"/>
          <w:highlight w:val="none"/>
          <w:lang w:val="en-US" w:eastAsia="zh-CN"/>
        </w:rPr>
        <w:t>例如，</w:t>
      </w:r>
      <w:r>
        <w:rPr>
          <w:rFonts w:hint="eastAsia" w:ascii="仿宋_GB2312" w:hAnsi="仿宋_GB2312" w:eastAsia="仿宋_GB2312" w:cs="仿宋_GB2312"/>
          <w:color w:val="auto"/>
          <w:kern w:val="0"/>
          <w:sz w:val="28"/>
          <w:szCs w:val="28"/>
          <w:highlight w:val="none"/>
          <w:lang w:val="en-US" w:eastAsia="zh-CN"/>
        </w:rPr>
        <w:t>原告应当在诉讼请求中</w:t>
      </w:r>
      <w:r>
        <w:rPr>
          <w:rFonts w:hint="default" w:ascii="仿宋_GB2312" w:hAnsi="仿宋_GB2312" w:eastAsia="仿宋_GB2312" w:cs="仿宋_GB2312"/>
          <w:color w:val="auto"/>
          <w:kern w:val="0"/>
          <w:sz w:val="28"/>
          <w:szCs w:val="28"/>
          <w:highlight w:val="none"/>
          <w:lang w:val="en-US" w:eastAsia="zh-CN"/>
        </w:rPr>
        <w:t>明确返还的公司营业执照系正本、副本以及数量，或者明确银行U盾的具体银行机构与卡号，又或明确财务账册、记账凭证的具体期间。</w:t>
      </w:r>
      <w:r>
        <w:rPr>
          <w:rFonts w:hint="eastAsia" w:ascii="仿宋_GB2312" w:hAnsi="仿宋_GB2312" w:eastAsia="仿宋_GB2312" w:cs="仿宋_GB2312"/>
          <w:color w:val="auto"/>
          <w:kern w:val="0"/>
          <w:sz w:val="28"/>
          <w:szCs w:val="28"/>
          <w:highlight w:val="none"/>
          <w:lang w:val="en-US" w:eastAsia="zh-CN"/>
        </w:rPr>
        <w:t>因</w:t>
      </w:r>
      <w:r>
        <w:rPr>
          <w:rFonts w:hint="default" w:ascii="仿宋_GB2312" w:hAnsi="仿宋_GB2312" w:eastAsia="仿宋_GB2312" w:cs="仿宋_GB2312"/>
          <w:color w:val="auto"/>
          <w:kern w:val="0"/>
          <w:sz w:val="28"/>
          <w:szCs w:val="28"/>
          <w:highlight w:val="none"/>
          <w:lang w:val="en-US" w:eastAsia="zh-CN"/>
        </w:rPr>
        <w:t>给付判决</w:t>
      </w:r>
      <w:r>
        <w:rPr>
          <w:rFonts w:hint="eastAsia" w:ascii="仿宋_GB2312" w:hAnsi="仿宋_GB2312" w:eastAsia="仿宋_GB2312" w:cs="仿宋_GB2312"/>
          <w:color w:val="auto"/>
          <w:kern w:val="0"/>
          <w:sz w:val="28"/>
          <w:szCs w:val="28"/>
          <w:highlight w:val="none"/>
          <w:lang w:val="en-US" w:eastAsia="zh-CN"/>
        </w:rPr>
        <w:t>系</w:t>
      </w:r>
      <w:r>
        <w:rPr>
          <w:rFonts w:hint="default" w:ascii="仿宋_GB2312" w:hAnsi="仿宋_GB2312" w:eastAsia="仿宋_GB2312" w:cs="仿宋_GB2312"/>
          <w:color w:val="auto"/>
          <w:kern w:val="0"/>
          <w:sz w:val="28"/>
          <w:szCs w:val="28"/>
          <w:highlight w:val="none"/>
          <w:lang w:val="en-US" w:eastAsia="zh-CN"/>
        </w:rPr>
        <w:t>权利人启动执行程序的执行依据，给付内容相应地也成为法院强制执行的内容</w:t>
      </w:r>
      <w:r>
        <w:rPr>
          <w:rFonts w:hint="eastAsia" w:ascii="仿宋_GB2312" w:hAnsi="仿宋_GB2312" w:eastAsia="仿宋_GB2312" w:cs="仿宋_GB2312"/>
          <w:color w:val="auto"/>
          <w:kern w:val="0"/>
          <w:sz w:val="28"/>
          <w:szCs w:val="28"/>
          <w:highlight w:val="none"/>
          <w:lang w:val="en-US" w:eastAsia="zh-CN"/>
        </w:rPr>
        <w:t>。《最高人民法院关于适用《中华人民共和国民事诉讼法》的解释(2022修正) 》第461条里关于“当事人申请人民法院执行的生效法律文书条件”的规定即对判决主文 及判项的要求，其中即要求“给付内容明确”。故公司证照返还之诉的裁判文书中亦应当对被告应当返还的证照名称、数量，如果相关证照存在编号、特定期间亦应当一并载明。</w:t>
      </w:r>
    </w:p>
    <w:p w14:paraId="1E121B52">
      <w:pPr>
        <w:keepNext w:val="0"/>
        <w:keepLines w:val="0"/>
        <w:pageBreakBefore w:val="0"/>
        <w:widowControl w:val="0"/>
        <w:numPr>
          <w:ilvl w:val="0"/>
          <w:numId w:val="0"/>
        </w:numPr>
        <w:kinsoku/>
        <w:wordWrap/>
        <w:overflowPunct/>
        <w:topLinePunct w:val="0"/>
        <w:autoSpaceDE/>
        <w:autoSpaceDN/>
        <w:bidi w:val="0"/>
        <w:adjustRightInd w:val="0"/>
        <w:snapToGrid w:val="0"/>
        <w:ind w:firstLine="562" w:firstLineChars="200"/>
        <w:textAlignment w:val="auto"/>
        <w:outlineLvl w:val="1"/>
        <w:rPr>
          <w:rFonts w:hint="default"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（二）被告无权占有事实的认定</w:t>
      </w:r>
    </w:p>
    <w:p w14:paraId="03205863">
      <w:pPr>
        <w:keepNext w:val="0"/>
        <w:keepLines w:val="0"/>
        <w:pageBreakBefore w:val="0"/>
        <w:widowControl w:val="0"/>
        <w:numPr>
          <w:ilvl w:val="0"/>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color w:val="auto"/>
          <w:kern w:val="0"/>
          <w:sz w:val="28"/>
          <w:szCs w:val="28"/>
          <w:highlight w:val="none"/>
          <w:lang w:val="en-US" w:eastAsia="zh-CN"/>
        </w:rPr>
        <w:t>被告无权占有的事实存在，需要证明以下两方面：一是权利层面，被告的占有系无权占有；二是事实层面，被告确实占有了相关证照。</w:t>
      </w:r>
    </w:p>
    <w:p w14:paraId="1B6E8796">
      <w:pPr>
        <w:keepNext w:val="0"/>
        <w:keepLines w:val="0"/>
        <w:pageBreakBefore w:val="0"/>
        <w:widowControl w:val="0"/>
        <w:numPr>
          <w:ilvl w:val="0"/>
          <w:numId w:val="0"/>
        </w:numPr>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color w:val="auto"/>
          <w:kern w:val="0"/>
          <w:sz w:val="28"/>
          <w:szCs w:val="28"/>
          <w:highlight w:val="none"/>
          <w:lang w:val="en-US" w:eastAsia="zh-CN" w:bidi="ar"/>
        </w:rPr>
        <w:t>无权占有是指占有人之占有缺乏法律基础或合法原因。若公司证照现占有人占有权来源合法，则排除原物返还请求权的适用，即占有权利成为返还原物请求权的抗辩。</w:t>
      </w:r>
      <w:r>
        <w:rPr>
          <w:rStyle w:val="14"/>
          <w:rFonts w:hint="eastAsia" w:ascii="仿宋_GB2312" w:hAnsi="仿宋_GB2312" w:eastAsia="仿宋_GB2312" w:cs="仿宋_GB2312"/>
          <w:color w:val="auto"/>
          <w:kern w:val="0"/>
          <w:sz w:val="28"/>
          <w:szCs w:val="28"/>
          <w:highlight w:val="none"/>
          <w:lang w:val="en-US" w:eastAsia="zh-CN" w:bidi="ar"/>
        </w:rPr>
        <w:footnoteReference w:id="21"/>
      </w:r>
      <w:r>
        <w:rPr>
          <w:rFonts w:hint="eastAsia" w:ascii="仿宋_GB2312" w:hAnsi="仿宋_GB2312" w:eastAsia="仿宋_GB2312" w:cs="仿宋_GB2312"/>
          <w:color w:val="auto"/>
          <w:kern w:val="0"/>
          <w:sz w:val="28"/>
          <w:szCs w:val="28"/>
          <w:highlight w:val="none"/>
          <w:lang w:val="en-US" w:eastAsia="zh-CN" w:bidi="ar"/>
        </w:rPr>
        <w:t>由此需要注意的是，在公司证照占有人具有合法占有权的情形下欲消除其的占有权，公司应当先根据内部自治程序，消除现占有人的权利基础。实践中，“有权占有”为公司证照返还纠纷诉讼中被告最常见的抗辩理由——或是依据法定代表人身份进行有权占有的抗辩；或是依据公司章程、股东会决议进行有权占有抗辩；又或是以与公司达成的保管协议、公司出具的保管证照函件进行有权占有的抗辩。公司证照返还纠纷诉讼中，被告若以法定代表人身份进行有权占有抗辩，案件审查实质重点系“谁是公司真正的法定代表人”；若以股东会决议进行有权占有的抗辩，案件审查实质重点转化为“股东会决议是否真是有效”。</w:t>
      </w:r>
      <w:r>
        <w:rPr>
          <w:rFonts w:hint="eastAsia" w:ascii="仿宋_GB2312" w:hAnsi="仿宋_GB2312" w:eastAsia="仿宋_GB2312" w:cs="仿宋_GB2312"/>
          <w:b w:val="0"/>
          <w:bCs w:val="0"/>
          <w:color w:val="auto"/>
          <w:kern w:val="0"/>
          <w:sz w:val="28"/>
          <w:szCs w:val="28"/>
          <w:highlight w:val="none"/>
          <w:lang w:val="en-US" w:eastAsia="zh-CN" w:bidi="ar"/>
        </w:rPr>
        <w:t>若被告确为有权占有，公司应当先根据内部自治程序，变更法定代表人，变更公司章程或是作出新的股东会决议，让被告方的占有缺乏法律基础合法原因。</w:t>
      </w:r>
    </w:p>
    <w:p w14:paraId="420A83A0">
      <w:pPr>
        <w:keepNext w:val="0"/>
        <w:keepLines w:val="0"/>
        <w:pageBreakBefore w:val="0"/>
        <w:widowControl w:val="0"/>
        <w:numPr>
          <w:ilvl w:val="0"/>
          <w:numId w:val="0"/>
        </w:numPr>
        <w:kinsoku/>
        <w:wordWrap/>
        <w:overflowPunct/>
        <w:topLinePunct w:val="0"/>
        <w:autoSpaceDE/>
        <w:autoSpaceDN/>
        <w:bidi w:val="0"/>
        <w:adjustRightInd w:val="0"/>
        <w:snapToGrid w:val="0"/>
        <w:ind w:firstLine="560" w:firstLineChars="200"/>
        <w:textAlignment w:val="auto"/>
        <w:rPr>
          <w:rFonts w:hint="default" w:ascii="仿宋_GB2312" w:hAnsi="仿宋_GB2312" w:eastAsia="仿宋_GB2312" w:cs="仿宋_GB2312"/>
          <w:color w:val="auto"/>
          <w:kern w:val="0"/>
          <w:sz w:val="28"/>
          <w:szCs w:val="28"/>
          <w:highlight w:val="none"/>
          <w:lang w:val="en-US" w:eastAsia="zh-CN"/>
        </w:rPr>
      </w:pPr>
      <w:r>
        <w:rPr>
          <w:rFonts w:hint="eastAsia" w:ascii="仿宋_GB2312" w:hAnsi="仿宋_GB2312" w:eastAsia="仿宋_GB2312" w:cs="仿宋_GB2312"/>
          <w:color w:val="auto"/>
          <w:kern w:val="0"/>
          <w:sz w:val="28"/>
          <w:szCs w:val="28"/>
          <w:highlight w:val="none"/>
          <w:lang w:val="en-US" w:eastAsia="zh-CN"/>
        </w:rPr>
        <w:t>事实层面，原告负有证明被告现时占有相关证照的举证责任，首先应当证明诉请返还的公司证照确实存在；其次再证明该特定证照被被告现时占有。原告或提交直接证据证明相关证照目前由被告占有，例如，有相关监控录像、视频证明被告取走相关证照，有被告签字确认的持有证明、交接证明等等。或是提交由间接证据形成的证据链证明被告限时占有相关证照，通过间接证据认定案件事实时，难免涉及推理或推定环节。因此，这类间接证据直接佐证的事实，需与证照保管事宜存在必然关联，且能构成完整证据链，明确指向被告持有相关证照——这意味着原告的举证需达到高度盖然性的法定证明标准。</w:t>
      </w:r>
    </w:p>
    <w:p w14:paraId="1E26FB54">
      <w:pPr>
        <w:keepNext w:val="0"/>
        <w:keepLines w:val="0"/>
        <w:pageBreakBefore w:val="0"/>
        <w:widowControl w:val="0"/>
        <w:numPr>
          <w:ilvl w:val="0"/>
          <w:numId w:val="0"/>
        </w:numPr>
        <w:kinsoku/>
        <w:wordWrap/>
        <w:overflowPunct/>
        <w:topLinePunct w:val="0"/>
        <w:autoSpaceDE/>
        <w:autoSpaceDN/>
        <w:bidi w:val="0"/>
        <w:adjustRightInd w:val="0"/>
        <w:snapToGrid w:val="0"/>
        <w:ind w:firstLine="562" w:firstLineChars="200"/>
        <w:textAlignment w:val="auto"/>
        <w:outlineLvl w:val="1"/>
        <w:rPr>
          <w:rFonts w:hint="default" w:ascii="仿宋_GB2312" w:hAnsi="仿宋_GB2312" w:eastAsia="仿宋_GB2312" w:cs="仿宋_GB2312"/>
          <w:b/>
          <w:bCs/>
          <w:color w:val="auto"/>
          <w:kern w:val="0"/>
          <w:sz w:val="28"/>
          <w:szCs w:val="28"/>
          <w:highlight w:val="none"/>
          <w:lang w:val="en-US" w:eastAsia="zh-CN"/>
        </w:rPr>
      </w:pPr>
      <w:r>
        <w:rPr>
          <w:rFonts w:hint="eastAsia" w:ascii="仿宋_GB2312" w:hAnsi="仿宋_GB2312" w:eastAsia="仿宋_GB2312" w:cs="仿宋_GB2312"/>
          <w:b/>
          <w:bCs/>
          <w:color w:val="auto"/>
          <w:kern w:val="0"/>
          <w:sz w:val="28"/>
          <w:szCs w:val="28"/>
          <w:highlight w:val="none"/>
          <w:lang w:val="en-US" w:eastAsia="zh-CN"/>
        </w:rPr>
        <w:t>（三）</w:t>
      </w:r>
      <w:r>
        <w:rPr>
          <w:rFonts w:hint="default" w:ascii="仿宋_GB2312" w:hAnsi="仿宋_GB2312" w:eastAsia="仿宋_GB2312" w:cs="仿宋_GB2312"/>
          <w:b/>
          <w:bCs/>
          <w:color w:val="auto"/>
          <w:kern w:val="0"/>
          <w:sz w:val="28"/>
          <w:szCs w:val="28"/>
          <w:highlight w:val="none"/>
          <w:lang w:val="en-US" w:eastAsia="zh-CN"/>
        </w:rPr>
        <w:t>公司证照返还相对方</w:t>
      </w:r>
      <w:r>
        <w:rPr>
          <w:rFonts w:hint="eastAsia" w:ascii="仿宋_GB2312" w:hAnsi="仿宋_GB2312" w:eastAsia="仿宋_GB2312" w:cs="仿宋_GB2312"/>
          <w:b/>
          <w:bCs/>
          <w:color w:val="auto"/>
          <w:kern w:val="0"/>
          <w:sz w:val="28"/>
          <w:szCs w:val="28"/>
          <w:highlight w:val="none"/>
          <w:lang w:val="en-US" w:eastAsia="zh-CN"/>
        </w:rPr>
        <w:t>的确定</w:t>
      </w:r>
    </w:p>
    <w:p w14:paraId="5FDAEF2B">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公司证照所有权归公司所有，公司证照返还的相对方应当为公司。</w:t>
      </w:r>
    </w:p>
    <w:p w14:paraId="336B37E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然而公司作为法律拟制法人，不具备物理实体，无法直接占有证照，需通过自然人代为占有。返还公司证照时应当向具有证照合法占有权的主体交付。从占有权来源分类，公司证照占有主体权利可以类型化为推定占有和约定占有，约定占有可以排除推定占有情形。现行法律虽未明文规定公司证照占有权归属于公司法定代表人，然司法实践中普通认为，在公司章程未特别规定公司证照占有权人的情形下，公司法定代表人是公司证照的法定和当然的管理人。早期我国</w:t>
      </w:r>
      <w:r>
        <w:rPr>
          <w:rFonts w:hint="eastAsia" w:ascii="仿宋_GB2312" w:hAnsi="仿宋_GB2312" w:eastAsia="仿宋_GB2312" w:cs="仿宋_GB2312"/>
          <w:color w:val="auto"/>
          <w:kern w:val="0"/>
          <w:sz w:val="28"/>
          <w:szCs w:val="28"/>
          <w:highlight w:val="none"/>
          <w:lang w:val="en-US" w:eastAsia="zh-CN"/>
        </w:rPr>
        <w:t>法定代表人的定义围绕“代表公司行使职权”展开。</w:t>
      </w:r>
      <w:r>
        <w:rPr>
          <w:rStyle w:val="14"/>
          <w:rFonts w:hint="eastAsia" w:ascii="仿宋_GB2312" w:hAnsi="仿宋_GB2312" w:eastAsia="仿宋_GB2312" w:cs="仿宋_GB2312"/>
          <w:color w:val="auto"/>
          <w:kern w:val="0"/>
          <w:sz w:val="28"/>
          <w:szCs w:val="28"/>
          <w:highlight w:val="none"/>
          <w:lang w:val="en-US" w:eastAsia="zh-CN"/>
        </w:rPr>
        <w:footnoteReference w:id="22"/>
      </w:r>
      <w:r>
        <w:rPr>
          <w:rFonts w:hint="eastAsia" w:ascii="仿宋_GB2312" w:hAnsi="仿宋_GB2312" w:eastAsia="仿宋_GB2312" w:cs="仿宋_GB2312"/>
          <w:color w:val="auto"/>
          <w:kern w:val="0"/>
          <w:sz w:val="28"/>
          <w:szCs w:val="28"/>
          <w:highlight w:val="none"/>
          <w:lang w:val="en-US" w:eastAsia="zh-CN"/>
        </w:rPr>
        <w:t>经民法、公司法的历次修订，</w:t>
      </w:r>
      <w:r>
        <w:rPr>
          <w:rFonts w:hint="eastAsia" w:ascii="仿宋_GB2312" w:hAnsi="仿宋_GB2312" w:eastAsia="仿宋_GB2312" w:cs="仿宋_GB2312"/>
          <w:color w:val="auto"/>
          <w:kern w:val="0"/>
          <w:sz w:val="28"/>
          <w:szCs w:val="28"/>
          <w:highlight w:val="none"/>
          <w:lang w:val="en-US" w:eastAsia="zh-Hans"/>
        </w:rPr>
        <w:t>法定代表人制度经历了</w:t>
      </w:r>
      <w:r>
        <w:rPr>
          <w:rFonts w:hint="eastAsia" w:ascii="仿宋_GB2312" w:hAnsi="仿宋_GB2312" w:eastAsia="仿宋_GB2312" w:cs="仿宋_GB2312"/>
          <w:color w:val="auto"/>
          <w:kern w:val="0"/>
          <w:sz w:val="28"/>
          <w:szCs w:val="28"/>
          <w:highlight w:val="none"/>
          <w:lang w:val="en-US" w:eastAsia="zh-CN"/>
        </w:rPr>
        <w:t>从“权力核心”到“对外表意”的定位转变。随着我国现代公司治理结构的不断完善，公司内部决策权与对外表意权进行分离，法人意思决定主要由出资者或股东构成的股东会及其委任的董事会作出，法定代表人的职权转变为“代表公司从事民事活动”“代表公司参加民事诉讼活动”。</w:t>
      </w:r>
      <w:r>
        <w:rPr>
          <w:rStyle w:val="14"/>
          <w:rFonts w:hint="eastAsia" w:ascii="仿宋_GB2312" w:hAnsi="仿宋_GB2312" w:eastAsia="仿宋_GB2312" w:cs="仿宋_GB2312"/>
          <w:color w:val="auto"/>
          <w:kern w:val="0"/>
          <w:sz w:val="28"/>
          <w:szCs w:val="28"/>
          <w:highlight w:val="none"/>
          <w:lang w:val="en-US" w:eastAsia="zh-CN"/>
        </w:rPr>
        <w:footnoteReference w:id="23"/>
      </w:r>
      <w:r>
        <w:rPr>
          <w:rFonts w:hint="eastAsia" w:ascii="仿宋_GB2312" w:hAnsi="仿宋_GB2312" w:eastAsia="仿宋_GB2312" w:cs="仿宋_GB2312"/>
          <w:color w:val="auto"/>
          <w:kern w:val="0"/>
          <w:sz w:val="28"/>
          <w:szCs w:val="28"/>
          <w:highlight w:val="none"/>
          <w:lang w:val="en-US" w:eastAsia="zh-Hans"/>
        </w:rPr>
        <w:t>但变化的趋势仍然无法改变法</w:t>
      </w:r>
      <w:r>
        <w:rPr>
          <w:rFonts w:hint="eastAsia" w:ascii="仿宋_GB2312" w:hAnsi="仿宋_GB2312" w:eastAsia="仿宋_GB2312" w:cs="仿宋_GB2312"/>
          <w:color w:val="auto"/>
          <w:sz w:val="28"/>
          <w:szCs w:val="28"/>
          <w:highlight w:val="none"/>
          <w:vertAlign w:val="baseline"/>
          <w:lang w:val="en-US" w:eastAsia="zh-Hans"/>
        </w:rPr>
        <w:t>定代表人对内享有公司业务执行权</w:t>
      </w:r>
      <w:r>
        <w:rPr>
          <w:rFonts w:hint="eastAsia" w:ascii="仿宋_GB2312" w:hAnsi="仿宋_GB2312" w:eastAsia="仿宋_GB2312" w:cs="仿宋_GB2312"/>
          <w:color w:val="auto"/>
          <w:sz w:val="28"/>
          <w:szCs w:val="28"/>
          <w:highlight w:val="none"/>
          <w:vertAlign w:val="baseline"/>
          <w:lang w:eastAsia="zh-CN"/>
        </w:rPr>
        <w:t>，</w:t>
      </w:r>
      <w:r>
        <w:rPr>
          <w:rFonts w:hint="eastAsia" w:ascii="仿宋_GB2312" w:hAnsi="仿宋_GB2312" w:eastAsia="仿宋_GB2312" w:cs="仿宋_GB2312"/>
          <w:color w:val="auto"/>
          <w:sz w:val="28"/>
          <w:szCs w:val="28"/>
          <w:highlight w:val="none"/>
          <w:vertAlign w:val="baseline"/>
          <w:lang w:val="en-US" w:eastAsia="zh-Hans"/>
        </w:rPr>
        <w:t>对外享有公司代表权的整体事实</w:t>
      </w:r>
      <w:r>
        <w:rPr>
          <w:rFonts w:hint="eastAsia" w:ascii="仿宋_GB2312" w:hAnsi="仿宋_GB2312" w:eastAsia="仿宋_GB2312" w:cs="仿宋_GB2312"/>
          <w:color w:val="auto"/>
          <w:sz w:val="28"/>
          <w:szCs w:val="28"/>
          <w:highlight w:val="none"/>
          <w:vertAlign w:val="baseline"/>
          <w:lang w:eastAsia="zh-Hans"/>
        </w:rPr>
        <w:t>。</w:t>
      </w:r>
      <w:r>
        <w:rPr>
          <w:rFonts w:hint="eastAsia" w:ascii="仿宋_GB2312" w:hAnsi="仿宋_GB2312" w:eastAsia="仿宋_GB2312" w:cs="仿宋_GB2312"/>
          <w:color w:val="auto"/>
          <w:sz w:val="28"/>
          <w:szCs w:val="28"/>
          <w:highlight w:val="none"/>
          <w:lang w:val="en-US" w:eastAsia="zh-CN"/>
        </w:rPr>
        <w:t>在法人章程对法人印章、证照保管问题未作出规定的情况下，应推定由对外代表法人从事民事活动的负责人即法定代表人保管。公司章程、股东会决议可以根据公司实际情况对证照占有权作出调整，此为公司自治原则的体现。需特别关注“约定调整”的“生效要件”必须符合公司治理程序，公司章程修改需经代表三分之二以上表决权的股东通过，股东会决议需经出席会议的股东所持表决权过半数通过，否则约定无效。除公司章程、股东会决议以外的文件，如股东之间达成关于公司证照占有权的协议，或者是公司持股比例占绝对优势的股东向公司出具的保管函件，是否能够成为公司证照占有权的合法来源，有裁判观点认为，公司具有独立法人资格，股东协议属于“股东之间的私人约定”，无法替代公司的意思表示；股东之间就公司管理之间的约定，虽然涉及股东权利义务、公司经营管理安排，但不当人对公司具有直接约束力，公司经营管理事项仍应依据公司章程进行审查和认定。</w:t>
      </w:r>
      <w:r>
        <w:rPr>
          <w:rStyle w:val="14"/>
          <w:rFonts w:hint="eastAsia" w:ascii="仿宋_GB2312" w:hAnsi="仿宋_GB2312" w:eastAsia="仿宋_GB2312" w:cs="仿宋_GB2312"/>
          <w:color w:val="auto"/>
          <w:sz w:val="28"/>
          <w:szCs w:val="28"/>
          <w:highlight w:val="none"/>
          <w:lang w:val="en-US" w:eastAsia="zh-CN"/>
        </w:rPr>
        <w:footnoteReference w:id="24"/>
      </w:r>
      <w:r>
        <w:rPr>
          <w:rFonts w:hint="eastAsia" w:ascii="仿宋_GB2312" w:hAnsi="仿宋_GB2312" w:eastAsia="仿宋_GB2312" w:cs="仿宋_GB2312"/>
          <w:color w:val="auto"/>
          <w:sz w:val="28"/>
          <w:szCs w:val="28"/>
          <w:highlight w:val="none"/>
          <w:lang w:val="en-US" w:eastAsia="zh-CN"/>
        </w:rPr>
        <w:t>但本文认为，根据《中华人民共和国公司法》第59条第3款规定，公司意志虽以非典型形态表达或存在，但只要符合“</w:t>
      </w:r>
      <w:r>
        <w:rPr>
          <w:rFonts w:hint="eastAsia" w:ascii="仿宋_GB2312" w:hAnsi="仿宋_GB2312" w:eastAsia="仿宋_GB2312" w:cs="仿宋_GB2312"/>
          <w:color w:val="auto"/>
          <w:sz w:val="28"/>
          <w:szCs w:val="28"/>
          <w:highlight w:val="none"/>
          <w:lang w:eastAsia="zh-CN"/>
        </w:rPr>
        <w:t>股东以书面形式一致表示同意</w:t>
      </w:r>
      <w:r>
        <w:rPr>
          <w:rFonts w:hint="eastAsia" w:ascii="仿宋_GB2312" w:hAnsi="仿宋_GB2312" w:eastAsia="仿宋_GB2312" w:cs="仿宋_GB2312"/>
          <w:color w:val="auto"/>
          <w:sz w:val="28"/>
          <w:szCs w:val="28"/>
          <w:highlight w:val="none"/>
          <w:lang w:val="en-US" w:eastAsia="zh-CN"/>
        </w:rPr>
        <w:t>”</w:t>
      </w:r>
      <w:r>
        <w:rPr>
          <w:rFonts w:hint="eastAsia" w:ascii="仿宋_GB2312" w:hAnsi="仿宋_GB2312" w:eastAsia="仿宋_GB2312" w:cs="仿宋_GB2312"/>
          <w:color w:val="auto"/>
          <w:sz w:val="28"/>
          <w:szCs w:val="28"/>
          <w:highlight w:val="none"/>
          <w:lang w:eastAsia="zh-CN"/>
        </w:rPr>
        <w:t>的</w:t>
      </w:r>
      <w:r>
        <w:rPr>
          <w:rFonts w:hint="eastAsia" w:ascii="仿宋_GB2312" w:hAnsi="仿宋_GB2312" w:eastAsia="仿宋_GB2312" w:cs="仿宋_GB2312"/>
          <w:color w:val="auto"/>
          <w:sz w:val="28"/>
          <w:szCs w:val="28"/>
          <w:highlight w:val="none"/>
          <w:lang w:val="en-US" w:eastAsia="zh-CN"/>
        </w:rPr>
        <w:t>法定要件，便可认为表意等同于股东会决议效果。</w:t>
      </w:r>
      <w:r>
        <w:rPr>
          <w:rStyle w:val="14"/>
          <w:rFonts w:hint="eastAsia" w:ascii="仿宋_GB2312" w:hAnsi="仿宋_GB2312" w:eastAsia="仿宋_GB2312" w:cs="仿宋_GB2312"/>
          <w:color w:val="auto"/>
          <w:sz w:val="28"/>
          <w:szCs w:val="28"/>
          <w:highlight w:val="none"/>
          <w:lang w:val="en-US" w:eastAsia="zh-CN"/>
        </w:rPr>
        <w:footnoteReference w:id="25"/>
      </w:r>
    </w:p>
    <w:p w14:paraId="0BC68705">
      <w:pPr>
        <w:keepNext w:val="0"/>
        <w:keepLines w:val="0"/>
        <w:pageBreakBefore w:val="0"/>
        <w:widowControl w:val="0"/>
        <w:kinsoku/>
        <w:wordWrap/>
        <w:overflowPunct/>
        <w:topLinePunct w:val="0"/>
        <w:autoSpaceDE/>
        <w:autoSpaceDN/>
        <w:bidi w:val="0"/>
        <w:adjustRightInd w:val="0"/>
        <w:snapToGrid w:val="0"/>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kern w:val="0"/>
          <w:sz w:val="28"/>
          <w:szCs w:val="28"/>
          <w:highlight w:val="none"/>
          <w:lang w:val="en-US" w:eastAsia="zh-CN"/>
        </w:rPr>
        <w:t>审查中需要特别注意的是，因返还公司证照时应当向具有证照合法占有权的主体交付。故在股东</w:t>
      </w:r>
      <w:r>
        <w:rPr>
          <w:rFonts w:hint="eastAsia" w:ascii="仿宋_GB2312" w:hAnsi="仿宋_GB2312" w:eastAsia="仿宋_GB2312" w:cs="仿宋_GB2312"/>
          <w:color w:val="auto"/>
          <w:sz w:val="28"/>
          <w:szCs w:val="28"/>
          <w:highlight w:val="none"/>
          <w:lang w:val="en-US" w:eastAsia="zh-CN"/>
        </w:rPr>
        <w:t>股东代位起诉或股东双重诉讼主张返还时，此时</w:t>
      </w:r>
      <w:r>
        <w:rPr>
          <w:rFonts w:hint="eastAsia" w:ascii="仿宋_GB2312" w:hAnsi="仿宋_GB2312" w:eastAsia="仿宋_GB2312" w:cs="仿宋_GB2312"/>
          <w:color w:val="auto"/>
          <w:sz w:val="28"/>
          <w:szCs w:val="28"/>
          <w:highlight w:val="none"/>
        </w:rPr>
        <w:t>胜诉利益</w:t>
      </w:r>
      <w:r>
        <w:rPr>
          <w:rFonts w:hint="eastAsia" w:ascii="仿宋_GB2312" w:hAnsi="仿宋_GB2312" w:eastAsia="仿宋_GB2312" w:cs="仿宋_GB2312"/>
          <w:color w:val="auto"/>
          <w:sz w:val="28"/>
          <w:szCs w:val="28"/>
          <w:highlight w:val="none"/>
          <w:lang w:val="en-US" w:eastAsia="zh-CN"/>
        </w:rPr>
        <w:t>仍</w:t>
      </w:r>
      <w:r>
        <w:rPr>
          <w:rFonts w:hint="eastAsia" w:ascii="仿宋_GB2312" w:hAnsi="仿宋_GB2312" w:eastAsia="仿宋_GB2312" w:cs="仿宋_GB2312"/>
          <w:color w:val="auto"/>
          <w:sz w:val="28"/>
          <w:szCs w:val="28"/>
          <w:highlight w:val="none"/>
        </w:rPr>
        <w:t>归属于公司</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无权占有者仍应向公司返还证照，应向推定或是约定的占有人交付证照，若股东原告</w:t>
      </w:r>
      <w:r>
        <w:rPr>
          <w:rFonts w:hint="eastAsia" w:ascii="仿宋_GB2312" w:hAnsi="仿宋_GB2312" w:eastAsia="仿宋_GB2312" w:cs="仿宋_GB2312"/>
          <w:color w:val="auto"/>
          <w:sz w:val="28"/>
          <w:szCs w:val="28"/>
          <w:highlight w:val="none"/>
        </w:rPr>
        <w:t>请求</w:t>
      </w:r>
      <w:r>
        <w:rPr>
          <w:rFonts w:hint="eastAsia" w:ascii="仿宋_GB2312" w:hAnsi="仿宋_GB2312" w:eastAsia="仿宋_GB2312" w:cs="仿宋_GB2312"/>
          <w:color w:val="auto"/>
          <w:sz w:val="28"/>
          <w:szCs w:val="28"/>
          <w:highlight w:val="none"/>
          <w:lang w:val="en-US" w:eastAsia="zh-CN"/>
        </w:rPr>
        <w:t>直接向其返还一般</w:t>
      </w:r>
      <w:r>
        <w:rPr>
          <w:rFonts w:hint="eastAsia" w:ascii="仿宋_GB2312" w:hAnsi="仿宋_GB2312" w:eastAsia="仿宋_GB2312" w:cs="仿宋_GB2312"/>
          <w:color w:val="auto"/>
          <w:sz w:val="28"/>
          <w:szCs w:val="28"/>
          <w:highlight w:val="none"/>
        </w:rPr>
        <w:t>不予支持。</w:t>
      </w:r>
      <w:r>
        <w:rPr>
          <w:rStyle w:val="14"/>
          <w:rFonts w:hint="eastAsia" w:ascii="仿宋_GB2312" w:hAnsi="仿宋_GB2312" w:eastAsia="仿宋_GB2312" w:cs="仿宋_GB2312"/>
          <w:color w:val="auto"/>
          <w:sz w:val="28"/>
          <w:szCs w:val="28"/>
          <w:highlight w:val="none"/>
        </w:rPr>
        <w:footnoteReference w:id="26"/>
      </w:r>
      <w:r>
        <w:rPr>
          <w:rFonts w:hint="eastAsia" w:ascii="仿宋_GB2312" w:hAnsi="仿宋_GB2312" w:eastAsia="仿宋_GB2312" w:cs="仿宋_GB2312"/>
          <w:color w:val="auto"/>
          <w:sz w:val="28"/>
          <w:szCs w:val="28"/>
          <w:highlight w:val="none"/>
          <w:lang w:val="en-US" w:eastAsia="zh-CN"/>
        </w:rPr>
        <w:t>特定情况下股东代表诉讼中存在向股东原告返还证照的可能性，即根据公司章程、股东会决议、合同约定等公司意志，公司证照应由该股东原告占有管控的。若根据</w:t>
      </w:r>
      <w:r>
        <w:rPr>
          <w:rFonts w:hint="eastAsia" w:ascii="仿宋_GB2312" w:hAnsi="仿宋_GB2312" w:eastAsia="仿宋_GB2312" w:cs="仿宋_GB2312"/>
          <w:color w:val="auto"/>
          <w:sz w:val="28"/>
          <w:szCs w:val="28"/>
          <w:highlight w:val="none"/>
        </w:rPr>
        <w:t>公司章程、股东会决议、合同约定</w:t>
      </w:r>
      <w:r>
        <w:rPr>
          <w:rFonts w:hint="eastAsia" w:ascii="仿宋_GB2312" w:hAnsi="仿宋_GB2312" w:eastAsia="仿宋_GB2312" w:cs="仿宋_GB2312"/>
          <w:color w:val="auto"/>
          <w:sz w:val="28"/>
          <w:szCs w:val="28"/>
          <w:highlight w:val="none"/>
          <w:lang w:val="en-US" w:eastAsia="zh-CN"/>
        </w:rPr>
        <w:t>等公司意志，</w:t>
      </w:r>
      <w:r>
        <w:rPr>
          <w:rFonts w:hint="eastAsia" w:ascii="仿宋_GB2312" w:hAnsi="仿宋_GB2312" w:eastAsia="仿宋_GB2312" w:cs="仿宋_GB2312"/>
          <w:color w:val="auto"/>
          <w:sz w:val="28"/>
          <w:szCs w:val="28"/>
          <w:highlight w:val="none"/>
        </w:rPr>
        <w:t>有权占有证照的主体</w:t>
      </w:r>
      <w:r>
        <w:rPr>
          <w:rFonts w:hint="eastAsia" w:ascii="仿宋_GB2312" w:hAnsi="仿宋_GB2312" w:eastAsia="仿宋_GB2312" w:cs="仿宋_GB2312"/>
          <w:color w:val="auto"/>
          <w:sz w:val="28"/>
          <w:szCs w:val="28"/>
          <w:highlight w:val="none"/>
          <w:lang w:val="en-US" w:eastAsia="zh-CN"/>
        </w:rPr>
        <w:t>另有其人，则应据此判令向该受权主体交付证照，该主体可以是法定</w:t>
      </w:r>
      <w:bookmarkStart w:id="0" w:name="_GoBack"/>
      <w:bookmarkEnd w:id="0"/>
      <w:r>
        <w:rPr>
          <w:rFonts w:hint="eastAsia" w:ascii="仿宋_GB2312" w:hAnsi="仿宋_GB2312" w:eastAsia="仿宋_GB2312" w:cs="仿宋_GB2312"/>
          <w:color w:val="auto"/>
          <w:sz w:val="28"/>
          <w:szCs w:val="28"/>
          <w:highlight w:val="none"/>
          <w:lang w:val="en-US" w:eastAsia="zh-CN"/>
        </w:rPr>
        <w:t>代表人、董监高或股东以外的第三方</w:t>
      </w:r>
      <w:r>
        <w:rPr>
          <w:rFonts w:hint="eastAsia" w:ascii="仿宋_GB2312" w:hAnsi="仿宋_GB2312" w:eastAsia="仿宋_GB2312" w:cs="仿宋_GB2312"/>
          <w:color w:val="auto"/>
          <w:sz w:val="28"/>
          <w:szCs w:val="28"/>
          <w:highlight w:val="none"/>
        </w:rPr>
        <w:t>。</w:t>
      </w:r>
    </w:p>
    <w:p w14:paraId="5E0C7F09">
      <w:pPr>
        <w:adjustRightInd w:val="0"/>
        <w:snapToGrid w:val="0"/>
        <w:ind w:firstLine="562" w:firstLineChars="200"/>
        <w:jc w:val="left"/>
        <w:outlineLvl w:val="0"/>
        <w:rPr>
          <w:rFonts w:hint="eastAsia" w:ascii="仿宋_GB2312" w:hAnsi="仿宋_GB2312" w:eastAsia="仿宋_GB2312" w:cs="仿宋_GB2312"/>
          <w:b/>
          <w:bCs/>
          <w:color w:val="auto"/>
          <w:sz w:val="28"/>
          <w:szCs w:val="28"/>
          <w:highlight w:val="none"/>
        </w:rPr>
      </w:pPr>
      <w:commentRangeStart w:id="11"/>
      <w:r>
        <w:rPr>
          <w:rFonts w:hint="eastAsia" w:ascii="仿宋_GB2312" w:hAnsi="仿宋_GB2312" w:eastAsia="仿宋_GB2312" w:cs="仿宋_GB2312"/>
          <w:b/>
          <w:bCs/>
          <w:color w:val="auto"/>
          <w:kern w:val="0"/>
          <w:sz w:val="28"/>
          <w:szCs w:val="28"/>
          <w:highlight w:val="none"/>
          <w:lang w:val="en-US" w:eastAsia="zh-CN" w:bidi="ar"/>
        </w:rPr>
        <w:t>五、</w:t>
      </w:r>
      <w:r>
        <w:rPr>
          <w:rFonts w:hint="default" w:ascii="仿宋_GB2312" w:hAnsi="仿宋_GB2312" w:eastAsia="仿宋_GB2312" w:cs="仿宋_GB2312"/>
          <w:b/>
          <w:bCs/>
          <w:color w:val="auto"/>
          <w:kern w:val="0"/>
          <w:sz w:val="28"/>
          <w:szCs w:val="28"/>
          <w:highlight w:val="none"/>
        </w:rPr>
        <w:t>公司证照返</w:t>
      </w:r>
      <w:r>
        <w:rPr>
          <w:rFonts w:hint="eastAsia" w:ascii="仿宋_GB2312" w:hAnsi="仿宋_GB2312" w:eastAsia="仿宋_GB2312" w:cs="仿宋_GB2312"/>
          <w:b/>
          <w:bCs/>
          <w:color w:val="auto"/>
          <w:sz w:val="28"/>
          <w:szCs w:val="28"/>
          <w:highlight w:val="none"/>
        </w:rPr>
        <w:t>还纠纷的类型化梳理</w:t>
      </w:r>
      <w:commentRangeEnd w:id="11"/>
      <w:r>
        <w:commentReference w:id="11"/>
      </w:r>
    </w:p>
    <w:p w14:paraId="48659630">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公司证照争议</w:t>
      </w:r>
      <w:r>
        <w:rPr>
          <w:rFonts w:hint="eastAsia" w:ascii="仿宋_GB2312" w:hAnsi="仿宋_GB2312" w:eastAsia="仿宋_GB2312" w:cs="仿宋_GB2312"/>
          <w:color w:val="auto"/>
          <w:sz w:val="28"/>
          <w:szCs w:val="28"/>
          <w:highlight w:val="none"/>
          <w:lang w:val="en-US" w:eastAsia="zh-CN"/>
        </w:rPr>
        <w:t>案件</w:t>
      </w:r>
      <w:r>
        <w:rPr>
          <w:rFonts w:hint="eastAsia" w:ascii="仿宋_GB2312" w:hAnsi="仿宋_GB2312" w:eastAsia="仿宋_GB2312" w:cs="仿宋_GB2312"/>
          <w:color w:val="auto"/>
          <w:sz w:val="28"/>
          <w:szCs w:val="28"/>
          <w:highlight w:val="none"/>
        </w:rPr>
        <w:t>的差异往往</w:t>
      </w:r>
      <w:r>
        <w:rPr>
          <w:rFonts w:hint="eastAsia" w:ascii="仿宋_GB2312" w:hAnsi="仿宋_GB2312" w:eastAsia="仿宋_GB2312" w:cs="仿宋_GB2312"/>
          <w:color w:val="auto"/>
          <w:sz w:val="28"/>
          <w:szCs w:val="28"/>
          <w:highlight w:val="none"/>
          <w:lang w:val="en-US" w:eastAsia="zh-CN"/>
        </w:rPr>
        <w:t>取决于</w:t>
      </w:r>
      <w:r>
        <w:rPr>
          <w:rFonts w:hint="eastAsia" w:ascii="仿宋_GB2312" w:hAnsi="仿宋_GB2312" w:eastAsia="仿宋_GB2312" w:cs="仿宋_GB2312"/>
          <w:color w:val="auto"/>
          <w:sz w:val="28"/>
          <w:szCs w:val="28"/>
          <w:highlight w:val="none"/>
        </w:rPr>
        <w:t>侵占证照主体身份的不同，据此可对公司证照返还纠纷进行类型化划分，从而实现</w:t>
      </w:r>
      <w:r>
        <w:rPr>
          <w:rFonts w:hint="eastAsia" w:ascii="仿宋_GB2312" w:hAnsi="仿宋_GB2312" w:eastAsia="仿宋_GB2312" w:cs="仿宋_GB2312"/>
          <w:color w:val="auto"/>
          <w:sz w:val="28"/>
          <w:szCs w:val="28"/>
          <w:highlight w:val="none"/>
          <w:lang w:val="en-US" w:eastAsia="zh-CN"/>
        </w:rPr>
        <w:t>裁判</w:t>
      </w:r>
      <w:r>
        <w:rPr>
          <w:rFonts w:hint="eastAsia" w:ascii="仿宋_GB2312" w:hAnsi="仿宋_GB2312" w:eastAsia="仿宋_GB2312" w:cs="仿宋_GB2312"/>
          <w:color w:val="auto"/>
          <w:sz w:val="28"/>
          <w:szCs w:val="28"/>
          <w:highlight w:val="none"/>
        </w:rPr>
        <w:t>规则精准适配。</w:t>
      </w:r>
    </w:p>
    <w:p w14:paraId="7760EEB2">
      <w:pPr>
        <w:adjustRightInd w:val="0"/>
        <w:snapToGrid w:val="0"/>
        <w:ind w:firstLine="562" w:firstLineChars="200"/>
        <w:jc w:val="left"/>
        <w:outlineLvl w:val="1"/>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一</w:t>
      </w: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rPr>
        <w:t>有权参与公司治理人员的内部占有</w:t>
      </w:r>
    </w:p>
    <w:p w14:paraId="417B2EFE">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公司日常经营管理中印章证照通常由有权参与公司治理的人员占有控制，常见的是法定代表人掌控，股东、董事、监事、高级管理人员管领也较为多见，需结合公司治理规则与权责关系进行占有权源审查。</w:t>
      </w:r>
    </w:p>
    <w:p w14:paraId="1A982947">
      <w:pPr>
        <w:adjustRightInd w:val="0"/>
        <w:snapToGrid w:val="0"/>
        <w:ind w:firstLine="562" w:firstLineChars="200"/>
        <w:jc w:val="left"/>
        <w:outlineLvl w:val="2"/>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1.</w:t>
      </w:r>
      <w:r>
        <w:rPr>
          <w:rFonts w:hint="eastAsia" w:ascii="仿宋_GB2312" w:hAnsi="仿宋_GB2312" w:eastAsia="仿宋_GB2312" w:cs="仿宋_GB2312"/>
          <w:b/>
          <w:bCs/>
          <w:color w:val="auto"/>
          <w:sz w:val="28"/>
          <w:szCs w:val="28"/>
          <w:highlight w:val="none"/>
        </w:rPr>
        <w:t>法定代表人占有</w:t>
      </w:r>
    </w:p>
    <w:p w14:paraId="5957B16C">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典型场景：法定代表人变更后，原法定代表人拒不交还证照。</w:t>
      </w:r>
    </w:p>
    <w:p w14:paraId="610C5652">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裁判规则：法定代表人变更以工商登记为对抗要件，而非生效要件，证照返还请求权不因登记滞后而无法实现。新任法定代表人可凭有效股东会决议代表公司提起诉讼，法院重点审查决股东会议程序的合法性和有效性。</w:t>
      </w:r>
      <w:r>
        <w:rPr>
          <w:rStyle w:val="14"/>
          <w:rFonts w:hint="eastAsia" w:ascii="仿宋_GB2312" w:hAnsi="仿宋_GB2312" w:eastAsia="仿宋_GB2312" w:cs="仿宋_GB2312"/>
          <w:color w:val="auto"/>
          <w:sz w:val="28"/>
          <w:szCs w:val="28"/>
          <w:highlight w:val="none"/>
        </w:rPr>
        <w:footnoteReference w:id="27"/>
      </w:r>
    </w:p>
    <w:p w14:paraId="0D6811EC">
      <w:pPr>
        <w:adjustRightInd w:val="0"/>
        <w:snapToGrid w:val="0"/>
        <w:ind w:firstLine="562" w:firstLineChars="200"/>
        <w:jc w:val="left"/>
        <w:outlineLvl w:val="2"/>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2.</w:t>
      </w:r>
      <w:r>
        <w:rPr>
          <w:rFonts w:hint="eastAsia" w:ascii="仿宋_GB2312" w:hAnsi="仿宋_GB2312" w:eastAsia="仿宋_GB2312" w:cs="仿宋_GB2312"/>
          <w:b/>
          <w:bCs/>
          <w:color w:val="auto"/>
          <w:sz w:val="28"/>
          <w:szCs w:val="28"/>
          <w:highlight w:val="none"/>
        </w:rPr>
        <w:t>股东占有</w:t>
      </w:r>
    </w:p>
    <w:p w14:paraId="38DC6BFA">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典型场景：股东间就印章由谁占有产生分歧，实质为对公司控制权的争夺。</w:t>
      </w:r>
    </w:p>
    <w:p w14:paraId="2C134857">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裁判规则：审查股东占有证照是否具有章程、决议、合同等依据，若存在滥用股东权利无权占有证照的情形，根据</w:t>
      </w:r>
      <w:r>
        <w:rPr>
          <w:rFonts w:hint="eastAsia" w:ascii="仿宋_GB2312" w:hAnsi="仿宋_GB2312" w:eastAsia="仿宋_GB2312" w:cs="仿宋_GB2312"/>
          <w:color w:val="auto"/>
          <w:sz w:val="28"/>
          <w:szCs w:val="28"/>
          <w:highlight w:val="none"/>
          <w:lang w:val="en-US" w:eastAsia="zh-CN"/>
        </w:rPr>
        <w:t>《中华人民共和国公司法》</w:t>
      </w:r>
      <w:r>
        <w:rPr>
          <w:rFonts w:hint="eastAsia" w:ascii="仿宋_GB2312" w:hAnsi="仿宋_GB2312" w:eastAsia="仿宋_GB2312" w:cs="仿宋_GB2312"/>
          <w:color w:val="auto"/>
          <w:sz w:val="28"/>
          <w:szCs w:val="28"/>
          <w:highlight w:val="none"/>
        </w:rPr>
        <w:t>第</w:t>
      </w:r>
      <w:r>
        <w:rPr>
          <w:rFonts w:hint="eastAsia" w:ascii="仿宋_GB2312" w:hAnsi="仿宋_GB2312" w:eastAsia="仿宋_GB2312" w:cs="仿宋_GB2312"/>
          <w:color w:val="auto"/>
          <w:sz w:val="28"/>
          <w:szCs w:val="28"/>
          <w:highlight w:val="none"/>
          <w:lang w:eastAsia="zh-CN"/>
        </w:rPr>
        <w:t>2</w:t>
      </w:r>
      <w:r>
        <w:rPr>
          <w:rFonts w:hint="eastAsia" w:ascii="仿宋_GB2312" w:hAnsi="仿宋_GB2312" w:eastAsia="仿宋_GB2312" w:cs="仿宋_GB2312"/>
          <w:color w:val="auto"/>
          <w:sz w:val="28"/>
          <w:szCs w:val="28"/>
          <w:highlight w:val="none"/>
          <w:lang w:val="en-US" w:eastAsia="zh-CN"/>
        </w:rPr>
        <w:t>1</w:t>
      </w:r>
      <w:r>
        <w:rPr>
          <w:rFonts w:hint="eastAsia" w:ascii="仿宋_GB2312" w:hAnsi="仿宋_GB2312" w:eastAsia="仿宋_GB2312" w:cs="仿宋_GB2312"/>
          <w:color w:val="auto"/>
          <w:sz w:val="28"/>
          <w:szCs w:val="28"/>
          <w:highlight w:val="none"/>
        </w:rPr>
        <w:t>条及《</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民法典》第</w:t>
      </w:r>
      <w:r>
        <w:rPr>
          <w:rFonts w:hint="eastAsia" w:ascii="仿宋_GB2312" w:hAnsi="仿宋_GB2312" w:eastAsia="仿宋_GB2312" w:cs="仿宋_GB2312"/>
          <w:color w:val="auto"/>
          <w:sz w:val="28"/>
          <w:szCs w:val="28"/>
          <w:highlight w:val="none"/>
          <w:lang w:eastAsia="zh-CN"/>
        </w:rPr>
        <w:t>2</w:t>
      </w:r>
      <w:r>
        <w:rPr>
          <w:rFonts w:hint="eastAsia" w:ascii="仿宋_GB2312" w:hAnsi="仿宋_GB2312" w:eastAsia="仿宋_GB2312" w:cs="仿宋_GB2312"/>
          <w:color w:val="auto"/>
          <w:sz w:val="28"/>
          <w:szCs w:val="28"/>
          <w:highlight w:val="none"/>
          <w:lang w:val="en-US" w:eastAsia="zh-CN"/>
        </w:rPr>
        <w:t>35</w:t>
      </w:r>
      <w:r>
        <w:rPr>
          <w:rFonts w:hint="eastAsia" w:ascii="仿宋_GB2312" w:hAnsi="仿宋_GB2312" w:eastAsia="仿宋_GB2312" w:cs="仿宋_GB2312"/>
          <w:color w:val="auto"/>
          <w:sz w:val="28"/>
          <w:szCs w:val="28"/>
          <w:highlight w:val="none"/>
        </w:rPr>
        <w:t>条判令返还。若公司章程未明确证照保管规则，可依据股东会决议或持股比例判断占有合法性。</w:t>
      </w:r>
    </w:p>
    <w:p w14:paraId="4FF78D92">
      <w:pPr>
        <w:adjustRightInd w:val="0"/>
        <w:snapToGrid w:val="0"/>
        <w:ind w:firstLine="562" w:firstLineChars="200"/>
        <w:jc w:val="left"/>
        <w:outlineLvl w:val="2"/>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3.</w:t>
      </w:r>
      <w:r>
        <w:rPr>
          <w:rFonts w:hint="eastAsia" w:ascii="仿宋_GB2312" w:hAnsi="仿宋_GB2312" w:eastAsia="仿宋_GB2312" w:cs="仿宋_GB2312"/>
          <w:b/>
          <w:bCs/>
          <w:color w:val="auto"/>
          <w:sz w:val="28"/>
          <w:szCs w:val="28"/>
          <w:highlight w:val="none"/>
        </w:rPr>
        <w:t>董监高占有</w:t>
      </w:r>
    </w:p>
    <w:p w14:paraId="6D274CF6">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典型场景：因职务变动、章程修改、股东会决议等事由，董事、监事、高级管理人员丧失占有证照的权利，但拒不返还。</w:t>
      </w:r>
    </w:p>
    <w:p w14:paraId="4DF49FB0">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裁判规则：依据</w:t>
      </w:r>
      <w:r>
        <w:rPr>
          <w:rFonts w:hint="eastAsia" w:ascii="仿宋_GB2312" w:hAnsi="仿宋_GB2312" w:eastAsia="仿宋_GB2312" w:cs="仿宋_GB2312"/>
          <w:color w:val="auto"/>
          <w:sz w:val="28"/>
          <w:szCs w:val="28"/>
          <w:highlight w:val="none"/>
          <w:lang w:val="en-US" w:eastAsia="zh-CN"/>
        </w:rPr>
        <w:t>《中华人民共和国公司法》</w:t>
      </w:r>
      <w:r>
        <w:rPr>
          <w:rFonts w:hint="eastAsia" w:ascii="仿宋_GB2312" w:hAnsi="仿宋_GB2312" w:eastAsia="仿宋_GB2312" w:cs="仿宋_GB2312"/>
          <w:color w:val="auto"/>
          <w:sz w:val="28"/>
          <w:szCs w:val="28"/>
          <w:highlight w:val="none"/>
        </w:rPr>
        <w:t>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80</w:t>
      </w:r>
      <w:r>
        <w:rPr>
          <w:rFonts w:hint="eastAsia" w:ascii="仿宋_GB2312" w:hAnsi="仿宋_GB2312" w:eastAsia="仿宋_GB2312" w:cs="仿宋_GB2312"/>
          <w:color w:val="auto"/>
          <w:sz w:val="28"/>
          <w:szCs w:val="28"/>
          <w:highlight w:val="none"/>
        </w:rPr>
        <w:t>条、第</w:t>
      </w:r>
      <w:r>
        <w:rPr>
          <w:rFonts w:hint="eastAsia" w:ascii="仿宋_GB2312" w:hAnsi="仿宋_GB2312" w:eastAsia="仿宋_GB2312" w:cs="仿宋_GB2312"/>
          <w:color w:val="auto"/>
          <w:sz w:val="28"/>
          <w:szCs w:val="28"/>
          <w:highlight w:val="none"/>
          <w:lang w:eastAsia="zh-CN"/>
        </w:rPr>
        <w:t>1</w:t>
      </w:r>
      <w:r>
        <w:rPr>
          <w:rFonts w:hint="eastAsia" w:ascii="仿宋_GB2312" w:hAnsi="仿宋_GB2312" w:eastAsia="仿宋_GB2312" w:cs="仿宋_GB2312"/>
          <w:color w:val="auto"/>
          <w:sz w:val="28"/>
          <w:szCs w:val="28"/>
          <w:highlight w:val="none"/>
          <w:lang w:val="en-US" w:eastAsia="zh-CN"/>
        </w:rPr>
        <w:t>81</w:t>
      </w:r>
      <w:r>
        <w:rPr>
          <w:rFonts w:hint="eastAsia" w:ascii="仿宋_GB2312" w:hAnsi="仿宋_GB2312" w:eastAsia="仿宋_GB2312" w:cs="仿宋_GB2312"/>
          <w:color w:val="auto"/>
          <w:sz w:val="28"/>
          <w:szCs w:val="28"/>
          <w:highlight w:val="none"/>
        </w:rPr>
        <w:t>条规定，董监高对公司负有忠实义务，离职后无权继续占有证照，</w:t>
      </w:r>
      <w:r>
        <w:rPr>
          <w:rStyle w:val="14"/>
          <w:rFonts w:hint="eastAsia" w:ascii="仿宋_GB2312" w:hAnsi="仿宋_GB2312" w:eastAsia="仿宋_GB2312" w:cs="仿宋_GB2312"/>
          <w:color w:val="auto"/>
          <w:sz w:val="28"/>
          <w:szCs w:val="28"/>
          <w:highlight w:val="none"/>
        </w:rPr>
        <w:footnoteReference w:id="28"/>
      </w:r>
      <w:r>
        <w:rPr>
          <w:rFonts w:hint="eastAsia" w:ascii="仿宋_GB2312" w:hAnsi="仿宋_GB2312" w:eastAsia="仿宋_GB2312" w:cs="仿宋_GB2312"/>
          <w:color w:val="auto"/>
          <w:sz w:val="28"/>
          <w:szCs w:val="28"/>
          <w:highlight w:val="none"/>
        </w:rPr>
        <w:t>应向公司返还证照。</w:t>
      </w:r>
    </w:p>
    <w:p w14:paraId="214B35C0">
      <w:pPr>
        <w:adjustRightInd w:val="0"/>
        <w:snapToGrid w:val="0"/>
        <w:ind w:firstLine="562" w:firstLineChars="200"/>
        <w:jc w:val="left"/>
        <w:outlineLvl w:val="1"/>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lang w:val="en-US" w:eastAsia="zh-CN"/>
        </w:rPr>
        <w:t>二</w:t>
      </w:r>
      <w:r>
        <w:rPr>
          <w:rFonts w:hint="eastAsia" w:ascii="仿宋_GB2312" w:hAnsi="仿宋_GB2312" w:eastAsia="仿宋_GB2312" w:cs="仿宋_GB2312"/>
          <w:b/>
          <w:bCs/>
          <w:color w:val="auto"/>
          <w:sz w:val="28"/>
          <w:szCs w:val="28"/>
          <w:highlight w:val="none"/>
          <w:lang w:eastAsia="zh-CN"/>
        </w:rPr>
        <w:t>）</w:t>
      </w:r>
      <w:r>
        <w:rPr>
          <w:rFonts w:hint="eastAsia" w:ascii="仿宋_GB2312" w:hAnsi="仿宋_GB2312" w:eastAsia="仿宋_GB2312" w:cs="仿宋_GB2312"/>
          <w:b/>
          <w:bCs/>
          <w:color w:val="auto"/>
          <w:sz w:val="28"/>
          <w:szCs w:val="28"/>
          <w:highlight w:val="none"/>
        </w:rPr>
        <w:t>无权参与公司治理人员的外部占有</w:t>
      </w:r>
    </w:p>
    <w:p w14:paraId="607EC101">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公司证照外部占用的情形，常见于无权参与公司治理的人员基于劳动关系、合同关系等占有证照后拒不返还，通常不涉及公司治理事项，为单纯物权侵权性质，可按返还原物纠纷思路审理。</w:t>
      </w:r>
    </w:p>
    <w:p w14:paraId="75EE5545">
      <w:pPr>
        <w:adjustRightInd w:val="0"/>
        <w:snapToGrid w:val="0"/>
        <w:ind w:firstLine="562" w:firstLineChars="200"/>
        <w:jc w:val="left"/>
        <w:outlineLvl w:val="2"/>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1.</w:t>
      </w:r>
      <w:r>
        <w:rPr>
          <w:rFonts w:hint="eastAsia" w:ascii="仿宋_GB2312" w:hAnsi="仿宋_GB2312" w:eastAsia="仿宋_GB2312" w:cs="仿宋_GB2312"/>
          <w:b/>
          <w:bCs/>
          <w:color w:val="auto"/>
          <w:sz w:val="28"/>
          <w:szCs w:val="28"/>
          <w:highlight w:val="none"/>
        </w:rPr>
        <w:t>合同相对方占有</w:t>
      </w:r>
    </w:p>
    <w:p w14:paraId="4A4A5006">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典型场景：合作方、受托方依约保管证照，合同约定条件成就或合同解除终止后拒绝返还。</w:t>
      </w:r>
    </w:p>
    <w:p w14:paraId="59D36970">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裁判规则：《</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民法典》第</w:t>
      </w:r>
      <w:r>
        <w:rPr>
          <w:rFonts w:hint="eastAsia" w:ascii="仿宋_GB2312" w:hAnsi="仿宋_GB2312" w:eastAsia="仿宋_GB2312" w:cs="仿宋_GB2312"/>
          <w:color w:val="auto"/>
          <w:sz w:val="28"/>
          <w:szCs w:val="28"/>
          <w:highlight w:val="none"/>
          <w:lang w:val="en-US" w:eastAsia="zh-CN"/>
        </w:rPr>
        <w:t>241</w:t>
      </w:r>
      <w:r>
        <w:rPr>
          <w:rFonts w:hint="eastAsia" w:ascii="仿宋_GB2312" w:hAnsi="仿宋_GB2312" w:eastAsia="仿宋_GB2312" w:cs="仿宋_GB2312"/>
          <w:color w:val="auto"/>
          <w:sz w:val="28"/>
          <w:szCs w:val="28"/>
          <w:highlight w:val="none"/>
        </w:rPr>
        <w:t>条规定，基于合同关系等产生的证照占有，有约定的从约定，无约定的按法定。重点审查合同中有关证照保管的条款，以及合同是否存在不成立、无效、撤销、解除、终止等致使合同相对方无权占有证照的事由。</w:t>
      </w:r>
    </w:p>
    <w:p w14:paraId="737D6965">
      <w:pPr>
        <w:adjustRightInd w:val="0"/>
        <w:snapToGrid w:val="0"/>
        <w:ind w:firstLine="562" w:firstLineChars="200"/>
        <w:jc w:val="left"/>
        <w:outlineLvl w:val="2"/>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2.</w:t>
      </w:r>
      <w:r>
        <w:rPr>
          <w:rFonts w:hint="eastAsia" w:ascii="仿宋_GB2312" w:hAnsi="仿宋_GB2312" w:eastAsia="仿宋_GB2312" w:cs="仿宋_GB2312"/>
          <w:b/>
          <w:bCs/>
          <w:color w:val="auto"/>
          <w:sz w:val="28"/>
          <w:szCs w:val="28"/>
          <w:highlight w:val="none"/>
        </w:rPr>
        <w:t>债权人占有</w:t>
      </w:r>
    </w:p>
    <w:p w14:paraId="54508272">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典型场景：债权人以证照质押或抵债为由占有。</w:t>
      </w:r>
    </w:p>
    <w:p w14:paraId="24EA3D11">
      <w:pPr>
        <w:adjustRightInd w:val="0"/>
        <w:snapToGrid w:val="0"/>
        <w:ind w:firstLine="560" w:firstLineChars="200"/>
        <w:jc w:val="lef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裁判规则：除非当事人根据《</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民法典》第</w:t>
      </w:r>
      <w:r>
        <w:rPr>
          <w:rFonts w:hint="eastAsia" w:ascii="仿宋_GB2312" w:hAnsi="仿宋_GB2312" w:eastAsia="仿宋_GB2312" w:cs="仿宋_GB2312"/>
          <w:color w:val="auto"/>
          <w:sz w:val="28"/>
          <w:szCs w:val="28"/>
          <w:highlight w:val="none"/>
          <w:lang w:val="en-US" w:eastAsia="zh-CN"/>
        </w:rPr>
        <w:t>429</w:t>
      </w:r>
      <w:r>
        <w:rPr>
          <w:rFonts w:hint="eastAsia" w:ascii="仿宋_GB2312" w:hAnsi="仿宋_GB2312" w:eastAsia="仿宋_GB2312" w:cs="仿宋_GB2312"/>
          <w:color w:val="auto"/>
          <w:sz w:val="28"/>
          <w:szCs w:val="28"/>
          <w:highlight w:val="none"/>
        </w:rPr>
        <w:t>条达成证照出质合意并实际交付，否则债权人无权占有证照，应当判令返还。</w:t>
      </w:r>
    </w:p>
    <w:p w14:paraId="069BD142">
      <w:pPr>
        <w:adjustRightInd w:val="0"/>
        <w:snapToGrid w:val="0"/>
        <w:ind w:firstLine="562" w:firstLineChars="200"/>
        <w:jc w:val="left"/>
        <w:outlineLvl w:val="2"/>
        <w:rPr>
          <w:rFonts w:hint="eastAsia" w:ascii="仿宋_GB2312" w:hAnsi="仿宋_GB2312" w:eastAsia="仿宋_GB2312" w:cs="仿宋_GB2312"/>
          <w:b/>
          <w:bCs/>
          <w:color w:val="auto"/>
          <w:sz w:val="28"/>
          <w:szCs w:val="28"/>
          <w:highlight w:val="none"/>
        </w:rPr>
      </w:pPr>
      <w:r>
        <w:rPr>
          <w:rFonts w:hint="eastAsia" w:ascii="仿宋_GB2312" w:hAnsi="仿宋_GB2312" w:eastAsia="仿宋_GB2312" w:cs="仿宋_GB2312"/>
          <w:b/>
          <w:bCs/>
          <w:color w:val="auto"/>
          <w:sz w:val="28"/>
          <w:szCs w:val="28"/>
          <w:highlight w:val="none"/>
          <w:lang w:val="en-US" w:eastAsia="zh-CN"/>
        </w:rPr>
        <w:t>3.</w:t>
      </w:r>
      <w:r>
        <w:rPr>
          <w:rFonts w:hint="eastAsia" w:ascii="仿宋_GB2312" w:hAnsi="仿宋_GB2312" w:eastAsia="仿宋_GB2312" w:cs="仿宋_GB2312"/>
          <w:b/>
          <w:bCs/>
          <w:color w:val="auto"/>
          <w:sz w:val="28"/>
          <w:szCs w:val="28"/>
          <w:highlight w:val="none"/>
        </w:rPr>
        <w:t>劳动者占有</w:t>
      </w:r>
    </w:p>
    <w:p w14:paraId="57D789D6">
      <w:pPr>
        <w:keepNext w:val="0"/>
        <w:keepLines w:val="0"/>
        <w:pageBreakBefore w:val="0"/>
        <w:kinsoku/>
        <w:wordWrap/>
        <w:overflowPunct/>
        <w:topLinePunct w:val="0"/>
        <w:autoSpaceDE/>
        <w:autoSpaceDN/>
        <w:bidi w:val="0"/>
        <w:adjustRightInd w:val="0"/>
        <w:snapToGrid w:val="0"/>
        <w:ind w:firstLine="560" w:firstLineChars="200"/>
        <w:jc w:val="left"/>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典型场景：员工因劳动纠纷扣留公司证照作为谈判筹码。</w:t>
      </w:r>
    </w:p>
    <w:p w14:paraId="35AC0BB5">
      <w:pPr>
        <w:keepNext w:val="0"/>
        <w:keepLines w:val="0"/>
        <w:pageBreakBefore w:val="0"/>
        <w:kinsoku/>
        <w:wordWrap/>
        <w:overflowPunct/>
        <w:topLinePunct w:val="0"/>
        <w:autoSpaceDE/>
        <w:autoSpaceDN/>
        <w:bidi w:val="0"/>
        <w:adjustRightInd w:val="0"/>
        <w:snapToGrid w:val="0"/>
        <w:ind w:firstLine="560" w:firstLineChars="200"/>
        <w:jc w:val="left"/>
        <w:textAlignment w:val="auto"/>
        <w:rPr>
          <w:rFonts w:hint="eastAsia" w:ascii="仿宋_GB2312" w:hAnsi="仿宋_GB2312" w:eastAsia="仿宋_GB2312" w:cs="仿宋_GB2312"/>
          <w:b w:val="0"/>
          <w:bCs w:val="0"/>
          <w:color w:val="auto"/>
          <w:kern w:val="2"/>
          <w:sz w:val="28"/>
          <w:szCs w:val="28"/>
          <w:highlight w:val="none"/>
          <w:lang w:val="en-US" w:eastAsia="zh-CN" w:bidi="ar"/>
        </w:rPr>
      </w:pPr>
      <w:r>
        <w:rPr>
          <w:rFonts w:hint="eastAsia" w:ascii="仿宋_GB2312" w:hAnsi="仿宋_GB2312" w:eastAsia="仿宋_GB2312" w:cs="仿宋_GB2312"/>
          <w:color w:val="auto"/>
          <w:sz w:val="28"/>
          <w:szCs w:val="28"/>
          <w:highlight w:val="none"/>
        </w:rPr>
        <w:t>裁判规则：若员工占有证照无合同或职务依据，适用《</w:t>
      </w:r>
      <w:r>
        <w:rPr>
          <w:rFonts w:hint="eastAsia" w:ascii="仿宋_GB2312" w:hAnsi="仿宋_GB2312" w:eastAsia="仿宋_GB2312" w:cs="仿宋_GB2312"/>
          <w:color w:val="auto"/>
          <w:sz w:val="28"/>
          <w:szCs w:val="28"/>
          <w:highlight w:val="none"/>
          <w:lang w:val="en-US" w:eastAsia="zh-CN"/>
        </w:rPr>
        <w:t>中华人民共和国</w:t>
      </w:r>
      <w:r>
        <w:rPr>
          <w:rFonts w:hint="eastAsia" w:ascii="仿宋_GB2312" w:hAnsi="仿宋_GB2312" w:eastAsia="仿宋_GB2312" w:cs="仿宋_GB2312"/>
          <w:color w:val="auto"/>
          <w:sz w:val="28"/>
          <w:szCs w:val="28"/>
          <w:highlight w:val="none"/>
        </w:rPr>
        <w:t>民法典》第</w:t>
      </w:r>
      <w:r>
        <w:rPr>
          <w:rFonts w:hint="eastAsia" w:ascii="仿宋_GB2312" w:hAnsi="仿宋_GB2312" w:eastAsia="仿宋_GB2312" w:cs="仿宋_GB2312"/>
          <w:color w:val="auto"/>
          <w:sz w:val="28"/>
          <w:szCs w:val="28"/>
          <w:highlight w:val="none"/>
          <w:lang w:val="en-US" w:eastAsia="zh-CN"/>
        </w:rPr>
        <w:t>235</w:t>
      </w:r>
      <w:r>
        <w:rPr>
          <w:rFonts w:hint="eastAsia" w:ascii="仿宋_GB2312" w:hAnsi="仿宋_GB2312" w:eastAsia="仿宋_GB2312" w:cs="仿宋_GB2312"/>
          <w:color w:val="auto"/>
          <w:sz w:val="28"/>
          <w:szCs w:val="28"/>
          <w:highlight w:val="none"/>
        </w:rPr>
        <w:t>条判令返还原物。释明员工先行返还证照，劳动争议可另行处理。</w:t>
      </w:r>
    </w:p>
    <w:p w14:paraId="199A5351">
      <w:pPr>
        <w:keepNext w:val="0"/>
        <w:keepLines w:val="0"/>
        <w:pageBreakBefore w:val="0"/>
        <w:widowControl w:val="0"/>
        <w:kinsoku/>
        <w:wordWrap/>
        <w:overflowPunct/>
        <w:topLinePunct w:val="0"/>
        <w:autoSpaceDE/>
        <w:autoSpaceDN/>
        <w:bidi w:val="0"/>
        <w:adjustRightInd w:val="0"/>
        <w:snapToGrid w:val="0"/>
        <w:ind w:firstLine="562" w:firstLineChars="200"/>
        <w:textAlignment w:val="auto"/>
        <w:outlineLvl w:val="0"/>
        <w:rPr>
          <w:rFonts w:hint="eastAsia" w:ascii="仿宋_GB2312" w:hAnsi="仿宋_GB2312" w:eastAsia="仿宋_GB2312" w:cs="仿宋_GB2312"/>
          <w:b/>
          <w:bCs/>
          <w:color w:val="auto"/>
          <w:sz w:val="28"/>
          <w:szCs w:val="28"/>
          <w:highlight w:val="none"/>
          <w:lang w:val="en-US" w:eastAsia="zh-CN"/>
        </w:rPr>
      </w:pPr>
      <w:r>
        <w:rPr>
          <w:rFonts w:hint="eastAsia" w:ascii="仿宋_GB2312" w:hAnsi="仿宋_GB2312" w:eastAsia="仿宋_GB2312" w:cs="仿宋_GB2312"/>
          <w:b/>
          <w:bCs/>
          <w:color w:val="auto"/>
          <w:sz w:val="28"/>
          <w:szCs w:val="28"/>
          <w:highlight w:val="none"/>
          <w:lang w:val="en-US" w:eastAsia="zh-CN"/>
        </w:rPr>
        <w:t>六、结语</w:t>
      </w:r>
    </w:p>
    <w:p w14:paraId="721684FC">
      <w:pPr>
        <w:adjustRightInd w:val="0"/>
        <w:snapToGrid w:val="0"/>
        <w:ind w:firstLine="560" w:firstLineChars="2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保险箱争夺案”是多重间接持股架构下公司控制权争夺型的公司证照返还纠纷的典型案例，该案中法院不仅在个案层面上解决了公司控制权纷争，还通过确立证照返还规则，净化公司治理环境，遏制恶意侵占公司证照行为，对企业建立健全内部管理制度、明确证照使用权限，起到防患未然的启示作用。通过剖析该案，得以重新审视公司证照返还纠纷的法律属性，深入思考其诉讼构造、请求权基础以及裁判规则类型化构建等问题，为类案研究和实践提供有益参考。最后，笔者在前文分析基础上，围绕公司证照返还纠纷的诉讼构造制作可视化图表（详见表1），试图更为清晰地呈现此类纠纷的解决思路，从而抛砖引玉，促进理论探讨和司法实践不断丰富和完善。</w:t>
      </w:r>
    </w:p>
    <w:p w14:paraId="2802F5ED">
      <w:pPr>
        <w:adjustRightInd w:val="0"/>
        <w:snapToGrid w:val="0"/>
        <w:ind w:firstLine="560" w:firstLineChars="200"/>
        <w:rPr>
          <w:rFonts w:hint="eastAsia" w:ascii="仿宋_GB2312" w:hAnsi="仿宋_GB2312" w:eastAsia="仿宋_GB2312" w:cs="仿宋_GB2312"/>
          <w:color w:val="auto"/>
          <w:sz w:val="28"/>
          <w:szCs w:val="28"/>
          <w:highlight w:val="none"/>
          <w:lang w:val="en-US" w:eastAsia="zh-CN"/>
        </w:rPr>
      </w:pP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
        <w:gridCol w:w="846"/>
        <w:gridCol w:w="846"/>
        <w:gridCol w:w="1056"/>
        <w:gridCol w:w="1890"/>
        <w:gridCol w:w="857"/>
        <w:gridCol w:w="962"/>
        <w:gridCol w:w="1556"/>
      </w:tblGrid>
      <w:tr w14:paraId="4F937AF6">
        <w:trPr>
          <w:trHeight w:val="619" w:hRule="atLeast"/>
          <w:jc w:val="center"/>
        </w:trPr>
        <w:tc>
          <w:tcPr>
            <w:tcW w:w="332" w:type="pct"/>
            <w:vMerge w:val="restart"/>
            <w:noWrap w:val="0"/>
            <w:vAlign w:val="center"/>
          </w:tcPr>
          <w:p w14:paraId="2A4D2367">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宋体" w:hAnsi="宋体" w:eastAsia="宋体" w:cs="宋体"/>
                <w:b/>
                <w:bCs/>
                <w:i w:val="0"/>
                <w:iCs w:val="0"/>
                <w:caps w:val="0"/>
                <w:color w:val="auto"/>
                <w:spacing w:val="0"/>
                <w:kern w:val="0"/>
                <w:sz w:val="21"/>
                <w:szCs w:val="21"/>
                <w:highlight w:val="none"/>
                <w:lang w:val="en-US" w:eastAsia="zh-CN" w:bidi="ar"/>
              </w:rPr>
            </w:pPr>
          </w:p>
          <w:p w14:paraId="2DE93472">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宋体" w:hAnsi="宋体" w:eastAsia="宋体" w:cs="宋体"/>
                <w:b/>
                <w:bCs/>
                <w:i w:val="0"/>
                <w:iCs w:val="0"/>
                <w:caps w:val="0"/>
                <w:color w:val="auto"/>
                <w:spacing w:val="0"/>
                <w:kern w:val="0"/>
                <w:sz w:val="21"/>
                <w:szCs w:val="21"/>
                <w:highlight w:val="none"/>
                <w:lang w:val="en-US" w:eastAsia="zh-CN" w:bidi="ar"/>
              </w:rPr>
            </w:pPr>
          </w:p>
          <w:p w14:paraId="6ED24F8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公司证照返还纠纷</w:t>
            </w:r>
          </w:p>
        </w:tc>
        <w:tc>
          <w:tcPr>
            <w:tcW w:w="510" w:type="pct"/>
            <w:vMerge w:val="restart"/>
            <w:noWrap w:val="0"/>
            <w:vAlign w:val="center"/>
          </w:tcPr>
          <w:p w14:paraId="0442921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法律</w:t>
            </w:r>
          </w:p>
          <w:p w14:paraId="04493973">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属性</w:t>
            </w:r>
          </w:p>
        </w:tc>
        <w:tc>
          <w:tcPr>
            <w:tcW w:w="419" w:type="pct"/>
            <w:vMerge w:val="restart"/>
            <w:noWrap w:val="0"/>
            <w:vAlign w:val="center"/>
          </w:tcPr>
          <w:p w14:paraId="619B8DC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典型</w:t>
            </w:r>
          </w:p>
          <w:p w14:paraId="48AEB2B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场景</w:t>
            </w:r>
          </w:p>
        </w:tc>
        <w:tc>
          <w:tcPr>
            <w:tcW w:w="1658" w:type="pct"/>
            <w:gridSpan w:val="2"/>
            <w:noWrap w:val="0"/>
            <w:vAlign w:val="center"/>
          </w:tcPr>
          <w:p w14:paraId="1333F736">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规范依据</w:t>
            </w:r>
          </w:p>
        </w:tc>
        <w:tc>
          <w:tcPr>
            <w:tcW w:w="535" w:type="pct"/>
            <w:vMerge w:val="restart"/>
            <w:noWrap w:val="0"/>
            <w:vAlign w:val="center"/>
          </w:tcPr>
          <w:p w14:paraId="324E2A3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交叉</w:t>
            </w:r>
          </w:p>
          <w:p w14:paraId="06387D5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竞合</w:t>
            </w:r>
          </w:p>
        </w:tc>
        <w:tc>
          <w:tcPr>
            <w:tcW w:w="1542" w:type="pct"/>
            <w:gridSpan w:val="2"/>
            <w:noWrap w:val="0"/>
            <w:vAlign w:val="center"/>
          </w:tcPr>
          <w:p w14:paraId="4ADE768C">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审查重点</w:t>
            </w:r>
          </w:p>
        </w:tc>
      </w:tr>
      <w:tr w14:paraId="2E44F08B">
        <w:trPr>
          <w:trHeight w:val="619" w:hRule="atLeast"/>
          <w:jc w:val="center"/>
        </w:trPr>
        <w:tc>
          <w:tcPr>
            <w:tcW w:w="332" w:type="pct"/>
            <w:vMerge w:val="continue"/>
            <w:noWrap w:val="0"/>
            <w:vAlign w:val="center"/>
          </w:tcPr>
          <w:p w14:paraId="41556C7B">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宋体" w:hAnsi="宋体" w:eastAsia="宋体" w:cs="宋体"/>
                <w:color w:val="auto"/>
                <w:sz w:val="21"/>
                <w:szCs w:val="21"/>
                <w:highlight w:val="none"/>
              </w:rPr>
            </w:pPr>
          </w:p>
        </w:tc>
        <w:tc>
          <w:tcPr>
            <w:tcW w:w="510" w:type="pct"/>
            <w:vMerge w:val="continue"/>
            <w:noWrap w:val="0"/>
            <w:vAlign w:val="center"/>
          </w:tcPr>
          <w:p w14:paraId="33D4538D">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color w:val="auto"/>
                <w:sz w:val="21"/>
                <w:szCs w:val="21"/>
                <w:highlight w:val="none"/>
              </w:rPr>
            </w:pPr>
          </w:p>
        </w:tc>
        <w:tc>
          <w:tcPr>
            <w:tcW w:w="419" w:type="pct"/>
            <w:vMerge w:val="continue"/>
            <w:noWrap w:val="0"/>
            <w:vAlign w:val="center"/>
          </w:tcPr>
          <w:p w14:paraId="16F496EC">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color w:val="auto"/>
                <w:sz w:val="21"/>
                <w:szCs w:val="21"/>
                <w:highlight w:val="none"/>
              </w:rPr>
            </w:pPr>
          </w:p>
        </w:tc>
        <w:tc>
          <w:tcPr>
            <w:tcW w:w="498" w:type="pct"/>
            <w:noWrap w:val="0"/>
            <w:vAlign w:val="center"/>
          </w:tcPr>
          <w:p w14:paraId="2889E85C">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实体</w:t>
            </w:r>
          </w:p>
        </w:tc>
        <w:tc>
          <w:tcPr>
            <w:tcW w:w="1160" w:type="pct"/>
            <w:noWrap w:val="0"/>
            <w:vAlign w:val="center"/>
          </w:tcPr>
          <w:p w14:paraId="610D0DA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程序</w:t>
            </w:r>
          </w:p>
        </w:tc>
        <w:tc>
          <w:tcPr>
            <w:tcW w:w="535" w:type="pct"/>
            <w:vMerge w:val="continue"/>
            <w:noWrap w:val="0"/>
            <w:vAlign w:val="center"/>
          </w:tcPr>
          <w:p w14:paraId="3FB4E107">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p>
        </w:tc>
        <w:tc>
          <w:tcPr>
            <w:tcW w:w="597" w:type="pct"/>
            <w:noWrap w:val="0"/>
            <w:vAlign w:val="center"/>
          </w:tcPr>
          <w:p w14:paraId="2BEEF6E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实体</w:t>
            </w:r>
          </w:p>
        </w:tc>
        <w:tc>
          <w:tcPr>
            <w:tcW w:w="944" w:type="pct"/>
            <w:noWrap w:val="0"/>
            <w:vAlign w:val="center"/>
          </w:tcPr>
          <w:p w14:paraId="20B807C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宋体" w:hAnsi="宋体" w:eastAsia="宋体" w:cs="宋体"/>
                <w:b/>
                <w:bCs/>
                <w:i w:val="0"/>
                <w:iCs w:val="0"/>
                <w:caps w:val="0"/>
                <w:color w:val="auto"/>
                <w:spacing w:val="0"/>
                <w:kern w:val="0"/>
                <w:sz w:val="21"/>
                <w:szCs w:val="21"/>
                <w:highlight w:val="none"/>
                <w:lang w:val="en-US" w:eastAsia="zh-CN" w:bidi="ar"/>
              </w:rPr>
            </w:pPr>
            <w:r>
              <w:rPr>
                <w:rFonts w:hint="eastAsia" w:ascii="宋体" w:hAnsi="宋体" w:eastAsia="宋体" w:cs="宋体"/>
                <w:b/>
                <w:bCs/>
                <w:i w:val="0"/>
                <w:iCs w:val="0"/>
                <w:caps w:val="0"/>
                <w:color w:val="auto"/>
                <w:spacing w:val="0"/>
                <w:kern w:val="0"/>
                <w:sz w:val="21"/>
                <w:szCs w:val="21"/>
                <w:highlight w:val="none"/>
                <w:lang w:val="en-US" w:eastAsia="zh-CN" w:bidi="ar"/>
              </w:rPr>
              <w:t>程序</w:t>
            </w:r>
          </w:p>
        </w:tc>
      </w:tr>
      <w:tr w14:paraId="374961AC">
        <w:trPr>
          <w:trHeight w:val="3878" w:hRule="atLeast"/>
          <w:jc w:val="center"/>
        </w:trPr>
        <w:tc>
          <w:tcPr>
            <w:tcW w:w="332" w:type="pct"/>
            <w:vMerge w:val="continue"/>
            <w:noWrap w:val="0"/>
            <w:vAlign w:val="center"/>
          </w:tcPr>
          <w:p w14:paraId="7A8C3B31">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510" w:type="pct"/>
            <w:noWrap w:val="0"/>
            <w:vAlign w:val="center"/>
          </w:tcPr>
          <w:p w14:paraId="6DDC22C3">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物权法属性（涉及物权保护）</w:t>
            </w:r>
          </w:p>
        </w:tc>
        <w:tc>
          <w:tcPr>
            <w:tcW w:w="419" w:type="pct"/>
            <w:noWrap w:val="0"/>
            <w:vAlign w:val="center"/>
          </w:tcPr>
          <w:p w14:paraId="52D9D63A">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无权参与公司治理人员的外部侵占</w:t>
            </w:r>
          </w:p>
        </w:tc>
        <w:tc>
          <w:tcPr>
            <w:tcW w:w="498" w:type="pct"/>
            <w:noWrap w:val="0"/>
            <w:vAlign w:val="center"/>
          </w:tcPr>
          <w:p w14:paraId="4F61627F">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《中华人民共和国民法典》第235条</w:t>
            </w:r>
          </w:p>
        </w:tc>
        <w:tc>
          <w:tcPr>
            <w:tcW w:w="1160" w:type="pct"/>
            <w:noWrap w:val="0"/>
            <w:vAlign w:val="center"/>
          </w:tcPr>
          <w:p w14:paraId="45B0FF67">
            <w:pPr>
              <w:keepNext w:val="0"/>
              <w:keepLines w:val="0"/>
              <w:pageBreakBefore w:val="0"/>
              <w:kinsoku/>
              <w:wordWrap/>
              <w:overflowPunct/>
              <w:topLinePunct w:val="0"/>
              <w:autoSpaceDE/>
              <w:autoSpaceDN/>
              <w:bidi w:val="0"/>
              <w:adjustRightInd w:val="0"/>
              <w:snapToGrid w:val="0"/>
              <w:ind w:firstLine="420" w:firstLineChars="200"/>
              <w:jc w:val="both"/>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①公司自己起诉：《中华人民共和国民事诉讼法》第122条（公司治理正常）；②股东代表诉讼：《中华人民共和国公司法》第189条（公司治理僵局）</w:t>
            </w:r>
          </w:p>
        </w:tc>
        <w:tc>
          <w:tcPr>
            <w:tcW w:w="535" w:type="pct"/>
            <w:noWrap w:val="0"/>
            <w:vAlign w:val="center"/>
          </w:tcPr>
          <w:p w14:paraId="7664F2BC">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与“返还原物纠纷”竞合</w:t>
            </w:r>
          </w:p>
        </w:tc>
        <w:tc>
          <w:tcPr>
            <w:tcW w:w="597" w:type="pct"/>
            <w:noWrap w:val="0"/>
            <w:vAlign w:val="center"/>
          </w:tcPr>
          <w:p w14:paraId="07425749">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①证照所有权情况；</w:t>
            </w:r>
            <w:r>
              <w:rPr>
                <w:rFonts w:hint="eastAsia" w:ascii="宋体" w:hAnsi="宋体" w:eastAsia="宋体" w:cs="宋体"/>
                <w:i w:val="0"/>
                <w:iCs w:val="0"/>
                <w:caps w:val="0"/>
                <w:color w:val="auto"/>
                <w:spacing w:val="0"/>
                <w:kern w:val="0"/>
                <w:sz w:val="21"/>
                <w:szCs w:val="21"/>
                <w:highlight w:val="none"/>
                <w:lang w:val="en-US" w:eastAsia="zh-CN" w:bidi="ar"/>
              </w:rPr>
              <w:br w:type="textWrapping"/>
            </w:r>
            <w:r>
              <w:rPr>
                <w:rFonts w:hint="eastAsia" w:ascii="宋体" w:hAnsi="宋体" w:eastAsia="宋体" w:cs="宋体"/>
                <w:i w:val="0"/>
                <w:iCs w:val="0"/>
                <w:caps w:val="0"/>
                <w:color w:val="auto"/>
                <w:spacing w:val="0"/>
                <w:kern w:val="0"/>
                <w:sz w:val="21"/>
                <w:szCs w:val="21"/>
                <w:highlight w:val="none"/>
                <w:lang w:val="en-US" w:eastAsia="zh-CN" w:bidi="ar"/>
              </w:rPr>
              <w:t>②占有证照是否具有合法权源。</w:t>
            </w:r>
          </w:p>
        </w:tc>
        <w:tc>
          <w:tcPr>
            <w:tcW w:w="944" w:type="pct"/>
            <w:vMerge w:val="restart"/>
            <w:noWrap w:val="0"/>
            <w:vAlign w:val="center"/>
          </w:tcPr>
          <w:p w14:paraId="2AE13659">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①公司自己起诉的，审查起诉是否经股东会、董事会表决同意；</w:t>
            </w:r>
          </w:p>
          <w:p w14:paraId="7D1B5D13">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②股东代表诉讼的，审查股东身份是否符合法定条件、股东先诉请求是否落空、前置程序是否存在豁免事由；</w:t>
            </w:r>
          </w:p>
          <w:p w14:paraId="6B2C232F">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③失去占有方补办证照的，审查补办是否具有合法依据，对“脱法”目的的补办予以否定</w:t>
            </w:r>
          </w:p>
          <w:p w14:paraId="6291A90B">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w:t>
            </w:r>
          </w:p>
        </w:tc>
      </w:tr>
      <w:tr w14:paraId="46E0F5C6">
        <w:trPr>
          <w:trHeight w:val="723" w:hRule="atLeast"/>
          <w:jc w:val="center"/>
        </w:trPr>
        <w:tc>
          <w:tcPr>
            <w:tcW w:w="332" w:type="pct"/>
            <w:vMerge w:val="continue"/>
            <w:noWrap w:val="0"/>
            <w:vAlign w:val="center"/>
          </w:tcPr>
          <w:p w14:paraId="4BD36024">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510" w:type="pct"/>
            <w:vMerge w:val="restart"/>
            <w:noWrap w:val="0"/>
            <w:vAlign w:val="center"/>
          </w:tcPr>
          <w:p w14:paraId="4F571391">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组织法属性（涉及公司治理）</w:t>
            </w:r>
          </w:p>
        </w:tc>
        <w:tc>
          <w:tcPr>
            <w:tcW w:w="419" w:type="pct"/>
            <w:vMerge w:val="restart"/>
            <w:noWrap w:val="0"/>
            <w:vAlign w:val="center"/>
          </w:tcPr>
          <w:p w14:paraId="2A628A45">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有权参与公司治理人员的内部侵占</w:t>
            </w:r>
          </w:p>
        </w:tc>
        <w:tc>
          <w:tcPr>
            <w:tcW w:w="498" w:type="pct"/>
            <w:noWrap w:val="0"/>
            <w:vAlign w:val="center"/>
          </w:tcPr>
          <w:p w14:paraId="0847CF76">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董监高侵占</w:t>
            </w:r>
          </w:p>
        </w:tc>
        <w:tc>
          <w:tcPr>
            <w:tcW w:w="1160" w:type="pct"/>
            <w:noWrap w:val="0"/>
            <w:vAlign w:val="center"/>
          </w:tcPr>
          <w:p w14:paraId="3841F65A">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《中华人民共和国公司法》第180条、第181条、第188条</w:t>
            </w:r>
          </w:p>
        </w:tc>
        <w:tc>
          <w:tcPr>
            <w:tcW w:w="535" w:type="pct"/>
            <w:vMerge w:val="restart"/>
            <w:noWrap w:val="0"/>
            <w:vAlign w:val="center"/>
          </w:tcPr>
          <w:p w14:paraId="2118AED6">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与“损害公司利益责任纠纷”竞合</w:t>
            </w:r>
          </w:p>
        </w:tc>
        <w:tc>
          <w:tcPr>
            <w:tcW w:w="597" w:type="pct"/>
            <w:vMerge w:val="restart"/>
            <w:noWrap w:val="0"/>
            <w:vAlign w:val="center"/>
          </w:tcPr>
          <w:p w14:paraId="331AADD8">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①股东会、董事会有关证照保管的决议内容；</w:t>
            </w:r>
            <w:r>
              <w:rPr>
                <w:rFonts w:hint="eastAsia" w:ascii="宋体" w:hAnsi="宋体" w:eastAsia="宋体" w:cs="宋体"/>
                <w:i w:val="0"/>
                <w:iCs w:val="0"/>
                <w:caps w:val="0"/>
                <w:color w:val="auto"/>
                <w:spacing w:val="0"/>
                <w:kern w:val="0"/>
                <w:sz w:val="21"/>
                <w:szCs w:val="21"/>
                <w:highlight w:val="none"/>
                <w:lang w:val="en-US" w:eastAsia="zh-CN" w:bidi="ar"/>
              </w:rPr>
              <w:br w:type="textWrapping"/>
            </w:r>
            <w:r>
              <w:rPr>
                <w:rFonts w:hint="eastAsia" w:ascii="宋体" w:hAnsi="宋体" w:eastAsia="宋体" w:cs="宋体"/>
                <w:i w:val="0"/>
                <w:iCs w:val="0"/>
                <w:caps w:val="0"/>
                <w:color w:val="auto"/>
                <w:spacing w:val="0"/>
                <w:kern w:val="0"/>
                <w:sz w:val="21"/>
                <w:szCs w:val="21"/>
                <w:highlight w:val="none"/>
                <w:lang w:val="en-US" w:eastAsia="zh-CN" w:bidi="ar"/>
              </w:rPr>
              <w:t>②公司章程、合同协议有关证照保管的内容。</w:t>
            </w:r>
          </w:p>
        </w:tc>
        <w:tc>
          <w:tcPr>
            <w:tcW w:w="944" w:type="pct"/>
            <w:vMerge w:val="continue"/>
            <w:noWrap w:val="0"/>
            <w:vAlign w:val="center"/>
          </w:tcPr>
          <w:p w14:paraId="1A4F430A">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r>
      <w:tr w14:paraId="3451C961">
        <w:trPr>
          <w:jc w:val="center"/>
        </w:trPr>
        <w:tc>
          <w:tcPr>
            <w:tcW w:w="332" w:type="pct"/>
            <w:vMerge w:val="continue"/>
            <w:noWrap w:val="0"/>
            <w:vAlign w:val="center"/>
          </w:tcPr>
          <w:p w14:paraId="02499D70">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510" w:type="pct"/>
            <w:vMerge w:val="continue"/>
            <w:noWrap w:val="0"/>
            <w:vAlign w:val="center"/>
          </w:tcPr>
          <w:p w14:paraId="1FD92033">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419" w:type="pct"/>
            <w:vMerge w:val="continue"/>
            <w:noWrap w:val="0"/>
            <w:vAlign w:val="center"/>
          </w:tcPr>
          <w:p w14:paraId="2FDDA95D">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498" w:type="pct"/>
            <w:noWrap w:val="0"/>
            <w:vAlign w:val="center"/>
          </w:tcPr>
          <w:p w14:paraId="607120B8">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股东侵占</w:t>
            </w:r>
          </w:p>
        </w:tc>
        <w:tc>
          <w:tcPr>
            <w:tcW w:w="1160" w:type="pct"/>
            <w:noWrap w:val="0"/>
            <w:vAlign w:val="center"/>
          </w:tcPr>
          <w:p w14:paraId="3CB43BFF">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r>
              <w:rPr>
                <w:rFonts w:hint="eastAsia" w:ascii="宋体" w:hAnsi="宋体" w:eastAsia="宋体" w:cs="宋体"/>
                <w:i w:val="0"/>
                <w:iCs w:val="0"/>
                <w:caps w:val="0"/>
                <w:color w:val="auto"/>
                <w:spacing w:val="0"/>
                <w:kern w:val="0"/>
                <w:sz w:val="21"/>
                <w:szCs w:val="21"/>
                <w:highlight w:val="none"/>
                <w:lang w:val="en-US" w:eastAsia="zh-CN" w:bidi="ar"/>
              </w:rPr>
              <w:t>《中华人民共和国公司法》第21条</w:t>
            </w:r>
          </w:p>
        </w:tc>
        <w:tc>
          <w:tcPr>
            <w:tcW w:w="535" w:type="pct"/>
            <w:vMerge w:val="continue"/>
            <w:noWrap w:val="0"/>
            <w:vAlign w:val="center"/>
          </w:tcPr>
          <w:p w14:paraId="64A97EC1">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597" w:type="pct"/>
            <w:vMerge w:val="continue"/>
            <w:noWrap w:val="0"/>
            <w:vAlign w:val="center"/>
          </w:tcPr>
          <w:p w14:paraId="7A0A8295">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c>
          <w:tcPr>
            <w:tcW w:w="944" w:type="pct"/>
            <w:vMerge w:val="continue"/>
            <w:noWrap w:val="0"/>
            <w:vAlign w:val="center"/>
          </w:tcPr>
          <w:p w14:paraId="4D5E9ED7">
            <w:pPr>
              <w:keepNext w:val="0"/>
              <w:keepLines w:val="0"/>
              <w:pageBreakBefore w:val="0"/>
              <w:kinsoku/>
              <w:wordWrap/>
              <w:overflowPunct/>
              <w:topLinePunct w:val="0"/>
              <w:autoSpaceDE/>
              <w:autoSpaceDN/>
              <w:bidi w:val="0"/>
              <w:adjustRightInd w:val="0"/>
              <w:snapToGrid w:val="0"/>
              <w:ind w:firstLine="420" w:firstLineChars="200"/>
              <w:textAlignment w:val="auto"/>
              <w:rPr>
                <w:rFonts w:hint="eastAsia" w:ascii="宋体" w:hAnsi="宋体" w:eastAsia="宋体" w:cs="宋体"/>
                <w:i w:val="0"/>
                <w:iCs w:val="0"/>
                <w:caps w:val="0"/>
                <w:color w:val="auto"/>
                <w:spacing w:val="0"/>
                <w:kern w:val="0"/>
                <w:sz w:val="21"/>
                <w:szCs w:val="21"/>
                <w:highlight w:val="none"/>
                <w:lang w:val="en-US" w:eastAsia="zh-CN" w:bidi="ar"/>
              </w:rPr>
            </w:pPr>
          </w:p>
        </w:tc>
      </w:tr>
    </w:tbl>
    <w:p w14:paraId="2B4B8C29">
      <w:pPr>
        <w:pStyle w:val="5"/>
        <w:jc w:val="center"/>
        <w:rPr>
          <w:rFonts w:hint="eastAsia" w:ascii="宋体" w:hAnsi="宋体" w:eastAsia="宋体" w:cs="宋体"/>
          <w:b/>
          <w:bCs/>
          <w:color w:val="auto"/>
          <w:kern w:val="0"/>
          <w:sz w:val="24"/>
          <w:szCs w:val="24"/>
          <w:highlight w:val="none"/>
          <w:u w:val="none"/>
          <w:lang w:val="en-US" w:eastAsia="zh-CN" w:bidi="ar-SA"/>
        </w:rPr>
      </w:pPr>
    </w:p>
    <w:p w14:paraId="0B0A403E">
      <w:pPr>
        <w:pStyle w:val="5"/>
        <w:jc w:val="center"/>
        <w:rPr>
          <w:rFonts w:hint="default" w:ascii="宋体" w:hAnsi="宋体" w:eastAsia="宋体" w:cs="宋体"/>
          <w:color w:val="auto"/>
          <w:kern w:val="0"/>
          <w:sz w:val="24"/>
          <w:szCs w:val="24"/>
          <w:highlight w:val="none"/>
          <w:u w:val="none"/>
          <w:lang w:val="en-US" w:eastAsia="zh-CN" w:bidi="ar-SA"/>
        </w:rPr>
      </w:pPr>
      <w:r>
        <w:rPr>
          <w:rFonts w:hint="eastAsia" w:ascii="宋体" w:hAnsi="宋体" w:eastAsia="宋体" w:cs="宋体"/>
          <w:b/>
          <w:bCs/>
          <w:color w:val="auto"/>
          <w:kern w:val="0"/>
          <w:sz w:val="24"/>
          <w:szCs w:val="24"/>
          <w:highlight w:val="none"/>
          <w:u w:val="none"/>
          <w:lang w:val="en-US" w:eastAsia="zh-CN" w:bidi="ar-SA"/>
        </w:rPr>
        <w:t>表1.公司证照返还纠纷的诉讼构造</w:t>
      </w:r>
    </w:p>
    <w:p w14:paraId="3C5EC28A">
      <w:pPr>
        <w:keepNext w:val="0"/>
        <w:keepLines w:val="0"/>
        <w:pageBreakBefore w:val="0"/>
        <w:kinsoku/>
        <w:wordWrap/>
        <w:overflowPunct/>
        <w:topLinePunct w:val="0"/>
        <w:autoSpaceDE/>
        <w:autoSpaceDN/>
        <w:bidi w:val="0"/>
        <w:adjustRightInd w:val="0"/>
        <w:snapToGrid w:val="0"/>
        <w:ind w:firstLine="0" w:firstLineChars="0"/>
        <w:textAlignment w:val="auto"/>
        <w:rPr>
          <w:rFonts w:hint="eastAsia" w:ascii="仿宋_GB2312" w:hAnsi="仿宋_GB2312" w:eastAsia="仿宋_GB2312" w:cs="仿宋_GB2312"/>
          <w:color w:val="auto"/>
          <w:sz w:val="28"/>
          <w:szCs w:val="28"/>
          <w:highlight w:val="none"/>
        </w:rPr>
      </w:pPr>
    </w:p>
    <w:p w14:paraId="7F18B2C3">
      <w:pPr>
        <w:keepNext w:val="0"/>
        <w:keepLines w:val="0"/>
        <w:pageBreakBefore w:val="0"/>
        <w:widowControl w:val="0"/>
        <w:kinsoku/>
        <w:wordWrap/>
        <w:overflowPunct/>
        <w:topLinePunct w:val="0"/>
        <w:autoSpaceDE/>
        <w:autoSpaceDN/>
        <w:bidi w:val="0"/>
        <w:adjustRightInd w:val="0"/>
        <w:snapToGrid w:val="0"/>
        <w:ind w:firstLine="562" w:firstLineChars="200"/>
        <w:textAlignment w:val="auto"/>
        <w:rPr>
          <w:rFonts w:hint="eastAsia" w:ascii="仿宋_GB2312" w:hAnsi="仿宋_GB2312" w:eastAsia="仿宋_GB2312" w:cs="仿宋_GB2312"/>
          <w:b/>
          <w:bCs/>
          <w:color w:val="auto"/>
          <w:sz w:val="28"/>
          <w:szCs w:val="28"/>
          <w:highlight w:val="none"/>
          <w:lang w:val="en-US" w:eastAsia="zh-CN"/>
        </w:rPr>
      </w:pPr>
    </w:p>
    <w:sectPr>
      <w:footerReference r:id="rId6"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审稿人" w:date="2025-12-19T17:16:54Z" w:initials="审稿人">
    <w:p w14:paraId="36210C90">
      <w:pPr>
        <w:pStyle w:val="4"/>
        <w:rPr>
          <w:rFonts w:hint="default" w:eastAsia="宋体"/>
          <w:lang w:val="en-US" w:eastAsia="zh-CN"/>
        </w:rPr>
      </w:pPr>
      <w:r>
        <w:rPr>
          <w:rFonts w:hint="eastAsia"/>
          <w:lang w:val="en-US" w:eastAsia="zh-CN"/>
        </w:rPr>
        <w:t>提示审稿编辑：虽然没有案号，但是案件来源是可靠的，在此基础上审阅内容即可。</w:t>
      </w:r>
    </w:p>
  </w:comment>
  <w:comment w:id="1" w:author="csn" w:date="2025-12-31T17:22:18Z" w:initials="">
    <w:p w14:paraId="50C8508B">
      <w:pPr>
        <w:pStyle w:val="4"/>
        <w:rPr>
          <w:rFonts w:hint="default" w:eastAsia="宋体"/>
          <w:lang w:val="en-US" w:eastAsia="zh-CN"/>
        </w:rPr>
      </w:pPr>
      <w:r>
        <w:rPr>
          <w:rFonts w:hint="eastAsia"/>
          <w:lang w:val="en-US" w:eastAsia="zh-CN"/>
        </w:rPr>
        <w:t>径行进入案例分析，不是常规法学论文的写法，需要首先铺垫，对于该问题意识，为何要进行案例分析，又为何要选取此案？</w:t>
      </w:r>
    </w:p>
  </w:comment>
  <w:comment w:id="2" w:author="csn" w:date="2025-12-31T17:24:23Z" w:initials="">
    <w:p w14:paraId="224D3B5B">
      <w:pPr>
        <w:pStyle w:val="4"/>
        <w:rPr>
          <w:rFonts w:hint="default" w:eastAsia="宋体"/>
          <w:lang w:val="en-US" w:eastAsia="zh-CN"/>
        </w:rPr>
      </w:pPr>
      <w:r>
        <w:rPr>
          <w:rFonts w:hint="eastAsia"/>
          <w:lang w:val="en-US" w:eastAsia="zh-CN"/>
        </w:rPr>
        <w:t>缺少引注</w:t>
      </w:r>
    </w:p>
  </w:comment>
  <w:comment w:id="3" w:author="csn" w:date="2025-12-31T17:26:15Z" w:initials="">
    <w:p w14:paraId="3C2E194D">
      <w:pPr>
        <w:pStyle w:val="4"/>
        <w:rPr>
          <w:rFonts w:hint="default" w:eastAsia="宋体"/>
          <w:lang w:val="en-US" w:eastAsia="zh-CN"/>
        </w:rPr>
      </w:pPr>
      <w:r>
        <w:rPr>
          <w:rFonts w:hint="eastAsia"/>
          <w:lang w:val="en-US" w:eastAsia="zh-CN"/>
        </w:rPr>
        <w:t>归属指向性是否是民法上区分特定物与种类物的关键？</w:t>
      </w:r>
    </w:p>
  </w:comment>
  <w:comment w:id="4" w:author="csn" w:date="2025-12-31T17:26:55Z" w:initials="">
    <w:p w14:paraId="112E77B2">
      <w:pPr>
        <w:pStyle w:val="4"/>
        <w:rPr>
          <w:rFonts w:hint="default" w:eastAsia="宋体"/>
          <w:lang w:val="en-US" w:eastAsia="zh-CN"/>
        </w:rPr>
      </w:pPr>
      <w:r>
        <w:rPr>
          <w:rFonts w:hint="eastAsia"/>
          <w:lang w:val="en-US" w:eastAsia="zh-CN"/>
        </w:rPr>
        <w:t>立法并非司法实践</w:t>
      </w:r>
    </w:p>
  </w:comment>
  <w:comment w:id="5" w:author="csn" w:date="2025-12-31T17:28:11Z" w:initials="">
    <w:p w14:paraId="469A21FA">
      <w:pPr>
        <w:pStyle w:val="4"/>
        <w:rPr>
          <w:rFonts w:hint="default" w:eastAsia="宋体"/>
          <w:lang w:val="en-US" w:eastAsia="zh-CN"/>
        </w:rPr>
      </w:pPr>
      <w:r>
        <w:rPr>
          <w:rFonts w:hint="eastAsia"/>
          <w:lang w:val="en-US" w:eastAsia="zh-CN"/>
        </w:rPr>
        <w:t>我国民法上是否存在“占有权”的概念？</w:t>
      </w:r>
    </w:p>
  </w:comment>
  <w:comment w:id="6" w:author="csn" w:date="2025-12-31T17:29:01Z" w:initials="">
    <w:p w14:paraId="0F9FCBF2">
      <w:pPr>
        <w:pStyle w:val="4"/>
        <w:rPr>
          <w:rFonts w:hint="default" w:eastAsia="宋体"/>
          <w:lang w:val="en-US" w:eastAsia="zh-CN"/>
        </w:rPr>
      </w:pPr>
      <w:r>
        <w:rPr>
          <w:rFonts w:hint="eastAsia"/>
          <w:lang w:val="en-US" w:eastAsia="zh-CN"/>
        </w:rPr>
        <w:t>给予公司治理的请求权，其请求权基础是什么？</w:t>
      </w:r>
    </w:p>
  </w:comment>
  <w:comment w:id="7" w:author="csn" w:date="2025-12-31T17:29:45Z" w:initials="">
    <w:p w14:paraId="5805EBD9">
      <w:pPr>
        <w:pStyle w:val="4"/>
        <w:rPr>
          <w:rFonts w:hint="default" w:eastAsia="宋体"/>
          <w:lang w:val="en-US" w:eastAsia="zh-CN"/>
        </w:rPr>
      </w:pPr>
      <w:r>
        <w:rPr>
          <w:rFonts w:hint="eastAsia"/>
          <w:lang w:val="en-US" w:eastAsia="zh-CN"/>
        </w:rPr>
        <w:t>补充来源</w:t>
      </w:r>
    </w:p>
  </w:comment>
  <w:comment w:id="8" w:author="csn" w:date="2026-01-06T10:38:06Z" w:initials="">
    <w:p w14:paraId="0F817D64">
      <w:pPr>
        <w:pStyle w:val="4"/>
        <w:rPr>
          <w:rFonts w:hint="default" w:eastAsia="宋体"/>
          <w:lang w:val="en-US" w:eastAsia="zh-CN"/>
        </w:rPr>
      </w:pPr>
      <w:r>
        <w:rPr>
          <w:rFonts w:hint="eastAsia"/>
          <w:lang w:val="en-US" w:eastAsia="zh-CN"/>
        </w:rPr>
        <w:t>罗列理论但不进行论述，不能起到论证的效果。</w:t>
      </w:r>
    </w:p>
  </w:comment>
  <w:comment w:id="9" w:author="csn" w:date="2026-01-06T10:39:00Z" w:initials="">
    <w:p w14:paraId="11368551">
      <w:pPr>
        <w:pStyle w:val="4"/>
        <w:rPr>
          <w:rFonts w:hint="default" w:eastAsia="宋体"/>
          <w:lang w:val="en-US" w:eastAsia="zh-CN"/>
        </w:rPr>
      </w:pPr>
      <w:r>
        <w:rPr>
          <w:rFonts w:hint="eastAsia"/>
          <w:lang w:val="en-US" w:eastAsia="zh-CN"/>
        </w:rPr>
        <w:t>如此表述是否准确？民法是适用于平等主体之间的法律。其规制作用并不能当然得出，而需要进一步论证</w:t>
      </w:r>
    </w:p>
  </w:comment>
  <w:comment w:id="10" w:author="csn" w:date="2026-01-06T10:40:03Z" w:initials="">
    <w:p w14:paraId="2052BB40">
      <w:pPr>
        <w:pStyle w:val="4"/>
        <w:rPr>
          <w:rFonts w:hint="default" w:eastAsia="宋体"/>
          <w:lang w:val="en-US" w:eastAsia="zh-CN"/>
        </w:rPr>
      </w:pPr>
      <w:r>
        <w:rPr>
          <w:rFonts w:hint="eastAsia"/>
          <w:lang w:val="en-US" w:eastAsia="zh-CN"/>
        </w:rPr>
        <w:t>这不是法学学术论文应当包含的部分</w:t>
      </w:r>
    </w:p>
  </w:comment>
  <w:comment w:id="11" w:author="csn" w:date="2026-01-06T10:41:37Z" w:initials="">
    <w:p w14:paraId="20BF6019">
      <w:pPr>
        <w:pStyle w:val="4"/>
        <w:rPr>
          <w:rFonts w:hint="default" w:eastAsia="宋体"/>
          <w:lang w:val="en-US" w:eastAsia="zh-CN"/>
        </w:rPr>
      </w:pPr>
      <w:r>
        <w:rPr>
          <w:rFonts w:hint="eastAsia"/>
          <w:lang w:val="en-US" w:eastAsia="zh-CN"/>
        </w:rPr>
        <w:t>同样不属于法学论文的范畴，而更像裁判指引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210C90" w15:done="0"/>
  <w15:commentEx w15:paraId="50C8508B" w15:done="0"/>
  <w15:commentEx w15:paraId="224D3B5B" w15:done="0"/>
  <w15:commentEx w15:paraId="3C2E194D" w15:done="0"/>
  <w15:commentEx w15:paraId="112E77B2" w15:done="0"/>
  <w15:commentEx w15:paraId="469A21FA" w15:done="0"/>
  <w15:commentEx w15:paraId="0F9FCBF2" w15:done="0"/>
  <w15:commentEx w15:paraId="5805EBD9" w15:done="0"/>
  <w15:commentEx w15:paraId="0F817D64" w15:done="0"/>
  <w15:commentEx w15:paraId="11368551" w15:done="0"/>
  <w15:commentEx w15:paraId="2052BB40" w15:done="0"/>
  <w15:commentEx w15:paraId="20BF601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iti SC Medium">
    <w:panose1 w:val="00000000000000000000"/>
    <w:charset w:val="86"/>
    <w:family w:val="auto"/>
    <w:pitch w:val="default"/>
    <w:sig w:usb0="8000002F" w:usb1="0800004A" w:usb2="00000000" w:usb3="00000000" w:csb0="203E0000" w:csb1="00000000"/>
  </w:font>
  <w:font w:name="仿宋_GB2312">
    <w:altName w:val="方正仿宋_GBK"/>
    <w:panose1 w:val="02010609030101010101"/>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FZFangSong-Z02">
    <w:panose1 w:val="02000000000000000000"/>
    <w:charset w:val="86"/>
    <w:family w:val="script"/>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AE05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6D22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D36D22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8">
    <w:p>
      <w:r>
        <w:separator/>
      </w:r>
    </w:p>
  </w:footnote>
  <w:footnote w:type="continuationSeparator" w:id="59">
    <w:p>
      <w:r>
        <w:continuationSeparator/>
      </w:r>
    </w:p>
  </w:footnote>
  <w:footnote w:id="0">
    <w:p w14:paraId="6583E8B5">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参见孙佑海：《最高人民法院&lt;民事案件案由规定&gt;适用一本通》，中国法制出版社2011年版，第455页。</w:t>
      </w:r>
    </w:p>
  </w:footnote>
  <w:footnote w:id="1">
    <w:p w14:paraId="21DF8D99">
      <w:pPr>
        <w:pStyle w:val="8"/>
        <w:snapToGrid w:val="0"/>
      </w:pPr>
      <w:r>
        <w:rPr>
          <w:rStyle w:val="14"/>
        </w:rPr>
        <w:footnoteRef/>
      </w:r>
      <w:r>
        <w:t xml:space="preserve"> </w:t>
      </w:r>
      <w:r>
        <w:rPr>
          <w:rFonts w:hint="eastAsia" w:ascii="宋体" w:hAnsi="宋体"/>
          <w:sz w:val="18"/>
          <w:szCs w:val="18"/>
        </w:rPr>
        <w:t>参见陈甦：《公章抗辩的类型与处理》，载《法学研究》2020年第3期。</w:t>
      </w:r>
    </w:p>
  </w:footnote>
  <w:footnote w:id="2">
    <w:p w14:paraId="76E4DB71">
      <w:pPr>
        <w:pStyle w:val="8"/>
        <w:snapToGrid w:val="0"/>
      </w:pPr>
      <w:r>
        <w:rPr>
          <w:rStyle w:val="14"/>
        </w:rPr>
        <w:footnoteRef/>
      </w:r>
      <w:r>
        <w:t xml:space="preserve"> </w:t>
      </w:r>
      <w:r>
        <w:rPr>
          <w:rFonts w:hint="eastAsia"/>
          <w:lang w:val="en-US" w:eastAsia="zh-CN"/>
        </w:rPr>
        <w:t>参见</w:t>
      </w:r>
      <w:r>
        <w:rPr>
          <w:rFonts w:hint="eastAsia" w:ascii="宋体" w:hAnsi="宋体"/>
          <w:sz w:val="18"/>
          <w:szCs w:val="18"/>
        </w:rPr>
        <w:t>郑智航、倪文艳：《中国印章的多重意义检视》，载《河南大学学报（社会科学版）》2022年第6期。</w:t>
      </w:r>
    </w:p>
  </w:footnote>
  <w:footnote w:id="3">
    <w:p w14:paraId="38B3A50B">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参见人民法院出版社编：《新民事案件案由规定适用指引（下册）》，人民法院出版社2023年版，第635页。</w:t>
      </w:r>
    </w:p>
  </w:footnote>
  <w:footnote w:id="4">
    <w:p w14:paraId="04F864F6">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《电子营业执照管理办法（试行</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》第</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条</w:t>
      </w:r>
      <w:r>
        <w:rPr>
          <w:rFonts w:hint="eastAsia" w:asciiTheme="minorEastAsia" w:hAnsiTheme="minorEastAsia" w:eastAsiaTheme="minorEastAsia" w:cstheme="minorEastAsia"/>
          <w:lang w:val="en-US" w:eastAsia="zh-CN"/>
        </w:rPr>
        <w:t>第2款规定：“本办法所称电子营业执照，是指由市场监管部门依据国家有关法律法规、按照统一标准规范核发的载有市场主体登记信息的法律电子证件。电子营业执照与纸质营业执照具有同等法律效力，是市场主体取得主体资格的合法凭证。”</w:t>
      </w:r>
    </w:p>
  </w:footnote>
  <w:footnote w:id="5">
    <w:p w14:paraId="598439EC">
      <w:pPr>
        <w:pStyle w:val="8"/>
        <w:keepNext w:val="0"/>
        <w:keepLines w:val="0"/>
        <w:pageBreakBefore w:val="0"/>
        <w:widowControl w:val="0"/>
        <w:kinsoku/>
        <w:wordWrap w:val="0"/>
        <w:overflowPunct/>
        <w:topLinePunct w:val="0"/>
        <w:bidi w:val="0"/>
        <w:adjustRightInd/>
        <w:snapToGrid w:val="0"/>
        <w:textAlignment w:val="auto"/>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参见北京市第二中级人民法院民四庭：《“与公司有关的纠纷”办理指引之二：公司证照返还纠纷》</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载北京市第二中级人民法院官方网站https://bj2zy.bjcourt.gov.cn/article/detail/2024/01/id/7784878.shtml。</w:t>
      </w:r>
    </w:p>
  </w:footnote>
  <w:footnote w:id="6">
    <w:p w14:paraId="7352E97C">
      <w:pPr>
        <w:pStyle w:val="8"/>
        <w:snapToGrid w:val="0"/>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此时可将滥用股东权利侵占证照、损害公司利益的股东解释为《</w:t>
      </w:r>
      <w:r>
        <w:rPr>
          <w:rFonts w:hint="eastAsia" w:asciiTheme="minorEastAsia" w:hAnsiTheme="minorEastAsia" w:eastAsiaTheme="minorEastAsia" w:cstheme="minorEastAsia"/>
          <w:sz w:val="18"/>
          <w:szCs w:val="18"/>
          <w:lang w:val="en-US" w:eastAsia="zh-CN"/>
        </w:rPr>
        <w:t>中华人民共和国</w:t>
      </w:r>
      <w:r>
        <w:rPr>
          <w:rFonts w:hint="eastAsia" w:asciiTheme="minorEastAsia" w:hAnsiTheme="minorEastAsia" w:eastAsiaTheme="minorEastAsia" w:cstheme="minorEastAsia"/>
          <w:sz w:val="18"/>
          <w:szCs w:val="18"/>
        </w:rPr>
        <w:t>公司法》第</w:t>
      </w:r>
      <w:r>
        <w:rPr>
          <w:rFonts w:hint="eastAsia" w:asciiTheme="minorEastAsia" w:hAnsiTheme="minorEastAsia" w:eastAsiaTheme="minorEastAsia" w:cstheme="minorEastAsia"/>
          <w:sz w:val="18"/>
          <w:szCs w:val="18"/>
          <w:lang w:val="en-US" w:eastAsia="zh-CN"/>
        </w:rPr>
        <w:t>189</w:t>
      </w:r>
      <w:r>
        <w:rPr>
          <w:rFonts w:hint="eastAsia" w:asciiTheme="minorEastAsia" w:hAnsiTheme="minorEastAsia" w:eastAsiaTheme="minorEastAsia" w:cstheme="minorEastAsia"/>
          <w:sz w:val="18"/>
          <w:szCs w:val="18"/>
        </w:rPr>
        <w:t>条第</w:t>
      </w:r>
      <w:r>
        <w:rPr>
          <w:rFonts w:hint="eastAsia" w:asciiTheme="minorEastAsia" w:hAnsiTheme="minorEastAsia" w:eastAsiaTheme="minorEastAsia" w:cstheme="minorEastAsia"/>
          <w:sz w:val="18"/>
          <w:szCs w:val="18"/>
          <w:lang w:val="en-US" w:eastAsia="zh-CN"/>
        </w:rPr>
        <w:t>2</w:t>
      </w:r>
      <w:r>
        <w:rPr>
          <w:rFonts w:hint="eastAsia" w:asciiTheme="minorEastAsia" w:hAnsiTheme="minorEastAsia" w:eastAsiaTheme="minorEastAsia" w:cstheme="minorEastAsia"/>
          <w:sz w:val="18"/>
          <w:szCs w:val="18"/>
        </w:rPr>
        <w:t>款规定的“他人”</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符合法定条件的其他股东有权对其提起该条法律规定的代位诉讼。</w:t>
      </w:r>
    </w:p>
  </w:footnote>
  <w:footnote w:id="7">
    <w:p w14:paraId="4BD05F4F">
      <w:pPr>
        <w:pStyle w:val="8"/>
        <w:snapToGrid w:val="0"/>
        <w:rPr>
          <w:rFonts w:hint="eastAsia" w:asciiTheme="minorEastAsia" w:hAnsiTheme="minorEastAsia" w:eastAsiaTheme="minorEastAsia" w:cstheme="minorEastAsia"/>
          <w:sz w:val="18"/>
          <w:szCs w:val="18"/>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《中华人民共和国公司法》第</w:t>
      </w:r>
      <w:r>
        <w:rPr>
          <w:rFonts w:hint="eastAsia" w:asciiTheme="minorEastAsia" w:hAnsiTheme="minorEastAsia" w:eastAsiaTheme="minorEastAsia" w:cstheme="minorEastAsia"/>
          <w:sz w:val="18"/>
          <w:szCs w:val="18"/>
          <w:lang w:val="en-US" w:eastAsia="zh-CN"/>
        </w:rPr>
        <w:t>189</w:t>
      </w:r>
      <w:r>
        <w:rPr>
          <w:rFonts w:hint="eastAsia" w:asciiTheme="minorEastAsia" w:hAnsiTheme="minorEastAsia" w:eastAsiaTheme="minorEastAsia" w:cstheme="minorEastAsia"/>
          <w:sz w:val="18"/>
          <w:szCs w:val="18"/>
        </w:rPr>
        <w:t>条规定：“董事、高级管理人员有前条规定的情形的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有限责任公司的股东、股份有限公司连续一百八十日以上单独或者合计持有公司百分之一以上股份的股东</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可以书面请求监事会向人民法院提起诉讼；监事有前条规定的情形的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前述股东可以书面请求董事会向人民法院提起诉讼。”（第</w:t>
      </w:r>
      <w:r>
        <w:rPr>
          <w:rFonts w:hint="eastAsia" w:asciiTheme="minorEastAsia" w:hAnsiTheme="minorEastAsia" w:eastAsiaTheme="minorEastAsia" w:cstheme="minorEastAsia"/>
          <w:sz w:val="18"/>
          <w:szCs w:val="18"/>
          <w:lang w:val="en-US" w:eastAsia="zh-CN"/>
        </w:rPr>
        <w:t>1</w:t>
      </w:r>
      <w:r>
        <w:rPr>
          <w:rFonts w:hint="eastAsia" w:asciiTheme="minorEastAsia" w:hAnsiTheme="minorEastAsia" w:eastAsiaTheme="minorEastAsia" w:cstheme="minorEastAsia"/>
          <w:sz w:val="18"/>
          <w:szCs w:val="18"/>
        </w:rPr>
        <w:t>款）“监事会或者董事会收到前款规定的股东书面请求后拒绝提起诉讼</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或者自收到请求之日起三十日内未提起诉讼</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或者情况紧急、不立即提起诉讼将会使公司利益受到难以弥补的损害的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前款规定的股东有权为公司利益以自己的名义直接向人民法院提起诉讼。”（第</w:t>
      </w:r>
      <w:r>
        <w:rPr>
          <w:rFonts w:hint="eastAsia" w:asciiTheme="minorEastAsia" w:hAnsiTheme="minorEastAsia" w:eastAsiaTheme="minorEastAsia" w:cstheme="minorEastAsia"/>
          <w:sz w:val="18"/>
          <w:szCs w:val="18"/>
          <w:lang w:val="en-US" w:eastAsia="zh-CN"/>
        </w:rPr>
        <w:t>2</w:t>
      </w:r>
      <w:r>
        <w:rPr>
          <w:rFonts w:hint="eastAsia" w:asciiTheme="minorEastAsia" w:hAnsiTheme="minorEastAsia" w:eastAsiaTheme="minorEastAsia" w:cstheme="minorEastAsia"/>
          <w:sz w:val="18"/>
          <w:szCs w:val="18"/>
        </w:rPr>
        <w:t>款）“他人侵犯公司合法权益</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给公司造成损失的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本条第一款规定的股东可以依照前两款的规定向人民法院提起诉讼。”（第</w:t>
      </w:r>
      <w:r>
        <w:rPr>
          <w:rFonts w:hint="eastAsia" w:asciiTheme="minorEastAsia" w:hAnsiTheme="minorEastAsia" w:eastAsiaTheme="minorEastAsia" w:cstheme="minorEastAsia"/>
          <w:sz w:val="18"/>
          <w:szCs w:val="18"/>
          <w:lang w:val="en-US" w:eastAsia="zh-CN"/>
        </w:rPr>
        <w:t>3</w:t>
      </w:r>
      <w:r>
        <w:rPr>
          <w:rFonts w:hint="eastAsia" w:asciiTheme="minorEastAsia" w:hAnsiTheme="minorEastAsia" w:eastAsiaTheme="minorEastAsia" w:cstheme="minorEastAsia"/>
          <w:sz w:val="18"/>
          <w:szCs w:val="18"/>
        </w:rPr>
        <w:t>款）“公司全资子公司的董事、监事、高级管理人员有前条规定情形</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或者他人侵犯公司全资子公司合法权益造成损失的</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有限责任公司的股东、股份有限公司连续一百八十日以上单独或者合计持有公司百分之一以上股份的股东</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可以依照前三款规定书面请求全资子公司的监事会、董事会向人民法院提起诉讼或者以自己的名义直接向人民法院提起诉讼。”（第</w:t>
      </w:r>
      <w:r>
        <w:rPr>
          <w:rFonts w:hint="eastAsia" w:asciiTheme="minorEastAsia" w:hAnsiTheme="minorEastAsia" w:eastAsiaTheme="minorEastAsia" w:cstheme="minorEastAsia"/>
          <w:sz w:val="18"/>
          <w:szCs w:val="18"/>
          <w:lang w:val="en-US" w:eastAsia="zh-CN"/>
        </w:rPr>
        <w:t>4</w:t>
      </w:r>
      <w:r>
        <w:rPr>
          <w:rFonts w:hint="eastAsia" w:asciiTheme="minorEastAsia" w:hAnsiTheme="minorEastAsia" w:eastAsiaTheme="minorEastAsia" w:cstheme="minorEastAsia"/>
          <w:sz w:val="18"/>
          <w:szCs w:val="18"/>
        </w:rPr>
        <w:t>款）</w:t>
      </w:r>
    </w:p>
  </w:footnote>
  <w:footnote w:id="8">
    <w:p w14:paraId="0E7E4814">
      <w:pPr>
        <w:pStyle w:val="8"/>
        <w:snapToGrid w:val="0"/>
        <w:rPr>
          <w:rFonts w:hint="default" w:eastAsia="宋体"/>
          <w:lang w:val="en-US" w:eastAsia="zh-CN"/>
        </w:rPr>
      </w:pPr>
      <w:r>
        <w:rPr>
          <w:rStyle w:val="14"/>
        </w:rPr>
        <w:footnoteRef/>
      </w:r>
      <w:r>
        <w:t xml:space="preserve"> </w:t>
      </w:r>
      <w:r>
        <w:rPr>
          <w:rFonts w:hint="eastAsia"/>
          <w:lang w:val="en-US" w:eastAsia="zh-CN"/>
        </w:rPr>
        <w:t>参见最高人民法院(2018)最高法民申2951号案件，该裁判文书认为：“公司印章是每一个公司合法设立的象征，在公司存续过程中，印章起着代表单位意志的作用，成为公司意思与行为的象征。在公司证照返还纠纷案件中，通常由公司作为原告进行诉讼。本案中，禾山公司法定代表人形式上已变更为张长天，公司相关印章及证照均由张长天控制，因此，张辉强、林丽琼作为禾山公司成立时的股东，在禾山公司系本案第三人参与诉讼的情况下，有权向张长天提起公司证照返还之诉。虽然禾山公司股东变更为张长天与张辉强，但根据已生效判决，此次股权变更系张长天伪造股权转让协议，该股权变动系无效行为，从法律上看，张辉强、林丽琼仍是禾山公司股东，其有权提起本案诉讼。”</w:t>
      </w:r>
    </w:p>
  </w:footnote>
  <w:footnote w:id="9">
    <w:p w14:paraId="2872CA5F">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参见樊纪伟：《公司法实施中的双重代表诉讼制度确立与构建》，载《天津法学》2019年第2期。</w:t>
      </w:r>
    </w:p>
  </w:footnote>
  <w:footnote w:id="10">
    <w:p w14:paraId="22487CA4">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参见李秀文：《母公司股东权益保护视角下我国多重代表诉讼制度构建》，载《东南学术》2019年第6期。</w:t>
      </w:r>
    </w:p>
  </w:footnote>
  <w:footnote w:id="11">
    <w:p w14:paraId="4B6FC03F">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w:t>
      </w:r>
      <w:r>
        <w:rPr>
          <w:rFonts w:hint="eastAsia" w:asciiTheme="minorEastAsia" w:hAnsiTheme="minorEastAsia" w:eastAsiaTheme="minorEastAsia" w:cstheme="minorEastAsia"/>
        </w:rPr>
        <w:t>上海市第二中级人民法院(2008)沪二中民五(商)初字第21号民事判决书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该判决对股东双重代表诉讼予以否定。</w:t>
      </w:r>
    </w:p>
  </w:footnote>
  <w:footnote w:id="12">
    <w:p w14:paraId="258D5883">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该案中法院认为，“依照《中华人共和国</w: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HYPERLINK "http://gfggi66f6a8ad06ba47d9s9nvvonxnw0uu666x.fbch.oca.swupl.edu.cn/chl/1b2641cb68c3ed21bdfb.html?way=textSlc" \t "/Users/gongwenjuan/Documents\\x/_blank"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rPr>
        <w:t>公司法</w:t>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t>》第</w: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HYPERLINK "http://gfggi66f6a8ad06ba47d9s9nvvonxnw0uu666x.fbch.oca.swupl.edu.cn/chl/1b2641cb68c3ed21bdfb.html?way=textSlc" \l "tiao_151" \t "/Users/gongwenjuan/Documents\\x/_blank"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rPr>
        <w:t>一百五十一条</w:t>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t>规定，公司董事、高级管理人员执行公司职务时违反法律、行政法规或者公司章程的规定，给公司造成损失的，或者他人侵犯公司合法权益，给公司造成损失的，有限责任公司的股东，在履行了相关前置程序后，有权为了公司的利益以自己的名义直接向人民法院提起诉讼。在母公司对子公司形成绝对资本控制的情形下，母公司的股东为了子公司的利益以自己的名义直接向人民法院提起诉讼，亦不违反《中华人共和国</w: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HYPERLINK "http://gfggi66f6a8ad06ba47d9s9nvvonxnw0uu666x.fbch.oca.swupl.edu.cn/chl/1b2641cb68c3ed21bdfb.html?way=textSlc" \t "/Users/gongwenjuan/Documents\\x/_blank"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rPr>
        <w:t>公司法</w:t>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t>》规定。”参见陕西省高级人民法院(2016)陕民终228号民事判决书。</w:t>
      </w:r>
    </w:p>
  </w:footnote>
  <w:footnote w:id="13">
    <w:p w14:paraId="4963C6C2">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参见刘斌、梁樱子：《新&lt;公司法&gt;股东双重代表诉讼规则的展开》，载《西南政法大学学报》2024年第6期。</w:t>
      </w:r>
    </w:p>
  </w:footnote>
  <w:footnote w:id="14">
    <w:p w14:paraId="0A1ACC66">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参见林少伟：《我国双重股东代表诉讼的本土化构建路径》，载《广东社会科学》2020年第3期。</w:t>
      </w:r>
    </w:p>
  </w:footnote>
  <w:footnote w:id="15">
    <w:p w14:paraId="7410CDD8">
      <w:pPr>
        <w:pStyle w:val="8"/>
        <w:snapToGrid w:val="0"/>
        <w:rPr>
          <w:rFonts w:hint="eastAsia" w:asciiTheme="minorEastAsia" w:hAnsiTheme="minorEastAsia" w:eastAsiaTheme="minorEastAsia" w:cstheme="minorEastAsia"/>
          <w:sz w:val="18"/>
          <w:szCs w:val="18"/>
          <w:lang w:val="en-US" w:eastAsia="zh-CN"/>
        </w:rPr>
      </w:pPr>
      <w:r>
        <w:rPr>
          <w:rStyle w:val="14"/>
          <w:rFonts w:hint="eastAsia" w:asciiTheme="minorEastAsia" w:hAnsiTheme="minorEastAsia" w:eastAsiaTheme="minorEastAsia" w:cstheme="minorEastAsia"/>
          <w:sz w:val="18"/>
          <w:szCs w:val="18"/>
          <w:lang w:val="en-US" w:eastAsia="zh-CN"/>
        </w:rPr>
        <w:t>[</w:t>
      </w:r>
      <w:r>
        <w:rPr>
          <w:rStyle w:val="14"/>
          <w:rFonts w:hint="eastAsia" w:asciiTheme="minorEastAsia" w:hAnsiTheme="minorEastAsia" w:eastAsiaTheme="minorEastAsia" w:cstheme="minorEastAsia"/>
          <w:sz w:val="18"/>
          <w:szCs w:val="18"/>
          <w:lang w:val="en-US" w:eastAsia="zh-CN"/>
        </w:rPr>
        <w:footnoteRef/>
      </w:r>
      <w:r>
        <w:rPr>
          <w:rStyle w:val="14"/>
          <w:rFonts w:hint="eastAsia" w:asciiTheme="minorEastAsia" w:hAnsiTheme="minorEastAsia" w:eastAsiaTheme="minorEastAsia" w:cstheme="minorEastAsia"/>
          <w:sz w:val="18"/>
          <w:szCs w:val="18"/>
          <w:lang w:val="en-US" w:eastAsia="zh-CN"/>
        </w:rPr>
        <w:t>]</w:t>
      </w:r>
      <w:r>
        <w:rPr>
          <w:rFonts w:hint="eastAsia" w:asciiTheme="minorEastAsia" w:hAnsiTheme="minorEastAsia" w:eastAsiaTheme="minorEastAsia" w:cstheme="minorEastAsia"/>
          <w:sz w:val="18"/>
          <w:szCs w:val="18"/>
          <w:lang w:val="en-US" w:eastAsia="zh-CN"/>
        </w:rPr>
        <w:t xml:space="preserve"> 郭泽喆：《民法规制炒房的立场、范围与限度——以近十年中国裁判文书网的涉炒房裁判为分析样本》，载《荆楚法学》2023年第3期。</w:t>
      </w:r>
    </w:p>
  </w:footnote>
  <w:footnote w:id="16">
    <w:p w14:paraId="759D6EED">
      <w:pPr>
        <w:pStyle w:val="8"/>
        <w:snapToGrid w:val="0"/>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与《</w:t>
      </w:r>
      <w:r>
        <w:rPr>
          <w:rFonts w:hint="eastAsia" w:asciiTheme="minorEastAsia" w:hAnsiTheme="minorEastAsia" w:eastAsiaTheme="minorEastAsia" w:cstheme="minorEastAsia"/>
          <w:lang w:val="en-US" w:eastAsia="zh-CN"/>
        </w:rPr>
        <w:t>中华人共和国</w:t>
      </w:r>
      <w:r>
        <w:rPr>
          <w:rFonts w:hint="eastAsia" w:asciiTheme="minorEastAsia" w:hAnsiTheme="minorEastAsia" w:eastAsiaTheme="minorEastAsia" w:cstheme="minorEastAsia"/>
        </w:rPr>
        <w:t>公司法修订草案》三次审议稿相比</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终版条文规定</w:t>
      </w:r>
      <w:r>
        <w:rPr>
          <w:rFonts w:hint="eastAsia" w:asciiTheme="minorEastAsia" w:hAnsiTheme="minorEastAsia" w:eastAsiaTheme="minorEastAsia" w:cstheme="minorEastAsia"/>
        </w:rPr>
        <w:t>了</w:t>
      </w:r>
      <w:r>
        <w:rPr>
          <w:rFonts w:hint="eastAsia" w:asciiTheme="minorEastAsia" w:hAnsiTheme="minorEastAsia" w:eastAsiaTheme="minorEastAsia" w:cstheme="minorEastAsia"/>
          <w:lang w:val="en-US" w:eastAsia="zh-CN"/>
        </w:rPr>
        <w:t>更为宽松</w:t>
      </w:r>
      <w:r>
        <w:rPr>
          <w:rFonts w:hint="eastAsia" w:asciiTheme="minorEastAsia" w:hAnsiTheme="minorEastAsia" w:eastAsiaTheme="minorEastAsia" w:cstheme="minorEastAsia"/>
        </w:rPr>
        <w:t>的前置程序要件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即股东可以依照单层股东代表诉讼的交叉请求前置程序</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向全资子公司的股东会、监事会要求提起诉讼；也可以自己名义直接向法院提起诉讼</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即前置程序豁免。</w:t>
      </w:r>
    </w:p>
  </w:footnote>
  <w:footnote w:id="17">
    <w:p w14:paraId="5443FFF3">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中华人民共和国民法典》第490条第1款规定：“当事人采用合同书形式订立合同的，自当事人均签名、盖章或者按指印时合同成立。在签名、盖章或者按指印之前，当事人一方已经履行主要义务，对方接受时，该合同成立。”第493条规定：“当事人采用合同书形式订立合同的，最后签名、盖章或者按指印的地点为合同成立的地点，但是当事人另有约定的除外。”</w:t>
      </w:r>
    </w:p>
  </w:footnote>
  <w:footnote w:id="18">
    <w:p w14:paraId="7D6BA98C">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公司证照纠纷案由沿革可划分为两个阶段：一是案由“无名”时期的二元化阶段（2000-2011年）。在2000年《民事案件案由规定（试行）》及2008年《民事案件案由规定》中，公司证照返还纠纷未作为“有名”案由纳入规定，实践中常被归类为“返还原物纠纷”或“与公司有关的纠纷”。二是案由显性后的性</w:t>
      </w:r>
    </w:p>
    <w:p w14:paraId="23AD6797">
      <w:pPr>
        <w:pStyle w:val="8"/>
        <w:snapToGrid w:val="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质重释阶段（2011年至今）。2011年最高人民法院修改《民事案件案由规定》，将“252.公司证照返还纠纷”列为“二十一、与公司有关的纠纷”项下的独立二级案由，标志着司法体系正式承认其独立性保留沿用至今。</w:t>
      </w:r>
    </w:p>
  </w:footnote>
  <w:footnote w:id="19">
    <w:p w14:paraId="09CEB6BB">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参见上海市金山区人民法院（2024）沪0116民初5345号民事判决书。</w:t>
      </w:r>
    </w:p>
  </w:footnote>
  <w:footnote w:id="20">
    <w:p w14:paraId="1F814CA2">
      <w:pPr>
        <w:pStyle w:val="8"/>
        <w:snapToGrid w:val="0"/>
        <w:rPr>
          <w:rFonts w:hint="default" w:eastAsia="宋体"/>
          <w:lang w:val="en-US" w:eastAsia="zh-CN"/>
        </w:rPr>
      </w:pPr>
      <w:r>
        <w:rPr>
          <w:rStyle w:val="14"/>
        </w:rPr>
        <w:footnoteRef/>
      </w:r>
      <w:r>
        <w:t xml:space="preserve"> </w:t>
      </w:r>
      <w:r>
        <w:rPr>
          <w:rFonts w:hint="eastAsia"/>
          <w:lang w:val="en-US" w:eastAsia="zh-CN"/>
        </w:rPr>
        <w:t>参见曹志勋：《论民事给付之诉及其执行的明确性要求》，载《华东政法学院学报》2023年第2期。</w:t>
      </w:r>
    </w:p>
  </w:footnote>
  <w:footnote w:id="21">
    <w:p w14:paraId="4998E82F">
      <w:pPr>
        <w:pStyle w:val="8"/>
        <w:snapToGrid w:val="0"/>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参见藤佳一：《返还原物请求权体系解释论》，载《比较法研究》2017年第6期。</w:t>
      </w:r>
    </w:p>
  </w:footnote>
  <w:footnote w:id="22">
    <w:p w14:paraId="3A8C410E">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1986年</w:t>
      </w:r>
      <w:r>
        <w:rPr>
          <w:rFonts w:hint="eastAsia" w:asciiTheme="minorEastAsia" w:hAnsiTheme="minorEastAsia" w:eastAsiaTheme="minorEastAsia" w:cstheme="minorEastAsia"/>
          <w:lang w:val="en-US" w:eastAsia="zh-CN"/>
        </w:rPr>
        <w:t>施行</w:t>
      </w:r>
      <w:r>
        <w:rPr>
          <w:rFonts w:hint="eastAsia" w:asciiTheme="minorEastAsia" w:hAnsiTheme="minorEastAsia" w:eastAsiaTheme="minorEastAsia" w:cstheme="minorEastAsia"/>
        </w:rPr>
        <w:t>的《</w:t>
      </w:r>
      <w:r>
        <w:rPr>
          <w:rFonts w:hint="eastAsia" w:asciiTheme="minorEastAsia" w:hAnsiTheme="minorEastAsia" w:eastAsiaTheme="minorEastAsia" w:cstheme="minorEastAsia"/>
          <w:lang w:val="en-US" w:eastAsia="zh-CN"/>
        </w:rPr>
        <w:t>中华人民共和国</w:t>
      </w:r>
      <w:r>
        <w:rPr>
          <w:rFonts w:hint="eastAsia" w:asciiTheme="minorEastAsia" w:hAnsiTheme="minorEastAsia" w:eastAsiaTheme="minorEastAsia" w:cstheme="minorEastAsia"/>
        </w:rPr>
        <w:t>民法通则》将法定代表人定义为“依照法律或者法人组织章程规定</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代表法人行使职权的负责人”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1988年</w:t>
      </w:r>
      <w:r>
        <w:rPr>
          <w:rFonts w:hint="eastAsia" w:asciiTheme="minorEastAsia" w:hAnsiTheme="minorEastAsia" w:eastAsiaTheme="minorEastAsia" w:cstheme="minorEastAsia"/>
          <w:lang w:val="en-US" w:eastAsia="zh-CN"/>
        </w:rPr>
        <w:t>施行</w:t>
      </w:r>
      <w:r>
        <w:rPr>
          <w:rFonts w:hint="eastAsia" w:asciiTheme="minorEastAsia" w:hAnsiTheme="minorEastAsia" w:eastAsiaTheme="minorEastAsia" w:cstheme="minorEastAsia"/>
        </w:rPr>
        <w:t>的《企业法人登记管理条例》将法定代表人定义为”代表企业行使职权的主要负责人”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此</w:t>
      </w:r>
      <w:r>
        <w:rPr>
          <w:rFonts w:hint="eastAsia" w:asciiTheme="minorEastAsia" w:hAnsiTheme="minorEastAsia" w:eastAsiaTheme="minorEastAsia" w:cstheme="minorEastAsia"/>
          <w:lang w:val="en-US" w:eastAsia="zh-CN"/>
        </w:rPr>
        <w:t>阶段</w:t>
      </w:r>
      <w:r>
        <w:rPr>
          <w:rFonts w:hint="eastAsia" w:asciiTheme="minorEastAsia" w:hAnsiTheme="minorEastAsia" w:eastAsiaTheme="minorEastAsia" w:cstheme="minorEastAsia"/>
        </w:rPr>
        <w:t>法定代表人为公司的“</w:t>
      </w:r>
      <w:r>
        <w:rPr>
          <w:rFonts w:hint="eastAsia" w:asciiTheme="minorEastAsia" w:hAnsiTheme="minorEastAsia" w:eastAsiaTheme="minorEastAsia" w:cstheme="minorEastAsia"/>
          <w:lang w:val="en-US" w:eastAsia="zh-CN"/>
        </w:rPr>
        <w:t>法定</w:t>
      </w:r>
      <w:r>
        <w:rPr>
          <w:rFonts w:hint="eastAsia" w:asciiTheme="minorEastAsia" w:hAnsiTheme="minorEastAsia" w:eastAsiaTheme="minorEastAsia" w:cstheme="minorEastAsia"/>
        </w:rPr>
        <w:t>权力核心”。</w:t>
      </w:r>
    </w:p>
  </w:footnote>
  <w:footnote w:id="23">
    <w:p w14:paraId="4BEDD01D">
      <w:pPr>
        <w:pStyle w:val="8"/>
        <w:snapToGrid w:val="0"/>
        <w:rPr>
          <w:rFonts w:hint="eastAsia" w:asciiTheme="minorEastAsia" w:hAnsiTheme="minorEastAsia" w:eastAsiaTheme="minorEastAsia" w:cstheme="minorEastAsia"/>
          <w:lang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根据《中华人民共和国民法典》</w:t>
      </w:r>
      <w:r>
        <w:rPr>
          <w:rFonts w:hint="eastAsia" w:asciiTheme="minorEastAsia" w:hAnsiTheme="minorEastAsia" w:eastAsiaTheme="minorEastAsia" w:cstheme="minorEastAsia"/>
          <w:lang w:val="en-US" w:eastAsia="zh-CN"/>
        </w:rPr>
        <w:t>第61</w:t>
      </w:r>
      <w:r>
        <w:rPr>
          <w:rFonts w:hint="eastAsia" w:asciiTheme="minorEastAsia" w:hAnsiTheme="minorEastAsia" w:eastAsiaTheme="minorEastAsia" w:cstheme="minorEastAsia"/>
        </w:rPr>
        <w:t>条、《中华人民共和国民事诉讼法》第</w:t>
      </w:r>
      <w:r>
        <w:rPr>
          <w:rFonts w:hint="eastAsia" w:asciiTheme="minorEastAsia" w:hAnsiTheme="minorEastAsia" w:eastAsiaTheme="minorEastAsia" w:cstheme="minorEastAsia"/>
          <w:lang w:val="en-US" w:eastAsia="zh-CN"/>
        </w:rPr>
        <w:t>48</w:t>
      </w:r>
      <w:r>
        <w:rPr>
          <w:rFonts w:hint="eastAsia" w:asciiTheme="minorEastAsia" w:hAnsiTheme="minorEastAsia" w:eastAsiaTheme="minorEastAsia" w:cstheme="minorEastAsia"/>
        </w:rPr>
        <w:t>条第</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款规定</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法定代表人对外代表公司参加民事活动、代表公司参加民事诉讼活动</w:t>
      </w:r>
      <w:r>
        <w:rPr>
          <w:rFonts w:hint="eastAsia" w:asciiTheme="minorEastAsia" w:hAnsiTheme="minorEastAsia" w:eastAsiaTheme="minorEastAsia" w:cstheme="minorEastAsia"/>
          <w:lang w:eastAsia="zh-CN"/>
        </w:rPr>
        <w:t>。</w:t>
      </w:r>
    </w:p>
  </w:footnote>
  <w:footnote w:id="24">
    <w:p w14:paraId="2D1A8EFA">
      <w:pPr>
        <w:pStyle w:val="8"/>
        <w:snapToGrid w:val="0"/>
        <w:rPr>
          <w:rFonts w:hint="eastAsia" w:asciiTheme="minorEastAsia" w:hAnsiTheme="minorEastAsia" w:eastAsiaTheme="minorEastAsia" w:cstheme="minorEastAsia"/>
          <w:lang w:val="en-US"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eastAsia="zh-CN"/>
        </w:rPr>
        <w:t>参见北京市第一中级人民法院（</w:t>
      </w:r>
      <w:r>
        <w:rPr>
          <w:rFonts w:hint="eastAsia" w:asciiTheme="minorEastAsia" w:hAnsiTheme="minorEastAsia" w:eastAsiaTheme="minorEastAsia" w:cstheme="minorEastAsia"/>
          <w:lang w:val="en-US" w:eastAsia="zh-CN"/>
        </w:rPr>
        <w:t>2025）京01民终3548号民事判决书。</w:t>
      </w:r>
    </w:p>
  </w:footnote>
  <w:footnote w:id="25">
    <w:p w14:paraId="111C5999">
      <w:pPr>
        <w:pStyle w:val="8"/>
        <w:snapToGrid w:val="0"/>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《中华人民共和国公司法》</w:t>
      </w:r>
      <w:r>
        <w:rPr>
          <w:rFonts w:hint="eastAsia" w:asciiTheme="minorEastAsia" w:hAnsiTheme="minorEastAsia" w:eastAsiaTheme="minorEastAsia" w:cstheme="minorEastAsia"/>
        </w:rPr>
        <w:t>第</w:t>
      </w:r>
      <w:r>
        <w:rPr>
          <w:rFonts w:hint="eastAsia" w:asciiTheme="minorEastAsia" w:hAnsiTheme="minorEastAsia" w:eastAsiaTheme="minorEastAsia" w:cstheme="minorEastAsia"/>
          <w:lang w:val="en-US" w:eastAsia="zh-CN"/>
        </w:rPr>
        <w:t>59</w:t>
      </w:r>
      <w:r>
        <w:rPr>
          <w:rFonts w:hint="eastAsia" w:asciiTheme="minorEastAsia" w:hAnsiTheme="minorEastAsia" w:eastAsiaTheme="minorEastAsia" w:cstheme="minorEastAsia"/>
        </w:rPr>
        <w:t>条</w:t>
      </w:r>
      <w:r>
        <w:rPr>
          <w:rFonts w:hint="eastAsia" w:asciiTheme="minorEastAsia" w:hAnsiTheme="minorEastAsia" w:eastAsiaTheme="minorEastAsia" w:cstheme="minorEastAsia"/>
          <w:lang w:val="en-US" w:eastAsia="zh-CN"/>
        </w:rPr>
        <w:t>第3款规定：“</w:t>
      </w:r>
      <w:r>
        <w:rPr>
          <w:rFonts w:hint="eastAsia" w:asciiTheme="minorEastAsia" w:hAnsiTheme="minorEastAsia" w:eastAsiaTheme="minorEastAsia" w:cstheme="minorEastAsia"/>
        </w:rPr>
        <w:t>对本条第一款所列事项股东以书面形式一致表示同意的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可以不召开股东会会议</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直接作出决定</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并由全体股东在决定文件上签名或者盖章。</w:t>
      </w:r>
      <w:r>
        <w:rPr>
          <w:rFonts w:hint="eastAsia" w:asciiTheme="minorEastAsia" w:hAnsiTheme="minorEastAsia" w:eastAsiaTheme="minorEastAsia" w:cstheme="minorEastAsia"/>
          <w:lang w:val="en-US" w:eastAsia="zh-CN"/>
        </w:rPr>
        <w:t>”</w:t>
      </w:r>
    </w:p>
  </w:footnote>
  <w:footnote w:id="26">
    <w:p w14:paraId="738D127F">
      <w:pPr>
        <w:pStyle w:val="8"/>
        <w:snapToGrid w:val="0"/>
        <w:rPr>
          <w:rFonts w:hint="eastAsia" w:asciiTheme="minorEastAsia" w:hAnsiTheme="minorEastAsia" w:eastAsiaTheme="minorEastAsia" w:cstheme="minorEastAsia"/>
          <w:lang w:eastAsia="zh-CN"/>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《最高人民法院关于适用〈中华人民共和国公司法〉若干问题的规定(四)》</w:t>
      </w:r>
      <w:r>
        <w:rPr>
          <w:rFonts w:hint="eastAsia" w:asciiTheme="minorEastAsia" w:hAnsiTheme="minorEastAsia" w:eastAsiaTheme="minorEastAsia" w:cstheme="minorEastAsia"/>
        </w:rPr>
        <w:t>第</w:t>
      </w:r>
      <w:r>
        <w:rPr>
          <w:rFonts w:hint="eastAsia" w:asciiTheme="minorEastAsia" w:hAnsiTheme="minorEastAsia" w:eastAsiaTheme="minorEastAsia" w:cstheme="minorEastAsia"/>
          <w:lang w:val="en-US" w:eastAsia="zh-CN"/>
        </w:rPr>
        <w:t>25</w:t>
      </w:r>
      <w:r>
        <w:rPr>
          <w:rFonts w:hint="eastAsia" w:asciiTheme="minorEastAsia" w:hAnsiTheme="minorEastAsia" w:eastAsiaTheme="minorEastAsia" w:cstheme="minorEastAsia"/>
        </w:rPr>
        <w:t>条规定</w:t>
      </w:r>
      <w:r>
        <w:rPr>
          <w:rFonts w:hint="eastAsia" w:asciiTheme="minorEastAsia" w:hAnsiTheme="minorEastAsia" w:eastAsiaTheme="minorEastAsia" w:cstheme="minorEastAsia"/>
          <w:lang w:eastAsia="zh-CN"/>
        </w:rPr>
        <w:t>：“股东依据公司法第一百五十一条第二款、第三款规定直接提起诉讼的案件，胜诉利益归属于公司。股东请求被告直接向其承担民事责任的，人民法院不予支持。”</w:t>
      </w:r>
    </w:p>
  </w:footnote>
  <w:footnote w:id="27">
    <w:p w14:paraId="1F81E227">
      <w:pPr>
        <w:pStyle w:val="8"/>
        <w:snapToGrid w:val="0"/>
        <w:rPr>
          <w:rFonts w:hint="eastAsia" w:asciiTheme="minorEastAsia" w:hAnsiTheme="minorEastAsia" w:eastAsiaTheme="minorEastAsia" w:cstheme="minorEastAsia"/>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参见上海市第一中级人民法院（2020）沪01民终12345号民事判决书。</w:t>
      </w:r>
    </w:p>
  </w:footnote>
  <w:footnote w:id="28">
    <w:p w14:paraId="7D76D87D">
      <w:pPr>
        <w:pStyle w:val="8"/>
        <w:snapToGrid w:val="0"/>
        <w:rPr>
          <w:rFonts w:hint="eastAsia" w:asciiTheme="minorEastAsia" w:hAnsiTheme="minorEastAsia" w:eastAsiaTheme="minorEastAsia" w:cstheme="minorEastAsia"/>
          <w:sz w:val="18"/>
          <w:szCs w:val="18"/>
        </w:rPr>
      </w:pPr>
      <w:r>
        <w:rPr>
          <w:rStyle w:val="14"/>
          <w:rFonts w:hint="eastAsia" w:asciiTheme="minorEastAsia" w:hAnsiTheme="minorEastAsia" w:eastAsiaTheme="minorEastAsia" w:cstheme="minorEastAsia"/>
        </w:rPr>
        <w:footnoteRef/>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sz w:val="18"/>
          <w:szCs w:val="18"/>
        </w:rPr>
        <w:t>参见</w:t>
      </w:r>
      <w:r>
        <w:rPr>
          <w:rFonts w:hint="eastAsia" w:asciiTheme="minorEastAsia" w:hAnsiTheme="minorEastAsia" w:eastAsiaTheme="minorEastAsia" w:cstheme="minorEastAsia"/>
          <w:sz w:val="18"/>
          <w:szCs w:val="18"/>
          <w:lang w:val="en-US" w:eastAsia="zh-CN"/>
        </w:rPr>
        <w:t>广东省高级人民法院</w:t>
      </w:r>
      <w:r>
        <w:rPr>
          <w:rFonts w:hint="eastAsia" w:asciiTheme="minorEastAsia" w:hAnsiTheme="minorEastAsia" w:eastAsiaTheme="minorEastAsia" w:cstheme="minorEastAsia"/>
          <w:sz w:val="18"/>
          <w:szCs w:val="18"/>
        </w:rPr>
        <w:t>（2021）粤民申4567号民事判决书。</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审稿人">
    <w15:presenceInfo w15:providerId="None" w15:userId="审稿人"/>
  </w15:person>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58"/>
    <w:footnote w:id="5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2FFFF20"/>
    <w:rsid w:val="000F5645"/>
    <w:rsid w:val="00A21E21"/>
    <w:rsid w:val="033E3288"/>
    <w:rsid w:val="04E946A2"/>
    <w:rsid w:val="06691FC5"/>
    <w:rsid w:val="06D85243"/>
    <w:rsid w:val="07DA3B6F"/>
    <w:rsid w:val="084D6A0D"/>
    <w:rsid w:val="088F5CF7"/>
    <w:rsid w:val="0A0A64D6"/>
    <w:rsid w:val="0A9D666F"/>
    <w:rsid w:val="0B5F3D2C"/>
    <w:rsid w:val="0BFA6425"/>
    <w:rsid w:val="0D58124A"/>
    <w:rsid w:val="0D8B6C53"/>
    <w:rsid w:val="0DA02EFC"/>
    <w:rsid w:val="0E494A2D"/>
    <w:rsid w:val="0E5856E1"/>
    <w:rsid w:val="103A4122"/>
    <w:rsid w:val="11174F6F"/>
    <w:rsid w:val="11E76422"/>
    <w:rsid w:val="11E96129"/>
    <w:rsid w:val="125B6606"/>
    <w:rsid w:val="130D1EB8"/>
    <w:rsid w:val="132C233E"/>
    <w:rsid w:val="17681DB3"/>
    <w:rsid w:val="18344D19"/>
    <w:rsid w:val="18624F75"/>
    <w:rsid w:val="19F547D1"/>
    <w:rsid w:val="1A8234D1"/>
    <w:rsid w:val="1AE16664"/>
    <w:rsid w:val="1B0A41C7"/>
    <w:rsid w:val="1CBB2985"/>
    <w:rsid w:val="1D273B54"/>
    <w:rsid w:val="1DC934B1"/>
    <w:rsid w:val="1DE303E5"/>
    <w:rsid w:val="1E0C16EA"/>
    <w:rsid w:val="1FD77AD6"/>
    <w:rsid w:val="20594710"/>
    <w:rsid w:val="20CC33B3"/>
    <w:rsid w:val="21A12149"/>
    <w:rsid w:val="224D1B2C"/>
    <w:rsid w:val="22C60010"/>
    <w:rsid w:val="258379FB"/>
    <w:rsid w:val="26434038"/>
    <w:rsid w:val="276775E3"/>
    <w:rsid w:val="279374D9"/>
    <w:rsid w:val="27D8263D"/>
    <w:rsid w:val="28CF5288"/>
    <w:rsid w:val="298725E3"/>
    <w:rsid w:val="2B583B1B"/>
    <w:rsid w:val="2D941213"/>
    <w:rsid w:val="2DE11490"/>
    <w:rsid w:val="2F6C023B"/>
    <w:rsid w:val="31FF5CAC"/>
    <w:rsid w:val="31FF872B"/>
    <w:rsid w:val="320B45F1"/>
    <w:rsid w:val="321C62E8"/>
    <w:rsid w:val="32805DAB"/>
    <w:rsid w:val="329548E8"/>
    <w:rsid w:val="33D62126"/>
    <w:rsid w:val="356650E2"/>
    <w:rsid w:val="35B0727D"/>
    <w:rsid w:val="36D05553"/>
    <w:rsid w:val="37E74A0F"/>
    <w:rsid w:val="38BC0165"/>
    <w:rsid w:val="39975BA6"/>
    <w:rsid w:val="3A8D5E3B"/>
    <w:rsid w:val="3B927BE9"/>
    <w:rsid w:val="3DA07301"/>
    <w:rsid w:val="3F082A55"/>
    <w:rsid w:val="3F777CCF"/>
    <w:rsid w:val="3FDF7094"/>
    <w:rsid w:val="435F73A9"/>
    <w:rsid w:val="43957E7C"/>
    <w:rsid w:val="45132AAF"/>
    <w:rsid w:val="455671E0"/>
    <w:rsid w:val="4597548E"/>
    <w:rsid w:val="45DE3FC2"/>
    <w:rsid w:val="46030112"/>
    <w:rsid w:val="46E93AC7"/>
    <w:rsid w:val="471E7C15"/>
    <w:rsid w:val="48A240A8"/>
    <w:rsid w:val="48C43874"/>
    <w:rsid w:val="4A11580F"/>
    <w:rsid w:val="4A2C089A"/>
    <w:rsid w:val="4AD36F68"/>
    <w:rsid w:val="4B5826AD"/>
    <w:rsid w:val="4D0633D7"/>
    <w:rsid w:val="4D27359B"/>
    <w:rsid w:val="4DAE3030"/>
    <w:rsid w:val="4DD86643"/>
    <w:rsid w:val="4E166F2A"/>
    <w:rsid w:val="4F3F4BCC"/>
    <w:rsid w:val="4F6D4C15"/>
    <w:rsid w:val="505F2DDF"/>
    <w:rsid w:val="51654692"/>
    <w:rsid w:val="5209319E"/>
    <w:rsid w:val="530D5F84"/>
    <w:rsid w:val="542425E2"/>
    <w:rsid w:val="55EF3CC6"/>
    <w:rsid w:val="56166F17"/>
    <w:rsid w:val="56755921"/>
    <w:rsid w:val="5772303C"/>
    <w:rsid w:val="57B96204"/>
    <w:rsid w:val="59201250"/>
    <w:rsid w:val="59A73E51"/>
    <w:rsid w:val="5AC15D62"/>
    <w:rsid w:val="5BBFF4CA"/>
    <w:rsid w:val="5BF3746A"/>
    <w:rsid w:val="5D5E6B65"/>
    <w:rsid w:val="5DF64FF0"/>
    <w:rsid w:val="5E721E64"/>
    <w:rsid w:val="5EFDD749"/>
    <w:rsid w:val="5EFFBE76"/>
    <w:rsid w:val="5FBFAB60"/>
    <w:rsid w:val="5FDE5D3B"/>
    <w:rsid w:val="5FFD6F14"/>
    <w:rsid w:val="60EA092F"/>
    <w:rsid w:val="613407AE"/>
    <w:rsid w:val="62662018"/>
    <w:rsid w:val="63047DA9"/>
    <w:rsid w:val="6397692D"/>
    <w:rsid w:val="64324F2C"/>
    <w:rsid w:val="655748CB"/>
    <w:rsid w:val="68186D8B"/>
    <w:rsid w:val="682E31EA"/>
    <w:rsid w:val="688F6179"/>
    <w:rsid w:val="69433F4E"/>
    <w:rsid w:val="6A4B0DB5"/>
    <w:rsid w:val="6AEA1A38"/>
    <w:rsid w:val="6B5348F8"/>
    <w:rsid w:val="6B6D2669"/>
    <w:rsid w:val="6B7BA273"/>
    <w:rsid w:val="6C4B2481"/>
    <w:rsid w:val="6C5C6966"/>
    <w:rsid w:val="6D513FF0"/>
    <w:rsid w:val="6EB83D2F"/>
    <w:rsid w:val="6EE973FB"/>
    <w:rsid w:val="6F16141F"/>
    <w:rsid w:val="6FEBC724"/>
    <w:rsid w:val="70090BB2"/>
    <w:rsid w:val="706F2F57"/>
    <w:rsid w:val="709B5583"/>
    <w:rsid w:val="71A30B93"/>
    <w:rsid w:val="72607410"/>
    <w:rsid w:val="72746651"/>
    <w:rsid w:val="72DD7213"/>
    <w:rsid w:val="736C4FAB"/>
    <w:rsid w:val="73DFD631"/>
    <w:rsid w:val="75437174"/>
    <w:rsid w:val="75774654"/>
    <w:rsid w:val="765863F0"/>
    <w:rsid w:val="76A43F09"/>
    <w:rsid w:val="7783749C"/>
    <w:rsid w:val="77FF6BD3"/>
    <w:rsid w:val="77FF7231"/>
    <w:rsid w:val="79424B36"/>
    <w:rsid w:val="797E6723"/>
    <w:rsid w:val="7A1A1C0E"/>
    <w:rsid w:val="7A391008"/>
    <w:rsid w:val="7A6B246A"/>
    <w:rsid w:val="7AD94168"/>
    <w:rsid w:val="7AFA6E54"/>
    <w:rsid w:val="7B0D9151"/>
    <w:rsid w:val="7B193A89"/>
    <w:rsid w:val="7BB165E1"/>
    <w:rsid w:val="7BEA40C8"/>
    <w:rsid w:val="7C0B7A60"/>
    <w:rsid w:val="7C837AA0"/>
    <w:rsid w:val="7DAA505F"/>
    <w:rsid w:val="7F7A1508"/>
    <w:rsid w:val="7FE31E78"/>
    <w:rsid w:val="7FFAA0F8"/>
    <w:rsid w:val="7FFF1C55"/>
    <w:rsid w:val="B6EE1608"/>
    <w:rsid w:val="CF9D8F4D"/>
    <w:rsid w:val="E0F50603"/>
    <w:rsid w:val="E1099354"/>
    <w:rsid w:val="E2FFFF20"/>
    <w:rsid w:val="E6FF056B"/>
    <w:rsid w:val="E7EF1A53"/>
    <w:rsid w:val="EFBB36E3"/>
    <w:rsid w:val="F8F76FCF"/>
    <w:rsid w:val="FA6B84AC"/>
    <w:rsid w:val="FBDFD6A4"/>
    <w:rsid w:val="FF7FE739"/>
    <w:rsid w:val="FFB7D91B"/>
    <w:rsid w:val="FFBD8575"/>
    <w:rsid w:val="FFBF57FF"/>
    <w:rsid w:val="FFF67C5E"/>
    <w:rsid w:val="FFF75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adjustRightInd w:val="0"/>
      <w:snapToGrid w:val="0"/>
      <w:spacing w:before="150" w:beforeLines="150" w:beforeAutospacing="0" w:after="150" w:afterLines="150" w:afterAutospacing="0" w:line="360" w:lineRule="auto"/>
      <w:jc w:val="left"/>
      <w:outlineLvl w:val="0"/>
    </w:pPr>
    <w:rPr>
      <w:rFonts w:hint="eastAsia" w:ascii="宋体" w:hAnsi="宋体" w:eastAsia="Heiti SC Medium" w:cs="宋体"/>
      <w:kern w:val="44"/>
      <w:sz w:val="32"/>
      <w:szCs w:val="48"/>
      <w:lang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Body Text"/>
    <w:basedOn w:val="1"/>
    <w:qFormat/>
    <w:uiPriority w:val="0"/>
    <w:pPr>
      <w:tabs>
        <w:tab w:val="left" w:pos="2730"/>
      </w:tabs>
    </w:pPr>
    <w:rPr>
      <w:rFonts w:ascii="仿宋_GB2312" w:eastAsia="仿宋_GB2312"/>
      <w:sz w:val="32"/>
      <w:u w:val="single"/>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unhideWhenUsed/>
    <w:qFormat/>
    <w:uiPriority w:val="99"/>
    <w:pPr>
      <w:snapToGrid w:val="0"/>
      <w:jc w:val="left"/>
    </w:pPr>
    <w:rPr>
      <w:kern w:val="0"/>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otnote reference"/>
    <w:basedOn w:val="12"/>
    <w:unhideWhenUsed/>
    <w:qFormat/>
    <w:uiPriority w:val="99"/>
    <w:rPr>
      <w:vertAlign w:val="superscript"/>
    </w:rPr>
  </w:style>
  <w:style w:type="paragraph" w:customStyle="1" w:styleId="15">
    <w:name w:val="Default"/>
    <w:qFormat/>
    <w:uiPriority w:val="0"/>
    <w:pPr>
      <w:widowControl w:val="0"/>
      <w:autoSpaceDE w:val="0"/>
      <w:autoSpaceDN w:val="0"/>
      <w:adjustRightInd w:val="0"/>
    </w:pPr>
    <w:rPr>
      <w:rFonts w:hint="eastAsia" w:ascii="FZFangSong-Z02" w:hAnsi="FZFangSong-Z02" w:eastAsia="FZFangSong-Z02" w:cs="Times New Roman"/>
      <w:color w:val="000000"/>
      <w:sz w:val="24"/>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11918</Words>
  <Characters>12042</Characters>
  <Lines>0</Lines>
  <Paragraphs>0</Paragraphs>
  <TotalTime>57</TotalTime>
  <ScaleCrop>false</ScaleCrop>
  <LinksUpToDate>false</LinksUpToDate>
  <CharactersWithSpaces>12051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2025-11-16T22:06:00Z</dcterms:created>
  <dc:creator>哦</dc:creator>
  <cp:lastModifiedBy>csn</cp:lastModifiedBy>
  <dcterms:modified xsi:type="dcterms:W3CDTF">2026-01-06T10:41:59Z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7E4D58041C07BDCDF4881869895FA133_41</vt:lpwstr>
  </property>
  <property fmtid="{D5CDD505-2E9C-101B-9397-08002B2CF9AE}" pid="4" name="KSOTemplateDocerSaveRecord">
    <vt:lpwstr>eyJoZGlkIjoiZThhMzU5ZDVkN2NlM2MyNzE2NjgzOGYwMTVhNDgwZDkiLCJ1c2VySWQiOiI0MTI5NzIyMTMifQ==</vt:lpwstr>
  </property>
</Properties>
</file>