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0E41C">
      <w:pPr>
        <w:jc w:val="center"/>
        <w:rPr>
          <w:rFonts w:hint="eastAsia"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中国政法大学研究生学报审稿评分表</w:t>
      </w:r>
    </w:p>
    <w:p w14:paraId="6CBBB054">
      <w:pPr>
        <w:rPr>
          <w:rFonts w:hint="eastAsia"/>
          <w:sz w:val="24"/>
        </w:rPr>
      </w:pPr>
    </w:p>
    <w:p w14:paraId="5449DCE2">
      <w:pPr>
        <w:rPr>
          <w:rFonts w:hint="eastAsia"/>
          <w:sz w:val="24"/>
        </w:rPr>
      </w:pPr>
      <w:r>
        <w:rPr>
          <w:rFonts w:hint="eastAsia"/>
          <w:sz w:val="24"/>
        </w:rPr>
        <w:t>论文题目：物法与商法交织视角下公司证照返还纠纷的诉讼构造及裁判进路</w:t>
      </w:r>
      <w:bookmarkStart w:id="0" w:name="_GoBack"/>
      <w:bookmarkEnd w:id="0"/>
    </w:p>
    <w:p w14:paraId="3FBD2D80">
      <w:pPr>
        <w:rPr>
          <w:rFonts w:hint="eastAsia"/>
          <w:sz w:val="24"/>
        </w:rPr>
      </w:pPr>
      <w:r>
        <w:rPr>
          <w:rFonts w:hint="eastAsia"/>
          <w:sz w:val="24"/>
        </w:rPr>
        <w:t>论文作者：</w:t>
      </w:r>
    </w:p>
    <w:p w14:paraId="33C6CA25">
      <w:pPr>
        <w:rPr>
          <w:rFonts w:hint="eastAsia"/>
          <w:sz w:val="24"/>
        </w:rPr>
      </w:pPr>
    </w:p>
    <w:tbl>
      <w:tblPr>
        <w:tblStyle w:val="5"/>
        <w:tblW w:w="8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901"/>
        <w:gridCol w:w="5767"/>
        <w:gridCol w:w="1442"/>
      </w:tblGrid>
      <w:tr w14:paraId="15D7A6C3">
        <w:trPr>
          <w:trHeight w:val="586" w:hRule="atLeast"/>
        </w:trPr>
        <w:tc>
          <w:tcPr>
            <w:tcW w:w="649" w:type="dxa"/>
          </w:tcPr>
          <w:p w14:paraId="31F5044B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901" w:type="dxa"/>
          </w:tcPr>
          <w:p w14:paraId="2C3D3A14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</w:t>
            </w:r>
          </w:p>
          <w:p w14:paraId="2A317308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指标</w:t>
            </w:r>
          </w:p>
        </w:tc>
        <w:tc>
          <w:tcPr>
            <w:tcW w:w="5767" w:type="dxa"/>
          </w:tcPr>
          <w:p w14:paraId="598B6D7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评价标准</w:t>
            </w:r>
          </w:p>
        </w:tc>
        <w:tc>
          <w:tcPr>
            <w:tcW w:w="1442" w:type="dxa"/>
          </w:tcPr>
          <w:p w14:paraId="157E6F7F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分值</w:t>
            </w:r>
          </w:p>
          <w:p w14:paraId="06D325D7">
            <w:pPr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5109536C">
        <w:trPr>
          <w:trHeight w:val="289" w:hRule="atLeast"/>
        </w:trPr>
        <w:tc>
          <w:tcPr>
            <w:tcW w:w="649" w:type="dxa"/>
            <w:vMerge w:val="restart"/>
          </w:tcPr>
          <w:p w14:paraId="2E7B18BE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5D3CEEFB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  <w:p w14:paraId="58400B1B">
            <w:pPr>
              <w:jc w:val="center"/>
              <w:rPr>
                <w:rFonts w:hint="eastAsia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901" w:type="dxa"/>
            <w:vMerge w:val="restart"/>
          </w:tcPr>
          <w:p w14:paraId="3B5EFE3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554A4BB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选题</w:t>
            </w:r>
          </w:p>
          <w:p w14:paraId="4FA0915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79CCDD7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具有较高学术性、创新性、实践性和可行性</w:t>
            </w:r>
          </w:p>
        </w:tc>
        <w:tc>
          <w:tcPr>
            <w:tcW w:w="1442" w:type="dxa"/>
          </w:tcPr>
          <w:p w14:paraId="5C0A011D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8-10</w:t>
            </w:r>
          </w:p>
        </w:tc>
      </w:tr>
      <w:tr w14:paraId="5619F58A">
        <w:trPr>
          <w:trHeight w:val="312" w:hRule="atLeast"/>
        </w:trPr>
        <w:tc>
          <w:tcPr>
            <w:tcW w:w="649" w:type="dxa"/>
            <w:vMerge w:val="continue"/>
          </w:tcPr>
          <w:p w14:paraId="2035EB1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EE2BD2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1B1D2C7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有一定的学术性、实践性和可行性</w:t>
            </w:r>
          </w:p>
        </w:tc>
        <w:tc>
          <w:tcPr>
            <w:tcW w:w="1442" w:type="dxa"/>
          </w:tcPr>
          <w:p w14:paraId="71F607A1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4-7</w:t>
            </w:r>
          </w:p>
        </w:tc>
      </w:tr>
      <w:tr w14:paraId="348DDD96">
        <w:trPr>
          <w:trHeight w:val="302" w:hRule="atLeast"/>
        </w:trPr>
        <w:tc>
          <w:tcPr>
            <w:tcW w:w="649" w:type="dxa"/>
            <w:vMerge w:val="continue"/>
          </w:tcPr>
          <w:p w14:paraId="1BA93F0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4C9E6B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4CE42E4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学术性、实践性、可行性较差</w:t>
            </w:r>
          </w:p>
        </w:tc>
        <w:tc>
          <w:tcPr>
            <w:tcW w:w="1442" w:type="dxa"/>
          </w:tcPr>
          <w:p w14:paraId="1FD5824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0-3</w:t>
            </w:r>
          </w:p>
          <w:p w14:paraId="5DE9A8AE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331A63A3">
        <w:trPr>
          <w:trHeight w:val="321" w:hRule="atLeast"/>
        </w:trPr>
        <w:tc>
          <w:tcPr>
            <w:tcW w:w="649" w:type="dxa"/>
            <w:vMerge w:val="restart"/>
          </w:tcPr>
          <w:p w14:paraId="4910FA86">
            <w:pPr>
              <w:rPr>
                <w:rFonts w:hint="eastAsia"/>
                <w:b/>
                <w:sz w:val="18"/>
                <w:szCs w:val="18"/>
              </w:rPr>
            </w:pPr>
          </w:p>
          <w:p w14:paraId="4F676A1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</w:t>
            </w:r>
          </w:p>
          <w:p w14:paraId="6BB63560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901" w:type="dxa"/>
            <w:vMerge w:val="restart"/>
          </w:tcPr>
          <w:p w14:paraId="41B2D84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59A27C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观点</w:t>
            </w:r>
          </w:p>
          <w:p w14:paraId="3098FEC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7E73321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论点鲜明，见解独到、有创新性</w:t>
            </w:r>
          </w:p>
        </w:tc>
        <w:tc>
          <w:tcPr>
            <w:tcW w:w="1442" w:type="dxa"/>
          </w:tcPr>
          <w:p w14:paraId="6DD4154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13-15</w:t>
            </w:r>
          </w:p>
          <w:p w14:paraId="6AF19E01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7F2A0585">
        <w:trPr>
          <w:trHeight w:val="302" w:hRule="atLeast"/>
        </w:trPr>
        <w:tc>
          <w:tcPr>
            <w:tcW w:w="649" w:type="dxa"/>
            <w:vMerge w:val="continue"/>
          </w:tcPr>
          <w:p w14:paraId="30C8A838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20D5ECDC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3083922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论点明确，有一定新意对既有观点有较深的阐释</w:t>
            </w:r>
          </w:p>
        </w:tc>
        <w:tc>
          <w:tcPr>
            <w:tcW w:w="1442" w:type="dxa"/>
          </w:tcPr>
          <w:p w14:paraId="747BAC9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5-12</w:t>
            </w:r>
          </w:p>
          <w:p w14:paraId="2AE03531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519C888E">
        <w:trPr>
          <w:trHeight w:val="389" w:hRule="atLeast"/>
        </w:trPr>
        <w:tc>
          <w:tcPr>
            <w:tcW w:w="649" w:type="dxa"/>
            <w:vMerge w:val="continue"/>
          </w:tcPr>
          <w:p w14:paraId="4D8AEDE9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0DA2576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243065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论点不够明确</w:t>
            </w:r>
          </w:p>
        </w:tc>
        <w:tc>
          <w:tcPr>
            <w:tcW w:w="1442" w:type="dxa"/>
          </w:tcPr>
          <w:p w14:paraId="35C3A74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0-4</w:t>
            </w:r>
          </w:p>
          <w:p w14:paraId="713FEEE0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1D221D59">
        <w:trPr>
          <w:trHeight w:val="302" w:hRule="atLeast"/>
        </w:trPr>
        <w:tc>
          <w:tcPr>
            <w:tcW w:w="649" w:type="dxa"/>
            <w:vMerge w:val="restart"/>
          </w:tcPr>
          <w:p w14:paraId="46686E1F">
            <w:pPr>
              <w:rPr>
                <w:rFonts w:hint="eastAsia"/>
                <w:b/>
                <w:sz w:val="18"/>
                <w:szCs w:val="18"/>
              </w:rPr>
            </w:pPr>
          </w:p>
          <w:p w14:paraId="7C658F4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</w:p>
          <w:p w14:paraId="5B4777BB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901" w:type="dxa"/>
            <w:vMerge w:val="restart"/>
          </w:tcPr>
          <w:p w14:paraId="663EE616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07A96B5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6292EE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</w:t>
            </w:r>
          </w:p>
          <w:p w14:paraId="1030B75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40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5134C377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方法新颖，论证充分，论据确凿，逻辑性强，对问题有较深入的分析</w:t>
            </w:r>
          </w:p>
        </w:tc>
        <w:tc>
          <w:tcPr>
            <w:tcW w:w="1442" w:type="dxa"/>
          </w:tcPr>
          <w:p w14:paraId="7F20EBF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35-40</w:t>
            </w:r>
          </w:p>
          <w:p w14:paraId="6C4747F6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6C2AF56B">
        <w:trPr>
          <w:trHeight w:val="302" w:hRule="atLeast"/>
        </w:trPr>
        <w:tc>
          <w:tcPr>
            <w:tcW w:w="649" w:type="dxa"/>
            <w:vMerge w:val="continue"/>
          </w:tcPr>
          <w:p w14:paraId="6C4CDD59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DDD73D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90BAE1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方法得当，论证比较充分，论据可靠，逻辑性比较强，分析比较深入</w:t>
            </w:r>
          </w:p>
        </w:tc>
        <w:tc>
          <w:tcPr>
            <w:tcW w:w="1442" w:type="dxa"/>
          </w:tcPr>
          <w:p w14:paraId="67EE6BE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25-34</w:t>
            </w:r>
          </w:p>
          <w:p w14:paraId="2F1D0A37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066EC9DA">
        <w:trPr>
          <w:trHeight w:val="302" w:hRule="atLeast"/>
        </w:trPr>
        <w:tc>
          <w:tcPr>
            <w:tcW w:w="649" w:type="dxa"/>
            <w:vMerge w:val="continue"/>
          </w:tcPr>
          <w:p w14:paraId="24BBBE1A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274D0CB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5BA08B4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对事物有一定的分析能力和概括能力，能运用所学理论和知识阐述问题</w:t>
            </w:r>
          </w:p>
        </w:tc>
        <w:tc>
          <w:tcPr>
            <w:tcW w:w="1442" w:type="dxa"/>
          </w:tcPr>
          <w:p w14:paraId="0539BDB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13-24</w:t>
            </w:r>
          </w:p>
          <w:p w14:paraId="71AB84D2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43AF4A67">
        <w:trPr>
          <w:trHeight w:val="302" w:hRule="atLeast"/>
        </w:trPr>
        <w:tc>
          <w:tcPr>
            <w:tcW w:w="649" w:type="dxa"/>
            <w:vMerge w:val="continue"/>
          </w:tcPr>
          <w:p w14:paraId="25117D68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0476C09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42DC22B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论证未充分说明论点</w:t>
            </w:r>
          </w:p>
        </w:tc>
        <w:tc>
          <w:tcPr>
            <w:tcW w:w="1442" w:type="dxa"/>
          </w:tcPr>
          <w:p w14:paraId="66A8C07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1-12</w:t>
            </w:r>
          </w:p>
          <w:p w14:paraId="622B38EB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6CE2230D">
        <w:trPr>
          <w:trHeight w:val="293" w:hRule="atLeast"/>
        </w:trPr>
        <w:tc>
          <w:tcPr>
            <w:tcW w:w="649" w:type="dxa"/>
            <w:vMerge w:val="restart"/>
          </w:tcPr>
          <w:p w14:paraId="7C44A31A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628A5D7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</w:p>
          <w:p w14:paraId="4A21CFCB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901" w:type="dxa"/>
            <w:vMerge w:val="restart"/>
          </w:tcPr>
          <w:p w14:paraId="3CB09C2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3B9D01D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规范性</w:t>
            </w:r>
          </w:p>
          <w:p w14:paraId="006E46E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C02F96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论文的注释体例和参考文献规范、内容摘要和关键词，符合规范性</w:t>
            </w:r>
          </w:p>
        </w:tc>
        <w:tc>
          <w:tcPr>
            <w:tcW w:w="1442" w:type="dxa"/>
          </w:tcPr>
          <w:p w14:paraId="060AF42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6-10</w:t>
            </w:r>
          </w:p>
          <w:p w14:paraId="2B91A382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4FF0F259">
        <w:trPr>
          <w:trHeight w:val="605" w:hRule="atLeast"/>
        </w:trPr>
        <w:tc>
          <w:tcPr>
            <w:tcW w:w="649" w:type="dxa"/>
            <w:vMerge w:val="continue"/>
          </w:tcPr>
          <w:p w14:paraId="3C8180C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BEE026B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06F6FE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论文的注释体例和参考文献基本符合规范、内容摘要和关键词，基本符合规范性</w:t>
            </w:r>
          </w:p>
        </w:tc>
        <w:tc>
          <w:tcPr>
            <w:tcW w:w="1442" w:type="dxa"/>
          </w:tcPr>
          <w:p w14:paraId="2316835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  <w:p w14:paraId="69E3D039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34BB853F">
        <w:trPr>
          <w:trHeight w:val="337" w:hRule="atLeast"/>
        </w:trPr>
        <w:tc>
          <w:tcPr>
            <w:tcW w:w="649" w:type="dxa"/>
            <w:vMerge w:val="restart"/>
          </w:tcPr>
          <w:p w14:paraId="3338A15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01B43351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  <w:p w14:paraId="53109B3F">
            <w:pPr>
              <w:jc w:val="center"/>
              <w:rPr>
                <w:rFonts w:hint="eastAsia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901" w:type="dxa"/>
            <w:vMerge w:val="restart"/>
          </w:tcPr>
          <w:p w14:paraId="331C908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资料引用与调查实证（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205382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参考文献具有相关性、准确性和一定的专业性、权威性，或有较充分的实证调查研究</w:t>
            </w:r>
          </w:p>
        </w:tc>
        <w:tc>
          <w:tcPr>
            <w:tcW w:w="1442" w:type="dxa"/>
          </w:tcPr>
          <w:p w14:paraId="61E9448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7-10</w:t>
            </w:r>
          </w:p>
          <w:p w14:paraId="220CDA37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765AE50B">
        <w:trPr>
          <w:trHeight w:val="538" w:hRule="atLeast"/>
        </w:trPr>
        <w:tc>
          <w:tcPr>
            <w:tcW w:w="649" w:type="dxa"/>
            <w:vMerge w:val="continue"/>
          </w:tcPr>
          <w:p w14:paraId="075BE0B1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1555D49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51758A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参考文献相关性、准确性、专业性较不足</w:t>
            </w:r>
          </w:p>
        </w:tc>
        <w:tc>
          <w:tcPr>
            <w:tcW w:w="1442" w:type="dxa"/>
          </w:tcPr>
          <w:p w14:paraId="4B54D17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1-6</w:t>
            </w:r>
          </w:p>
          <w:p w14:paraId="5E6B85E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0ECEF3B6">
        <w:trPr>
          <w:trHeight w:val="293" w:hRule="atLeast"/>
        </w:trPr>
        <w:tc>
          <w:tcPr>
            <w:tcW w:w="649" w:type="dxa"/>
            <w:vMerge w:val="restart"/>
          </w:tcPr>
          <w:p w14:paraId="080EDFA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1F35C3ED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  <w:p w14:paraId="3054FE72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901" w:type="dxa"/>
            <w:vMerge w:val="restart"/>
          </w:tcPr>
          <w:p w14:paraId="479BBF2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布局结构与文字表达</w:t>
            </w:r>
          </w:p>
          <w:p w14:paraId="6E16F9AE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220337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结构严谨，层次分明，论述清晰，语言流畅，表达准确</w:t>
            </w:r>
          </w:p>
        </w:tc>
        <w:tc>
          <w:tcPr>
            <w:tcW w:w="1442" w:type="dxa"/>
          </w:tcPr>
          <w:p w14:paraId="1AF764F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12-15</w:t>
            </w:r>
          </w:p>
          <w:p w14:paraId="7F81C884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30CC76EA">
        <w:trPr>
          <w:trHeight w:val="302" w:hRule="atLeast"/>
        </w:trPr>
        <w:tc>
          <w:tcPr>
            <w:tcW w:w="649" w:type="dxa"/>
            <w:vMerge w:val="continue"/>
          </w:tcPr>
          <w:p w14:paraId="13D62C1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11722736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72740FE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结构合理，符合逻辑，语言通顺，语言表达符合基本文法</w:t>
            </w:r>
          </w:p>
        </w:tc>
        <w:tc>
          <w:tcPr>
            <w:tcW w:w="1442" w:type="dxa"/>
          </w:tcPr>
          <w:p w14:paraId="10E5C53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6-11</w:t>
            </w:r>
          </w:p>
          <w:p w14:paraId="5C9C3E5B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63B8E9AF">
        <w:trPr>
          <w:trHeight w:val="504" w:hRule="atLeast"/>
        </w:trPr>
        <w:tc>
          <w:tcPr>
            <w:tcW w:w="649" w:type="dxa"/>
            <w:vMerge w:val="continue"/>
          </w:tcPr>
          <w:p w14:paraId="4F71B878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85B7FD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A5ED58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结构不甚合理，文字语言表达较不清</w:t>
            </w:r>
          </w:p>
        </w:tc>
        <w:tc>
          <w:tcPr>
            <w:tcW w:w="1442" w:type="dxa"/>
          </w:tcPr>
          <w:p w14:paraId="04BB468E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</w:tc>
      </w:tr>
      <w:tr w14:paraId="55490962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3B5AF4A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总分</w:t>
            </w:r>
          </w:p>
        </w:tc>
        <w:tc>
          <w:tcPr>
            <w:tcW w:w="7209" w:type="dxa"/>
            <w:gridSpan w:val="2"/>
            <w:vAlign w:val="center"/>
          </w:tcPr>
          <w:p w14:paraId="3D6E99B4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40</w:t>
            </w:r>
          </w:p>
        </w:tc>
      </w:tr>
      <w:tr w14:paraId="604A1441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238FA83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审定意见</w:t>
            </w:r>
          </w:p>
        </w:tc>
        <w:tc>
          <w:tcPr>
            <w:tcW w:w="7209" w:type="dxa"/>
            <w:gridSpan w:val="2"/>
            <w:vAlign w:val="center"/>
          </w:tcPr>
          <w:p w14:paraId="71A11FE8">
            <w:pPr>
              <w:jc w:val="center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退稿</w:t>
            </w:r>
          </w:p>
        </w:tc>
      </w:tr>
      <w:tr w14:paraId="060A4AB2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30E92BDB">
            <w:pPr>
              <w:jc w:val="center"/>
              <w:rPr>
                <w:sz w:val="18"/>
                <w:szCs w:val="18"/>
              </w:rPr>
            </w:pPr>
          </w:p>
          <w:p w14:paraId="061C8B2B">
            <w:pPr>
              <w:jc w:val="center"/>
              <w:rPr>
                <w:sz w:val="18"/>
                <w:szCs w:val="18"/>
              </w:rPr>
            </w:pPr>
          </w:p>
          <w:p w14:paraId="28F4B097">
            <w:pPr>
              <w:jc w:val="center"/>
              <w:rPr>
                <w:sz w:val="18"/>
                <w:szCs w:val="18"/>
              </w:rPr>
            </w:pPr>
          </w:p>
          <w:p w14:paraId="035FA5E4">
            <w:pPr>
              <w:jc w:val="center"/>
              <w:rPr>
                <w:sz w:val="18"/>
                <w:szCs w:val="18"/>
              </w:rPr>
            </w:pPr>
          </w:p>
          <w:p w14:paraId="78739798">
            <w:pPr>
              <w:jc w:val="center"/>
              <w:rPr>
                <w:sz w:val="18"/>
                <w:szCs w:val="18"/>
              </w:rPr>
            </w:pPr>
          </w:p>
          <w:p w14:paraId="6589F284">
            <w:pPr>
              <w:jc w:val="center"/>
              <w:rPr>
                <w:sz w:val="18"/>
                <w:szCs w:val="18"/>
              </w:rPr>
            </w:pPr>
          </w:p>
          <w:p w14:paraId="0DD386F6">
            <w:pPr>
              <w:jc w:val="center"/>
              <w:rPr>
                <w:sz w:val="18"/>
                <w:szCs w:val="18"/>
              </w:rPr>
            </w:pPr>
          </w:p>
          <w:p w14:paraId="774D2703">
            <w:pPr>
              <w:jc w:val="center"/>
              <w:rPr>
                <w:sz w:val="18"/>
                <w:szCs w:val="18"/>
              </w:rPr>
            </w:pPr>
          </w:p>
          <w:p w14:paraId="0DB6E2C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论文评价（优点、存在问题、修改建议等）</w:t>
            </w:r>
          </w:p>
        </w:tc>
        <w:tc>
          <w:tcPr>
            <w:tcW w:w="7209" w:type="dxa"/>
            <w:gridSpan w:val="2"/>
            <w:vAlign w:val="center"/>
          </w:tcPr>
          <w:p w14:paraId="1E09A6E4">
            <w:pPr>
              <w:ind w:firstLine="480" w:firstLineChars="200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</w:p>
          <w:p w14:paraId="6159B351">
            <w:pPr>
              <w:ind w:firstLine="480" w:firstLineChars="200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</w:p>
          <w:p w14:paraId="48A39725">
            <w:pPr>
              <w:ind w:firstLine="480" w:firstLineChars="200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</w:p>
          <w:p w14:paraId="5B56229B">
            <w:pPr>
              <w:ind w:firstLine="480" w:firstLineChars="200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感谢来稿，文章聚焦于公司证照返还纠纷，整体上，文章选题很有学术竞争力，但仍存在以下主要问题:</w:t>
            </w:r>
          </w:p>
          <w:p w14:paraId="2444A09D">
            <w:pPr>
              <w:numPr>
                <w:ilvl w:val="0"/>
                <w:numId w:val="1"/>
              </w:numPr>
              <w:ind w:firstLine="480" w:firstLineChars="200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本文不符合法学论文的基本论述模式，而更像司法系统中的内部参考。法学论文要围绕着一个具体的问题意识展开，而不是面对一类法律现象，不加论证地给出解决方案。</w:t>
            </w:r>
          </w:p>
          <w:p w14:paraId="234D26D2">
            <w:pPr>
              <w:numPr>
                <w:ilvl w:val="0"/>
                <w:numId w:val="1"/>
              </w:numPr>
              <w:ind w:firstLine="480" w:firstLineChars="200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文章内容兼及实体法与程序法，但两者都没有处理清楚，也没有交代程序与实体交叉研究的必要性。实体法上，基于治理的证照返还的请求权基础不清晰，没有给出强有力的教义学论证;程序法上，直接给出了实务中的做法，缺少理论分析。</w:t>
            </w:r>
          </w:p>
          <w:p w14:paraId="66E62921">
            <w:pPr>
              <w:numPr>
                <w:ilvl w:val="0"/>
                <w:numId w:val="1"/>
              </w:numPr>
              <w:ind w:firstLine="480" w:firstLineChars="200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文章未说明，在开篇即进行案例分析的必要性，也没有说明案例分析与论文所论证问题的联系，因此显得过于生硬。</w:t>
            </w:r>
          </w:p>
          <w:p w14:paraId="07491FCC">
            <w:pPr>
              <w:widowControl w:val="0"/>
              <w:numPr>
                <w:numId w:val="0"/>
              </w:numPr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</w:p>
          <w:p w14:paraId="1466D669">
            <w:pPr>
              <w:widowControl w:val="0"/>
              <w:numPr>
                <w:numId w:val="0"/>
              </w:numPr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</w:p>
          <w:p w14:paraId="035BDE96">
            <w:pPr>
              <w:widowControl w:val="0"/>
              <w:numPr>
                <w:numId w:val="0"/>
              </w:numPr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</w:p>
          <w:p w14:paraId="1A94F830">
            <w:pPr>
              <w:widowControl w:val="0"/>
              <w:numPr>
                <w:numId w:val="0"/>
              </w:numPr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</w:p>
        </w:tc>
      </w:tr>
      <w:tr w14:paraId="79CE943E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1F895F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加挂导师建议</w:t>
            </w:r>
          </w:p>
          <w:p w14:paraId="10E094C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（复审专用，仅适用于正常来稿情况，非必填）</w:t>
            </w:r>
          </w:p>
        </w:tc>
        <w:tc>
          <w:tcPr>
            <w:tcW w:w="7209" w:type="dxa"/>
            <w:gridSpan w:val="2"/>
            <w:vAlign w:val="center"/>
          </w:tcPr>
          <w:p w14:paraId="260FA8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1.优秀硕博士论文，不建议加挂导师。</w:t>
            </w:r>
          </w:p>
          <w:p w14:paraId="45DA4E9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</w:t>
            </w:r>
            <w:r>
              <w:rPr>
                <w:rFonts w:hint="eastAsia"/>
                <w:sz w:val="18"/>
                <w:szCs w:val="18"/>
              </w:rPr>
              <w:t>论文质量较高，但未达到特别优秀程度。建议加挂导师。</w:t>
            </w:r>
          </w:p>
          <w:p w14:paraId="4AA526E9">
            <w:pPr>
              <w:rPr>
                <w:sz w:val="18"/>
                <w:szCs w:val="18"/>
              </w:rPr>
            </w:pPr>
          </w:p>
          <w:p w14:paraId="383F83F4">
            <w:pPr>
              <w:jc w:val="righ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（如有，请在选项后打√）</w:t>
            </w:r>
          </w:p>
        </w:tc>
      </w:tr>
    </w:tbl>
    <w:p w14:paraId="29FA676A">
      <w:pPr>
        <w:rPr>
          <w:rFonts w:hint="eastAsia" w:eastAsia="宋体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EF2665"/>
    <w:multiLevelType w:val="singleLevel"/>
    <w:tmpl w:val="F7EF26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A0MjllZGYzNGEzZDdlZjBjZmNjZDZmZjJiMjlkYzEifQ=="/>
  </w:docVars>
  <w:rsids>
    <w:rsidRoot w:val="00C749F8"/>
    <w:rsid w:val="00C17DEA"/>
    <w:rsid w:val="00C749F8"/>
    <w:rsid w:val="00CF60D9"/>
    <w:rsid w:val="00DD4CD6"/>
    <w:rsid w:val="5B77DE0C"/>
    <w:rsid w:val="5C9723EB"/>
    <w:rsid w:val="7E3A6AB8"/>
    <w:rsid w:val="7F8FBB79"/>
    <w:rsid w:val="9D97B39B"/>
    <w:rsid w:val="9EDB623D"/>
    <w:rsid w:val="AD6F7EE4"/>
    <w:rsid w:val="FBFFD2EC"/>
    <w:rsid w:val="FEFB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Normal (Web)"/>
    <w:basedOn w:val="1"/>
    <w:semiHidden/>
    <w:unhideWhenUsed/>
    <w:uiPriority w:val="99"/>
    <w:rPr>
      <w:sz w:val="24"/>
    </w:r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130</Words>
  <Characters>743</Characters>
  <Lines>6</Lines>
  <Paragraphs>1</Paragraphs>
  <TotalTime>29</TotalTime>
  <ScaleCrop>false</ScaleCrop>
  <LinksUpToDate>false</LinksUpToDate>
  <CharactersWithSpaces>872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2024-01-12T00:17:00Z</dcterms:created>
  <dc:creator>admin</dc:creator>
  <cp:lastModifiedBy>csn</cp:lastModifiedBy>
  <dcterms:modified xsi:type="dcterms:W3CDTF">2026-01-06T13:50:59Z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E0F7B6C8D4DD8B79F961F166366CE078_42</vt:lpwstr>
  </property>
</Properties>
</file>