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0E41C">
      <w:pPr>
        <w:jc w:val="center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</w:t>
      </w:r>
      <w:bookmarkStart w:id="0" w:name="_GoBack"/>
      <w:bookmarkEnd w:id="0"/>
      <w:r>
        <w:rPr>
          <w:rFonts w:hint="eastAsia" w:ascii="黑体" w:hAnsi="黑体" w:eastAsia="黑体"/>
          <w:b/>
          <w:sz w:val="30"/>
          <w:szCs w:val="30"/>
        </w:rPr>
        <w:t>生学报审稿评分表</w:t>
      </w:r>
    </w:p>
    <w:p w14:paraId="6CBBB054">
      <w:pPr>
        <w:rPr>
          <w:rFonts w:hint="eastAsia"/>
          <w:sz w:val="24"/>
        </w:rPr>
      </w:pPr>
    </w:p>
    <w:p w14:paraId="5449DCE2">
      <w:pPr>
        <w:rPr>
          <w:rFonts w:hint="eastAsia"/>
          <w:sz w:val="24"/>
        </w:rPr>
      </w:pPr>
      <w:r>
        <w:rPr>
          <w:rFonts w:hint="eastAsia"/>
          <w:sz w:val="24"/>
        </w:rPr>
        <w:t>论文题目：简析个人破产免责的前提条件</w:t>
      </w:r>
    </w:p>
    <w:p w14:paraId="3FBD2D80">
      <w:pPr>
        <w:rPr>
          <w:rFonts w:hint="eastAsia"/>
          <w:sz w:val="24"/>
        </w:rPr>
      </w:pPr>
      <w:r>
        <w:rPr>
          <w:rFonts w:hint="eastAsia"/>
          <w:sz w:val="24"/>
        </w:rPr>
        <w:t>论文作者：</w:t>
      </w:r>
    </w:p>
    <w:p w14:paraId="33C6CA25">
      <w:pPr>
        <w:rPr>
          <w:rFonts w:hint="eastAsia"/>
          <w:sz w:val="24"/>
        </w:rPr>
      </w:pPr>
    </w:p>
    <w:tbl>
      <w:tblPr>
        <w:tblStyle w:val="5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15D7A6C3">
        <w:trPr>
          <w:trHeight w:val="586" w:hRule="atLeast"/>
        </w:trPr>
        <w:tc>
          <w:tcPr>
            <w:tcW w:w="649" w:type="dxa"/>
          </w:tcPr>
          <w:p w14:paraId="31F5044B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2C3D3A14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2A317308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598B6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157E6F7F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06D325D7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09536C">
        <w:trPr>
          <w:trHeight w:val="289" w:hRule="atLeast"/>
        </w:trPr>
        <w:tc>
          <w:tcPr>
            <w:tcW w:w="649" w:type="dxa"/>
            <w:vMerge w:val="restart"/>
          </w:tcPr>
          <w:p w14:paraId="2E7B18BE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5D3CEEFB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  <w:p w14:paraId="58400B1B">
            <w:pPr>
              <w:jc w:val="center"/>
              <w:rPr>
                <w:rFonts w:hint="eastAsia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901" w:type="dxa"/>
            <w:vMerge w:val="restart"/>
          </w:tcPr>
          <w:p w14:paraId="3B5EFE3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554A4BB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4FA0915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9CCDD7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5C0A011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5619F58A">
        <w:trPr>
          <w:trHeight w:val="312" w:hRule="atLeast"/>
        </w:trPr>
        <w:tc>
          <w:tcPr>
            <w:tcW w:w="649" w:type="dxa"/>
            <w:vMerge w:val="continue"/>
          </w:tcPr>
          <w:p w14:paraId="2035EB1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EE2BD2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1B1D2C7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71F607A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348DDD96">
        <w:trPr>
          <w:trHeight w:val="302" w:hRule="atLeast"/>
        </w:trPr>
        <w:tc>
          <w:tcPr>
            <w:tcW w:w="649" w:type="dxa"/>
            <w:vMerge w:val="continue"/>
          </w:tcPr>
          <w:p w14:paraId="1BA93F0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4C9E6B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CE42E4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1FD582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5DE9A8AE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31A63A3">
        <w:trPr>
          <w:trHeight w:val="321" w:hRule="atLeast"/>
        </w:trPr>
        <w:tc>
          <w:tcPr>
            <w:tcW w:w="649" w:type="dxa"/>
            <w:vMerge w:val="restart"/>
          </w:tcPr>
          <w:p w14:paraId="4910FA86">
            <w:pPr>
              <w:rPr>
                <w:rFonts w:hint="eastAsia"/>
                <w:b/>
                <w:sz w:val="18"/>
                <w:szCs w:val="18"/>
              </w:rPr>
            </w:pPr>
          </w:p>
          <w:p w14:paraId="4F676A1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6BB63560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901" w:type="dxa"/>
            <w:vMerge w:val="restart"/>
          </w:tcPr>
          <w:p w14:paraId="41B2D84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59A27C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098FEC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E73321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6DD415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6AF19E0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F2A0585">
        <w:trPr>
          <w:trHeight w:val="302" w:hRule="atLeast"/>
        </w:trPr>
        <w:tc>
          <w:tcPr>
            <w:tcW w:w="649" w:type="dxa"/>
            <w:vMerge w:val="continue"/>
          </w:tcPr>
          <w:p w14:paraId="30C8A83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0D5ECD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3083922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747BAC9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2AE0353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19C888E">
        <w:trPr>
          <w:trHeight w:val="389" w:hRule="atLeast"/>
        </w:trPr>
        <w:tc>
          <w:tcPr>
            <w:tcW w:w="649" w:type="dxa"/>
            <w:vMerge w:val="continue"/>
          </w:tcPr>
          <w:p w14:paraId="4D8AEDE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DA2576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243065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5C3A74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713FEEE0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D221D59">
        <w:trPr>
          <w:trHeight w:val="302" w:hRule="atLeast"/>
        </w:trPr>
        <w:tc>
          <w:tcPr>
            <w:tcW w:w="649" w:type="dxa"/>
            <w:vMerge w:val="restart"/>
          </w:tcPr>
          <w:p w14:paraId="46686E1F">
            <w:pPr>
              <w:rPr>
                <w:rFonts w:hint="eastAsia"/>
                <w:b/>
                <w:sz w:val="18"/>
                <w:szCs w:val="18"/>
              </w:rPr>
            </w:pPr>
          </w:p>
          <w:p w14:paraId="7C658F4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  <w:p w14:paraId="5B4777B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901" w:type="dxa"/>
            <w:vMerge w:val="restart"/>
          </w:tcPr>
          <w:p w14:paraId="663EE616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07A96B5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6292EE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1030B75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134C377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7F20EBF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6C4747F6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2AF56B">
        <w:trPr>
          <w:trHeight w:val="302" w:hRule="atLeast"/>
        </w:trPr>
        <w:tc>
          <w:tcPr>
            <w:tcW w:w="649" w:type="dxa"/>
            <w:vMerge w:val="continue"/>
          </w:tcPr>
          <w:p w14:paraId="6C4CDD5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DDD73D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90BAE1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67EE6BE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2F1D0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66EC9DA">
        <w:trPr>
          <w:trHeight w:val="302" w:hRule="atLeast"/>
        </w:trPr>
        <w:tc>
          <w:tcPr>
            <w:tcW w:w="649" w:type="dxa"/>
            <w:vMerge w:val="continue"/>
          </w:tcPr>
          <w:p w14:paraId="24BBBE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74D0CB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BA08B44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0539BDB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71AB84D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3AF4A67">
        <w:trPr>
          <w:trHeight w:val="302" w:hRule="atLeast"/>
        </w:trPr>
        <w:tc>
          <w:tcPr>
            <w:tcW w:w="649" w:type="dxa"/>
            <w:vMerge w:val="continue"/>
          </w:tcPr>
          <w:p w14:paraId="25117D6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476C0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42DC22B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66A8C07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622B38E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CE2230D">
        <w:trPr>
          <w:trHeight w:val="293" w:hRule="atLeast"/>
        </w:trPr>
        <w:tc>
          <w:tcPr>
            <w:tcW w:w="649" w:type="dxa"/>
            <w:vMerge w:val="restart"/>
          </w:tcPr>
          <w:p w14:paraId="7C44A31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628A5D7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  <w:p w14:paraId="4A21CFCB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901" w:type="dxa"/>
            <w:vMerge w:val="restart"/>
          </w:tcPr>
          <w:p w14:paraId="3CB09C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3B9D01D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06E46E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C02F96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60AF42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2B91A38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FF0F259">
        <w:trPr>
          <w:trHeight w:val="605" w:hRule="atLeast"/>
        </w:trPr>
        <w:tc>
          <w:tcPr>
            <w:tcW w:w="649" w:type="dxa"/>
            <w:vMerge w:val="continue"/>
          </w:tcPr>
          <w:p w14:paraId="3C8180C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EE026B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06F6FE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2316835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69E3D039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4BB853F">
        <w:trPr>
          <w:trHeight w:val="337" w:hRule="atLeast"/>
        </w:trPr>
        <w:tc>
          <w:tcPr>
            <w:tcW w:w="649" w:type="dxa"/>
            <w:vMerge w:val="restart"/>
          </w:tcPr>
          <w:p w14:paraId="3338A15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01B43351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  <w:p w14:paraId="53109B3F">
            <w:pPr>
              <w:jc w:val="center"/>
              <w:rPr>
                <w:rFonts w:hint="eastAsia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901" w:type="dxa"/>
            <w:vMerge w:val="restart"/>
          </w:tcPr>
          <w:p w14:paraId="331C908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05382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61E9448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220CDA37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65AE50B">
        <w:trPr>
          <w:trHeight w:val="538" w:hRule="atLeast"/>
        </w:trPr>
        <w:tc>
          <w:tcPr>
            <w:tcW w:w="649" w:type="dxa"/>
            <w:vMerge w:val="continue"/>
          </w:tcPr>
          <w:p w14:paraId="075BE0B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555D49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1758AD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4B54D17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5E6B85E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ECEF3B6">
        <w:trPr>
          <w:trHeight w:val="293" w:hRule="atLeast"/>
        </w:trPr>
        <w:tc>
          <w:tcPr>
            <w:tcW w:w="649" w:type="dxa"/>
            <w:vMerge w:val="restart"/>
          </w:tcPr>
          <w:p w14:paraId="080EDFA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1F35C3E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  <w:p w14:paraId="3054FE72">
            <w:pPr>
              <w:jc w:val="center"/>
              <w:rPr>
                <w:rFonts w:hint="default" w:eastAsia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901" w:type="dxa"/>
            <w:vMerge w:val="restart"/>
          </w:tcPr>
          <w:p w14:paraId="479BBF2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E16F9A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220337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1AF764F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7F81C88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0CC76EA">
        <w:trPr>
          <w:trHeight w:val="302" w:hRule="atLeast"/>
        </w:trPr>
        <w:tc>
          <w:tcPr>
            <w:tcW w:w="649" w:type="dxa"/>
            <w:vMerge w:val="continue"/>
          </w:tcPr>
          <w:p w14:paraId="13D62C1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172273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2740F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0E5C53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9C3E5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3B8E9AF">
        <w:trPr>
          <w:trHeight w:val="504" w:hRule="atLeast"/>
        </w:trPr>
        <w:tc>
          <w:tcPr>
            <w:tcW w:w="649" w:type="dxa"/>
            <w:vMerge w:val="continue"/>
          </w:tcPr>
          <w:p w14:paraId="4F71B87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85B7FD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A5ED58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04BB468E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549096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B5AF4A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D6E99B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36</w:t>
            </w:r>
          </w:p>
        </w:tc>
      </w:tr>
      <w:tr w14:paraId="604A1441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238FA83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71A11FE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退稿</w:t>
            </w:r>
          </w:p>
        </w:tc>
      </w:tr>
      <w:tr w14:paraId="060A4AB2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30E92BDB">
            <w:pPr>
              <w:jc w:val="center"/>
              <w:rPr>
                <w:sz w:val="18"/>
                <w:szCs w:val="18"/>
              </w:rPr>
            </w:pPr>
          </w:p>
          <w:p w14:paraId="061C8B2B">
            <w:pPr>
              <w:jc w:val="center"/>
              <w:rPr>
                <w:sz w:val="18"/>
                <w:szCs w:val="18"/>
              </w:rPr>
            </w:pPr>
          </w:p>
          <w:p w14:paraId="28F4B097">
            <w:pPr>
              <w:jc w:val="center"/>
              <w:rPr>
                <w:sz w:val="18"/>
                <w:szCs w:val="18"/>
              </w:rPr>
            </w:pPr>
          </w:p>
          <w:p w14:paraId="035FA5E4">
            <w:pPr>
              <w:jc w:val="center"/>
              <w:rPr>
                <w:sz w:val="18"/>
                <w:szCs w:val="18"/>
              </w:rPr>
            </w:pPr>
          </w:p>
          <w:p w14:paraId="78739798">
            <w:pPr>
              <w:jc w:val="center"/>
              <w:rPr>
                <w:sz w:val="18"/>
                <w:szCs w:val="18"/>
              </w:rPr>
            </w:pPr>
          </w:p>
          <w:p w14:paraId="6589F284">
            <w:pPr>
              <w:jc w:val="center"/>
              <w:rPr>
                <w:sz w:val="18"/>
                <w:szCs w:val="18"/>
              </w:rPr>
            </w:pPr>
          </w:p>
          <w:p w14:paraId="0DD386F6">
            <w:pPr>
              <w:jc w:val="center"/>
              <w:rPr>
                <w:sz w:val="18"/>
                <w:szCs w:val="18"/>
              </w:rPr>
            </w:pPr>
          </w:p>
          <w:p w14:paraId="774D2703">
            <w:pPr>
              <w:jc w:val="center"/>
              <w:rPr>
                <w:sz w:val="18"/>
                <w:szCs w:val="18"/>
              </w:rPr>
            </w:pPr>
          </w:p>
          <w:p w14:paraId="0DB6E2C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75EFC2FB">
            <w:p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文章选题比较热门，事关个人破产，具有一定的理论前沿性，且文章对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《深圳经济特区个人破产条例》的修改论证具有一定的条理性，可见作者具有一定的教义学功底。但是，文章仍有一些重要问题有待改正：</w:t>
            </w:r>
          </w:p>
          <w:p w14:paraId="797751A0">
            <w:pPr>
              <w:ind w:firstLine="480" w:firstLineChars="200"/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6B6ED1EF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章标题不规范。文章标题《简析个人破产免责的前提条件》不符合学术规范。在我国法学建设初期，可能有学者以“简析”“试析”等字词做开头拟题，但如今再用已经不合适。如果题目都已是“简析”，读者又怎么会期待文章能够研究得深入呢？此外，“前提条件”并非法律用语，指代不明，究指事实上的前提条件，或是法律适用上的前提条件，不够明确。</w:t>
            </w:r>
          </w:p>
          <w:p w14:paraId="4F3F484C">
            <w:pPr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3325850F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论证对象模糊。本文的题目给人的感觉，是作者意图分析作为法律制度的，个人破产制度中的一个法律要件。但事实上，本文的重点并非全国性的个人破产制度，也不是“个人破产法”，而是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  <w:t>《深圳经济特区个人破产条例》。作为一个特区条例，是否能够代表国家对个人破产制度的态度，尚可商榷。而全文都建立在对《深圳条例》的分析之上，此之于全国个人破产立法工作的进行究竟有多少益处，不得而知。建议作者要么仅以《深圳条例》为论述对象之一，将文章扩展到对全国性个人破产制度的立法建议上；要么只论述《深圳条例》，将《深圳条例》作为唯一对象，并在题目中明确，形成一篇地方立法建议式的论文。</w:t>
            </w:r>
          </w:p>
          <w:p w14:paraId="1F9DD3CB">
            <w:pPr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1EF33DC2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文章的篇幅过少，引注过少。作为一篇法学论文，文章的字数不足一万字，许多地方遗憾未能展开论述。例如，本文第二部分目的在于提出问题，第三部分在于解决问题，但实际上缺少了对问题的分析，也就是我们常说的“分析问题”部分。建议一万字左右体量的论文，可以放弃“必要性”部分，直接采用“提出问题-分析问题-解决问题”的结构，否则论证链条存在断裂，论证上会不够协调。此外，本文的引注过少，缺少对个人破产制度方面的文献综述，</w:t>
            </w:r>
          </w:p>
          <w:p w14:paraId="66E25B7F">
            <w:pPr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比较法方面的引注同样过少，且缺少一手文献的引用。</w:t>
            </w:r>
          </w:p>
          <w:p w14:paraId="5D47DA25">
            <w:pPr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22C80A64">
            <w:pPr>
              <w:numPr>
                <w:ilvl w:val="0"/>
                <w:numId w:val="1"/>
              </w:numPr>
              <w:ind w:firstLine="480" w:firstLineChars="200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论证方法过少，论证力度不够。本文的许多论证，角度较为单一，仅以债务人为主体，缺乏对利益相关群体的法益权衡，论证说服力较弱。论证方法过少，比较明显的是利用比较法的论证方法，但利用也仅限于在文中简要提及，论证力度太弱。</w:t>
            </w:r>
          </w:p>
          <w:p w14:paraId="3F3881FF">
            <w:pPr>
              <w:jc w:val="both"/>
              <w:rPr>
                <w:sz w:val="18"/>
                <w:szCs w:val="18"/>
              </w:rPr>
            </w:pPr>
          </w:p>
          <w:p w14:paraId="2444A09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79CE943E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F895FA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加挂导师建议</w:t>
            </w:r>
          </w:p>
          <w:p w14:paraId="10E094C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14:paraId="260FA87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1.优秀硕博士论文，不建议加挂导师。</w:t>
            </w:r>
          </w:p>
          <w:p w14:paraId="45DA4E9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14:paraId="4AA526E9">
            <w:pPr>
              <w:rPr>
                <w:sz w:val="18"/>
                <w:szCs w:val="18"/>
              </w:rPr>
            </w:pPr>
          </w:p>
          <w:p w14:paraId="383F83F4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14:paraId="29FA676A">
      <w:pPr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F625E4"/>
    <w:multiLevelType w:val="singleLevel"/>
    <w:tmpl w:val="D3F625E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A0MjllZGYzNGEzZDdlZjBjZmNjZDZmZjJiMjlkYzEifQ=="/>
  </w:docVars>
  <w:rsids>
    <w:rsidRoot w:val="00C749F8"/>
    <w:rsid w:val="00C17DEA"/>
    <w:rsid w:val="00C749F8"/>
    <w:rsid w:val="00CF60D9"/>
    <w:rsid w:val="00DD4CD6"/>
    <w:rsid w:val="5B77DE0C"/>
    <w:rsid w:val="5C9723EB"/>
    <w:rsid w:val="7E3A6AB8"/>
    <w:rsid w:val="7F8FBB79"/>
    <w:rsid w:val="9D97B39B"/>
    <w:rsid w:val="FBFFD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130</Words>
  <Characters>743</Characters>
  <Lines>6</Lines>
  <Paragraphs>1</Paragraphs>
  <TotalTime>2</TotalTime>
  <ScaleCrop>false</ScaleCrop>
  <LinksUpToDate>false</LinksUpToDate>
  <CharactersWithSpaces>872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2024-01-11T08:17:00Z</dcterms:created>
  <dc:creator>admin</dc:creator>
  <cp:lastModifiedBy>csn</cp:lastModifiedBy>
  <dcterms:modified xsi:type="dcterms:W3CDTF">2025-10-14T14:36:24Z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E0F7B6C8D4DD8B79F961F166366CE078_42</vt:lpwstr>
  </property>
</Properties>
</file>