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92176">
      <w:pPr>
        <w:spacing w:line="360" w:lineRule="auto"/>
        <w:ind w:leftChars="200"/>
        <w:jc w:val="center"/>
        <w:rPr>
          <w:rFonts w:hint="eastAsia"/>
          <w:sz w:val="28"/>
          <w:szCs w:val="36"/>
          <w:lang w:val="en-US" w:eastAsia="zh-CN"/>
        </w:rPr>
      </w:pPr>
      <w:r>
        <w:rPr>
          <w:rFonts w:hint="eastAsia" w:ascii="宋体" w:hAnsi="宋体" w:eastAsia="宋体" w:cs="宋体"/>
          <w:b/>
          <w:bCs/>
          <w:sz w:val="40"/>
          <w:szCs w:val="48"/>
          <w:lang w:val="en-US" w:eastAsia="zh-CN"/>
        </w:rPr>
        <w:t>简析个人破产免责的前提条件</w:t>
      </w:r>
      <w:r>
        <w:rPr>
          <w:rStyle w:val="13"/>
          <w:rFonts w:hint="eastAsia" w:ascii="宋体" w:hAnsi="宋体" w:eastAsia="宋体" w:cs="宋体"/>
          <w:b/>
          <w:bCs/>
          <w:sz w:val="40"/>
          <w:szCs w:val="48"/>
          <w:lang w:val="en-US" w:eastAsia="zh-CN"/>
        </w:rPr>
        <w:footnoteReference w:id="0" w:customMarkFollows="1"/>
        <w:t xml:space="preserve"> </w:t>
      </w:r>
    </w:p>
    <w:p w14:paraId="734311F8">
      <w:pPr>
        <w:numPr>
          <w:ilvl w:val="0"/>
          <w:numId w:val="0"/>
        </w:numPr>
        <w:spacing w:line="360" w:lineRule="auto"/>
        <w:ind w:firstLine="480" w:firstLineChars="200"/>
        <w:jc w:val="center"/>
        <w:rPr>
          <w:rFonts w:hint="eastAsia" w:asciiTheme="majorEastAsia" w:hAnsiTheme="majorEastAsia" w:eastAsiaTheme="majorEastAsia" w:cstheme="majorEastAsia"/>
          <w:b w:val="0"/>
          <w:bCs w:val="0"/>
          <w:sz w:val="24"/>
          <w:szCs w:val="24"/>
          <w:lang w:val="en-US" w:eastAsia="zh-CN"/>
        </w:rPr>
      </w:pPr>
    </w:p>
    <w:p w14:paraId="549114ED">
      <w:pPr>
        <w:numPr>
          <w:ilvl w:val="0"/>
          <w:numId w:val="0"/>
        </w:numPr>
        <w:spacing w:line="360" w:lineRule="auto"/>
        <w:ind w:firstLine="480" w:firstLineChars="200"/>
        <w:jc w:val="center"/>
        <w:rPr>
          <w:rFonts w:hint="eastAsia" w:asciiTheme="majorEastAsia" w:hAnsiTheme="majorEastAsia" w:eastAsiaTheme="majorEastAsia" w:cstheme="majorEastAsia"/>
          <w:b w:val="0"/>
          <w:bCs w:val="0"/>
          <w:sz w:val="24"/>
          <w:szCs w:val="24"/>
          <w:lang w:val="en-US" w:eastAsia="zh-CN"/>
        </w:rPr>
      </w:pPr>
    </w:p>
    <w:p w14:paraId="671FAECB">
      <w:pPr>
        <w:numPr>
          <w:ilvl w:val="0"/>
          <w:numId w:val="0"/>
        </w:numPr>
        <w:spacing w:line="360" w:lineRule="auto"/>
        <w:ind w:firstLine="480" w:firstLineChars="200"/>
        <w:jc w:val="center"/>
        <w:rPr>
          <w:rFonts w:hint="default" w:asciiTheme="majorEastAsia" w:hAnsiTheme="majorEastAsia" w:eastAsiaTheme="majorEastAsia" w:cstheme="majorEastAsia"/>
          <w:b w:val="0"/>
          <w:bCs w:val="0"/>
          <w:sz w:val="24"/>
          <w:szCs w:val="24"/>
          <w:lang w:val="en-US" w:eastAsia="zh-CN"/>
        </w:rPr>
      </w:pPr>
    </w:p>
    <w:p w14:paraId="268D8D15">
      <w:pPr>
        <w:numPr>
          <w:ilvl w:val="0"/>
          <w:numId w:val="0"/>
        </w:numPr>
        <w:spacing w:line="360" w:lineRule="auto"/>
        <w:ind w:firstLine="480" w:firstLineChars="200"/>
        <w:rPr>
          <w:rFonts w:hint="eastAsia" w:asciiTheme="majorEastAsia" w:hAnsiTheme="majorEastAsia" w:eastAsiaTheme="majorEastAsia" w:cstheme="majorEastAsia"/>
          <w:b w:val="0"/>
          <w:bCs w:val="0"/>
          <w:sz w:val="24"/>
          <w:szCs w:val="24"/>
          <w:lang w:val="en-US" w:eastAsia="zh-CN"/>
        </w:rPr>
      </w:pPr>
      <w:r>
        <w:rPr>
          <w:rFonts w:hint="eastAsia" w:asciiTheme="majorEastAsia" w:hAnsiTheme="majorEastAsia" w:eastAsiaTheme="majorEastAsia" w:cstheme="majorEastAsia"/>
          <w:b/>
          <w:bCs/>
          <w:sz w:val="24"/>
          <w:szCs w:val="24"/>
          <w:lang w:val="en-US" w:eastAsia="zh-CN"/>
        </w:rPr>
        <w:t>摘要：</w:t>
      </w:r>
      <w:r>
        <w:rPr>
          <w:rFonts w:hint="eastAsia" w:asciiTheme="minorEastAsia" w:hAnsiTheme="minorEastAsia" w:eastAsiaTheme="minorEastAsia" w:cstheme="minorEastAsia"/>
          <w:b w:val="0"/>
          <w:bCs w:val="0"/>
          <w:sz w:val="24"/>
          <w:szCs w:val="24"/>
          <w:lang w:val="en-US" w:eastAsia="zh-CN"/>
        </w:rPr>
        <w:t>免责制度是个人破产</w:t>
      </w:r>
      <w:r>
        <w:rPr>
          <w:rFonts w:hint="eastAsia" w:asciiTheme="minorEastAsia" w:hAnsiTheme="minorEastAsia" w:cstheme="minorEastAsia"/>
          <w:b w:val="0"/>
          <w:bCs w:val="0"/>
          <w:sz w:val="24"/>
          <w:szCs w:val="24"/>
          <w:lang w:val="en-US" w:eastAsia="zh-CN"/>
        </w:rPr>
        <w:t>法律制度</w:t>
      </w:r>
      <w:r>
        <w:rPr>
          <w:rFonts w:hint="eastAsia" w:asciiTheme="minorEastAsia" w:hAnsiTheme="minorEastAsia" w:eastAsiaTheme="minorEastAsia" w:cstheme="minorEastAsia"/>
          <w:b w:val="0"/>
          <w:bCs w:val="0"/>
          <w:sz w:val="24"/>
          <w:szCs w:val="24"/>
          <w:lang w:val="en-US" w:eastAsia="zh-CN"/>
        </w:rPr>
        <w:t>的核心，其</w:t>
      </w:r>
      <w:r>
        <w:rPr>
          <w:rFonts w:hint="eastAsia" w:asciiTheme="minorEastAsia" w:hAnsiTheme="minorEastAsia" w:cstheme="minorEastAsia"/>
          <w:b w:val="0"/>
          <w:bCs w:val="0"/>
          <w:sz w:val="24"/>
          <w:szCs w:val="24"/>
          <w:lang w:val="en-US" w:eastAsia="zh-CN"/>
        </w:rPr>
        <w:t>制度架构主要由</w:t>
      </w:r>
      <w:r>
        <w:rPr>
          <w:rFonts w:hint="eastAsia" w:asciiTheme="minorEastAsia" w:hAnsiTheme="minorEastAsia" w:eastAsiaTheme="minorEastAsia" w:cstheme="minorEastAsia"/>
          <w:b w:val="0"/>
          <w:bCs w:val="0"/>
          <w:sz w:val="24"/>
          <w:szCs w:val="24"/>
          <w:lang w:val="en-US" w:eastAsia="zh-CN"/>
        </w:rPr>
        <w:t>免责条件</w:t>
      </w:r>
      <w:r>
        <w:rPr>
          <w:rFonts w:hint="eastAsia" w:asciiTheme="minorEastAsia" w:hAnsiTheme="minorEastAsia" w:cstheme="minorEastAsia"/>
          <w:b w:val="0"/>
          <w:bCs w:val="0"/>
          <w:sz w:val="24"/>
          <w:szCs w:val="24"/>
          <w:lang w:val="en-US" w:eastAsia="zh-CN"/>
        </w:rPr>
        <w:t>与</w:t>
      </w:r>
      <w:r>
        <w:rPr>
          <w:rFonts w:hint="eastAsia" w:asciiTheme="minorEastAsia" w:hAnsiTheme="minorEastAsia" w:eastAsiaTheme="minorEastAsia" w:cstheme="minorEastAsia"/>
          <w:b w:val="0"/>
          <w:bCs w:val="0"/>
          <w:sz w:val="24"/>
          <w:szCs w:val="24"/>
          <w:lang w:val="en-US" w:eastAsia="zh-CN"/>
        </w:rPr>
        <w:t>免责程序两大部分</w:t>
      </w:r>
      <w:r>
        <w:rPr>
          <w:rFonts w:hint="eastAsia" w:asciiTheme="minorEastAsia" w:hAnsiTheme="minorEastAsia" w:cstheme="minorEastAsia"/>
          <w:b w:val="0"/>
          <w:bCs w:val="0"/>
          <w:sz w:val="24"/>
          <w:szCs w:val="24"/>
          <w:lang w:val="en-US" w:eastAsia="zh-CN"/>
        </w:rPr>
        <w:t>组成</w:t>
      </w:r>
      <w:r>
        <w:rPr>
          <w:rFonts w:hint="eastAsia" w:asciiTheme="minorEastAsia" w:hAnsiTheme="minorEastAsia" w:eastAsiaTheme="minorEastAsia" w:cstheme="minorEastAsia"/>
          <w:b w:val="0"/>
          <w:bCs w:val="0"/>
          <w:sz w:val="24"/>
          <w:szCs w:val="24"/>
          <w:lang w:val="en-US" w:eastAsia="zh-CN"/>
        </w:rPr>
        <w:t>。作为我国首部个人破产法规，《深圳经济特区个人破产条例》初步构建了免责制度框架，但在规则设计上仍</w:t>
      </w:r>
      <w:r>
        <w:rPr>
          <w:rFonts w:hint="eastAsia" w:asciiTheme="minorEastAsia" w:hAnsiTheme="minorEastAsia" w:cstheme="minorEastAsia"/>
          <w:b w:val="0"/>
          <w:bCs w:val="0"/>
          <w:sz w:val="24"/>
          <w:szCs w:val="24"/>
          <w:lang w:val="en-US" w:eastAsia="zh-CN"/>
        </w:rPr>
        <w:t>有</w:t>
      </w:r>
      <w:r>
        <w:rPr>
          <w:rFonts w:hint="eastAsia" w:asciiTheme="minorEastAsia" w:hAnsiTheme="minorEastAsia" w:eastAsiaTheme="minorEastAsia" w:cstheme="minorEastAsia"/>
          <w:b w:val="0"/>
          <w:bCs w:val="0"/>
          <w:sz w:val="24"/>
          <w:szCs w:val="24"/>
          <w:lang w:val="en-US" w:eastAsia="zh-CN"/>
        </w:rPr>
        <w:t>不足</w:t>
      </w:r>
      <w:r>
        <w:rPr>
          <w:rFonts w:hint="eastAsia" w:asciiTheme="minorEastAsia" w:hAnsiTheme="minorEastAsia" w:cstheme="minorEastAsia"/>
          <w:b w:val="0"/>
          <w:bCs w:val="0"/>
          <w:sz w:val="24"/>
          <w:szCs w:val="24"/>
          <w:lang w:val="en-US" w:eastAsia="zh-CN"/>
        </w:rPr>
        <w:t>之处</w:t>
      </w:r>
      <w:r>
        <w:rPr>
          <w:rFonts w:hint="eastAsia" w:asciiTheme="minorEastAsia" w:hAnsiTheme="minorEastAsia" w:eastAsiaTheme="minorEastAsia" w:cstheme="minorEastAsia"/>
          <w:b w:val="0"/>
          <w:bCs w:val="0"/>
          <w:sz w:val="24"/>
          <w:szCs w:val="24"/>
          <w:lang w:val="en-US" w:eastAsia="zh-CN"/>
        </w:rPr>
        <w:t>：一方面，免责条件存在不予免责债务类型规定不尽完善、法定不予免责情形过于笼统且缺乏对债务人偿付能力的综合评估；另一方面，免责程序存在申请时间严苛、程序复杂、清偿比例规则脱离实际等问题。为此，建议：针对免责条件，应修改不予免责债务范围（如对税收债务设置时效限制、将劳动债权等纳入优先清偿而非免责例外）、补充不予免责情形的原则性规定、确立债务人行为审查期限</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CN"/>
        </w:rPr>
        <w:t>并将债务人清偿能力纳入考量；针对免责程序，应设置更灵活的免责申请权、简化适格债务人免责程序、建立动态清偿比例规则。通过上述改进，构建更科学的免责规则体系，为全国性立法积累经验。</w:t>
      </w:r>
    </w:p>
    <w:p w14:paraId="37E93535">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ajorEastAsia" w:hAnsiTheme="majorEastAsia" w:eastAsiaTheme="majorEastAsia" w:cstheme="majorEastAsia"/>
          <w:b/>
          <w:bCs/>
          <w:sz w:val="24"/>
          <w:szCs w:val="24"/>
          <w:lang w:val="en-US" w:eastAsia="zh-CN"/>
        </w:rPr>
        <w:t>关键词：</w:t>
      </w:r>
      <w:r>
        <w:rPr>
          <w:rFonts w:hint="eastAsia" w:asciiTheme="minorEastAsia" w:hAnsiTheme="minorEastAsia" w:eastAsiaTheme="minorEastAsia" w:cstheme="minorEastAsia"/>
          <w:b w:val="0"/>
          <w:bCs w:val="0"/>
          <w:sz w:val="24"/>
          <w:szCs w:val="24"/>
          <w:lang w:val="en-US" w:eastAsia="zh-CN"/>
        </w:rPr>
        <w:t>个人破产免责；免责条件；免责程序；免责例外</w:t>
      </w:r>
    </w:p>
    <w:p w14:paraId="1AD501C4">
      <w:pPr>
        <w:spacing w:line="360" w:lineRule="auto"/>
        <w:jc w:val="both"/>
        <w:rPr>
          <w:rFonts w:hint="eastAsia" w:ascii="黑体" w:hAnsi="黑体" w:eastAsia="黑体" w:cs="黑体"/>
          <w:b w:val="0"/>
          <w:bCs/>
          <w:kern w:val="44"/>
          <w:sz w:val="28"/>
          <w:szCs w:val="36"/>
          <w:lang w:val="en-US" w:eastAsia="zh-CN" w:bidi="ar-SA"/>
        </w:rPr>
      </w:pPr>
    </w:p>
    <w:p w14:paraId="35261666">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2020年8月26日，深圳市人大常委会审议通过《深圳经济特区个人破产条例》（以下简称《深圳条例》），标志着我国个人破产法律制度实现零的突破。在司法实践中，山东东营、江苏无锡</w:t>
      </w:r>
      <w:r>
        <w:rPr>
          <w:rFonts w:hint="eastAsia" w:asciiTheme="minorEastAsia" w:hAnsiTheme="minorEastAsia" w:cstheme="minorEastAsia"/>
          <w:b w:val="0"/>
          <w:bCs w:val="0"/>
          <w:sz w:val="24"/>
          <w:szCs w:val="24"/>
          <w:lang w:val="en-US" w:eastAsia="zh-CN"/>
        </w:rPr>
        <w:t>等</w:t>
      </w:r>
      <w:r>
        <w:rPr>
          <w:rFonts w:hint="eastAsia" w:asciiTheme="minorEastAsia" w:hAnsiTheme="minorEastAsia" w:eastAsiaTheme="minorEastAsia" w:cstheme="minorEastAsia"/>
          <w:b w:val="0"/>
          <w:bCs w:val="0"/>
          <w:sz w:val="24"/>
          <w:szCs w:val="24"/>
          <w:lang w:val="en-US" w:eastAsia="zh-CN"/>
        </w:rPr>
        <w:t>地区法院已先行开展个人债务集中清理工作的试点探索。作为我国首部个人破产法规，《深圳条例》对后续地方立法及全国统一立法具有开创性示范价值。</w:t>
      </w:r>
      <w:commentRangeStart w:id="0"/>
      <w:r>
        <w:rPr>
          <w:rFonts w:hint="eastAsia" w:asciiTheme="minorEastAsia" w:hAnsiTheme="minorEastAsia" w:eastAsiaTheme="minorEastAsia" w:cstheme="minorEastAsia"/>
          <w:b w:val="0"/>
          <w:bCs w:val="0"/>
          <w:sz w:val="24"/>
          <w:szCs w:val="24"/>
          <w:lang w:val="en-US" w:eastAsia="zh-CN"/>
        </w:rPr>
        <w:t>该条例以专节规定了个人破产免责制度，但其免责条件与免责程序的规定仍显不足。</w:t>
      </w:r>
      <w:commentRangeEnd w:id="0"/>
      <w:r>
        <w:commentReference w:id="0"/>
      </w:r>
      <w:r>
        <w:rPr>
          <w:rFonts w:hint="eastAsia" w:asciiTheme="minorEastAsia" w:hAnsiTheme="minorEastAsia" w:eastAsiaTheme="minorEastAsia" w:cstheme="minorEastAsia"/>
          <w:b w:val="0"/>
          <w:bCs w:val="0"/>
          <w:sz w:val="24"/>
          <w:szCs w:val="24"/>
          <w:lang w:val="en-US" w:eastAsia="zh-CN"/>
        </w:rPr>
        <w:t>因此，本文拟结合我国现实国情，阐释免责前提条件设置的必要性，剖析《深圳条例》免责前提条件设置的现状与不足，并就其完善提出建议。</w:t>
      </w:r>
    </w:p>
    <w:p w14:paraId="1369A293">
      <w:pPr>
        <w:spacing w:line="360" w:lineRule="auto"/>
        <w:ind w:firstLine="560" w:firstLineChars="200"/>
        <w:jc w:val="both"/>
        <w:rPr>
          <w:rFonts w:hint="eastAsia" w:ascii="黑体" w:hAnsi="黑体" w:eastAsia="黑体" w:cs="黑体"/>
          <w:b w:val="0"/>
          <w:bCs/>
          <w:kern w:val="44"/>
          <w:sz w:val="28"/>
          <w:szCs w:val="36"/>
          <w:lang w:val="en-US" w:eastAsia="zh-CN" w:bidi="ar-SA"/>
        </w:rPr>
      </w:pPr>
      <w:r>
        <w:rPr>
          <w:rFonts w:hint="eastAsia" w:ascii="黑体" w:hAnsi="黑体" w:eastAsia="黑体" w:cs="黑体"/>
          <w:b w:val="0"/>
          <w:bCs/>
          <w:kern w:val="44"/>
          <w:sz w:val="28"/>
          <w:szCs w:val="36"/>
          <w:lang w:val="en-US" w:eastAsia="zh-CN" w:bidi="ar-SA"/>
        </w:rPr>
        <w:t>一、个人破产免责制度设置前提条件的必要性</w:t>
      </w:r>
    </w:p>
    <w:p w14:paraId="6A1D2C4B">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（一）法理基础：平衡债权人与债务人权益的核心机制</w:t>
      </w:r>
    </w:p>
    <w:p w14:paraId="5F4F7FC3">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commentRangeStart w:id="1"/>
      <w:r>
        <w:rPr>
          <w:rFonts w:hint="eastAsia" w:asciiTheme="minorEastAsia" w:hAnsiTheme="minorEastAsia" w:eastAsiaTheme="minorEastAsia" w:cstheme="minorEastAsia"/>
          <w:b w:val="0"/>
          <w:bCs w:val="0"/>
          <w:sz w:val="24"/>
          <w:szCs w:val="24"/>
          <w:lang w:val="en-US" w:eastAsia="zh-CN"/>
        </w:rPr>
        <w:t>在破产法历史的早期，破产被视为是一种有过错的行为，在这种“破产有罪论”的价值指引下，当时的破产制度过分强调债权人利益的绝对至上，忽略了债务人相关利益的维护。</w:t>
      </w:r>
      <w:commentRangeEnd w:id="1"/>
      <w:r>
        <w:commentReference w:id="1"/>
      </w:r>
      <w:r>
        <w:rPr>
          <w:rFonts w:hint="eastAsia" w:asciiTheme="minorEastAsia" w:hAnsiTheme="minorEastAsia" w:eastAsiaTheme="minorEastAsia" w:cstheme="minorEastAsia"/>
          <w:b w:val="0"/>
          <w:bCs w:val="0"/>
          <w:sz w:val="24"/>
          <w:szCs w:val="24"/>
          <w:lang w:val="en-US" w:eastAsia="zh-CN"/>
        </w:rPr>
        <w:t>随着社会经济的不断发展，“破产有罪”的观念逐步向“破产无罪”转化，破产法也更多地关注起债务人利益的保护，挽救“诚实而不幸”的债务人成为个人破产制度的基本精神之一。</w:t>
      </w:r>
      <w:r>
        <w:rPr>
          <w:rFonts w:hint="eastAsia"/>
          <w:sz w:val="24"/>
          <w:szCs w:val="24"/>
        </w:rPr>
        <w:t>免责前提条件的设置，核心在于</w:t>
      </w:r>
      <w:r>
        <w:rPr>
          <w:rFonts w:hint="eastAsia" w:asciiTheme="minorEastAsia" w:hAnsiTheme="minorEastAsia" w:eastAsiaTheme="minorEastAsia" w:cstheme="minorEastAsia"/>
          <w:b w:val="0"/>
          <w:bCs w:val="0"/>
          <w:sz w:val="24"/>
          <w:szCs w:val="24"/>
          <w:lang w:val="en-US" w:eastAsia="zh-CN"/>
        </w:rPr>
        <w:t>债务豁免与债权保护之间寻求合理平衡。</w:t>
      </w:r>
    </w:p>
    <w:p w14:paraId="1C0F0944">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债权人基于债务人的信用状况和还款能力作出借贷决策，其债权理应得到法律的保护。如果无条件地允许债务人通过破产程序免除债务，将严重损害债权人的合理预期，进而影响信贷市场的正常运转。正如《深圳条例》确立的免责</w:t>
      </w:r>
      <w:r>
        <w:rPr>
          <w:rFonts w:hint="eastAsia" w:asciiTheme="minorEastAsia" w:hAnsiTheme="minorEastAsia" w:cstheme="minorEastAsia"/>
          <w:b w:val="0"/>
          <w:bCs w:val="0"/>
          <w:sz w:val="24"/>
          <w:szCs w:val="24"/>
          <w:lang w:val="en-US" w:eastAsia="zh-CN"/>
        </w:rPr>
        <w:t>制度</w:t>
      </w:r>
      <w:r>
        <w:rPr>
          <w:rFonts w:hint="eastAsia" w:asciiTheme="minorEastAsia" w:hAnsiTheme="minorEastAsia" w:eastAsiaTheme="minorEastAsia" w:cstheme="minorEastAsia"/>
          <w:b w:val="0"/>
          <w:bCs w:val="0"/>
          <w:sz w:val="24"/>
          <w:szCs w:val="24"/>
          <w:lang w:val="en-US" w:eastAsia="zh-CN"/>
        </w:rPr>
        <w:t>要求债务人须完整披露财产状况、严格遵守破产程序，经过特定考察期</w:t>
      </w:r>
      <w:r>
        <w:rPr>
          <w:rFonts w:hint="eastAsia" w:asciiTheme="minorEastAsia" w:hAnsiTheme="minorEastAsia" w:cstheme="minorEastAsia"/>
          <w:b w:val="0"/>
          <w:bCs w:val="0"/>
          <w:sz w:val="24"/>
          <w:szCs w:val="24"/>
          <w:lang w:val="en-US" w:eastAsia="zh-CN"/>
        </w:rPr>
        <w:t>才</w:t>
      </w:r>
      <w:r>
        <w:rPr>
          <w:rFonts w:hint="eastAsia" w:asciiTheme="minorEastAsia" w:hAnsiTheme="minorEastAsia" w:eastAsiaTheme="minorEastAsia" w:cstheme="minorEastAsia"/>
          <w:b w:val="0"/>
          <w:bCs w:val="0"/>
          <w:sz w:val="24"/>
          <w:szCs w:val="24"/>
          <w:lang w:val="en-US" w:eastAsia="zh-CN"/>
        </w:rPr>
        <w:t>能获得债务</w:t>
      </w:r>
      <w:r>
        <w:rPr>
          <w:rFonts w:hint="eastAsia" w:asciiTheme="minorEastAsia" w:hAnsiTheme="minorEastAsia" w:cstheme="minorEastAsia"/>
          <w:b w:val="0"/>
          <w:bCs w:val="0"/>
          <w:sz w:val="24"/>
          <w:szCs w:val="24"/>
          <w:lang w:val="en-US" w:eastAsia="zh-CN"/>
        </w:rPr>
        <w:t>免责</w:t>
      </w:r>
      <w:r>
        <w:rPr>
          <w:rFonts w:hint="eastAsia" w:asciiTheme="minorEastAsia" w:hAnsiTheme="minorEastAsia" w:eastAsiaTheme="minorEastAsia" w:cstheme="minorEastAsia"/>
          <w:b w:val="0"/>
          <w:bCs w:val="0"/>
          <w:sz w:val="24"/>
          <w:szCs w:val="24"/>
          <w:lang w:val="en-US" w:eastAsia="zh-CN"/>
        </w:rPr>
        <w:t>，这</w:t>
      </w:r>
      <w:r>
        <w:rPr>
          <w:rFonts w:hint="eastAsia" w:asciiTheme="minorEastAsia" w:hAnsiTheme="minorEastAsia" w:cstheme="minorEastAsia"/>
          <w:b w:val="0"/>
          <w:bCs w:val="0"/>
          <w:sz w:val="24"/>
          <w:szCs w:val="24"/>
          <w:lang w:val="en-US" w:eastAsia="zh-CN"/>
        </w:rPr>
        <w:t>一设计</w:t>
      </w:r>
      <w:r>
        <w:rPr>
          <w:rFonts w:hint="eastAsia" w:asciiTheme="minorEastAsia" w:hAnsiTheme="minorEastAsia" w:eastAsiaTheme="minorEastAsia" w:cstheme="minorEastAsia"/>
          <w:b w:val="0"/>
          <w:bCs w:val="0"/>
          <w:sz w:val="24"/>
          <w:szCs w:val="24"/>
          <w:lang w:val="en-US" w:eastAsia="zh-CN"/>
        </w:rPr>
        <w:t>在保障债务人</w:t>
      </w:r>
      <w:r>
        <w:rPr>
          <w:rFonts w:hint="eastAsia" w:asciiTheme="minorEastAsia" w:hAnsiTheme="minorEastAsia" w:cstheme="minorEastAsia"/>
          <w:b w:val="0"/>
          <w:bCs w:val="0"/>
          <w:sz w:val="24"/>
          <w:szCs w:val="24"/>
          <w:lang w:val="en-US" w:eastAsia="zh-CN"/>
        </w:rPr>
        <w:t>“重生”</w:t>
      </w:r>
      <w:r>
        <w:rPr>
          <w:rFonts w:hint="eastAsia" w:asciiTheme="minorEastAsia" w:hAnsiTheme="minorEastAsia" w:eastAsiaTheme="minorEastAsia" w:cstheme="minorEastAsia"/>
          <w:b w:val="0"/>
          <w:bCs w:val="0"/>
          <w:sz w:val="24"/>
          <w:szCs w:val="24"/>
          <w:lang w:val="en-US" w:eastAsia="zh-CN"/>
        </w:rPr>
        <w:t>的同时，亦</w:t>
      </w:r>
      <w:r>
        <w:rPr>
          <w:rFonts w:hint="eastAsia" w:asciiTheme="minorEastAsia" w:hAnsiTheme="minorEastAsia" w:cstheme="minorEastAsia"/>
          <w:b w:val="0"/>
          <w:bCs w:val="0"/>
          <w:sz w:val="24"/>
          <w:szCs w:val="24"/>
          <w:lang w:val="en-US" w:eastAsia="zh-CN"/>
        </w:rPr>
        <w:t>兼顾</w:t>
      </w:r>
      <w:r>
        <w:rPr>
          <w:rFonts w:hint="eastAsia" w:asciiTheme="minorEastAsia" w:hAnsiTheme="minorEastAsia" w:eastAsiaTheme="minorEastAsia" w:cstheme="minorEastAsia"/>
          <w:b w:val="0"/>
          <w:bCs w:val="0"/>
          <w:sz w:val="24"/>
          <w:szCs w:val="24"/>
          <w:lang w:val="en-US" w:eastAsia="zh-CN"/>
        </w:rPr>
        <w:t>了债权人的权益</w:t>
      </w:r>
      <w:r>
        <w:rPr>
          <w:rFonts w:hint="eastAsia" w:asciiTheme="minorEastAsia" w:hAnsiTheme="minorEastAsia" w:cstheme="minorEastAsia"/>
          <w:b w:val="0"/>
          <w:bCs w:val="0"/>
          <w:sz w:val="24"/>
          <w:szCs w:val="24"/>
          <w:lang w:val="en-US" w:eastAsia="zh-CN"/>
        </w:rPr>
        <w:t>保护</w:t>
      </w:r>
      <w:r>
        <w:rPr>
          <w:rFonts w:hint="eastAsia" w:asciiTheme="minorEastAsia" w:hAnsiTheme="minorEastAsia" w:eastAsiaTheme="minorEastAsia" w:cstheme="minorEastAsia"/>
          <w:b w:val="0"/>
          <w:bCs w:val="0"/>
          <w:sz w:val="24"/>
          <w:szCs w:val="24"/>
          <w:lang w:val="en-US" w:eastAsia="zh-CN"/>
        </w:rPr>
        <w:t>。</w:t>
      </w:r>
    </w:p>
    <w:p w14:paraId="44247A14">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commentRangeStart w:id="2"/>
      <w:r>
        <w:rPr>
          <w:rFonts w:hint="eastAsia"/>
          <w:sz w:val="24"/>
          <w:szCs w:val="24"/>
        </w:rPr>
        <w:t>依据债务人合作理论，免责制度本质上是</w:t>
      </w:r>
      <w:r>
        <w:rPr>
          <w:rFonts w:hint="eastAsia" w:asciiTheme="minorEastAsia" w:hAnsiTheme="minorEastAsia" w:eastAsiaTheme="minorEastAsia" w:cstheme="minorEastAsia"/>
          <w:b w:val="0"/>
          <w:bCs w:val="0"/>
          <w:sz w:val="24"/>
          <w:szCs w:val="24"/>
          <w:lang w:val="en-US" w:eastAsia="zh-CN"/>
        </w:rPr>
        <w:t>通过给予债务人债务豁免的“恩惠”，激励其主动配合破产程序，交出全部财产供债权人分配</w:t>
      </w:r>
      <w:commentRangeEnd w:id="2"/>
      <w:r>
        <w:commentReference w:id="2"/>
      </w:r>
      <w:r>
        <w:rPr>
          <w:rFonts w:hint="eastAsia" w:asciiTheme="minorEastAsia" w:hAnsiTheme="minorEastAsia" w:eastAsiaTheme="minorEastAsia" w:cstheme="minorEastAsia"/>
          <w:b w:val="0"/>
          <w:bCs w:val="0"/>
          <w:sz w:val="24"/>
          <w:szCs w:val="24"/>
          <w:lang w:val="en-US" w:eastAsia="zh-CN"/>
        </w:rPr>
        <w:t>。在这一理论框架下，免责不是债务人的固有权利，而是对其合作行为的“奖励”。</w:t>
      </w:r>
      <w:r>
        <w:rPr>
          <w:rFonts w:hint="eastAsia"/>
          <w:sz w:val="24"/>
          <w:szCs w:val="24"/>
        </w:rPr>
        <w:t>因此，设置财产申报、行为考察等前</w:t>
      </w:r>
      <w:r>
        <w:rPr>
          <w:rFonts w:hint="eastAsia" w:asciiTheme="minorEastAsia" w:hAnsiTheme="minorEastAsia" w:eastAsiaTheme="minorEastAsia" w:cstheme="minorEastAsia"/>
          <w:b w:val="0"/>
          <w:bCs w:val="0"/>
          <w:sz w:val="24"/>
          <w:szCs w:val="24"/>
          <w:lang w:val="en-US" w:eastAsia="zh-CN"/>
        </w:rPr>
        <w:t>提条件具有内在合理性——如实申报财产、积极配合程序的债务人才值得获得免责的优待。</w:t>
      </w:r>
    </w:p>
    <w:p w14:paraId="7E5C46BE">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（二）现实需要：防范道德风险与维护市场秩序的关键屏障</w:t>
      </w:r>
    </w:p>
    <w:p w14:paraId="07A23E27">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sz w:val="24"/>
          <w:szCs w:val="24"/>
          <w:lang w:val="en-US" w:eastAsia="zh-CN"/>
        </w:rPr>
        <w:t>无</w:t>
      </w:r>
      <w:r>
        <w:rPr>
          <w:rFonts w:hint="eastAsia"/>
          <w:sz w:val="24"/>
          <w:szCs w:val="24"/>
        </w:rPr>
        <w:t>论基于何种理论和政策，都不能罔顾债权人的利益，毫无原则地给予债务人破产免责</w:t>
      </w:r>
      <w:r>
        <w:rPr>
          <w:rFonts w:hint="eastAsia"/>
          <w:sz w:val="24"/>
          <w:szCs w:val="24"/>
          <w:lang w:eastAsia="zh-CN"/>
        </w:rPr>
        <w:t>，</w:t>
      </w:r>
      <w:r>
        <w:rPr>
          <w:rFonts w:hint="eastAsia"/>
          <w:sz w:val="24"/>
          <w:szCs w:val="24"/>
          <w:lang w:val="en-US" w:eastAsia="zh-CN"/>
        </w:rPr>
        <w:t>否则</w:t>
      </w:r>
      <w:r>
        <w:rPr>
          <w:rFonts w:hint="eastAsia"/>
          <w:sz w:val="24"/>
          <w:szCs w:val="24"/>
        </w:rPr>
        <w:t>破产免责将彻底沦为人道主义泛化的工具和逃债者的庇护伞</w:t>
      </w:r>
      <w:r>
        <w:rPr>
          <w:rFonts w:hint="eastAsia"/>
          <w:sz w:val="24"/>
          <w:szCs w:val="24"/>
          <w:lang w:eastAsia="zh-CN"/>
        </w:rPr>
        <w:t>，</w:t>
      </w:r>
      <w:r>
        <w:rPr>
          <w:rFonts w:hint="eastAsia"/>
          <w:sz w:val="24"/>
          <w:szCs w:val="24"/>
          <w:lang w:val="en-US" w:eastAsia="zh-CN"/>
        </w:rPr>
        <w:t>动摇社会信用的</w:t>
      </w:r>
      <w:r>
        <w:rPr>
          <w:rFonts w:hint="eastAsia"/>
          <w:sz w:val="24"/>
          <w:szCs w:val="24"/>
        </w:rPr>
        <w:t>基础。</w:t>
      </w:r>
      <w:r>
        <w:rPr>
          <w:rFonts w:hint="eastAsia"/>
          <w:sz w:val="24"/>
          <w:szCs w:val="24"/>
          <w:vertAlign w:val="superscript"/>
          <w:lang w:val="en-US" w:eastAsia="zh-CN"/>
        </w:rPr>
        <w:t>[1]</w:t>
      </w:r>
      <w:commentRangeStart w:id="3"/>
      <w:r>
        <w:rPr>
          <w:rFonts w:hint="eastAsia"/>
          <w:sz w:val="24"/>
          <w:szCs w:val="24"/>
        </w:rPr>
        <w:t>历史经验表明</w:t>
      </w:r>
      <w:r>
        <w:rPr>
          <w:rFonts w:hint="default" w:asciiTheme="minorEastAsia" w:hAnsiTheme="minorEastAsia" w:eastAsiaTheme="minorEastAsia" w:cstheme="minorEastAsia"/>
          <w:b w:val="0"/>
          <w:bCs w:val="0"/>
          <w:sz w:val="24"/>
          <w:szCs w:val="24"/>
          <w:lang w:val="en-US" w:eastAsia="zh-CN"/>
        </w:rPr>
        <w:t>，过于宽松的免责政策往往导致信贷市场扭曲，最终损害经济整体效率。</w:t>
      </w:r>
      <w:commentRangeEnd w:id="3"/>
      <w:r>
        <w:commentReference w:id="3"/>
      </w:r>
      <w:r>
        <w:rPr>
          <w:rFonts w:hint="default" w:asciiTheme="minorEastAsia" w:hAnsiTheme="minorEastAsia" w:eastAsiaTheme="minorEastAsia" w:cstheme="minorEastAsia"/>
          <w:b w:val="0"/>
          <w:bCs w:val="0"/>
          <w:sz w:val="24"/>
          <w:szCs w:val="24"/>
          <w:lang w:val="en-US" w:eastAsia="zh-CN"/>
        </w:rPr>
        <w:t>因此，科学设置免责前提条件是防范道德风险、维护市场秩序</w:t>
      </w:r>
      <w:r>
        <w:rPr>
          <w:rFonts w:hint="eastAsia"/>
          <w:sz w:val="24"/>
          <w:szCs w:val="24"/>
        </w:rPr>
        <w:t>不可或缺的制度屏障</w:t>
      </w:r>
      <w:r>
        <w:rPr>
          <w:rFonts w:hint="default" w:asciiTheme="minorEastAsia" w:hAnsiTheme="minorEastAsia" w:eastAsiaTheme="minorEastAsia" w:cstheme="minorEastAsia"/>
          <w:b w:val="0"/>
          <w:bCs w:val="0"/>
          <w:sz w:val="24"/>
          <w:szCs w:val="24"/>
          <w:lang w:val="en-US" w:eastAsia="zh-CN"/>
        </w:rPr>
        <w:t>。</w:t>
      </w:r>
    </w:p>
    <w:p w14:paraId="5471BA8B">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在信息不对称的情况下，过于宽松的免责政策可能导致</w:t>
      </w:r>
      <w:commentRangeStart w:id="4"/>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逆向选择</w:t>
      </w:r>
      <w:r>
        <w:rPr>
          <w:rFonts w:hint="eastAsia" w:asciiTheme="minorEastAsia" w:hAnsiTheme="minorEastAsia" w:eastAsiaTheme="minorEastAsia" w:cstheme="minorEastAsia"/>
          <w:b w:val="0"/>
          <w:bCs w:val="0"/>
          <w:sz w:val="24"/>
          <w:szCs w:val="24"/>
          <w:lang w:val="en-US" w:eastAsia="zh-CN"/>
        </w:rPr>
        <w:t>”</w:t>
      </w:r>
      <w:commentRangeEnd w:id="4"/>
      <w:r>
        <w:commentReference w:id="4"/>
      </w:r>
      <w:r>
        <w:rPr>
          <w:rFonts w:hint="default" w:asciiTheme="minorEastAsia" w:hAnsiTheme="minorEastAsia" w:eastAsiaTheme="minorEastAsia" w:cstheme="minorEastAsia"/>
          <w:b w:val="0"/>
          <w:bCs w:val="0"/>
          <w:sz w:val="24"/>
          <w:szCs w:val="24"/>
          <w:lang w:val="en-US" w:eastAsia="zh-CN"/>
        </w:rPr>
        <w:t>现象——那些计划</w:t>
      </w:r>
      <w:r>
        <w:rPr>
          <w:rFonts w:hint="eastAsia" w:asciiTheme="minorEastAsia" w:hAnsiTheme="minorEastAsia" w:eastAsiaTheme="minorEastAsia" w:cstheme="minorEastAsia"/>
          <w:b w:val="0"/>
          <w:bCs w:val="0"/>
          <w:sz w:val="24"/>
          <w:szCs w:val="24"/>
          <w:lang w:val="en-US" w:eastAsia="zh-CN"/>
        </w:rPr>
        <w:t>“逃废债”</w:t>
      </w:r>
      <w:r>
        <w:rPr>
          <w:rFonts w:hint="default" w:asciiTheme="minorEastAsia" w:hAnsiTheme="minorEastAsia" w:eastAsiaTheme="minorEastAsia" w:cstheme="minorEastAsia"/>
          <w:b w:val="0"/>
          <w:bCs w:val="0"/>
          <w:sz w:val="24"/>
          <w:szCs w:val="24"/>
          <w:lang w:val="en-US" w:eastAsia="zh-CN"/>
        </w:rPr>
        <w:t>的人会更积极地利用破产程序，而诚实守信的债务人反而可能因为道德顾虑而回避破产保护。</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深圳条例</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实施初期，法院收到的申请中有相当部分存在申报不实、过度消费导致负债等问题，这些申请经过严格审查后被退回或不予受理。通过</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诚实而不幸</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标准</w:t>
      </w:r>
      <w:r>
        <w:rPr>
          <w:rFonts w:hint="eastAsia" w:asciiTheme="minorEastAsia" w:hAnsiTheme="minorEastAsia" w:cstheme="minorEastAsia"/>
          <w:b w:val="0"/>
          <w:bCs w:val="0"/>
          <w:sz w:val="24"/>
          <w:szCs w:val="24"/>
          <w:lang w:val="en-US" w:eastAsia="zh-CN"/>
        </w:rPr>
        <w:t>的审查</w:t>
      </w:r>
      <w:r>
        <w:rPr>
          <w:rFonts w:hint="default" w:asciiTheme="minorEastAsia" w:hAnsiTheme="minorEastAsia" w:eastAsiaTheme="minorEastAsia" w:cstheme="minorEastAsia"/>
          <w:b w:val="0"/>
          <w:bCs w:val="0"/>
          <w:sz w:val="24"/>
          <w:szCs w:val="24"/>
          <w:lang w:val="en-US" w:eastAsia="zh-CN"/>
        </w:rPr>
        <w:t>，有效区分了真正需要帮助的债务人和企图逃债者，维护了制度正当性。</w:t>
      </w:r>
    </w:p>
    <w:p w14:paraId="6A5E8789">
      <w:pPr>
        <w:spacing w:line="360" w:lineRule="auto"/>
        <w:ind w:firstLine="560" w:firstLineChars="200"/>
        <w:jc w:val="both"/>
        <w:rPr>
          <w:rFonts w:hint="default" w:ascii="黑体" w:hAnsi="黑体" w:eastAsia="黑体" w:cs="黑体"/>
          <w:b w:val="0"/>
          <w:bCs/>
          <w:kern w:val="44"/>
          <w:sz w:val="28"/>
          <w:szCs w:val="36"/>
          <w:lang w:val="en-US" w:eastAsia="zh-CN" w:bidi="ar-SA"/>
        </w:rPr>
      </w:pPr>
      <w:r>
        <w:rPr>
          <w:rFonts w:hint="eastAsia" w:ascii="黑体" w:hAnsi="黑体" w:eastAsia="黑体" w:cs="黑体"/>
          <w:b w:val="0"/>
          <w:bCs/>
          <w:kern w:val="44"/>
          <w:sz w:val="28"/>
          <w:szCs w:val="36"/>
          <w:lang w:val="en-US" w:eastAsia="zh-CN" w:bidi="ar-SA"/>
        </w:rPr>
        <w:t>二、我国个人破产免责前提条件设置的现状与不足</w:t>
      </w:r>
    </w:p>
    <w:p w14:paraId="7FF5EC3E">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commentRangeStart w:id="5"/>
      <w:r>
        <w:rPr>
          <w:rFonts w:hint="eastAsia" w:asciiTheme="minorEastAsia" w:hAnsiTheme="minorEastAsia" w:eastAsiaTheme="minorEastAsia" w:cstheme="minorEastAsia"/>
          <w:b w:val="0"/>
          <w:bCs w:val="0"/>
          <w:sz w:val="24"/>
          <w:szCs w:val="24"/>
          <w:lang w:val="en-US" w:eastAsia="zh-CN"/>
        </w:rPr>
        <w:t>尽管各国立法理念与规范设计存在差异</w:t>
      </w:r>
      <w:commentRangeEnd w:id="5"/>
      <w:r>
        <w:commentReference w:id="5"/>
      </w:r>
      <w:r>
        <w:rPr>
          <w:rFonts w:hint="eastAsia" w:asciiTheme="minorEastAsia" w:hAnsiTheme="minorEastAsia" w:eastAsiaTheme="minorEastAsia" w:cstheme="minorEastAsia"/>
          <w:b w:val="0"/>
          <w:bCs w:val="0"/>
          <w:sz w:val="24"/>
          <w:szCs w:val="24"/>
          <w:lang w:val="en-US" w:eastAsia="zh-CN"/>
        </w:rPr>
        <w:t>，但从法律构造看，免责制度普遍由免责条件规则（涉及债务豁免范围、主体资格、获得免责情形等）与免责程序规则（涉及申请、审查、决定免责的程序步骤）构成。</w:t>
      </w:r>
    </w:p>
    <w:p w14:paraId="307C25B1">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（一）免责条件规则设计的困境</w:t>
      </w:r>
    </w:p>
    <w:p w14:paraId="0F18FE6A">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1.不予免责的债务类型不尽完善</w:t>
      </w:r>
    </w:p>
    <w:p w14:paraId="3B26FB15">
      <w:p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部分学者基于防范制度滥用的考量，主张严格限定可破产债权范围并设置高准入标准</w:t>
      </w:r>
      <w:r>
        <w:rPr>
          <w:rFonts w:hint="eastAsia" w:ascii="宋体" w:hAnsi="宋体" w:eastAsia="宋体" w:cs="宋体"/>
          <w:b w:val="0"/>
          <w:bCs w:val="0"/>
          <w:sz w:val="24"/>
          <w:szCs w:val="24"/>
          <w:vertAlign w:val="superscript"/>
          <w:lang w:val="en-US" w:eastAsia="zh-CN"/>
        </w:rPr>
        <w:t>[2]</w:t>
      </w:r>
      <w:r>
        <w:rPr>
          <w:rFonts w:hint="eastAsia" w:ascii="宋体" w:hAnsi="宋体" w:eastAsia="宋体" w:cs="宋体"/>
          <w:b w:val="0"/>
          <w:bCs w:val="0"/>
          <w:sz w:val="24"/>
          <w:szCs w:val="24"/>
          <w:lang w:val="en-US" w:eastAsia="zh-CN"/>
        </w:rPr>
        <w:t>，这一观点在当前征信体系不完善的社会背景下具有现实合理性。然而，立法应当兼顾制度安全与市场发展需求，《深圳条例》采用“负面清单”模式，既有效防范了法律适用的不确定性，又为制度完善预留了空间，但具体实施细则仍需进一步优化。</w:t>
      </w:r>
    </w:p>
    <w:p w14:paraId="4D81D0E1">
      <w:p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以第97条第3款为例，该条款将雇佣报酬请求权及预付金返还请求权列为不可免责债务，其立法初衷在于加强对劳动者权益及特定债权的保护。然而，《深圳条例》仅将劳动债权纳入免责例外，却未包含担保债权。这导致担保债权超出抵押物价值的部分可能被免责，而劳动债权则不能，实质上形成了劳动债权优先于担保物权的剩余部分的法律效果，与《企业破产法》确立的担保物权优先规则及物权法定原则存在潜在冲突。</w:t>
      </w:r>
      <w:r>
        <w:rPr>
          <w:rFonts w:hint="eastAsia" w:ascii="宋体" w:hAnsi="宋体" w:eastAsia="宋体" w:cs="宋体"/>
          <w:b w:val="0"/>
          <w:bCs w:val="0"/>
          <w:sz w:val="24"/>
          <w:szCs w:val="24"/>
          <w:vertAlign w:val="superscript"/>
          <w:lang w:val="en-US" w:eastAsia="zh-CN"/>
        </w:rPr>
        <w:t>[3]</w:t>
      </w:r>
      <w:r>
        <w:rPr>
          <w:rFonts w:hint="eastAsia" w:ascii="宋体" w:hAnsi="宋体" w:eastAsia="宋体" w:cs="宋体"/>
          <w:b w:val="0"/>
          <w:bCs w:val="0"/>
          <w:sz w:val="24"/>
          <w:szCs w:val="24"/>
          <w:lang w:val="en-US" w:eastAsia="zh-CN"/>
        </w:rPr>
        <w:t>此外，该条第6款关于欠缴税款的规定存在解释争议：若因税务机关自身过错导致的税款欠缴，在三年追征期限届满后是否仍可追缴？这显然与现行税收法律法规相悖。类型划分欠妥及解释缺失，导致司法实践面临适用困境。</w:t>
      </w:r>
    </w:p>
    <w:p w14:paraId="698F55B5">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2.</w:t>
      </w:r>
      <w:r>
        <w:rPr>
          <w:rFonts w:hint="default" w:asciiTheme="minorEastAsia" w:hAnsiTheme="minorEastAsia" w:eastAsiaTheme="minorEastAsia" w:cstheme="minorEastAsia"/>
          <w:b w:val="0"/>
          <w:bCs w:val="0"/>
          <w:sz w:val="24"/>
          <w:szCs w:val="24"/>
          <w:lang w:val="en-US" w:eastAsia="zh-CN"/>
        </w:rPr>
        <w:t>不予免责的</w:t>
      </w:r>
      <w:r>
        <w:rPr>
          <w:rFonts w:hint="eastAsia" w:asciiTheme="minorEastAsia" w:hAnsiTheme="minorEastAsia" w:eastAsiaTheme="minorEastAsia" w:cstheme="minorEastAsia"/>
          <w:b w:val="0"/>
          <w:bCs w:val="0"/>
          <w:sz w:val="24"/>
          <w:szCs w:val="24"/>
          <w:lang w:val="en-US" w:eastAsia="zh-CN"/>
        </w:rPr>
        <w:t>法定情形规定过于笼统</w:t>
      </w:r>
    </w:p>
    <w:p w14:paraId="59D4EE12">
      <w:pPr>
        <w:widowControl/>
        <w:spacing w:line="360" w:lineRule="auto"/>
        <w:ind w:firstLine="482"/>
        <w:jc w:val="both"/>
        <w:rPr>
          <w:rFonts w:hint="eastAsia" w:ascii="宋体" w:hAnsi="宋体" w:eastAsia="宋体" w:cs="宋体"/>
          <w:kern w:val="0"/>
          <w:sz w:val="24"/>
          <w:lang w:val="en-US" w:eastAsia="zh-CN"/>
        </w:rPr>
      </w:pPr>
      <w:r>
        <w:rPr>
          <w:rFonts w:hint="eastAsia"/>
          <w:sz w:val="24"/>
          <w:szCs w:val="24"/>
        </w:rPr>
        <w:t>设置不予免责情形的根本目的在于</w:t>
      </w:r>
      <w:r>
        <w:rPr>
          <w:rFonts w:hint="eastAsia" w:ascii="宋体" w:hAnsi="宋体" w:eastAsia="宋体" w:cs="宋体"/>
          <w:kern w:val="0"/>
          <w:sz w:val="24"/>
          <w:lang w:val="en-US" w:eastAsia="zh-CN"/>
        </w:rPr>
        <w:t>筛除恶意债务人，从而保障真正诚实而不幸的债务人获得经济重生的机会，然而，《深圳条例》的相关条款过于笼统，一定程度上制约了司法实践中的可操作性。</w:t>
      </w:r>
      <w:r>
        <w:rPr>
          <w:rFonts w:hint="eastAsia"/>
          <w:sz w:val="24"/>
          <w:szCs w:val="24"/>
        </w:rPr>
        <w:t>例如，对不予免责事由的时间效力范围规定不明</w:t>
      </w:r>
      <w:r>
        <w:rPr>
          <w:rFonts w:hint="eastAsia" w:ascii="宋体" w:hAnsi="宋体" w:eastAsia="宋体" w:cs="宋体"/>
          <w:kern w:val="0"/>
          <w:sz w:val="24"/>
          <w:lang w:val="en-US" w:eastAsia="zh-CN"/>
        </w:rPr>
        <w:t>,《深圳条例》第98条第1、2款所规定的破产程序中的不当行为，其适用时段显然限定于破产程序启动后至考察期终止前。</w:t>
      </w:r>
      <w:r>
        <w:rPr>
          <w:rFonts w:hint="eastAsia"/>
          <w:sz w:val="24"/>
          <w:szCs w:val="24"/>
        </w:rPr>
        <w:t>但第3款（奢侈消费等导致债务/财产减少）与第5款（隐匿、转移、不当处分财产）所涉行为，完全可能发生于破产程序启动前</w:t>
      </w:r>
      <w:r>
        <w:rPr>
          <w:rFonts w:hint="eastAsia" w:ascii="宋体" w:hAnsi="宋体" w:eastAsia="宋体" w:cs="宋体"/>
          <w:kern w:val="0"/>
          <w:sz w:val="24"/>
          <w:lang w:val="en-US" w:eastAsia="zh-CN"/>
        </w:rPr>
        <w:t>。对此，法院究竟应仅对考察期内发生的不当行为进行审查，抑或对债务人在任何时期实施上述行为均予以追责并取消其免责资格，《深圳条例》尚未作出明确规定。</w:t>
      </w:r>
    </w:p>
    <w:p w14:paraId="2FAFFD0F">
      <w:p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此外，仅设定五条不予免责条款，显然难以覆盖复杂多样的现实情形。《深圳条例》虽列举了因债务人主观故意致使财产减损等情形，但未涵盖诸如恶意转化不免责债务为可免责债务等行为。值得注意的是，虽然第6款通过援引其他法律的禁止性规定作为兜底条款，但包括条例在内的相关法律均未就债务免除问题作出明确禁止性或限制性规则。《深圳条例》第3条规定的诚信原则，并未被明确纳入不予免责的具体规则体系，导致其司法操作性弱。鉴于我国个人破产法制度起步较晚，在制度运行的初期阶段，全面罗列所有不予免责的情形既不现实也不可行。在此背景下，缺乏原则性规定的指引，司法裁判面对立法未明示的不予免责情形时，易陷入无法可依的困境。</w:t>
      </w:r>
    </w:p>
    <w:p w14:paraId="278665E6">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3.缺乏对债务人清偿能力的考量</w:t>
      </w:r>
    </w:p>
    <w:p w14:paraId="5710D4F2">
      <w:pPr>
        <w:spacing w:line="360" w:lineRule="auto"/>
        <w:ind w:firstLine="480" w:firstLineChars="200"/>
        <w:rPr>
          <w:rFonts w:hint="eastAsia" w:ascii="宋体" w:hAnsi="宋体" w:eastAsia="宋体" w:cs="宋体"/>
          <w:b w:val="0"/>
          <w:bCs w:val="0"/>
          <w:sz w:val="24"/>
          <w:szCs w:val="24"/>
          <w:lang w:val="en-US" w:eastAsia="zh-CN"/>
        </w:rPr>
      </w:pPr>
      <w:r>
        <w:rPr>
          <w:rFonts w:hint="eastAsia"/>
          <w:sz w:val="24"/>
          <w:szCs w:val="24"/>
        </w:rPr>
        <w:t>负面清单模式虽有利于发挥免责制度的复苏功能，但也可能导致免责申请门槛偏低。</w:t>
      </w:r>
      <w:r>
        <w:rPr>
          <w:rFonts w:hint="eastAsia" w:ascii="宋体" w:hAnsi="宋体" w:eastAsia="宋体" w:cs="宋体"/>
          <w:b w:val="0"/>
          <w:bCs w:val="0"/>
          <w:sz w:val="24"/>
          <w:szCs w:val="24"/>
          <w:lang w:val="en-US" w:eastAsia="zh-CN"/>
        </w:rPr>
        <w:t>免责制度提供债务解除途径，但缺乏严谨的清偿能力资格审查，既难甄别恶意债务人，也可能诱发案件激增，浪费司法资源。</w:t>
      </w:r>
    </w:p>
    <w:p w14:paraId="1F46C42C">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sz w:val="24"/>
          <w:szCs w:val="24"/>
        </w:rPr>
        <w:t>现行规则未对免责申请设定具体的清偿能力标准</w:t>
      </w:r>
      <w:r>
        <w:rPr>
          <w:rFonts w:hint="eastAsia" w:ascii="宋体" w:hAnsi="宋体" w:eastAsia="宋体" w:cs="宋体"/>
          <w:b w:val="0"/>
          <w:bCs w:val="0"/>
          <w:sz w:val="24"/>
          <w:szCs w:val="24"/>
          <w:lang w:val="en-US" w:eastAsia="zh-CN"/>
        </w:rPr>
        <w:t>，致使</w:t>
      </w:r>
      <w:r>
        <w:rPr>
          <w:rFonts w:hint="eastAsia"/>
          <w:sz w:val="24"/>
          <w:szCs w:val="24"/>
        </w:rPr>
        <w:t>破产</w:t>
      </w:r>
      <w:r>
        <w:rPr>
          <w:rFonts w:hint="eastAsia"/>
          <w:sz w:val="24"/>
          <w:szCs w:val="24"/>
          <w:lang w:val="en-US" w:eastAsia="zh-CN"/>
        </w:rPr>
        <w:t>申请</w:t>
      </w:r>
      <w:r>
        <w:rPr>
          <w:rFonts w:hint="eastAsia"/>
          <w:sz w:val="24"/>
          <w:szCs w:val="24"/>
        </w:rPr>
        <w:t>与免责</w:t>
      </w:r>
      <w:r>
        <w:rPr>
          <w:rFonts w:hint="eastAsia"/>
          <w:sz w:val="24"/>
          <w:szCs w:val="24"/>
          <w:lang w:val="en-US" w:eastAsia="zh-CN"/>
        </w:rPr>
        <w:t>申请</w:t>
      </w:r>
      <w:r>
        <w:rPr>
          <w:rFonts w:hint="eastAsia"/>
          <w:sz w:val="24"/>
          <w:szCs w:val="24"/>
        </w:rPr>
        <w:t>的界限模糊</w:t>
      </w:r>
      <w:r>
        <w:rPr>
          <w:rFonts w:hint="eastAsia" w:ascii="宋体" w:hAnsi="宋体" w:eastAsia="宋体" w:cs="宋体"/>
          <w:b w:val="0"/>
          <w:bCs w:val="0"/>
          <w:sz w:val="24"/>
          <w:szCs w:val="24"/>
          <w:lang w:val="en-US" w:eastAsia="zh-CN"/>
        </w:rPr>
        <w:t>。《深圳条例》虽明确规定了</w:t>
      </w:r>
      <w:r>
        <w:rPr>
          <w:rFonts w:hint="eastAsia"/>
          <w:sz w:val="24"/>
          <w:szCs w:val="24"/>
        </w:rPr>
        <w:t>个人破产的适用条件（因生产经营或生活消费导致丧失清偿能力或资不抵债）</w:t>
      </w:r>
      <w:r>
        <w:rPr>
          <w:rFonts w:hint="eastAsia" w:ascii="宋体" w:hAnsi="宋体" w:eastAsia="宋体" w:cs="宋体"/>
          <w:b w:val="0"/>
          <w:bCs w:val="0"/>
          <w:sz w:val="24"/>
          <w:szCs w:val="24"/>
          <w:lang w:val="en-US" w:eastAsia="zh-CN"/>
        </w:rPr>
        <w:t>，但未针对免责设定具体的准入条件。在个人破产的清算、重整与和解三种程序中，仅清算程序终结后可申请免责，鉴于其将产生终局性债务免除效果，审查标准理应严于破产申请。然而，由于</w:t>
      </w:r>
      <w:r>
        <w:rPr>
          <w:rFonts w:hint="eastAsia"/>
          <w:sz w:val="24"/>
          <w:szCs w:val="24"/>
        </w:rPr>
        <w:t>债务人资产与偿付能力处于动态变化中</w:t>
      </w:r>
      <w:r>
        <w:rPr>
          <w:rFonts w:hint="eastAsia" w:ascii="宋体" w:hAnsi="宋体" w:eastAsia="宋体" w:cs="宋体"/>
          <w:b w:val="0"/>
          <w:bCs w:val="0"/>
          <w:sz w:val="24"/>
          <w:szCs w:val="24"/>
          <w:lang w:val="en-US" w:eastAsia="zh-CN"/>
        </w:rPr>
        <w:t>，若缺乏清晰的免责准入门槛和科学评估机制，则</w:t>
      </w:r>
      <w:r>
        <w:rPr>
          <w:rFonts w:hint="eastAsia" w:asciiTheme="minorEastAsia" w:hAnsiTheme="minorEastAsia" w:eastAsiaTheme="minorEastAsia" w:cstheme="minorEastAsia"/>
          <w:b w:val="0"/>
          <w:bCs w:val="0"/>
          <w:sz w:val="24"/>
          <w:szCs w:val="24"/>
          <w:lang w:val="en-US" w:eastAsia="zh-CN"/>
        </w:rPr>
        <w:t>债务人希望通过破产程序解决财务危机而又不完全符合免责条件的案件数量将难以预估。</w:t>
      </w:r>
    </w:p>
    <w:p w14:paraId="189284C6">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（二）免责程序规则设计的困境</w:t>
      </w:r>
    </w:p>
    <w:p w14:paraId="354307C4">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1.免责申请的时间过于严苛</w:t>
      </w:r>
    </w:p>
    <w:p w14:paraId="1972F5FF">
      <w:pPr>
        <w:numPr>
          <w:ilvl w:val="0"/>
          <w:numId w:val="0"/>
        </w:numPr>
        <w:spacing w:line="360" w:lineRule="auto"/>
        <w:ind w:firstLine="480" w:firstLineChars="200"/>
        <w:rPr>
          <w:rFonts w:hint="eastAsia" w:ascii="宋体" w:hAnsi="宋体" w:eastAsia="宋体" w:cs="宋体"/>
          <w:sz w:val="24"/>
          <w:szCs w:val="24"/>
          <w:lang w:eastAsia="zh-CN"/>
        </w:rPr>
      </w:pPr>
      <w:commentRangeStart w:id="6"/>
      <w:r>
        <w:rPr>
          <w:rFonts w:hint="eastAsia" w:asciiTheme="minorEastAsia" w:hAnsiTheme="minorEastAsia" w:eastAsiaTheme="minorEastAsia" w:cstheme="minorEastAsia"/>
          <w:b w:val="0"/>
          <w:bCs w:val="0"/>
          <w:sz w:val="24"/>
          <w:szCs w:val="24"/>
          <w:lang w:val="en-US" w:eastAsia="zh-CN"/>
        </w:rPr>
        <w:t>从比较法视角考察，免责申请的提出时间存在两种主要模式：一类是与破产申请同步提出，包括自愿提交（不申</w:t>
      </w:r>
      <w:r>
        <w:rPr>
          <w:rFonts w:hint="eastAsia" w:ascii="宋体" w:hAnsi="宋体" w:eastAsia="宋体" w:cs="宋体"/>
          <w:sz w:val="24"/>
          <w:szCs w:val="24"/>
          <w:lang w:val="en-US" w:eastAsia="zh-CN"/>
        </w:rPr>
        <w:t>请不视为放弃）和强制提交（法定必须同步提出）；另一类是在破产宣告后启动，包括</w:t>
      </w:r>
      <w:r>
        <w:rPr>
          <w:rFonts w:hint="default" w:ascii="宋体" w:hAnsi="宋体" w:eastAsia="宋体" w:cs="宋体"/>
          <w:sz w:val="24"/>
          <w:szCs w:val="24"/>
          <w:lang w:eastAsia="zh-CN"/>
        </w:rPr>
        <w:t>限期</w:t>
      </w:r>
      <w:r>
        <w:rPr>
          <w:rFonts w:hint="eastAsia" w:ascii="宋体" w:hAnsi="宋体" w:eastAsia="宋体" w:cs="宋体"/>
          <w:sz w:val="24"/>
          <w:szCs w:val="24"/>
          <w:lang w:val="en-US" w:eastAsia="zh-CN"/>
        </w:rPr>
        <w:t>申请（特定期限内提出）和自动</w:t>
      </w:r>
      <w:r>
        <w:rPr>
          <w:rFonts w:hint="default" w:ascii="宋体" w:hAnsi="宋体" w:eastAsia="宋体" w:cs="宋体"/>
          <w:sz w:val="24"/>
          <w:szCs w:val="24"/>
          <w:lang w:eastAsia="zh-CN"/>
        </w:rPr>
        <w:t>生效</w:t>
      </w:r>
      <w:r>
        <w:rPr>
          <w:rFonts w:hint="eastAsia" w:ascii="宋体" w:hAnsi="宋体" w:eastAsia="宋体" w:cs="宋体"/>
          <w:sz w:val="24"/>
          <w:szCs w:val="24"/>
          <w:lang w:val="en-US" w:eastAsia="zh-CN"/>
        </w:rPr>
        <w:t>（考察期满后正式申请）。</w:t>
      </w:r>
      <w:r>
        <w:rPr>
          <w:rFonts w:hint="eastAsia" w:ascii="宋体" w:hAnsi="宋体" w:eastAsia="宋体" w:cs="宋体"/>
          <w:sz w:val="24"/>
          <w:szCs w:val="24"/>
          <w:vertAlign w:val="superscript"/>
          <w:lang w:val="en-US" w:eastAsia="zh-CN"/>
        </w:rPr>
        <w:t>[4]</w:t>
      </w:r>
      <w:commentRangeEnd w:id="6"/>
      <w:r>
        <w:commentReference w:id="6"/>
      </w:r>
      <w:r>
        <w:rPr>
          <w:rFonts w:hint="eastAsia" w:ascii="宋体" w:hAnsi="宋体" w:eastAsia="宋体" w:cs="宋体"/>
          <w:sz w:val="24"/>
          <w:szCs w:val="24"/>
          <w:lang w:val="en-US" w:eastAsia="zh-CN"/>
        </w:rPr>
        <w:t>《深圳条例》规定，除符合第一百条视为考察期届满的特殊情形外，申请人需待三年考察期满后方可向法院提交免责申请。《深圳条例》采用了</w:t>
      </w:r>
      <w:r>
        <w:rPr>
          <w:rFonts w:hint="default" w:ascii="宋体" w:hAnsi="宋体" w:eastAsia="宋体" w:cs="宋体"/>
          <w:sz w:val="24"/>
          <w:szCs w:val="24"/>
          <w:lang w:eastAsia="zh-CN"/>
        </w:rPr>
        <w:t>后者</w:t>
      </w:r>
      <w:r>
        <w:rPr>
          <w:rFonts w:hint="eastAsia" w:ascii="宋体" w:hAnsi="宋体" w:eastAsia="宋体" w:cs="宋体"/>
          <w:sz w:val="24"/>
          <w:szCs w:val="24"/>
          <w:lang w:val="en-US" w:eastAsia="zh-CN"/>
        </w:rPr>
        <w:t>的自动生效</w:t>
      </w:r>
      <w:r>
        <w:rPr>
          <w:rFonts w:hint="default" w:ascii="宋体" w:hAnsi="宋体" w:eastAsia="宋体" w:cs="宋体"/>
          <w:sz w:val="24"/>
          <w:szCs w:val="24"/>
          <w:lang w:eastAsia="zh-CN"/>
        </w:rPr>
        <w:t>模式</w:t>
      </w:r>
      <w:r>
        <w:rPr>
          <w:rFonts w:hint="eastAsia" w:ascii="宋体" w:hAnsi="宋体" w:eastAsia="宋体" w:cs="宋体"/>
          <w:sz w:val="24"/>
          <w:szCs w:val="24"/>
          <w:lang w:val="en-US" w:eastAsia="zh-CN"/>
        </w:rPr>
        <w:t>，但问题在于，在债务人尚未正式申请免责的情况下即启动考察期，其程序正当性存疑，</w:t>
      </w:r>
      <w:commentRangeStart w:id="7"/>
      <w:r>
        <w:rPr>
          <w:rFonts w:hint="eastAsia" w:ascii="宋体" w:hAnsi="宋体" w:eastAsia="宋体" w:cs="宋体"/>
          <w:sz w:val="24"/>
          <w:szCs w:val="24"/>
          <w:lang w:val="en-US" w:eastAsia="zh-CN"/>
        </w:rPr>
        <w:t>时序逻辑</w:t>
      </w:r>
      <w:commentRangeEnd w:id="7"/>
      <w:r>
        <w:commentReference w:id="7"/>
      </w:r>
      <w:r>
        <w:rPr>
          <w:rFonts w:hint="eastAsia" w:ascii="宋体" w:hAnsi="宋体" w:eastAsia="宋体" w:cs="宋体"/>
          <w:sz w:val="24"/>
          <w:szCs w:val="24"/>
          <w:lang w:val="en-US" w:eastAsia="zh-CN"/>
        </w:rPr>
        <w:t>存在矛盾。</w:t>
      </w:r>
    </w:p>
    <w:p w14:paraId="37262419">
      <w:pPr>
        <w:numPr>
          <w:ilvl w:val="0"/>
          <w:numId w:val="0"/>
        </w:numPr>
        <w:spacing w:line="360" w:lineRule="auto"/>
        <w:ind w:firstLine="480" w:firstLineChars="200"/>
        <w:rPr>
          <w:rFonts w:hint="eastAsia" w:ascii="宋体" w:hAnsi="宋体" w:eastAsia="宋体" w:cs="宋体"/>
          <w:sz w:val="24"/>
          <w:szCs w:val="24"/>
          <w:lang w:val="en-US" w:eastAsia="zh-CN"/>
        </w:rPr>
      </w:pPr>
      <w:commentRangeStart w:id="8"/>
      <w:r>
        <w:rPr>
          <w:rFonts w:hint="eastAsia" w:ascii="宋体" w:hAnsi="宋体" w:eastAsia="宋体" w:cs="宋体"/>
          <w:sz w:val="24"/>
          <w:szCs w:val="24"/>
          <w:lang w:val="en-US" w:eastAsia="zh-CN"/>
        </w:rPr>
        <w:t>采用许可免责制度的现代国家普遍对免责的申请时间作提前规定，如《德国破产法》明确规定债务人在提交破产申请时须同步提出余债免除请求。《日本破产法》规定债务人于清算申请提出之日起，到破产清算程序开始的裁定确定后1个月为止，均可向法院提出免责申请。</w:t>
      </w:r>
      <w:r>
        <w:rPr>
          <w:rFonts w:hint="eastAsia" w:ascii="宋体" w:hAnsi="宋体" w:eastAsia="宋体" w:cs="宋体"/>
          <w:sz w:val="24"/>
          <w:szCs w:val="24"/>
          <w:vertAlign w:val="superscript"/>
          <w:lang w:val="en-US" w:eastAsia="zh-CN"/>
        </w:rPr>
        <w:t>[5]</w:t>
      </w:r>
      <w:commentRangeEnd w:id="8"/>
      <w:r>
        <w:commentReference w:id="8"/>
      </w:r>
      <w:r>
        <w:rPr>
          <w:rFonts w:hint="eastAsia" w:ascii="宋体" w:hAnsi="宋体" w:eastAsia="宋体" w:cs="宋体"/>
          <w:sz w:val="24"/>
          <w:szCs w:val="24"/>
          <w:lang w:val="en-US" w:eastAsia="zh-CN"/>
        </w:rPr>
        <w:t>相较于德日，《深圳条例》将免责的申请严格限制在考察期届满之日起，即自提出破产申请时债务人就需要履行相应的免责义务，但是免责权利的实际申请却要在破产清算三年后。</w:t>
      </w:r>
      <w:commentRangeStart w:id="9"/>
      <w:r>
        <w:rPr>
          <w:rFonts w:hint="eastAsia"/>
          <w:sz w:val="24"/>
          <w:szCs w:val="24"/>
        </w:rPr>
        <w:t>这种严苛的许可主义模式，一方面违背权利义务对等原则</w:t>
      </w:r>
      <w:r>
        <w:rPr>
          <w:rFonts w:hint="eastAsia" w:ascii="宋体" w:hAnsi="宋体" w:eastAsia="宋体" w:cs="宋体"/>
          <w:sz w:val="24"/>
          <w:szCs w:val="24"/>
          <w:lang w:val="en-US" w:eastAsia="zh-CN"/>
        </w:rPr>
        <w:t>，难以有效引导债务人在考察期内的行为规范；另一方面也客观上加重了债务人的心理压力，债务人陷入债务危机，免责不仅没能让他们走出困境，反而让其承受一系列因破产申请带来的财产清算与行为限制，不利于免责制度的适用。</w:t>
      </w:r>
      <w:commentRangeEnd w:id="9"/>
      <w:r>
        <w:commentReference w:id="9"/>
      </w:r>
    </w:p>
    <w:p w14:paraId="1FE64E93">
      <w:pPr>
        <w:numPr>
          <w:ilvl w:val="0"/>
          <w:numId w:val="0"/>
        </w:numPr>
        <w:spacing w:line="360" w:lineRule="auto"/>
        <w:ind w:firstLine="480" w:firstLineChars="200"/>
        <w:rPr>
          <w:rFonts w:hint="eastAsia"/>
          <w:sz w:val="24"/>
          <w:szCs w:val="24"/>
          <w:lang w:val="en-US" w:eastAsia="zh-CN"/>
        </w:rPr>
      </w:pPr>
      <w:r>
        <w:rPr>
          <w:rFonts w:hint="eastAsia"/>
          <w:sz w:val="24"/>
          <w:szCs w:val="24"/>
          <w:lang w:val="en-US" w:eastAsia="zh-CN"/>
        </w:rPr>
        <w:t>2.许可免责的程序过于复杂</w:t>
      </w:r>
    </w:p>
    <w:p w14:paraId="0E1FE2A6">
      <w:pPr>
        <w:spacing w:line="360" w:lineRule="auto"/>
        <w:ind w:firstLine="480" w:firstLineChars="200"/>
        <w:rPr>
          <w:rFonts w:hint="default" w:ascii="宋体" w:hAnsi="宋体" w:eastAsia="宋体" w:cs="宋体"/>
          <w:b w:val="0"/>
          <w:bCs w:val="0"/>
          <w:sz w:val="24"/>
          <w:szCs w:val="24"/>
          <w:lang w:val="en-US" w:eastAsia="zh-CN"/>
        </w:rPr>
      </w:pPr>
      <w:r>
        <w:rPr>
          <w:rFonts w:hint="eastAsia"/>
          <w:sz w:val="24"/>
          <w:szCs w:val="24"/>
        </w:rPr>
        <w:t>在免责程序模式上，《深圳条例》采许可免责制</w:t>
      </w:r>
      <w:r>
        <w:rPr>
          <w:rFonts w:hint="eastAsia" w:ascii="宋体" w:hAnsi="宋体" w:eastAsia="宋体" w:cs="宋体"/>
          <w:b w:val="0"/>
          <w:bCs w:val="0"/>
          <w:sz w:val="24"/>
          <w:szCs w:val="24"/>
          <w:lang w:val="en-US" w:eastAsia="zh-CN"/>
        </w:rPr>
        <w:t>，这契合了当前社会</w:t>
      </w:r>
      <w:r>
        <w:rPr>
          <w:rFonts w:hint="default" w:ascii="宋体" w:hAnsi="宋体" w:eastAsia="宋体" w:cs="宋体"/>
          <w:b w:val="0"/>
          <w:bCs w:val="0"/>
          <w:sz w:val="24"/>
          <w:szCs w:val="24"/>
          <w:lang w:val="en-US" w:eastAsia="zh-CN"/>
        </w:rPr>
        <w:t>信用体系</w:t>
      </w:r>
      <w:r>
        <w:rPr>
          <w:rFonts w:hint="eastAsia" w:ascii="宋体" w:hAnsi="宋体" w:eastAsia="宋体" w:cs="宋体"/>
          <w:b w:val="0"/>
          <w:bCs w:val="0"/>
          <w:sz w:val="24"/>
          <w:szCs w:val="24"/>
          <w:lang w:val="en-US" w:eastAsia="zh-CN"/>
        </w:rPr>
        <w:t>尚不健全</w:t>
      </w:r>
      <w:r>
        <w:rPr>
          <w:rFonts w:hint="default" w:ascii="宋体" w:hAnsi="宋体" w:eastAsia="宋体" w:cs="宋体"/>
          <w:b w:val="0"/>
          <w:bCs w:val="0"/>
          <w:sz w:val="24"/>
          <w:szCs w:val="24"/>
          <w:lang w:val="en-US" w:eastAsia="zh-CN"/>
        </w:rPr>
        <w:t>的</w:t>
      </w:r>
      <w:r>
        <w:rPr>
          <w:rFonts w:hint="eastAsia" w:ascii="宋体" w:hAnsi="宋体" w:eastAsia="宋体" w:cs="宋体"/>
          <w:b w:val="0"/>
          <w:bCs w:val="0"/>
          <w:sz w:val="24"/>
          <w:szCs w:val="24"/>
          <w:lang w:val="en-US" w:eastAsia="zh-CN"/>
        </w:rPr>
        <w:t>现实国情。通过建立司法审查机制，</w:t>
      </w:r>
      <w:r>
        <w:rPr>
          <w:rFonts w:hint="default" w:ascii="宋体" w:hAnsi="宋体" w:eastAsia="宋体" w:cs="宋体"/>
          <w:b w:val="0"/>
          <w:bCs w:val="0"/>
          <w:sz w:val="24"/>
          <w:szCs w:val="24"/>
          <w:lang w:val="en-US" w:eastAsia="zh-CN"/>
        </w:rPr>
        <w:t>能够有效识别和防范债务人滥用破产程序的行为，</w:t>
      </w:r>
      <w:r>
        <w:rPr>
          <w:rFonts w:hint="eastAsia" w:ascii="宋体" w:hAnsi="宋体" w:eastAsia="宋体" w:cs="宋体"/>
          <w:b w:val="0"/>
          <w:bCs w:val="0"/>
          <w:sz w:val="24"/>
          <w:szCs w:val="24"/>
          <w:lang w:val="en-US" w:eastAsia="zh-CN"/>
        </w:rPr>
        <w:t>保留</w:t>
      </w:r>
      <w:r>
        <w:rPr>
          <w:rFonts w:hint="default" w:ascii="宋体" w:hAnsi="宋体" w:eastAsia="宋体" w:cs="宋体"/>
          <w:b w:val="0"/>
          <w:bCs w:val="0"/>
          <w:sz w:val="24"/>
          <w:szCs w:val="24"/>
          <w:lang w:val="en-US" w:eastAsia="zh-CN"/>
        </w:rPr>
        <w:t>适度的司法</w:t>
      </w:r>
      <w:r>
        <w:rPr>
          <w:rFonts w:hint="eastAsia" w:ascii="宋体" w:hAnsi="宋体" w:eastAsia="宋体" w:cs="宋体"/>
          <w:b w:val="0"/>
          <w:bCs w:val="0"/>
          <w:sz w:val="24"/>
          <w:szCs w:val="24"/>
          <w:lang w:val="en-US" w:eastAsia="zh-CN"/>
        </w:rPr>
        <w:t>干预</w:t>
      </w:r>
      <w:r>
        <w:rPr>
          <w:rFonts w:hint="default" w:ascii="宋体" w:hAnsi="宋体" w:eastAsia="宋体" w:cs="宋体"/>
          <w:b w:val="0"/>
          <w:bCs w:val="0"/>
          <w:sz w:val="24"/>
          <w:szCs w:val="24"/>
          <w:lang w:val="en-US" w:eastAsia="zh-CN"/>
        </w:rPr>
        <w:t>是个人破产</w:t>
      </w:r>
      <w:r>
        <w:rPr>
          <w:rFonts w:hint="eastAsia" w:ascii="宋体" w:hAnsi="宋体" w:eastAsia="宋体" w:cs="宋体"/>
          <w:b w:val="0"/>
          <w:bCs w:val="0"/>
          <w:sz w:val="24"/>
          <w:szCs w:val="24"/>
          <w:lang w:val="en-US" w:eastAsia="zh-CN"/>
        </w:rPr>
        <w:t>制度</w:t>
      </w:r>
      <w:r>
        <w:rPr>
          <w:rFonts w:hint="default" w:ascii="宋体" w:hAnsi="宋体" w:eastAsia="宋体" w:cs="宋体"/>
          <w:b w:val="0"/>
          <w:bCs w:val="0"/>
          <w:sz w:val="24"/>
          <w:szCs w:val="24"/>
          <w:lang w:val="en-US" w:eastAsia="zh-CN"/>
        </w:rPr>
        <w:t>发展初</w:t>
      </w:r>
      <w:r>
        <w:rPr>
          <w:rFonts w:hint="eastAsia" w:ascii="宋体" w:hAnsi="宋体" w:eastAsia="宋体" w:cs="宋体"/>
          <w:b w:val="0"/>
          <w:bCs w:val="0"/>
          <w:sz w:val="24"/>
          <w:szCs w:val="24"/>
          <w:lang w:val="en-US" w:eastAsia="zh-CN"/>
        </w:rPr>
        <w:t>期</w:t>
      </w:r>
      <w:r>
        <w:rPr>
          <w:rFonts w:hint="default" w:ascii="宋体" w:hAnsi="宋体" w:eastAsia="宋体" w:cs="宋体"/>
          <w:b w:val="0"/>
          <w:bCs w:val="0"/>
          <w:sz w:val="24"/>
          <w:szCs w:val="24"/>
          <w:lang w:val="en-US" w:eastAsia="zh-CN"/>
        </w:rPr>
        <w:t>的必</w:t>
      </w:r>
      <w:r>
        <w:rPr>
          <w:rFonts w:hint="eastAsia" w:ascii="宋体" w:hAnsi="宋体" w:eastAsia="宋体" w:cs="宋体"/>
          <w:b w:val="0"/>
          <w:bCs w:val="0"/>
          <w:sz w:val="24"/>
          <w:szCs w:val="24"/>
          <w:lang w:val="en-US" w:eastAsia="zh-CN"/>
        </w:rPr>
        <w:t>要</w:t>
      </w:r>
      <w:r>
        <w:rPr>
          <w:rFonts w:hint="default" w:ascii="宋体" w:hAnsi="宋体" w:eastAsia="宋体" w:cs="宋体"/>
          <w:b w:val="0"/>
          <w:bCs w:val="0"/>
          <w:sz w:val="24"/>
          <w:szCs w:val="24"/>
          <w:lang w:val="en-US" w:eastAsia="zh-CN"/>
        </w:rPr>
        <w:t>之举。</w:t>
      </w:r>
      <w:commentRangeStart w:id="10"/>
      <w:r>
        <w:rPr>
          <w:rFonts w:hint="eastAsia"/>
          <w:sz w:val="24"/>
          <w:szCs w:val="24"/>
        </w:rPr>
        <w:t>但依第101条，管理人需在免责申请后进行全面资格审查，并须征询债权人及破产事务管理部门意见，方能向法院提交报告。这实质上构建了多方主体（管理人、债权人、破产事务管理部门、法院）参与的免责审查机制。</w:t>
      </w:r>
      <w:r>
        <w:rPr>
          <w:rFonts w:hint="eastAsia" w:ascii="宋体" w:hAnsi="宋体" w:eastAsia="宋体" w:cs="宋体"/>
          <w:b w:val="0"/>
          <w:bCs w:val="0"/>
          <w:sz w:val="24"/>
          <w:szCs w:val="24"/>
          <w:lang w:val="en-US" w:eastAsia="zh-CN"/>
        </w:rPr>
        <w:t>尽管</w:t>
      </w:r>
      <w:r>
        <w:rPr>
          <w:rFonts w:hint="default" w:ascii="宋体" w:hAnsi="宋体" w:eastAsia="宋体" w:cs="宋体"/>
          <w:b w:val="0"/>
          <w:bCs w:val="0"/>
          <w:sz w:val="24"/>
          <w:szCs w:val="24"/>
          <w:lang w:val="en-US" w:eastAsia="zh-CN"/>
        </w:rPr>
        <w:t>法院掌握着</w:t>
      </w:r>
      <w:r>
        <w:rPr>
          <w:rFonts w:hint="eastAsia" w:ascii="宋体" w:hAnsi="宋体" w:eastAsia="宋体" w:cs="宋体"/>
          <w:b w:val="0"/>
          <w:bCs w:val="0"/>
          <w:sz w:val="24"/>
          <w:szCs w:val="24"/>
          <w:lang w:val="en-US" w:eastAsia="zh-CN"/>
        </w:rPr>
        <w:t>免责的</w:t>
      </w:r>
      <w:r>
        <w:rPr>
          <w:rFonts w:hint="default" w:ascii="宋体" w:hAnsi="宋体" w:eastAsia="宋体" w:cs="宋体"/>
          <w:b w:val="0"/>
          <w:bCs w:val="0"/>
          <w:sz w:val="24"/>
          <w:szCs w:val="24"/>
          <w:lang w:val="en-US" w:eastAsia="zh-CN"/>
        </w:rPr>
        <w:t>最终</w:t>
      </w:r>
      <w:r>
        <w:rPr>
          <w:rFonts w:hint="eastAsia" w:ascii="宋体" w:hAnsi="宋体" w:eastAsia="宋体" w:cs="宋体"/>
          <w:b w:val="0"/>
          <w:bCs w:val="0"/>
          <w:sz w:val="24"/>
          <w:szCs w:val="24"/>
          <w:lang w:val="en-US" w:eastAsia="zh-CN"/>
        </w:rPr>
        <w:t>裁量</w:t>
      </w:r>
      <w:r>
        <w:rPr>
          <w:rFonts w:hint="default" w:ascii="宋体" w:hAnsi="宋体" w:eastAsia="宋体" w:cs="宋体"/>
          <w:b w:val="0"/>
          <w:bCs w:val="0"/>
          <w:sz w:val="24"/>
          <w:szCs w:val="24"/>
          <w:lang w:val="en-US" w:eastAsia="zh-CN"/>
        </w:rPr>
        <w:t>权，但</w:t>
      </w:r>
      <w:r>
        <w:rPr>
          <w:rFonts w:hint="eastAsia" w:ascii="宋体" w:hAnsi="宋体" w:eastAsia="宋体" w:cs="宋体"/>
          <w:b w:val="0"/>
          <w:bCs w:val="0"/>
          <w:sz w:val="24"/>
          <w:szCs w:val="24"/>
          <w:lang w:val="en-US" w:eastAsia="zh-CN"/>
        </w:rPr>
        <w:t>多方主体</w:t>
      </w:r>
      <w:r>
        <w:rPr>
          <w:rFonts w:hint="default" w:ascii="宋体" w:hAnsi="宋体" w:eastAsia="宋体" w:cs="宋体"/>
          <w:b w:val="0"/>
          <w:bCs w:val="0"/>
          <w:sz w:val="24"/>
          <w:szCs w:val="24"/>
          <w:lang w:val="en-US" w:eastAsia="zh-CN"/>
        </w:rPr>
        <w:t>对债务人的考察监督及</w:t>
      </w:r>
      <w:r>
        <w:rPr>
          <w:rFonts w:hint="eastAsia" w:ascii="宋体" w:hAnsi="宋体" w:eastAsia="宋体" w:cs="宋体"/>
          <w:b w:val="0"/>
          <w:bCs w:val="0"/>
          <w:sz w:val="24"/>
          <w:szCs w:val="24"/>
          <w:lang w:val="en-US" w:eastAsia="zh-CN"/>
        </w:rPr>
        <w:t>意见评估</w:t>
      </w:r>
      <w:r>
        <w:rPr>
          <w:rFonts w:hint="default" w:ascii="宋体" w:hAnsi="宋体" w:eastAsia="宋体" w:cs="宋体"/>
          <w:b w:val="0"/>
          <w:bCs w:val="0"/>
          <w:sz w:val="24"/>
          <w:szCs w:val="24"/>
          <w:lang w:val="en-US" w:eastAsia="zh-CN"/>
        </w:rPr>
        <w:t>，无疑</w:t>
      </w:r>
      <w:r>
        <w:rPr>
          <w:rFonts w:hint="eastAsia" w:ascii="宋体" w:hAnsi="宋体" w:eastAsia="宋体" w:cs="宋体"/>
          <w:b w:val="0"/>
          <w:bCs w:val="0"/>
          <w:sz w:val="24"/>
          <w:szCs w:val="24"/>
          <w:lang w:val="en-US" w:eastAsia="zh-CN"/>
        </w:rPr>
        <w:t>会削弱</w:t>
      </w:r>
      <w:r>
        <w:rPr>
          <w:rFonts w:hint="default" w:ascii="宋体" w:hAnsi="宋体" w:eastAsia="宋体" w:cs="宋体"/>
          <w:b w:val="0"/>
          <w:bCs w:val="0"/>
          <w:sz w:val="24"/>
          <w:szCs w:val="24"/>
          <w:lang w:val="en-US" w:eastAsia="zh-CN"/>
        </w:rPr>
        <w:t>债务人对</w:t>
      </w:r>
      <w:r>
        <w:rPr>
          <w:rFonts w:hint="eastAsia" w:ascii="宋体" w:hAnsi="宋体" w:eastAsia="宋体" w:cs="宋体"/>
          <w:b w:val="0"/>
          <w:bCs w:val="0"/>
          <w:sz w:val="24"/>
          <w:szCs w:val="24"/>
          <w:lang w:val="en-US" w:eastAsia="zh-CN"/>
        </w:rPr>
        <w:t>获得</w:t>
      </w:r>
      <w:r>
        <w:rPr>
          <w:rFonts w:hint="default" w:ascii="宋体" w:hAnsi="宋体" w:eastAsia="宋体" w:cs="宋体"/>
          <w:b w:val="0"/>
          <w:bCs w:val="0"/>
          <w:sz w:val="24"/>
          <w:szCs w:val="24"/>
          <w:lang w:val="en-US" w:eastAsia="zh-CN"/>
        </w:rPr>
        <w:t>免责的可能性预期。</w:t>
      </w:r>
      <w:r>
        <w:rPr>
          <w:rFonts w:hint="eastAsia"/>
          <w:sz w:val="24"/>
          <w:szCs w:val="24"/>
        </w:rPr>
        <w:t>该设计可能诱发道德风险</w:t>
      </w:r>
      <w:r>
        <w:rPr>
          <w:rFonts w:hint="default" w:ascii="宋体" w:hAnsi="宋体" w:eastAsia="宋体" w:cs="宋体"/>
          <w:b w:val="0"/>
          <w:bCs w:val="0"/>
          <w:sz w:val="24"/>
          <w:szCs w:val="24"/>
          <w:lang w:val="en-US" w:eastAsia="zh-CN"/>
        </w:rPr>
        <w:t>，使得部分债务人在预期难以获得免责的情况下，转而采取不正当手段规避债务清偿责任，这显然与个人破产制度设立的初衷背道而驰。</w:t>
      </w:r>
      <w:commentRangeEnd w:id="10"/>
      <w:r>
        <w:commentReference w:id="10"/>
      </w:r>
    </w:p>
    <w:p w14:paraId="28C16201">
      <w:pPr>
        <w:spacing w:line="360" w:lineRule="auto"/>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3.清偿比例规则脱离实际偿贷情况</w:t>
      </w:r>
    </w:p>
    <w:p w14:paraId="7494DC09">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color w:val="000000"/>
          <w:kern w:val="0"/>
          <w:sz w:val="24"/>
          <w:lang w:val="en-US" w:eastAsia="zh-CN"/>
        </w:rPr>
      </w:pPr>
      <w:r>
        <w:rPr>
          <w:rFonts w:hint="eastAsia"/>
          <w:sz w:val="24"/>
          <w:szCs w:val="24"/>
        </w:rPr>
        <w:t>试点规则普遍将考察期长短与实际清偿比例挂钩</w:t>
      </w:r>
      <w:r>
        <w:rPr>
          <w:rFonts w:hint="default" w:ascii="宋体" w:hAnsi="宋体" w:eastAsia="宋体" w:cs="宋体"/>
          <w:color w:val="000000"/>
          <w:kern w:val="0"/>
          <w:sz w:val="24"/>
          <w:lang w:val="en-US" w:eastAsia="zh-CN"/>
        </w:rPr>
        <w:t>，通过激励机制鼓励债务人积极履行偿债义务，以换取提前解除行为限制的法律效果。</w:t>
      </w:r>
      <w:r>
        <w:rPr>
          <w:rFonts w:hint="eastAsia"/>
          <w:sz w:val="24"/>
          <w:szCs w:val="24"/>
        </w:rPr>
        <w:t>然而，现有规则设定的比例要求与我国当前个人债务的实际清偿能力严重脱节。</w:t>
      </w:r>
      <w:r>
        <w:rPr>
          <w:rFonts w:hint="default" w:ascii="宋体" w:hAnsi="宋体" w:eastAsia="宋体" w:cs="宋体"/>
          <w:color w:val="000000"/>
          <w:kern w:val="0"/>
          <w:sz w:val="24"/>
          <w:lang w:val="en-US" w:eastAsia="zh-CN"/>
        </w:rPr>
        <w:t>根据《深圳条例》第100条规定，债务人申请缩短考察期的最低清偿比例要求为三分之一。而在地方实践中，苏州市吴江区在个人债务集中清理试点中设定的门槛为5%的清偿率</w:t>
      </w:r>
      <w:r>
        <w:rPr>
          <w:rFonts w:hint="eastAsia" w:ascii="宋体" w:hAnsi="宋体" w:eastAsia="宋体" w:cs="宋体"/>
          <w:color w:val="000000"/>
          <w:kern w:val="0"/>
          <w:sz w:val="24"/>
          <w:lang w:val="en-US" w:eastAsia="zh-CN"/>
        </w:rPr>
        <w:t>；</w:t>
      </w:r>
      <w:r>
        <w:rPr>
          <w:rFonts w:hint="default" w:ascii="宋体" w:hAnsi="宋体" w:eastAsia="宋体" w:cs="宋体"/>
          <w:color w:val="000000"/>
          <w:kern w:val="0"/>
          <w:sz w:val="24"/>
          <w:lang w:val="en-US" w:eastAsia="zh-CN"/>
        </w:rPr>
        <w:t>温州市则采取</w:t>
      </w:r>
      <w:r>
        <w:rPr>
          <w:rFonts w:hint="eastAsia" w:ascii="宋体" w:hAnsi="宋体" w:eastAsia="宋体" w:cs="宋体"/>
          <w:color w:val="000000"/>
          <w:kern w:val="0"/>
          <w:sz w:val="24"/>
          <w:lang w:val="en-US" w:eastAsia="zh-CN"/>
        </w:rPr>
        <w:t>阶梯式的</w:t>
      </w:r>
      <w:r>
        <w:rPr>
          <w:rFonts w:hint="default" w:ascii="宋体" w:hAnsi="宋体" w:eastAsia="宋体" w:cs="宋体"/>
          <w:color w:val="000000"/>
          <w:kern w:val="0"/>
          <w:sz w:val="24"/>
          <w:lang w:val="en-US" w:eastAsia="zh-CN"/>
        </w:rPr>
        <w:t>双重标准，</w:t>
      </w:r>
      <w:r>
        <w:rPr>
          <w:rFonts w:hint="eastAsia" w:ascii="宋体" w:hAnsi="宋体" w:eastAsia="宋体" w:cs="宋体"/>
          <w:color w:val="000000"/>
          <w:kern w:val="0"/>
          <w:sz w:val="24"/>
          <w:lang w:val="en-US" w:eastAsia="zh-CN"/>
        </w:rPr>
        <w:t>既设定</w:t>
      </w:r>
      <w:r>
        <w:rPr>
          <w:rFonts w:hint="default" w:ascii="宋体" w:hAnsi="宋体" w:eastAsia="宋体" w:cs="宋体"/>
          <w:color w:val="000000"/>
          <w:kern w:val="0"/>
          <w:sz w:val="24"/>
          <w:lang w:val="en-US" w:eastAsia="zh-CN"/>
        </w:rPr>
        <w:t>10</w:t>
      </w:r>
      <w:r>
        <w:rPr>
          <w:rFonts w:hint="eastAsia" w:ascii="宋体" w:hAnsi="宋体" w:eastAsia="宋体" w:cs="宋体"/>
          <w:color w:val="000000"/>
          <w:kern w:val="0"/>
          <w:sz w:val="24"/>
          <w:lang w:val="en-US" w:eastAsia="zh-CN"/>
        </w:rPr>
        <w:t>%的</w:t>
      </w:r>
      <w:r>
        <w:rPr>
          <w:rFonts w:hint="default" w:ascii="宋体" w:hAnsi="宋体" w:eastAsia="宋体" w:cs="宋体"/>
          <w:color w:val="000000"/>
          <w:kern w:val="0"/>
          <w:sz w:val="24"/>
          <w:lang w:val="en-US" w:eastAsia="zh-CN"/>
        </w:rPr>
        <w:t>最低清偿比例，又限定债务总额</w:t>
      </w:r>
      <w:r>
        <w:rPr>
          <w:rFonts w:hint="eastAsia" w:ascii="宋体" w:hAnsi="宋体" w:eastAsia="宋体" w:cs="宋体"/>
          <w:color w:val="000000"/>
          <w:kern w:val="0"/>
          <w:sz w:val="24"/>
          <w:lang w:val="en-US" w:eastAsia="zh-CN"/>
        </w:rPr>
        <w:t>区间为</w:t>
      </w:r>
      <w:r>
        <w:rPr>
          <w:rFonts w:hint="default" w:ascii="宋体" w:hAnsi="宋体" w:eastAsia="宋体" w:cs="宋体"/>
          <w:color w:val="000000"/>
          <w:kern w:val="0"/>
          <w:sz w:val="24"/>
          <w:lang w:val="en-US" w:eastAsia="zh-CN"/>
        </w:rPr>
        <w:t>500万至2000万元，经换</w:t>
      </w:r>
      <w:r>
        <w:rPr>
          <w:rFonts w:hint="eastAsia" w:ascii="宋体" w:hAnsi="宋体" w:eastAsia="宋体" w:cs="宋体"/>
          <w:color w:val="000000"/>
          <w:kern w:val="0"/>
          <w:sz w:val="24"/>
          <w:lang w:val="en-US" w:eastAsia="zh-CN"/>
        </w:rPr>
        <w:t>计</w:t>
      </w:r>
      <w:r>
        <w:rPr>
          <w:rFonts w:hint="default" w:ascii="宋体" w:hAnsi="宋体" w:eastAsia="宋体" w:cs="宋体"/>
          <w:color w:val="000000"/>
          <w:kern w:val="0"/>
          <w:sz w:val="24"/>
          <w:lang w:val="en-US" w:eastAsia="zh-CN"/>
        </w:rPr>
        <w:t>算实际最低清偿金额高达50万元。</w:t>
      </w:r>
    </w:p>
    <w:p w14:paraId="7B1E91CF">
      <w:pPr>
        <w:numPr>
          <w:ilvl w:val="0"/>
          <w:numId w:val="0"/>
        </w:numPr>
        <w:spacing w:line="360" w:lineRule="auto"/>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color w:val="000000"/>
          <w:kern w:val="0"/>
          <w:sz w:val="24"/>
          <w:lang w:val="en-US" w:eastAsia="zh-CN"/>
        </w:rPr>
        <w:t>从实践层面来看，在个人破产清算案件中，债务人的清偿比例普遍不高于20%，个别案件中债务清偿率甚至低于10%</w:t>
      </w:r>
      <w:r>
        <w:rPr>
          <w:rFonts w:hint="eastAsia" w:ascii="宋体" w:hAnsi="宋体" w:eastAsia="宋体" w:cs="宋体"/>
          <w:color w:val="000000"/>
          <w:kern w:val="0"/>
          <w:sz w:val="24"/>
          <w:lang w:val="en-US" w:eastAsia="zh-CN"/>
        </w:rPr>
        <w:t>。</w:t>
      </w:r>
      <w:r>
        <w:rPr>
          <w:rFonts w:hint="eastAsia" w:ascii="宋体" w:hAnsi="宋体" w:eastAsia="宋体" w:cs="宋体"/>
          <w:color w:val="000000"/>
          <w:kern w:val="0"/>
          <w:sz w:val="24"/>
          <w:vertAlign w:val="superscript"/>
          <w:lang w:val="en-US" w:eastAsia="zh-CN"/>
        </w:rPr>
        <w:t>①</w:t>
      </w:r>
      <w:r>
        <w:rPr>
          <w:rFonts w:hint="default" w:ascii="宋体" w:hAnsi="宋体" w:eastAsia="宋体" w:cs="宋体"/>
          <w:b w:val="0"/>
          <w:bCs w:val="0"/>
          <w:sz w:val="24"/>
          <w:szCs w:val="24"/>
          <w:lang w:val="en-US" w:eastAsia="zh-CN"/>
        </w:rPr>
        <w:t>根据2024年浙江省法院工作报告数据</w:t>
      </w:r>
      <w:r>
        <w:rPr>
          <w:rFonts w:hint="eastAsia" w:ascii="宋体" w:hAnsi="宋体" w:eastAsia="宋体" w:cs="宋体"/>
          <w:b w:val="0"/>
          <w:bCs w:val="0"/>
          <w:sz w:val="24"/>
          <w:szCs w:val="24"/>
          <w:vertAlign w:val="superscript"/>
          <w:lang w:val="en-US" w:eastAsia="zh-CN"/>
        </w:rPr>
        <w:t>[6]</w:t>
      </w:r>
      <w:r>
        <w:rPr>
          <w:rFonts w:hint="default" w:ascii="宋体" w:hAnsi="宋体" w:eastAsia="宋体" w:cs="宋体"/>
          <w:b w:val="0"/>
          <w:bCs w:val="0"/>
          <w:sz w:val="24"/>
          <w:szCs w:val="24"/>
          <w:lang w:val="en-US" w:eastAsia="zh-CN"/>
        </w:rPr>
        <w:t>，该省个人债务集中清理案件涉及债务总额76.16亿元，实际清偿金额4.28亿元，平均清偿率仅5.62%，可以达到苏州市吴江区</w:t>
      </w:r>
      <w:r>
        <w:rPr>
          <w:rFonts w:hint="eastAsia" w:ascii="宋体" w:hAnsi="宋体" w:eastAsia="宋体" w:cs="宋体"/>
          <w:b w:val="0"/>
          <w:bCs w:val="0"/>
          <w:sz w:val="24"/>
          <w:szCs w:val="24"/>
          <w:lang w:val="en-US" w:eastAsia="zh-CN"/>
        </w:rPr>
        <w:t>试点</w:t>
      </w:r>
      <w:r>
        <w:rPr>
          <w:rFonts w:hint="default" w:ascii="宋体" w:hAnsi="宋体" w:eastAsia="宋体" w:cs="宋体"/>
          <w:b w:val="0"/>
          <w:bCs w:val="0"/>
          <w:sz w:val="24"/>
          <w:szCs w:val="24"/>
          <w:lang w:val="en-US" w:eastAsia="zh-CN"/>
        </w:rPr>
        <w:t>规则百分之五以上，不足百分之十的标准，</w:t>
      </w:r>
      <w:r>
        <w:rPr>
          <w:rFonts w:hint="eastAsia" w:ascii="宋体" w:hAnsi="宋体" w:eastAsia="宋体" w:cs="宋体"/>
          <w:b w:val="0"/>
          <w:bCs w:val="0"/>
          <w:sz w:val="24"/>
          <w:szCs w:val="24"/>
          <w:lang w:val="en-US" w:eastAsia="zh-CN"/>
        </w:rPr>
        <w:t>但远未达到《深圳条例》第100条规定的</w:t>
      </w:r>
      <w:r>
        <w:rPr>
          <w:rFonts w:hint="default" w:ascii="宋体" w:hAnsi="宋体" w:eastAsia="宋体" w:cs="宋体"/>
          <w:b w:val="0"/>
          <w:bCs w:val="0"/>
          <w:sz w:val="24"/>
          <w:szCs w:val="24"/>
          <w:lang w:val="en-US" w:eastAsia="zh-CN"/>
        </w:rPr>
        <w:t>三分之一以上清偿</w:t>
      </w:r>
      <w:r>
        <w:rPr>
          <w:rFonts w:hint="eastAsia" w:ascii="宋体" w:hAnsi="宋体" w:eastAsia="宋体" w:cs="宋体"/>
          <w:b w:val="0"/>
          <w:bCs w:val="0"/>
          <w:sz w:val="24"/>
          <w:szCs w:val="24"/>
          <w:lang w:val="en-US" w:eastAsia="zh-CN"/>
        </w:rPr>
        <w:t>比例</w:t>
      </w:r>
      <w:r>
        <w:rPr>
          <w:rFonts w:hint="default" w:ascii="宋体" w:hAnsi="宋体" w:eastAsia="宋体" w:cs="宋体"/>
          <w:b w:val="0"/>
          <w:bCs w:val="0"/>
          <w:sz w:val="24"/>
          <w:szCs w:val="24"/>
          <w:lang w:val="en-US" w:eastAsia="zh-CN"/>
        </w:rPr>
        <w:t>的要求。因此，《深圳条例》规定中高达1/3甚至2/3的清偿比例要求，明显脱离实际清偿能力，亟需根据现实情况调低。</w:t>
      </w:r>
    </w:p>
    <w:p w14:paraId="3BA5AE9C">
      <w:pPr>
        <w:spacing w:line="360" w:lineRule="auto"/>
        <w:ind w:firstLine="560" w:firstLineChars="200"/>
        <w:jc w:val="both"/>
        <w:rPr>
          <w:rFonts w:hint="default" w:ascii="黑体" w:hAnsi="黑体" w:eastAsia="黑体" w:cs="黑体"/>
          <w:b w:val="0"/>
          <w:bCs/>
          <w:kern w:val="44"/>
          <w:sz w:val="28"/>
          <w:szCs w:val="36"/>
          <w:lang w:val="en-US" w:eastAsia="zh-CN" w:bidi="ar-SA"/>
        </w:rPr>
      </w:pPr>
      <w:r>
        <w:rPr>
          <w:rFonts w:hint="eastAsia" w:ascii="黑体" w:hAnsi="黑体" w:eastAsia="黑体" w:cs="黑体"/>
          <w:b w:val="0"/>
          <w:bCs/>
          <w:kern w:val="44"/>
          <w:sz w:val="28"/>
          <w:szCs w:val="36"/>
          <w:lang w:val="en-US" w:eastAsia="zh-CN" w:bidi="ar-SA"/>
        </w:rPr>
        <w:t>三、我国个人破产免责的前提条件的完善</w:t>
      </w:r>
    </w:p>
    <w:p w14:paraId="43BF4EC3">
      <w:pPr>
        <w:numPr>
          <w:ilvl w:val="0"/>
          <w:numId w:val="0"/>
        </w:numPr>
        <w:spacing w:line="360" w:lineRule="auto"/>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（一）免责条件规则的完善路径</w:t>
      </w:r>
    </w:p>
    <w:p w14:paraId="4D1F1589">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1.基于公正：不予免责的债务类型</w:t>
      </w:r>
    </w:p>
    <w:p w14:paraId="244B3A7F">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不予免责债务范围的设定需在公益保障与债务人权益间寻求平衡，并依据公平原则对现有规范进行细化。首先，建议将“基于雇佣关系产生的报酬请求权和预付金返还请求权”（劳动债权等）移出不予免责债务清单，调整至《深圳条例》第89条规定的优先清偿顺位（破产费用、共益债务之后）。《企业破产法》的立法实践已充分验证了这一制度设计的合理性与可操作性。具体而言：债权性质层面，劳动报酬请求权与担保物权的顺位关系，本质上仍属债权与物权优先效力之争，这与《企业破产法》立法时确立的“以公平清偿为核心价值，重点保障特殊债权”原则具有内在一致性。制度功能层面，若允许担保债权超出抵押物价值的部分免责，而劳动债权不能被免责，实质上形成了劳动债权优先于担保权的法律效果，与现行破产法确立的担保物权优先规则存在价值冲突。实践需求层面，个体工商户等小微主体在破产程序中常面临劳动债务占比过高问题。若强制保留此类债务的清偿义务，将严重削弱个人破产制度挽救困境经营者的制度价值。因此，建议参照《企业破产法》第113条确立的清偿顺位的规定，对《深圳条例》进行如下修改：将劳动债权与预付金返还请求权从免责例外中移除，调整为破产费用与共益债务之后的优先清偿顺位。</w:t>
      </w:r>
    </w:p>
    <w:p w14:paraId="013D6DF5">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次，建议对“所欠税款”设定时效限制。《深圳条例》现行规定将税收债权完全排除于免责范围，其立法理念虽体现了公共财政优先原则，但不加区分地将所有欠税情形均排除在免责范围之外并不合理。美国《破产法》第523条(a)(1)确立的税收免责规则具有参考价值，其对不可免责税收设定三重限制：税种类型、申报时限（破产前3年）及是否存在欺诈行为。我国《税收征收管理法》确立的税款追征规则体系，依据责任主体和行为性质的不同设置了相应的时效限制，具体分为三类情形：其一，因税务机关履职不当导致税款未足额缴纳的，三年内的可以要求其补足；其二，因纳税人或扣缴义务人非故意过错造成税款短缴的，税务机关可在3年内行使追征权，特殊情形下可延展至5年；其三，对存在主观恶意的税收违法行为（如偷逃税、抗税及骗税），实行无限期追征制度。</w:t>
      </w:r>
      <w:r>
        <w:rPr>
          <w:rFonts w:hint="eastAsia" w:ascii="宋体" w:hAnsi="宋体" w:eastAsia="宋体" w:cs="宋体"/>
          <w:b w:val="0"/>
          <w:bCs w:val="0"/>
          <w:sz w:val="24"/>
          <w:szCs w:val="24"/>
          <w:vertAlign w:val="superscript"/>
          <w:lang w:val="en-US" w:eastAsia="zh-CN"/>
        </w:rPr>
        <w:t>②</w:t>
      </w:r>
      <w:r>
        <w:rPr>
          <w:rFonts w:hint="eastAsia" w:ascii="宋体" w:hAnsi="宋体" w:eastAsia="宋体" w:cs="宋体"/>
          <w:b w:val="0"/>
          <w:bCs w:val="0"/>
          <w:sz w:val="24"/>
          <w:szCs w:val="24"/>
          <w:lang w:val="en-US" w:eastAsia="zh-CN"/>
        </w:rPr>
        <w:t>因此，个人破产免责中税款规则的设计应与《税收征收管理法》等法律法规相契合，具体而言，建议将破产申请前三年因税务机关或个人过失造成的欠缴税款纳入免责范围；而对存在虚假申报、隐匿财产等欺诈性逃税行为的欠税，则永久排除在免责范围之外。此举既实现了与现行税收法律体系的协调统一，又在保障国家税收权益的同时，促使税务机关依法履行征管职责。</w:t>
      </w:r>
    </w:p>
    <w:p w14:paraId="263DDB98">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2.基于诚信：不予免责的法定情形</w:t>
      </w:r>
    </w:p>
    <w:p w14:paraId="2627BDA0">
      <w:pPr>
        <w:numPr>
          <w:ilvl w:val="0"/>
          <w:numId w:val="0"/>
        </w:numPr>
        <w:spacing w:line="360" w:lineRule="auto"/>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不予免责法定情形是过滤非诚信债务人的核心工具。首先，建议为第98条第3款（奢侈消费等）及第5款（隐匿、不当处分财产）所涉行为增设“发生在破产程序启动前三年内”的时间限制。</w:t>
      </w:r>
      <w:r>
        <w:rPr>
          <w:rFonts w:hint="default" w:ascii="宋体" w:hAnsi="宋体" w:eastAsia="宋体" w:cs="宋体"/>
          <w:b w:val="0"/>
          <w:bCs w:val="0"/>
          <w:sz w:val="24"/>
          <w:szCs w:val="24"/>
          <w:highlight w:val="none"/>
          <w:lang w:val="en-US" w:eastAsia="zh-CN"/>
        </w:rPr>
        <w:t>立法对债务人预见长期资产恶化的能力要求过高，且未充分考量资产恶化与破产之间的因果关系。在认定免责例外时，需综合考察三个要素：破产的真实</w:t>
      </w:r>
      <w:r>
        <w:rPr>
          <w:rFonts w:hint="eastAsia" w:ascii="宋体" w:hAnsi="宋体" w:eastAsia="宋体" w:cs="宋体"/>
          <w:b w:val="0"/>
          <w:bCs w:val="0"/>
          <w:sz w:val="24"/>
          <w:szCs w:val="24"/>
          <w:highlight w:val="none"/>
          <w:lang w:val="en-US" w:eastAsia="zh-CN"/>
        </w:rPr>
        <w:t>原因</w:t>
      </w:r>
      <w:r>
        <w:rPr>
          <w:rFonts w:hint="default" w:ascii="宋体" w:hAnsi="宋体" w:eastAsia="宋体" w:cs="宋体"/>
          <w:b w:val="0"/>
          <w:bCs w:val="0"/>
          <w:sz w:val="24"/>
          <w:szCs w:val="24"/>
          <w:highlight w:val="none"/>
          <w:lang w:val="en-US" w:eastAsia="zh-CN"/>
        </w:rPr>
        <w:t>、不当行为的影响程度及债务人的主观</w:t>
      </w:r>
      <w:r>
        <w:rPr>
          <w:rFonts w:hint="eastAsia" w:ascii="宋体" w:hAnsi="宋体" w:eastAsia="宋体" w:cs="宋体"/>
          <w:b w:val="0"/>
          <w:bCs w:val="0"/>
          <w:sz w:val="24"/>
          <w:szCs w:val="24"/>
          <w:highlight w:val="none"/>
          <w:lang w:val="en-US" w:eastAsia="zh-CN"/>
        </w:rPr>
        <w:t>心理</w:t>
      </w:r>
      <w:r>
        <w:rPr>
          <w:rFonts w:hint="default" w:ascii="宋体" w:hAnsi="宋体" w:eastAsia="宋体" w:cs="宋体"/>
          <w:b w:val="0"/>
          <w:bCs w:val="0"/>
          <w:sz w:val="24"/>
          <w:szCs w:val="24"/>
          <w:highlight w:val="none"/>
          <w:lang w:val="en-US" w:eastAsia="zh-CN"/>
        </w:rPr>
        <w:t>。然而，此类评估因具有高度主观性，若实施全面</w:t>
      </w:r>
      <w:r>
        <w:rPr>
          <w:rFonts w:hint="eastAsia" w:ascii="宋体" w:hAnsi="宋体" w:eastAsia="宋体" w:cs="宋体"/>
          <w:b w:val="0"/>
          <w:bCs w:val="0"/>
          <w:sz w:val="24"/>
          <w:szCs w:val="24"/>
          <w:highlight w:val="none"/>
          <w:lang w:val="en-US" w:eastAsia="zh-CN"/>
        </w:rPr>
        <w:t>的合规性</w:t>
      </w:r>
      <w:r>
        <w:rPr>
          <w:rFonts w:hint="default" w:ascii="宋体" w:hAnsi="宋体" w:eastAsia="宋体" w:cs="宋体"/>
          <w:b w:val="0"/>
          <w:bCs w:val="0"/>
          <w:sz w:val="24"/>
          <w:szCs w:val="24"/>
          <w:highlight w:val="none"/>
          <w:lang w:val="en-US" w:eastAsia="zh-CN"/>
        </w:rPr>
        <w:t>审查</w:t>
      </w:r>
      <w:r>
        <w:rPr>
          <w:rFonts w:hint="eastAsia" w:ascii="宋体" w:hAnsi="宋体" w:eastAsia="宋体" w:cs="宋体"/>
          <w:b w:val="0"/>
          <w:bCs w:val="0"/>
          <w:sz w:val="24"/>
          <w:szCs w:val="24"/>
          <w:highlight w:val="none"/>
          <w:lang w:val="en-US" w:eastAsia="zh-CN"/>
        </w:rPr>
        <w:t>必定会</w:t>
      </w:r>
      <w:r>
        <w:rPr>
          <w:rFonts w:hint="default" w:ascii="宋体" w:hAnsi="宋体" w:eastAsia="宋体" w:cs="宋体"/>
          <w:b w:val="0"/>
          <w:bCs w:val="0"/>
          <w:sz w:val="24"/>
          <w:szCs w:val="24"/>
          <w:highlight w:val="none"/>
          <w:lang w:val="en-US" w:eastAsia="zh-CN"/>
        </w:rPr>
        <w:t>浪费大量的司法资源。</w:t>
      </w:r>
      <w:r>
        <w:rPr>
          <w:rFonts w:hint="default" w:ascii="宋体" w:hAnsi="宋体" w:eastAsia="宋体" w:cs="宋体"/>
          <w:b w:val="0"/>
          <w:bCs w:val="0"/>
          <w:sz w:val="24"/>
          <w:szCs w:val="24"/>
          <w:lang w:val="en-US" w:eastAsia="zh-CN"/>
        </w:rPr>
        <w:t>民法典中的三年诉讼时效规定体现了对权利行使期限的科学界定，该原则可为破产免责审查提供参照。</w:t>
      </w:r>
      <w:r>
        <w:rPr>
          <w:rFonts w:hint="eastAsia" w:ascii="宋体" w:hAnsi="宋体" w:eastAsia="宋体" w:cs="宋体"/>
          <w:b w:val="0"/>
          <w:bCs w:val="0"/>
          <w:sz w:val="24"/>
          <w:szCs w:val="24"/>
          <w:lang w:val="en-US" w:eastAsia="zh-CN"/>
        </w:rPr>
        <w:t>因此，</w:t>
      </w:r>
      <w:r>
        <w:rPr>
          <w:rFonts w:hint="default" w:ascii="宋体" w:hAnsi="宋体" w:eastAsia="宋体" w:cs="宋体"/>
          <w:b w:val="0"/>
          <w:bCs w:val="0"/>
          <w:sz w:val="24"/>
          <w:szCs w:val="24"/>
          <w:lang w:val="en-US" w:eastAsia="zh-CN"/>
        </w:rPr>
        <w:t>建议将不当行为审查时限设定为三年，其合理性在于：一方面，债务人对于三年内的财产处置行为具有可预见性，能够采取必要措施规避破产风险；另一方面，超过该期限的财产变动通常与破产进程缺乏实质关联。</w:t>
      </w:r>
    </w:p>
    <w:p w14:paraId="34BB0C13">
      <w:pPr>
        <w:numPr>
          <w:ilvl w:val="0"/>
          <w:numId w:val="0"/>
        </w:numPr>
        <w:spacing w:line="360" w:lineRule="auto"/>
        <w:ind w:firstLine="480" w:firstLineChars="200"/>
        <w:rPr>
          <w:rFonts w:hint="default" w:ascii="宋体" w:hAnsi="宋体" w:eastAsia="宋体" w:cs="宋体"/>
          <w:b w:val="0"/>
          <w:bCs w:val="0"/>
          <w:sz w:val="24"/>
          <w:szCs w:val="24"/>
          <w:lang w:val="en-US" w:eastAsia="zh-CN"/>
        </w:rPr>
      </w:pPr>
      <w:r>
        <w:rPr>
          <w:rFonts w:hint="eastAsia"/>
          <w:sz w:val="24"/>
          <w:szCs w:val="24"/>
        </w:rPr>
        <w:t>其次，建议增设原则性规定统领并兜底不予免责事由。</w:t>
      </w:r>
      <w:r>
        <w:rPr>
          <w:rFonts w:hint="eastAsia" w:ascii="宋体" w:hAnsi="宋体" w:eastAsia="宋体" w:cs="宋体"/>
          <w:b w:val="0"/>
          <w:bCs w:val="0"/>
          <w:sz w:val="24"/>
          <w:szCs w:val="24"/>
          <w:lang w:val="en-US" w:eastAsia="zh-CN"/>
        </w:rPr>
        <w:t>具体可增设两条：其一，损害国家与社会公共利益的不得免责。</w:t>
      </w:r>
      <w:r>
        <w:rPr>
          <w:rFonts w:hint="default" w:ascii="宋体" w:hAnsi="宋体" w:eastAsia="宋体" w:cs="宋体"/>
          <w:b w:val="0"/>
          <w:bCs w:val="0"/>
          <w:sz w:val="24"/>
          <w:szCs w:val="24"/>
          <w:lang w:val="en-US" w:eastAsia="zh-CN"/>
        </w:rPr>
        <w:t>若对个别债权人的</w:t>
      </w:r>
      <w:r>
        <w:rPr>
          <w:rFonts w:hint="eastAsia" w:ascii="宋体" w:hAnsi="宋体" w:eastAsia="宋体" w:cs="宋体"/>
          <w:b w:val="0"/>
          <w:bCs w:val="0"/>
          <w:sz w:val="24"/>
          <w:szCs w:val="24"/>
          <w:lang w:val="en-US" w:eastAsia="zh-CN"/>
        </w:rPr>
        <w:t>免责可能对国家利益或社会公共利益造成重大损害时，应当限制免责以实现利益平衡。其二，</w:t>
      </w:r>
      <w:r>
        <w:rPr>
          <w:rFonts w:hint="default" w:ascii="宋体" w:hAnsi="宋体" w:eastAsia="宋体" w:cs="宋体"/>
          <w:b w:val="0"/>
          <w:bCs w:val="0"/>
          <w:sz w:val="24"/>
          <w:szCs w:val="24"/>
          <w:lang w:val="en-US" w:eastAsia="zh-CN"/>
        </w:rPr>
        <w:t>违背诚信原则的不得免责。</w:t>
      </w:r>
      <w:r>
        <w:rPr>
          <w:rFonts w:hint="eastAsia" w:ascii="宋体" w:hAnsi="宋体" w:eastAsia="宋体" w:cs="宋体"/>
          <w:b w:val="0"/>
          <w:bCs w:val="0"/>
          <w:sz w:val="24"/>
          <w:szCs w:val="24"/>
          <w:lang w:val="en-US" w:eastAsia="zh-CN"/>
        </w:rPr>
        <w:t>个人破产制度本质上是对诚信债务人的救济机制，应将“诚信”要件作为债务免责的最低标准。</w:t>
      </w:r>
      <w:r>
        <w:rPr>
          <w:rFonts w:hint="default" w:ascii="宋体" w:hAnsi="宋体" w:eastAsia="宋体" w:cs="宋体"/>
          <w:b w:val="0"/>
          <w:bCs w:val="0"/>
          <w:sz w:val="24"/>
          <w:szCs w:val="24"/>
          <w:lang w:val="en-US" w:eastAsia="zh-CN"/>
        </w:rPr>
        <w:t>随着技术的发展，债务人对财产的恶意处置的情形也愈发复杂，远远不是《深圳条例》中所能罗列完全的</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故增加原则性规定与兜底条款很有必要。</w:t>
      </w:r>
    </w:p>
    <w:p w14:paraId="6CEEDB6D">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3.基于偿付：明确将债务人清偿能力作为免责条件</w:t>
      </w:r>
    </w:p>
    <w:p w14:paraId="51FE44BE">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美国《破产法》通过设立“收入测评”机制来规制债务人可能存在的程序滥用行为，该制度对债务人的程序选择权设置了明确的限制标准。当债务人的收入水平超过其所在州的中等收入标准，并且经测算每月可支配收入能够用于清偿的金额至少124.59～207.92美元（具体金额根据债务规模浮动调整）时</w:t>
      </w:r>
      <w:r>
        <w:rPr>
          <w:rFonts w:hint="eastAsia" w:ascii="宋体" w:hAnsi="宋体" w:eastAsia="宋体" w:cs="宋体"/>
          <w:b w:val="0"/>
          <w:bCs w:val="0"/>
          <w:sz w:val="24"/>
          <w:szCs w:val="24"/>
          <w:vertAlign w:val="superscript"/>
          <w:lang w:val="en-US" w:eastAsia="zh-CN"/>
        </w:rPr>
        <w:t>[7]</w:t>
      </w:r>
      <w:r>
        <w:rPr>
          <w:rFonts w:hint="eastAsia" w:ascii="宋体" w:hAnsi="宋体" w:eastAsia="宋体" w:cs="宋体"/>
          <w:b w:val="0"/>
          <w:bCs w:val="0"/>
          <w:sz w:val="24"/>
          <w:szCs w:val="24"/>
          <w:lang w:val="en-US" w:eastAsia="zh-CN"/>
        </w:rPr>
        <w:t>，法律即推定该债务人存在滥用破产免责制度的嫌疑。在此情形下，除非债务人同意将其破产案件由清算程序转为重整程序，否则法院将依法驳回破产申请。</w:t>
      </w:r>
    </w:p>
    <w:p w14:paraId="3889DBA6">
      <w:pPr>
        <w:numPr>
          <w:ilvl w:val="0"/>
          <w:numId w:val="0"/>
        </w:numPr>
        <w:spacing w:line="360" w:lineRule="auto"/>
        <w:ind w:firstLine="480" w:firstLineChars="200"/>
        <w:rPr>
          <w:rFonts w:hint="default" w:ascii="宋体" w:hAnsi="宋体" w:eastAsia="宋体" w:cs="宋体"/>
          <w:b w:val="0"/>
          <w:bCs w:val="0"/>
          <w:sz w:val="24"/>
          <w:szCs w:val="24"/>
          <w:lang w:val="en-US" w:eastAsia="zh-CN"/>
        </w:rPr>
      </w:pPr>
      <w:commentRangeStart w:id="11"/>
      <w:r>
        <w:rPr>
          <w:rFonts w:hint="eastAsia"/>
          <w:sz w:val="24"/>
          <w:szCs w:val="24"/>
        </w:rPr>
        <w:t>建议参考美国经验，将债务人清偿能力作为申请免责的实质性条件。</w:t>
      </w:r>
      <w:r>
        <w:rPr>
          <w:rFonts w:hint="eastAsia" w:ascii="宋体" w:hAnsi="宋体" w:eastAsia="宋体" w:cs="宋体"/>
          <w:b w:val="0"/>
          <w:bCs w:val="0"/>
          <w:sz w:val="24"/>
          <w:szCs w:val="24"/>
          <w:lang w:val="en-US" w:eastAsia="zh-CN"/>
        </w:rPr>
        <w:t>即使债务人当前处于资不抵债状态，只要其具有足额的收入来源且存在完全清偿债务的可能性，就应当优先考虑通过债务和解或重整程序来解决债务问题。</w:t>
      </w:r>
      <w:r>
        <w:rPr>
          <w:rFonts w:hint="default" w:ascii="宋体" w:hAnsi="宋体" w:eastAsia="宋体" w:cs="宋体"/>
          <w:b w:val="0"/>
          <w:bCs w:val="0"/>
          <w:sz w:val="24"/>
          <w:szCs w:val="24"/>
          <w:lang w:val="en-US" w:eastAsia="zh-CN"/>
        </w:rPr>
        <w:t>清偿能力的评估应基于两个核心要素：个人可支配收入与可用于偿债的“超额收入”。</w:t>
      </w:r>
      <w:r>
        <w:rPr>
          <w:rFonts w:hint="eastAsia" w:ascii="宋体" w:hAnsi="宋体" w:eastAsia="宋体" w:cs="宋体"/>
          <w:b w:val="0"/>
          <w:bCs w:val="0"/>
          <w:sz w:val="24"/>
          <w:szCs w:val="24"/>
          <w:lang w:val="en-US" w:eastAsia="zh-CN"/>
        </w:rPr>
        <w:t>前者</w:t>
      </w:r>
      <w:r>
        <w:rPr>
          <w:rFonts w:hint="default" w:ascii="宋体" w:hAnsi="宋体" w:eastAsia="宋体" w:cs="宋体"/>
          <w:b w:val="0"/>
          <w:bCs w:val="0"/>
          <w:sz w:val="24"/>
          <w:szCs w:val="24"/>
          <w:lang w:val="en-US" w:eastAsia="zh-CN"/>
        </w:rPr>
        <w:t>反映了债务人的实际消费能力和偿债潜力</w:t>
      </w:r>
      <w:r>
        <w:rPr>
          <w:rFonts w:hint="eastAsia" w:ascii="宋体" w:hAnsi="宋体" w:eastAsia="宋体" w:cs="宋体"/>
          <w:b w:val="0"/>
          <w:bCs w:val="0"/>
          <w:sz w:val="24"/>
          <w:szCs w:val="24"/>
          <w:lang w:val="en-US" w:eastAsia="zh-CN"/>
        </w:rPr>
        <w:t>，后者指</w:t>
      </w:r>
      <w:r>
        <w:rPr>
          <w:rFonts w:hint="default" w:ascii="宋体" w:hAnsi="宋体" w:eastAsia="宋体" w:cs="宋体"/>
          <w:b w:val="0"/>
          <w:bCs w:val="0"/>
          <w:sz w:val="24"/>
          <w:szCs w:val="24"/>
          <w:lang w:val="en-US" w:eastAsia="zh-CN"/>
        </w:rPr>
        <w:t>扣除债务人基本生活开支与必要花费后的剩余部分，需结合</w:t>
      </w:r>
      <w:r>
        <w:rPr>
          <w:rFonts w:hint="eastAsia" w:ascii="宋体" w:hAnsi="宋体" w:eastAsia="宋体" w:cs="宋体"/>
          <w:b w:val="0"/>
          <w:bCs w:val="0"/>
          <w:sz w:val="24"/>
          <w:szCs w:val="24"/>
          <w:lang w:val="en-US" w:eastAsia="zh-CN"/>
        </w:rPr>
        <w:t>其</w:t>
      </w:r>
      <w:r>
        <w:rPr>
          <w:rFonts w:hint="default" w:ascii="宋体" w:hAnsi="宋体" w:eastAsia="宋体" w:cs="宋体"/>
          <w:b w:val="0"/>
          <w:bCs w:val="0"/>
          <w:sz w:val="24"/>
          <w:szCs w:val="24"/>
          <w:lang w:val="en-US" w:eastAsia="zh-CN"/>
        </w:rPr>
        <w:t>职业特点、家庭状况等具体因素综合判定。</w:t>
      </w:r>
      <w:r>
        <w:rPr>
          <w:rFonts w:hint="eastAsia" w:ascii="宋体" w:hAnsi="宋体" w:eastAsia="宋体" w:cs="宋体"/>
          <w:b w:val="0"/>
          <w:bCs w:val="0"/>
          <w:sz w:val="24"/>
          <w:szCs w:val="24"/>
          <w:lang w:val="en-US" w:eastAsia="zh-CN"/>
        </w:rPr>
        <w:t>若两项指标均超过预设标准，则应认定债务人具备清偿能力，原则上不予免责，并引导其适用重整或和解程序。</w:t>
      </w:r>
      <w:r>
        <w:rPr>
          <w:rFonts w:hint="default" w:ascii="宋体" w:hAnsi="宋体" w:eastAsia="宋体" w:cs="宋体"/>
          <w:b w:val="0"/>
          <w:bCs w:val="0"/>
          <w:sz w:val="24"/>
          <w:szCs w:val="24"/>
          <w:lang w:val="en-US" w:eastAsia="zh-CN"/>
        </w:rPr>
        <w:t>就具体标准而言，个人前一年的可支配收入如果低于本地居民的人均和支配收入，且年“超额收入”占比债务</w:t>
      </w:r>
      <w:r>
        <w:rPr>
          <w:rFonts w:hint="eastAsia" w:ascii="宋体" w:hAnsi="宋体" w:eastAsia="宋体" w:cs="宋体"/>
          <w:b w:val="0"/>
          <w:bCs w:val="0"/>
          <w:sz w:val="24"/>
          <w:szCs w:val="24"/>
          <w:lang w:val="en-US" w:eastAsia="zh-CN"/>
        </w:rPr>
        <w:t>总额</w:t>
      </w:r>
      <w:r>
        <w:rPr>
          <w:rFonts w:hint="default" w:ascii="宋体" w:hAnsi="宋体" w:eastAsia="宋体" w:cs="宋体"/>
          <w:b w:val="0"/>
          <w:bCs w:val="0"/>
          <w:sz w:val="24"/>
          <w:szCs w:val="24"/>
          <w:lang w:val="en-US" w:eastAsia="zh-CN"/>
        </w:rPr>
        <w:t>小于１</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６的</w:t>
      </w:r>
      <w:r>
        <w:rPr>
          <w:rFonts w:hint="eastAsia" w:ascii="宋体" w:hAnsi="宋体" w:eastAsia="宋体" w:cs="宋体"/>
          <w:b w:val="0"/>
          <w:bCs w:val="0"/>
          <w:sz w:val="24"/>
          <w:szCs w:val="24"/>
          <w:vertAlign w:val="superscript"/>
          <w:lang w:val="en-US" w:eastAsia="zh-CN"/>
        </w:rPr>
        <w:t>③</w:t>
      </w:r>
      <w:r>
        <w:rPr>
          <w:rFonts w:hint="default" w:ascii="宋体" w:hAnsi="宋体" w:eastAsia="宋体" w:cs="宋体"/>
          <w:b w:val="0"/>
          <w:bCs w:val="0"/>
          <w:sz w:val="24"/>
          <w:szCs w:val="24"/>
          <w:lang w:val="en-US" w:eastAsia="zh-CN"/>
        </w:rPr>
        <w:t>，应推定债务人满足申请破产的收入标准。</w:t>
      </w:r>
      <w:commentRangeEnd w:id="11"/>
      <w:r>
        <w:commentReference w:id="11"/>
      </w:r>
    </w:p>
    <w:p w14:paraId="70F271C3">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（二）免责程序规则的完善路径</w:t>
      </w:r>
    </w:p>
    <w:p w14:paraId="40D208F8">
      <w:pPr>
        <w:numPr>
          <w:ilvl w:val="0"/>
          <w:numId w:val="0"/>
        </w:numPr>
        <w:spacing w:line="360" w:lineRule="auto"/>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1.基于选择：设置较为灵活的免责申请权</w:t>
      </w:r>
    </w:p>
    <w:p w14:paraId="3ECC10AD">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破产免责制度的程序应当遵循“申请-审查-决定”的基本逻辑框架：由债务人主动提出免责申请，经过严格的审查程序筛选出确实符合“诚实而不幸”标准的债务人，最终由司法机关作出是否准予免责的裁决。若强制启动免责程序，可能产生双重弊端：其一，当债务人基于传统偿债观念或特定债权关系仍愿履行剩余债务时，强制免责违背意思自治原则，偏离制度初衷；其二，对于因奢侈消费、赌博等不当行为丧失免责资格的债务人，自动启动免责考察程序</w:t>
      </w:r>
      <w:r>
        <w:rPr>
          <w:rFonts w:hint="eastAsia" w:ascii="宋体" w:hAnsi="宋体" w:eastAsia="宋体" w:cs="宋体"/>
          <w:sz w:val="24"/>
          <w:szCs w:val="24"/>
          <w:lang w:val="en-US" w:eastAsia="zh-CN"/>
        </w:rPr>
        <w:t>既浪费司法资源，又可能助长道德风险。因此，应赋予债务人是否申请免责的选择权。相比之下，债务人提出免责申请后进入免责考察期既体现了</w:t>
      </w:r>
      <w:commentRangeStart w:id="12"/>
      <w:r>
        <w:rPr>
          <w:rFonts w:hint="eastAsia" w:ascii="宋体" w:hAnsi="宋体" w:eastAsia="宋体" w:cs="宋体"/>
          <w:sz w:val="24"/>
          <w:szCs w:val="24"/>
          <w:lang w:val="en-US" w:eastAsia="zh-CN"/>
        </w:rPr>
        <w:t>对当事人处分权</w:t>
      </w:r>
      <w:commentRangeEnd w:id="12"/>
      <w:r>
        <w:commentReference w:id="12"/>
      </w:r>
      <w:r>
        <w:rPr>
          <w:rFonts w:hint="eastAsia" w:ascii="宋体" w:hAnsi="宋体" w:eastAsia="宋体" w:cs="宋体"/>
          <w:sz w:val="24"/>
          <w:szCs w:val="24"/>
          <w:lang w:val="en-US" w:eastAsia="zh-CN"/>
        </w:rPr>
        <w:t>的尊重，又保持了破产制度的核心功能。因此，</w:t>
      </w:r>
      <w:commentRangeStart w:id="13"/>
      <w:r>
        <w:rPr>
          <w:rFonts w:hint="eastAsia" w:ascii="宋体" w:hAnsi="宋体" w:eastAsia="宋体" w:cs="宋体"/>
          <w:sz w:val="24"/>
          <w:szCs w:val="24"/>
          <w:lang w:val="en-US" w:eastAsia="zh-CN"/>
        </w:rPr>
        <w:t>建议参考德国立法例</w:t>
      </w:r>
      <w:commentRangeEnd w:id="13"/>
      <w:r>
        <w:commentReference w:id="13"/>
      </w:r>
      <w:r>
        <w:rPr>
          <w:rFonts w:hint="eastAsia" w:ascii="宋体" w:hAnsi="宋体" w:eastAsia="宋体" w:cs="宋体"/>
          <w:sz w:val="24"/>
          <w:szCs w:val="24"/>
          <w:lang w:val="en-US" w:eastAsia="zh-CN"/>
        </w:rPr>
        <w:t>，弹性化处理免责申请时限：允许在提交破产申请时同步提出免责请求，或在破产程序进行中乃至破产宣告后特定</w:t>
      </w:r>
      <w:r>
        <w:rPr>
          <w:rFonts w:hint="eastAsia" w:ascii="宋体" w:hAnsi="宋体" w:eastAsia="宋体" w:cs="宋体"/>
          <w:b w:val="0"/>
          <w:bCs w:val="0"/>
          <w:sz w:val="24"/>
          <w:szCs w:val="24"/>
          <w:lang w:val="en-US" w:eastAsia="zh-CN"/>
        </w:rPr>
        <w:t>期限内补充申请。同时，明确债务人享有是否启动免责申请的决定权。</w:t>
      </w:r>
    </w:p>
    <w:p w14:paraId="08905844">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2.基于效率：简化适格债务人的许可免责程序</w:t>
      </w:r>
    </w:p>
    <w:p w14:paraId="19033FCF">
      <w:pPr>
        <w:numPr>
          <w:ilvl w:val="0"/>
          <w:numId w:val="0"/>
        </w:numPr>
        <w:spacing w:line="360" w:lineRule="auto"/>
        <w:ind w:firstLine="480" w:firstLineChars="200"/>
        <w:rPr>
          <w:rFonts w:hint="eastAsia" w:ascii="宋体" w:hAnsi="宋体" w:eastAsia="宋体" w:cs="宋体"/>
          <w:b w:val="0"/>
          <w:bCs w:val="0"/>
          <w:sz w:val="24"/>
          <w:szCs w:val="24"/>
          <w:lang w:val="en-US" w:eastAsia="zh-CN"/>
        </w:rPr>
      </w:pPr>
      <w:commentRangeStart w:id="14"/>
      <w:r>
        <w:rPr>
          <w:rFonts w:hint="eastAsia" w:ascii="宋体" w:hAnsi="宋体" w:eastAsia="宋体" w:cs="宋体"/>
          <w:b w:val="0"/>
          <w:bCs w:val="0"/>
          <w:sz w:val="24"/>
          <w:szCs w:val="24"/>
          <w:lang w:val="en-US" w:eastAsia="zh-CN"/>
        </w:rPr>
        <w:t>从英国立法例来看，债务人获得免责不以债权人同意为前置条件，这一制度安排体现了现代破产法对债务人利益的合理保护</w:t>
      </w:r>
      <w:commentRangeEnd w:id="14"/>
      <w:r>
        <w:commentReference w:id="14"/>
      </w:r>
      <w:r>
        <w:rPr>
          <w:rFonts w:hint="eastAsia" w:ascii="宋体" w:hAnsi="宋体" w:eastAsia="宋体" w:cs="宋体"/>
          <w:b w:val="0"/>
          <w:bCs w:val="0"/>
          <w:sz w:val="24"/>
          <w:szCs w:val="24"/>
          <w:lang w:val="en-US" w:eastAsia="zh-CN"/>
        </w:rPr>
        <w:t>，符合“重新开始”的破产法理念。根据《深圳条例》第101条规定，尽管债权人和破产事务管理部门仅通过管理人间接向法院陈述意见，但法院依据管理人报告以及债务人申请作出免责裁定时，多方主体的意见无疑会对裁定结果产生实质影响。</w:t>
      </w:r>
    </w:p>
    <w:p w14:paraId="5BEB69B9">
      <w:pPr>
        <w:numPr>
          <w:ilvl w:val="0"/>
          <w:numId w:val="0"/>
        </w:numPr>
        <w:spacing w:line="360" w:lineRule="auto"/>
        <w:ind w:firstLine="480" w:firstLineChars="200"/>
        <w:rPr>
          <w:rFonts w:hint="default"/>
          <w:sz w:val="24"/>
          <w:szCs w:val="24"/>
          <w:lang w:val="en-US" w:eastAsia="zh-CN"/>
        </w:rPr>
      </w:pPr>
      <w:r>
        <w:rPr>
          <w:rFonts w:hint="eastAsia" w:ascii="宋体" w:hAnsi="宋体" w:eastAsia="宋体" w:cs="宋体"/>
          <w:b w:val="0"/>
          <w:bCs w:val="0"/>
          <w:sz w:val="24"/>
          <w:szCs w:val="24"/>
          <w:lang w:val="en-US" w:eastAsia="zh-CN"/>
        </w:rPr>
        <w:t>这种制度设计存在明显的缺陷：一方面，债权人与破产事务部门的意见不具备专业性和中立性——债权人作为利益相关方难以客观评估债务人偿债能力，而破产事务部门的法定职责仅限于程序监督和信息管理，与债务人最终能否获得免责的实质性结果并无直接关联。另一方面</w:t>
      </w:r>
      <w:r>
        <w:rPr>
          <w:rFonts w:hint="default" w:ascii="宋体" w:hAnsi="宋体" w:eastAsia="宋体" w:cs="宋体"/>
          <w:b w:val="0"/>
          <w:bCs w:val="0"/>
          <w:sz w:val="24"/>
          <w:szCs w:val="24"/>
          <w:lang w:val="en-US" w:eastAsia="zh-CN"/>
        </w:rPr>
        <w:t>，法院审查应以查证属实的证据为依据，即使有</w:t>
      </w:r>
      <w:r>
        <w:rPr>
          <w:rFonts w:hint="eastAsia" w:ascii="宋体" w:hAnsi="宋体" w:eastAsia="宋体" w:cs="宋体"/>
          <w:b w:val="0"/>
          <w:bCs w:val="0"/>
          <w:sz w:val="24"/>
          <w:szCs w:val="24"/>
          <w:lang w:val="en-US" w:eastAsia="zh-CN"/>
        </w:rPr>
        <w:t>证</w:t>
      </w:r>
      <w:r>
        <w:rPr>
          <w:rFonts w:hint="default" w:ascii="宋体" w:hAnsi="宋体" w:eastAsia="宋体" w:cs="宋体"/>
          <w:b w:val="0"/>
          <w:bCs w:val="0"/>
          <w:sz w:val="24"/>
          <w:szCs w:val="24"/>
          <w:lang w:val="en-US" w:eastAsia="zh-CN"/>
        </w:rPr>
        <w:t>据证明</w:t>
      </w:r>
      <w:r>
        <w:rPr>
          <w:rFonts w:hint="eastAsia" w:ascii="宋体" w:hAnsi="宋体" w:eastAsia="宋体" w:cs="宋体"/>
          <w:b w:val="0"/>
          <w:bCs w:val="0"/>
          <w:sz w:val="24"/>
          <w:szCs w:val="24"/>
          <w:lang w:val="en-US" w:eastAsia="zh-CN"/>
        </w:rPr>
        <w:t>相关主体</w:t>
      </w:r>
      <w:r>
        <w:rPr>
          <w:rFonts w:hint="default" w:ascii="宋体" w:hAnsi="宋体" w:eastAsia="宋体" w:cs="宋体"/>
          <w:b w:val="0"/>
          <w:bCs w:val="0"/>
          <w:sz w:val="24"/>
          <w:szCs w:val="24"/>
          <w:lang w:val="en-US" w:eastAsia="zh-CN"/>
        </w:rPr>
        <w:t>的意见具有一定的证明力，</w:t>
      </w:r>
      <w:r>
        <w:rPr>
          <w:rFonts w:hint="eastAsia" w:ascii="宋体" w:hAnsi="宋体" w:eastAsia="宋体" w:cs="宋体"/>
          <w:b w:val="0"/>
          <w:bCs w:val="0"/>
          <w:sz w:val="24"/>
          <w:szCs w:val="24"/>
          <w:lang w:val="en-US" w:eastAsia="zh-CN"/>
        </w:rPr>
        <w:t>亦仅能</w:t>
      </w:r>
      <w:r>
        <w:rPr>
          <w:rFonts w:hint="default" w:ascii="宋体" w:hAnsi="宋体" w:eastAsia="宋体" w:cs="宋体"/>
          <w:b w:val="0"/>
          <w:bCs w:val="0"/>
          <w:sz w:val="24"/>
          <w:szCs w:val="24"/>
          <w:lang w:val="en-US" w:eastAsia="zh-CN"/>
        </w:rPr>
        <w:t>将查证属实的事实情况作为调查报告的一部分，而</w:t>
      </w:r>
      <w:r>
        <w:rPr>
          <w:rFonts w:hint="eastAsia" w:ascii="宋体" w:hAnsi="宋体" w:eastAsia="宋体" w:cs="宋体"/>
          <w:b w:val="0"/>
          <w:bCs w:val="0"/>
          <w:sz w:val="24"/>
          <w:szCs w:val="24"/>
          <w:lang w:val="en-US" w:eastAsia="zh-CN"/>
        </w:rPr>
        <w:t>非</w:t>
      </w:r>
      <w:r>
        <w:rPr>
          <w:rFonts w:hint="default" w:ascii="宋体" w:hAnsi="宋体" w:eastAsia="宋体" w:cs="宋体"/>
          <w:b w:val="0"/>
          <w:bCs w:val="0"/>
          <w:sz w:val="24"/>
          <w:szCs w:val="24"/>
          <w:lang w:val="en-US" w:eastAsia="zh-CN"/>
        </w:rPr>
        <w:t>将</w:t>
      </w:r>
      <w:r>
        <w:rPr>
          <w:rFonts w:hint="eastAsia" w:ascii="宋体" w:hAnsi="宋体" w:eastAsia="宋体" w:cs="宋体"/>
          <w:b w:val="0"/>
          <w:bCs w:val="0"/>
          <w:sz w:val="24"/>
          <w:szCs w:val="24"/>
          <w:lang w:val="en-US" w:eastAsia="zh-CN"/>
        </w:rPr>
        <w:t>其</w:t>
      </w:r>
      <w:r>
        <w:rPr>
          <w:rFonts w:hint="default" w:ascii="宋体" w:hAnsi="宋体" w:eastAsia="宋体" w:cs="宋体"/>
          <w:b w:val="0"/>
          <w:bCs w:val="0"/>
          <w:sz w:val="24"/>
          <w:szCs w:val="24"/>
          <w:lang w:val="en-US" w:eastAsia="zh-CN"/>
        </w:rPr>
        <w:t>意见作为调查报告的一部分。</w:t>
      </w:r>
      <w:r>
        <w:rPr>
          <w:rFonts w:hint="eastAsia" w:ascii="宋体" w:hAnsi="宋体" w:eastAsia="宋体" w:cs="宋体"/>
          <w:b w:val="0"/>
          <w:bCs w:val="0"/>
          <w:sz w:val="24"/>
          <w:szCs w:val="24"/>
          <w:lang w:val="en-US" w:eastAsia="zh-CN"/>
        </w:rPr>
        <w:t>因此，建议对适格债务人免责审查程序予以简化，修改方案应为：</w:t>
      </w:r>
      <w:r>
        <w:rPr>
          <w:rFonts w:hint="eastAsia"/>
          <w:sz w:val="24"/>
          <w:szCs w:val="24"/>
        </w:rPr>
        <w:t>债务人提出免责申请</w:t>
      </w:r>
      <w:r>
        <w:rPr>
          <w:rFonts w:hint="eastAsia"/>
          <w:sz w:val="24"/>
          <w:szCs w:val="24"/>
          <w:lang w:val="en-US" w:eastAsia="zh-CN"/>
        </w:rPr>
        <w:t>后</w:t>
      </w:r>
      <w:r>
        <w:rPr>
          <w:rFonts w:hint="eastAsia"/>
          <w:sz w:val="24"/>
          <w:szCs w:val="24"/>
        </w:rPr>
        <w:t>，</w:t>
      </w:r>
      <w:r>
        <w:rPr>
          <w:rFonts w:hint="eastAsia"/>
          <w:sz w:val="24"/>
          <w:szCs w:val="24"/>
          <w:lang w:val="en-US" w:eastAsia="zh-CN"/>
        </w:rPr>
        <w:t>首先，</w:t>
      </w:r>
      <w:r>
        <w:rPr>
          <w:rFonts w:hint="eastAsia"/>
          <w:sz w:val="24"/>
          <w:szCs w:val="24"/>
        </w:rPr>
        <w:t>管理人</w:t>
      </w:r>
      <w:r>
        <w:rPr>
          <w:rFonts w:hint="eastAsia"/>
          <w:sz w:val="24"/>
          <w:szCs w:val="24"/>
          <w:lang w:val="en-US" w:eastAsia="zh-CN"/>
        </w:rPr>
        <w:t>负责对相关事实进行核查</w:t>
      </w:r>
      <w:r>
        <w:rPr>
          <w:rFonts w:hint="eastAsia"/>
          <w:sz w:val="24"/>
          <w:szCs w:val="24"/>
        </w:rPr>
        <w:t>并</w:t>
      </w:r>
      <w:r>
        <w:rPr>
          <w:rFonts w:hint="eastAsia"/>
          <w:sz w:val="24"/>
          <w:szCs w:val="24"/>
          <w:lang w:val="en-US" w:eastAsia="zh-CN"/>
        </w:rPr>
        <w:t>提交专业评估报告；其次，</w:t>
      </w:r>
      <w:r>
        <w:rPr>
          <w:rFonts w:hint="eastAsia"/>
          <w:sz w:val="24"/>
          <w:szCs w:val="24"/>
        </w:rPr>
        <w:t>破产事务管理部门</w:t>
      </w:r>
      <w:r>
        <w:rPr>
          <w:rFonts w:hint="eastAsia"/>
          <w:sz w:val="24"/>
          <w:szCs w:val="24"/>
          <w:lang w:val="en-US" w:eastAsia="zh-CN"/>
        </w:rPr>
        <w:t>应对报告内容的真实性与完整性履行监督职责；最终，法院应当综合考量管理人报告、监管意见以及债务人的具体清偿能力等客观因素，依法独立作出是否准予免责的裁定。</w:t>
      </w:r>
      <w:r>
        <w:rPr>
          <w:rFonts w:hint="eastAsia" w:ascii="宋体" w:hAnsi="宋体" w:eastAsia="宋体" w:cs="宋体"/>
          <w:b w:val="0"/>
          <w:bCs w:val="0"/>
          <w:sz w:val="24"/>
          <w:szCs w:val="24"/>
          <w:vertAlign w:val="superscript"/>
          <w:lang w:val="en-US" w:eastAsia="zh-CN"/>
        </w:rPr>
        <w:t>[8]</w:t>
      </w:r>
    </w:p>
    <w:p w14:paraId="059C20FA">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outlineLvl w:val="2"/>
        <w:rPr>
          <w:rFonts w:hint="default" w:ascii="宋体" w:hAnsi="宋体" w:eastAsia="宋体" w:cs="宋体"/>
          <w:b w:val="0"/>
          <w:bCs w:val="0"/>
          <w:color w:val="000000"/>
          <w:kern w:val="0"/>
          <w:sz w:val="24"/>
          <w:lang w:val="en-US" w:eastAsia="zh-CN"/>
        </w:rPr>
      </w:pPr>
      <w:r>
        <w:rPr>
          <w:rFonts w:hint="eastAsia" w:ascii="宋体" w:hAnsi="宋体" w:eastAsia="宋体" w:cs="宋体"/>
          <w:b w:val="0"/>
          <w:bCs w:val="0"/>
          <w:color w:val="000000"/>
          <w:kern w:val="0"/>
          <w:sz w:val="24"/>
          <w:lang w:val="en-US" w:eastAsia="zh-CN"/>
        </w:rPr>
        <w:t>3.</w:t>
      </w:r>
      <w:commentRangeStart w:id="15"/>
      <w:r>
        <w:rPr>
          <w:rFonts w:hint="eastAsia" w:ascii="宋体" w:hAnsi="宋体" w:eastAsia="宋体" w:cs="宋体"/>
          <w:b w:val="0"/>
          <w:bCs w:val="0"/>
          <w:color w:val="000000"/>
          <w:kern w:val="0"/>
          <w:sz w:val="24"/>
          <w:lang w:val="en-US" w:eastAsia="zh-CN"/>
        </w:rPr>
        <w:t>基于“重生”</w:t>
      </w:r>
      <w:commentRangeEnd w:id="15"/>
      <w:r>
        <w:commentReference w:id="15"/>
      </w:r>
      <w:r>
        <w:rPr>
          <w:rFonts w:hint="eastAsia" w:ascii="宋体" w:hAnsi="宋体" w:eastAsia="宋体" w:cs="宋体"/>
          <w:b w:val="0"/>
          <w:bCs w:val="0"/>
          <w:color w:val="000000"/>
          <w:kern w:val="0"/>
          <w:sz w:val="24"/>
          <w:lang w:val="en-US" w:eastAsia="zh-CN"/>
        </w:rPr>
        <w:t>：完善动态清偿比例规则</w:t>
      </w:r>
    </w:p>
    <w:p w14:paraId="63C4698C">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清偿比例越低，表明债务人财务困境越严重，越需通过免责制度实现</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重生</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，但不合理的免责考察期设置反而使其难以获得新生机会。</w:t>
      </w:r>
      <w:commentRangeStart w:id="16"/>
      <w:r>
        <w:rPr>
          <w:rFonts w:hint="default" w:ascii="宋体" w:hAnsi="宋体" w:eastAsia="宋体" w:cs="宋体"/>
          <w:b w:val="0"/>
          <w:bCs w:val="0"/>
          <w:sz w:val="24"/>
          <w:szCs w:val="24"/>
          <w:lang w:val="en-US" w:eastAsia="zh-CN"/>
        </w:rPr>
        <w:t>域外国家的司法实践中也存在</w:t>
      </w:r>
      <w:r>
        <w:rPr>
          <w:rFonts w:hint="eastAsia" w:ascii="宋体" w:hAnsi="宋体" w:eastAsia="宋体" w:cs="宋体"/>
          <w:b w:val="0"/>
          <w:bCs w:val="0"/>
          <w:sz w:val="24"/>
          <w:szCs w:val="24"/>
          <w:lang w:val="en-US" w:eastAsia="zh-CN"/>
        </w:rPr>
        <w:t>清偿比例过高</w:t>
      </w:r>
      <w:r>
        <w:rPr>
          <w:rFonts w:hint="default" w:ascii="宋体" w:hAnsi="宋体" w:eastAsia="宋体" w:cs="宋体"/>
          <w:b w:val="0"/>
          <w:bCs w:val="0"/>
          <w:sz w:val="24"/>
          <w:szCs w:val="24"/>
          <w:lang w:val="en-US" w:eastAsia="zh-CN"/>
        </w:rPr>
        <w:t>情况，奥地利破产法在2017年改革之前要求债务人最低清偿比例达到10%方可获得免责</w:t>
      </w:r>
      <w:r>
        <w:rPr>
          <w:rFonts w:hint="eastAsia" w:ascii="宋体" w:hAnsi="宋体" w:eastAsia="宋体" w:cs="宋体"/>
          <w:b w:val="0"/>
          <w:bCs w:val="0"/>
          <w:sz w:val="24"/>
          <w:szCs w:val="24"/>
          <w:vertAlign w:val="superscript"/>
          <w:lang w:val="en-US" w:eastAsia="zh-CN"/>
        </w:rPr>
        <w:t>[9]</w:t>
      </w:r>
      <w:r>
        <w:rPr>
          <w:rFonts w:hint="default" w:ascii="宋体" w:hAnsi="宋体" w:eastAsia="宋体" w:cs="宋体"/>
          <w:b w:val="0"/>
          <w:bCs w:val="0"/>
          <w:sz w:val="24"/>
          <w:szCs w:val="24"/>
          <w:lang w:val="en-US" w:eastAsia="zh-CN"/>
        </w:rPr>
        <w:t>，但是根据2004年奥地利个人破产案件数据显示，债权人平均受偿比例仅为12.5%，仅比最低清偿要求高出2.5%。</w:t>
      </w:r>
      <w:r>
        <w:rPr>
          <w:rFonts w:hint="eastAsia" w:ascii="宋体" w:hAnsi="宋体" w:eastAsia="宋体" w:cs="宋体"/>
          <w:b w:val="0"/>
          <w:bCs w:val="0"/>
          <w:sz w:val="24"/>
          <w:szCs w:val="24"/>
          <w:vertAlign w:val="superscript"/>
          <w:lang w:val="en-US" w:eastAsia="zh-CN"/>
        </w:rPr>
        <w:t>[10]</w:t>
      </w:r>
      <w:r>
        <w:rPr>
          <w:rFonts w:hint="eastAsia" w:ascii="宋体" w:hAnsi="宋体" w:eastAsia="宋体" w:cs="宋体"/>
          <w:b w:val="0"/>
          <w:bCs w:val="0"/>
          <w:sz w:val="24"/>
          <w:szCs w:val="24"/>
          <w:lang w:val="en-US" w:eastAsia="zh-CN"/>
        </w:rPr>
        <w:t>据调查，</w:t>
      </w:r>
      <w:r>
        <w:rPr>
          <w:rFonts w:hint="default" w:ascii="宋体" w:hAnsi="宋体" w:eastAsia="宋体" w:cs="宋体"/>
          <w:b w:val="0"/>
          <w:bCs w:val="0"/>
          <w:sz w:val="24"/>
          <w:szCs w:val="24"/>
          <w:lang w:val="en-US" w:eastAsia="zh-CN"/>
        </w:rPr>
        <w:t>无论免责考察期规定多长，几乎没有债务人能够在扣除自己及家庭成员基本生活成本和破产管理成本后还有足额资金实质性偿还债务</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vertAlign w:val="superscript"/>
          <w:lang w:val="en-US" w:eastAsia="zh-CN"/>
        </w:rPr>
        <w:t>[11]</w:t>
      </w:r>
      <w:r>
        <w:rPr>
          <w:rFonts w:hint="eastAsia" w:ascii="宋体" w:hAnsi="宋体" w:eastAsia="宋体" w:cs="宋体"/>
          <w:b w:val="0"/>
          <w:bCs w:val="0"/>
          <w:sz w:val="24"/>
          <w:szCs w:val="24"/>
          <w:lang w:val="en-US" w:eastAsia="zh-CN"/>
        </w:rPr>
        <w:t>因此，建议立足我国实际清偿能力，构建动态、阶梯式的清偿比例规则。可参考苏州吴江区等地方实践，显著降低最低清偿基准线（如设定在5%左右），并建立弹性梯度（如5%、10%、15%），使其与差异化的考察期相匹配。</w:t>
      </w:r>
      <w:commentRangeEnd w:id="16"/>
      <w:r>
        <w:commentReference w:id="16"/>
      </w:r>
    </w:p>
    <w:p w14:paraId="3EF93493">
      <w:pPr>
        <w:keepNext w:val="0"/>
        <w:keepLines w:val="0"/>
        <w:pageBreakBefore w:val="0"/>
        <w:widowControl/>
        <w:kinsoku/>
        <w:wordWrap/>
        <w:overflowPunct/>
        <w:topLinePunct w:val="0"/>
        <w:autoSpaceDE/>
        <w:autoSpaceDN/>
        <w:bidi w:val="0"/>
        <w:adjustRightInd/>
        <w:snapToGrid/>
        <w:spacing w:line="360" w:lineRule="auto"/>
        <w:jc w:val="center"/>
        <w:textAlignment w:val="auto"/>
        <w:outlineLvl w:val="0"/>
        <w:rPr>
          <w:rFonts w:hint="eastAsia" w:ascii="黑体" w:hAnsi="黑体" w:eastAsia="黑体" w:cs="宋体"/>
          <w:b w:val="0"/>
          <w:bCs/>
          <w:kern w:val="44"/>
          <w:sz w:val="28"/>
          <w:szCs w:val="36"/>
          <w:lang w:val="en-US" w:eastAsia="zh-CN" w:bidi="ar-SA"/>
        </w:rPr>
      </w:pPr>
      <w:r>
        <w:rPr>
          <w:rFonts w:hint="eastAsia" w:ascii="黑体" w:hAnsi="黑体" w:eastAsia="黑体" w:cs="宋体"/>
          <w:b w:val="0"/>
          <w:bCs/>
          <w:kern w:val="44"/>
          <w:sz w:val="28"/>
          <w:szCs w:val="36"/>
          <w:lang w:val="en-US" w:eastAsia="zh-CN" w:bidi="ar-SA"/>
        </w:rPr>
        <w:t>结语</w:t>
      </w:r>
    </w:p>
    <w:p w14:paraId="2968FE84">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个人破产免责制度设计的根本出发点在于平衡债权人与债务人利益。通过设定合理的免责前提条件，在有效防范制度滥用风险的同时，实现各方主体利益的修改配置。本文建议：在免责条件上，修改不予免责债务范围（如将劳动债权移入优先清偿序列、对税收债权设置时效限制）、补充不予免责情形的原则性规定（如损害公益、违背诚信）、确立债务人行为审查期限（如前溯三年）、并将债务人清偿能力作为核心考量因素；在免责程序上，赋予债务人灵活的免责申请权、简化适格债务人的免责审查流程、构建基于实</w:t>
      </w:r>
      <w:bookmarkStart w:id="0" w:name="_GoBack"/>
      <w:bookmarkEnd w:id="0"/>
      <w:r>
        <w:rPr>
          <w:rFonts w:hint="eastAsia" w:ascii="宋体" w:hAnsi="宋体" w:eastAsia="宋体" w:cs="宋体"/>
          <w:sz w:val="24"/>
          <w:szCs w:val="24"/>
        </w:rPr>
        <w:t>际清偿能力的动态清偿比例梯度。我国构建个人破产免责制度，应充分借鉴域外经验，立足本土实际，制定具有中国特色的免责规则框架。</w:t>
      </w:r>
    </w:p>
    <w:p w14:paraId="4658A3C7">
      <w:pPr>
        <w:spacing w:line="360" w:lineRule="auto"/>
        <w:ind w:firstLine="480" w:firstLineChars="200"/>
        <w:rPr>
          <w:rFonts w:hint="eastAsia" w:ascii="宋体" w:hAnsi="宋体" w:eastAsia="宋体" w:cs="宋体"/>
          <w:sz w:val="24"/>
          <w:szCs w:val="24"/>
        </w:rPr>
      </w:pPr>
    </w:p>
    <w:p w14:paraId="72AAD9F6">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0"/>
        <w:rPr>
          <w:rFonts w:hint="eastAsia" w:ascii="黑体" w:hAnsi="黑体" w:eastAsia="黑体" w:cs="宋体"/>
          <w:b w:val="0"/>
          <w:bCs/>
          <w:kern w:val="44"/>
          <w:sz w:val="24"/>
          <w:szCs w:val="32"/>
          <w:lang w:val="en-US" w:eastAsia="zh-CN" w:bidi="ar-SA"/>
        </w:rPr>
      </w:pPr>
      <w:r>
        <w:rPr>
          <w:rFonts w:hint="eastAsia" w:ascii="黑体" w:hAnsi="黑体" w:eastAsia="黑体" w:cs="宋体"/>
          <w:b w:val="0"/>
          <w:bCs/>
          <w:kern w:val="44"/>
          <w:sz w:val="24"/>
          <w:szCs w:val="32"/>
          <w:lang w:val="en-US" w:eastAsia="zh-CN" w:bidi="ar-SA"/>
        </w:rPr>
        <w:t>注释：</w:t>
      </w:r>
    </w:p>
    <w:p w14:paraId="5D91F068">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①参见闫某个人破产重整案，</w:t>
      </w:r>
      <w:r>
        <w:rPr>
          <w:rFonts w:hint="default" w:ascii="宋体" w:hAnsi="宋体" w:eastAsia="宋体" w:cs="宋体"/>
          <w:sz w:val="22"/>
          <w:szCs w:val="22"/>
          <w:lang w:val="en-US" w:eastAsia="zh-CN"/>
        </w:rPr>
        <w:t>深圳市中级人民法院（2021）粤03破409号民事裁定书。</w:t>
      </w:r>
    </w:p>
    <w:p w14:paraId="0508BB2A">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②见《税收征收管理法》第52条。</w:t>
      </w:r>
    </w:p>
    <w:p w14:paraId="2755C5CE">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③此处1/6与《条例》第100条考察期经过两年可偿还债务依然无法达至的1/3相契合，若考察期经过两年可偿还债务依然无法达至１／３的，应当认定债务人在申请破产时的超额收入不具备清偿能力。</w:t>
      </w:r>
    </w:p>
    <w:p w14:paraId="0153BECB">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40" w:firstLineChars="200"/>
        <w:textAlignment w:val="auto"/>
        <w:rPr>
          <w:rFonts w:hint="eastAsia" w:ascii="宋体" w:hAnsi="宋体" w:eastAsia="宋体" w:cs="宋体"/>
          <w:sz w:val="22"/>
          <w:szCs w:val="22"/>
          <w:lang w:val="en-US" w:eastAsia="zh-CN"/>
        </w:rPr>
      </w:pPr>
    </w:p>
    <w:p w14:paraId="6FA5479E">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0"/>
        <w:rPr>
          <w:rFonts w:hint="eastAsia" w:ascii="黑体" w:hAnsi="黑体" w:eastAsia="黑体" w:cs="宋体"/>
          <w:b w:val="0"/>
          <w:bCs/>
          <w:kern w:val="44"/>
          <w:sz w:val="24"/>
          <w:szCs w:val="32"/>
          <w:lang w:val="en-US" w:eastAsia="zh-CN" w:bidi="ar-SA"/>
        </w:rPr>
      </w:pPr>
      <w:r>
        <w:rPr>
          <w:rFonts w:hint="eastAsia" w:ascii="黑体" w:hAnsi="黑体" w:eastAsia="黑体" w:cs="宋体"/>
          <w:b w:val="0"/>
          <w:bCs/>
          <w:kern w:val="44"/>
          <w:sz w:val="24"/>
          <w:szCs w:val="32"/>
          <w:lang w:val="en-US" w:eastAsia="zh-CN" w:bidi="ar-SA"/>
        </w:rPr>
        <w:t>参考文献：</w:t>
      </w:r>
    </w:p>
    <w:p w14:paraId="52DB0572">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刘冰.我国个人破产免责制度的构建[J].法商研究,2022,39(05):88-101.</w:t>
      </w:r>
    </w:p>
    <w:p w14:paraId="287E8BD9">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赵万一,高达.论我国个人破产制度的构建[J].法商研究,2014,31(03):81-89.</w:t>
      </w:r>
    </w:p>
    <w:p w14:paraId="105DB61B">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靳岩岩.论个人破产法上免责考察制度的法律构造[J].财经法学,2022,(01):90-103.</w:t>
      </w:r>
    </w:p>
    <w:p w14:paraId="71C3110F">
      <w:pPr>
        <w:numPr>
          <w:ilvl w:val="0"/>
          <w:numId w:val="1"/>
        </w:numPr>
        <w:spacing w:line="360" w:lineRule="auto"/>
        <w:ind w:left="42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魏霞,周益.我国个人破产免责的模式锚定与体系构想[J].金融发展研究,2023,(08):71-79.</w:t>
      </w:r>
    </w:p>
    <w:p w14:paraId="6AE6D497">
      <w:pPr>
        <w:numPr>
          <w:ilvl w:val="0"/>
          <w:numId w:val="1"/>
        </w:numPr>
        <w:spacing w:line="360" w:lineRule="auto"/>
        <w:ind w:left="42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贺丹.个人破产免责的中国模式探究——一个国际比较的视角[J].中国法律评论,2021,42(06):60-74.</w:t>
      </w:r>
    </w:p>
    <w:p w14:paraId="0EA3EB94">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徐建新等.先行先试积极探索，稳妥推进债务</w:t>
      </w:r>
      <w:r>
        <w:rPr>
          <w:rFonts w:hint="default" w:ascii="宋体" w:hAnsi="宋体" w:eastAsia="宋体" w:cs="宋体"/>
          <w:sz w:val="22"/>
          <w:szCs w:val="22"/>
          <w:lang w:val="en-US" w:eastAsia="zh-CN"/>
        </w:rPr>
        <w:t>清理——浙江高院关于个人债务集中清理（类个人破产）工作情况的调研报告[EB.OL].中国法院网,2020-12-24.</w:t>
      </w:r>
    </w:p>
    <w:p w14:paraId="6C53834D">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（美）查尔斯·Ｊ·泰步著.</w:t>
      </w:r>
      <w:r>
        <w:rPr>
          <w:rFonts w:hint="default" w:ascii="宋体" w:hAnsi="宋体" w:eastAsia="宋体" w:cs="宋体"/>
          <w:sz w:val="22"/>
          <w:szCs w:val="22"/>
          <w:lang w:val="en-US" w:eastAsia="zh-CN"/>
        </w:rPr>
        <w:t>韩长印等译.美国破产法新论</w:t>
      </w:r>
      <w:r>
        <w:rPr>
          <w:rFonts w:hint="eastAsia" w:ascii="宋体" w:hAnsi="宋体" w:eastAsia="宋体" w:cs="宋体"/>
          <w:sz w:val="22"/>
          <w:szCs w:val="22"/>
          <w:lang w:val="en-US" w:eastAsia="zh-CN"/>
        </w:rPr>
        <w:t>（下册）</w:t>
      </w:r>
      <w:r>
        <w:rPr>
          <w:rFonts w:hint="default" w:ascii="宋体" w:hAnsi="宋体" w:eastAsia="宋体" w:cs="宋体"/>
          <w:sz w:val="22"/>
          <w:szCs w:val="22"/>
          <w:lang w:val="en-US" w:eastAsia="zh-CN"/>
        </w:rPr>
        <w:t>[M].北京：中国政法大学出版社,2017.</w:t>
      </w:r>
    </w:p>
    <w:p w14:paraId="60552BAD">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翟业虎,刘荣浩.论个人破产免责的限制[J].法律适用,2022,(05):166-176.</w:t>
      </w:r>
    </w:p>
    <w:p w14:paraId="75E4066F">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贺桂华,李炎明.我国个人破产免责中限制规则研究[J].文化学刊,2023,(08):123-128.</w:t>
      </w:r>
    </w:p>
    <w:p w14:paraId="17E930C7">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沈冠伶.2012.消费者债务清理之清算免责制度——以信用卡债务为中心［J］.台大法学论丛.41(2):591-640.</w:t>
      </w:r>
    </w:p>
    <w:p w14:paraId="0640D2EF">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highlight w:val="none"/>
          <w:lang w:val="en-US" w:eastAsia="zh-CN"/>
        </w:rPr>
      </w:pPr>
      <w:r>
        <w:rPr>
          <w:rFonts w:hint="eastAsia" w:ascii="宋体" w:hAnsi="宋体" w:eastAsia="宋体" w:cs="宋体"/>
          <w:sz w:val="22"/>
          <w:szCs w:val="22"/>
          <w:highlight w:val="none"/>
          <w:lang w:val="en-US" w:eastAsia="zh-CN"/>
        </w:rPr>
        <w:t>自然人破产处理工作小组起草</w:t>
      </w:r>
      <w:r>
        <w:rPr>
          <w:rFonts w:hint="default" w:ascii="宋体" w:hAnsi="宋体" w:eastAsia="宋体" w:cs="宋体"/>
          <w:sz w:val="22"/>
          <w:szCs w:val="22"/>
          <w:highlight w:val="none"/>
          <w:lang w:val="en-US" w:eastAsia="zh-CN"/>
        </w:rPr>
        <w:t>.2016.</w:t>
      </w:r>
      <w:r>
        <w:rPr>
          <w:rFonts w:hint="eastAsia" w:ascii="宋体" w:hAnsi="宋体" w:eastAsia="宋体" w:cs="宋体"/>
          <w:sz w:val="22"/>
          <w:szCs w:val="22"/>
          <w:highlight w:val="none"/>
          <w:lang w:val="en-US" w:eastAsia="zh-CN"/>
        </w:rPr>
        <w:t>世界银行自然人破产问题处理报告［</w:t>
      </w:r>
      <w:r>
        <w:rPr>
          <w:rFonts w:hint="default" w:ascii="宋体" w:hAnsi="宋体" w:eastAsia="宋体" w:cs="宋体"/>
          <w:sz w:val="22"/>
          <w:szCs w:val="22"/>
          <w:highlight w:val="none"/>
          <w:lang w:val="en-US" w:eastAsia="zh-CN"/>
        </w:rPr>
        <w:t>M</w:t>
      </w:r>
      <w:r>
        <w:rPr>
          <w:rFonts w:hint="eastAsia" w:ascii="宋体" w:hAnsi="宋体" w:eastAsia="宋体" w:cs="宋体"/>
          <w:sz w:val="22"/>
          <w:szCs w:val="22"/>
          <w:highlight w:val="none"/>
          <w:lang w:val="en-US" w:eastAsia="zh-CN"/>
        </w:rPr>
        <w:t>］</w:t>
      </w:r>
      <w:r>
        <w:rPr>
          <w:rFonts w:hint="default" w:ascii="宋体" w:hAnsi="宋体" w:eastAsia="宋体" w:cs="宋体"/>
          <w:sz w:val="22"/>
          <w:szCs w:val="22"/>
          <w:highlight w:val="none"/>
          <w:lang w:val="en-US" w:eastAsia="zh-CN"/>
        </w:rPr>
        <w:t xml:space="preserve">. </w:t>
      </w:r>
      <w:r>
        <w:rPr>
          <w:rFonts w:hint="eastAsia" w:ascii="宋体" w:hAnsi="宋体" w:eastAsia="宋体" w:cs="宋体"/>
          <w:sz w:val="22"/>
          <w:szCs w:val="22"/>
          <w:highlight w:val="none"/>
          <w:lang w:val="en-US" w:eastAsia="zh-CN"/>
        </w:rPr>
        <w:t>殷慧芬</w:t>
      </w:r>
      <w:r>
        <w:rPr>
          <w:rFonts w:hint="default" w:ascii="宋体" w:hAnsi="宋体" w:eastAsia="宋体" w:cs="宋体"/>
          <w:sz w:val="22"/>
          <w:szCs w:val="22"/>
          <w:highlight w:val="none"/>
          <w:lang w:val="en-US" w:eastAsia="zh-CN"/>
        </w:rPr>
        <w:t>,</w:t>
      </w:r>
      <w:r>
        <w:rPr>
          <w:rFonts w:hint="eastAsia" w:ascii="宋体" w:hAnsi="宋体" w:eastAsia="宋体" w:cs="宋体"/>
          <w:sz w:val="22"/>
          <w:szCs w:val="22"/>
          <w:highlight w:val="none"/>
          <w:lang w:val="en-US" w:eastAsia="zh-CN"/>
        </w:rPr>
        <w:t>张达译</w:t>
      </w:r>
      <w:r>
        <w:rPr>
          <w:rFonts w:hint="default" w:ascii="宋体" w:hAnsi="宋体" w:eastAsia="宋体" w:cs="宋体"/>
          <w:sz w:val="22"/>
          <w:szCs w:val="22"/>
          <w:highlight w:val="none"/>
          <w:lang w:val="en-US" w:eastAsia="zh-CN"/>
        </w:rPr>
        <w:t>.</w:t>
      </w:r>
      <w:r>
        <w:rPr>
          <w:rFonts w:hint="eastAsia" w:ascii="宋体" w:hAnsi="宋体" w:eastAsia="宋体" w:cs="宋体"/>
          <w:sz w:val="22"/>
          <w:szCs w:val="22"/>
          <w:highlight w:val="none"/>
          <w:lang w:val="en-US" w:eastAsia="zh-CN"/>
        </w:rPr>
        <w:t>北京:中国政法大学出版社，</w:t>
      </w:r>
      <w:r>
        <w:rPr>
          <w:rFonts w:hint="default" w:ascii="宋体" w:hAnsi="宋体" w:eastAsia="宋体" w:cs="宋体"/>
          <w:sz w:val="22"/>
          <w:szCs w:val="22"/>
          <w:highlight w:val="none"/>
          <w:lang w:val="en-US" w:eastAsia="zh-CN"/>
        </w:rPr>
        <w:t>142-146.</w:t>
      </w:r>
    </w:p>
    <w:p w14:paraId="3D46EFD8">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textAlignment w:val="auto"/>
        <w:rPr>
          <w:rFonts w:hint="eastAsia" w:ascii="宋体" w:hAnsi="宋体" w:eastAsia="宋体" w:cs="宋体"/>
          <w:sz w:val="22"/>
          <w:szCs w:val="22"/>
          <w:highlight w:val="none"/>
          <w:lang w:val="en-US" w:eastAsia="zh-CN"/>
        </w:rPr>
      </w:pPr>
    </w:p>
    <w:p w14:paraId="655AFFE0">
      <w:pPr>
        <w:numPr>
          <w:ilvl w:val="0"/>
          <w:numId w:val="0"/>
        </w:numPr>
        <w:spacing w:line="360" w:lineRule="auto"/>
        <w:jc w:val="center"/>
        <w:rPr>
          <w:rFonts w:hint="default" w:ascii="Times New Roman" w:hAnsi="Times New Roman" w:cs="Times New Roman" w:eastAsiaTheme="majorEastAsia"/>
          <w:b/>
          <w:bCs/>
          <w:sz w:val="32"/>
          <w:szCs w:val="32"/>
          <w:lang w:val="en-US" w:eastAsia="zh-CN"/>
        </w:rPr>
      </w:pPr>
      <w:r>
        <w:rPr>
          <w:rFonts w:hint="default" w:ascii="Times New Roman" w:hAnsi="Times New Roman" w:cs="Times New Roman" w:eastAsiaTheme="majorEastAsia"/>
          <w:b/>
          <w:bCs/>
          <w:sz w:val="32"/>
          <w:szCs w:val="32"/>
          <w:lang w:val="en-US" w:eastAsia="zh-CN"/>
        </w:rPr>
        <w:t>A Brief Analysis of the Preconditions for Personal Bankruptcy Discharge</w:t>
      </w:r>
    </w:p>
    <w:p w14:paraId="1CFEC086">
      <w:pPr>
        <w:numPr>
          <w:ilvl w:val="0"/>
          <w:numId w:val="0"/>
        </w:numPr>
        <w:spacing w:line="360" w:lineRule="auto"/>
        <w:jc w:val="center"/>
        <w:rPr>
          <w:rFonts w:hint="eastAsia" w:ascii="Times New Roman" w:hAnsi="Times New Roman" w:cs="Times New Roman" w:eastAsiaTheme="majorEastAsia"/>
          <w:b/>
          <w:bCs/>
          <w:sz w:val="10"/>
          <w:szCs w:val="10"/>
          <w:lang w:val="en-US" w:eastAsia="zh-CN"/>
        </w:rPr>
      </w:pPr>
    </w:p>
    <w:p w14:paraId="0BE0E652">
      <w:pPr>
        <w:numPr>
          <w:ilvl w:val="0"/>
          <w:numId w:val="0"/>
        </w:numPr>
        <w:spacing w:line="360" w:lineRule="auto"/>
        <w:ind w:firstLine="480" w:firstLineChars="200"/>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bCs/>
          <w:sz w:val="24"/>
          <w:szCs w:val="24"/>
          <w:lang w:val="en-US" w:eastAsia="zh-CN"/>
        </w:rPr>
        <w:t>Abstract：</w:t>
      </w:r>
      <w:r>
        <w:rPr>
          <w:rFonts w:hint="default" w:ascii="Times New Roman" w:hAnsi="Times New Roman" w:cs="Times New Roman" w:eastAsiaTheme="majorEastAsia"/>
          <w:b w:val="0"/>
          <w:bCs w:val="0"/>
          <w:sz w:val="24"/>
          <w:szCs w:val="24"/>
          <w:lang w:val="en-US" w:eastAsia="zh-CN"/>
        </w:rPr>
        <w:t>The exemption system is the core of the personal bankruptcy legal system, and its institutional framework mainly consists of two parts: exemption conditions and exemption procedures. As China's first personal bankruptcy regulation, the "Regulations on Personal Bankruptcy in the Shenzhen Special Economic Zone" has initially established the framework of the exemption system. However, there are still deficiencies in the rule design: on the one hand, the exemption conditions are not perfect in terms of the types of debts that are not exempted, the circumstances where exemption is not granted are too general and lack a comprehensive assessment of the debtor's repayment ability; on the other hand, the exemption procedures are strict in terms of application time, complex in process, and the rules for the proportion of repayment are detached from reality. Therefore, it is suggested that: for the exemption conditions, the scope of debts that are not exempted should be modified (such as setting a time limit for tax debts, and including labor claims in priority repayment rather than as an exemption exception), the principle-based provisions for circumstances where exemption is not granted should be supplemented, the review period for the debtor's behavior should be established, and the debtor's repayment ability should be taken into account; for the exemption procedures, a more flexible right to apply for exemption should be set, the exemption procedures for eligible debtors should be simplified, and a dynamic repayment proportion rule should be established. Through the above improvements, a more scientific exemption rule system can be constructed, and experience can be accumulated for national legislation.</w:t>
      </w:r>
    </w:p>
    <w:p w14:paraId="25F2DD47">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ajorEastAsia"/>
          <w:b w:val="0"/>
          <w:bCs w:val="0"/>
          <w:sz w:val="24"/>
          <w:szCs w:val="24"/>
          <w:lang w:val="en-US" w:eastAsia="zh-CN"/>
        </w:rPr>
      </w:pPr>
      <w:r>
        <w:rPr>
          <w:rFonts w:hint="eastAsia" w:ascii="Times New Roman" w:hAnsi="Times New Roman" w:cs="Times New Roman" w:eastAsiaTheme="majorEastAsia"/>
          <w:b/>
          <w:bCs/>
          <w:sz w:val="24"/>
          <w:szCs w:val="24"/>
          <w:lang w:val="en-US" w:eastAsia="zh-CN"/>
        </w:rPr>
        <w:t>Key Words：</w:t>
      </w:r>
      <w:r>
        <w:rPr>
          <w:rFonts w:hint="eastAsia" w:ascii="Times New Roman" w:hAnsi="Times New Roman" w:cs="Times New Roman" w:eastAsiaTheme="majorEastAsia"/>
          <w:b w:val="0"/>
          <w:bCs w:val="0"/>
          <w:sz w:val="24"/>
          <w:szCs w:val="24"/>
          <w:lang w:val="en-US" w:eastAsia="zh-CN"/>
        </w:rPr>
        <w:t>Personal bankruptcy discharge; Discharge conditions; Discharge pr-ocedures; Discharge exceptions</w:t>
      </w:r>
    </w:p>
    <w:p w14:paraId="3D8E8F3C">
      <w:pPr>
        <w:spacing w:line="360" w:lineRule="auto"/>
        <w:ind w:firstLine="480" w:firstLineChars="200"/>
        <w:rPr>
          <w:rFonts w:hint="eastAsia" w:ascii="宋体" w:hAnsi="宋体" w:eastAsia="宋体" w:cs="宋体"/>
          <w:b/>
          <w:bCs/>
          <w:sz w:val="24"/>
          <w:szCs w:val="24"/>
          <w:lang w:val="en-US" w:eastAsia="zh-CN"/>
        </w:rPr>
      </w:pPr>
    </w:p>
    <w:p w14:paraId="6365FD2E">
      <w:pPr>
        <w:spacing w:line="360" w:lineRule="auto"/>
        <w:rPr>
          <w:rFonts w:hint="eastAsia" w:ascii="宋体" w:hAnsi="宋体" w:eastAsia="宋体" w:cs="宋体"/>
          <w:b/>
          <w:bCs/>
          <w:sz w:val="24"/>
          <w:szCs w:val="24"/>
          <w:lang w:val="en-US" w:eastAsia="zh-CN"/>
        </w:rPr>
      </w:pPr>
    </w:p>
    <w:p w14:paraId="4AD04EE8">
      <w:pPr>
        <w:spacing w:line="360" w:lineRule="auto"/>
        <w:rPr>
          <w:rFonts w:hint="default" w:ascii="宋体" w:hAnsi="宋体" w:eastAsia="宋体" w:cs="宋体"/>
          <w:sz w:val="24"/>
          <w:szCs w:val="24"/>
          <w:lang w:val="en-US" w:eastAsia="zh-CN"/>
        </w:rPr>
      </w:pPr>
    </w:p>
    <w:sectPr>
      <w:footerReference r:id="rId6" w:type="default"/>
      <w:footnotePr>
        <w:numFmt w:val="decimalEnclosedCircleChinese"/>
      </w:footnotePr>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sn" w:date="2025-10-14T11:04:22Z" w:initials="">
    <w:p w14:paraId="78B0C095">
      <w:pPr>
        <w:pStyle w:val="4"/>
        <w:rPr>
          <w:rFonts w:hint="default" w:eastAsiaTheme="minorEastAsia"/>
          <w:lang w:val="en-US" w:eastAsia="zh-CN"/>
        </w:rPr>
      </w:pPr>
      <w:r>
        <w:rPr>
          <w:rFonts w:hint="eastAsia"/>
          <w:lang w:val="en-US" w:eastAsia="zh-CN"/>
        </w:rPr>
        <w:t>缺少文献综述</w:t>
      </w:r>
    </w:p>
  </w:comment>
  <w:comment w:id="1" w:author="csn" w:date="2025-10-14T11:05:09Z" w:initials="">
    <w:p w14:paraId="134DF960">
      <w:pPr>
        <w:pStyle w:val="4"/>
        <w:rPr>
          <w:rFonts w:hint="default" w:eastAsiaTheme="minorEastAsia"/>
          <w:lang w:val="en-US" w:eastAsia="zh-CN"/>
        </w:rPr>
      </w:pPr>
      <w:r>
        <w:rPr>
          <w:rFonts w:hint="eastAsia"/>
          <w:lang w:val="en-US" w:eastAsia="zh-CN"/>
        </w:rPr>
        <w:t>缺乏材料支撑，应引注</w:t>
      </w:r>
    </w:p>
  </w:comment>
  <w:comment w:id="2" w:author="csn" w:date="2025-10-14T11:06:01Z" w:initials="">
    <w:p w14:paraId="08F72B93">
      <w:pPr>
        <w:pStyle w:val="4"/>
        <w:rPr>
          <w:rFonts w:hint="default" w:eastAsiaTheme="minorEastAsia"/>
          <w:lang w:val="en-US" w:eastAsia="zh-CN"/>
        </w:rPr>
      </w:pPr>
      <w:r>
        <w:rPr>
          <w:rFonts w:hint="eastAsia"/>
          <w:lang w:val="en-US" w:eastAsia="zh-CN"/>
        </w:rPr>
        <w:t>什么是债务人合作理论，需要进行背景介绍。</w:t>
      </w:r>
    </w:p>
  </w:comment>
  <w:comment w:id="3" w:author="csn" w:date="2025-10-14T11:08:48Z" w:initials="">
    <w:p w14:paraId="7DFE5A7F">
      <w:pPr>
        <w:pStyle w:val="4"/>
        <w:rPr>
          <w:rFonts w:hint="default" w:eastAsiaTheme="minorEastAsia"/>
          <w:lang w:val="en-US" w:eastAsia="zh-CN"/>
        </w:rPr>
      </w:pPr>
      <w:r>
        <w:rPr>
          <w:rFonts w:hint="eastAsia"/>
          <w:lang w:val="en-US" w:eastAsia="zh-CN"/>
        </w:rPr>
        <w:t>需要引注证明。此外，这种观点需要论证，而非直接进行论断。</w:t>
      </w:r>
    </w:p>
  </w:comment>
  <w:comment w:id="4" w:author="csn" w:date="2025-10-14T11:09:31Z" w:initials="">
    <w:p w14:paraId="4D18E11E">
      <w:pPr>
        <w:pStyle w:val="4"/>
        <w:rPr>
          <w:rFonts w:hint="default" w:eastAsiaTheme="minorEastAsia"/>
          <w:lang w:val="en-US" w:eastAsia="zh-CN"/>
        </w:rPr>
      </w:pPr>
      <w:r>
        <w:rPr>
          <w:rFonts w:hint="eastAsia"/>
          <w:lang w:val="en-US" w:eastAsia="zh-CN"/>
        </w:rPr>
        <w:t>什么是逆向选择，需要进行解释。</w:t>
      </w:r>
    </w:p>
  </w:comment>
  <w:comment w:id="5" w:author="csn" w:date="2025-10-14T11:16:30Z" w:initials="">
    <w:p w14:paraId="28FF391D">
      <w:pPr>
        <w:pStyle w:val="4"/>
        <w:rPr>
          <w:rFonts w:hint="default" w:eastAsiaTheme="minorEastAsia"/>
          <w:lang w:val="en-US" w:eastAsia="zh-CN"/>
        </w:rPr>
      </w:pPr>
      <w:r>
        <w:rPr>
          <w:rFonts w:hint="eastAsia"/>
          <w:lang w:val="en-US" w:eastAsia="zh-CN"/>
        </w:rPr>
        <w:t>需提供引注支持</w:t>
      </w:r>
    </w:p>
  </w:comment>
  <w:comment w:id="6" w:author="csn" w:date="2025-10-14T11:54:25Z" w:initials="">
    <w:p w14:paraId="65B7F18C">
      <w:pPr>
        <w:pStyle w:val="4"/>
        <w:rPr>
          <w:rFonts w:hint="default" w:eastAsiaTheme="minorEastAsia"/>
          <w:lang w:val="en-US" w:eastAsia="zh-CN"/>
        </w:rPr>
      </w:pPr>
      <w:r>
        <w:rPr>
          <w:rFonts w:hint="eastAsia"/>
          <w:lang w:val="en-US" w:eastAsia="zh-CN"/>
        </w:rPr>
        <w:t>比较法的文献，应尽量引用一手的法规或论述，避免使用二手中文文献</w:t>
      </w:r>
    </w:p>
  </w:comment>
  <w:comment w:id="7" w:author="csn" w:date="2025-10-14T11:59:10Z" w:initials="">
    <w:p w14:paraId="21A0E5CF">
      <w:pPr>
        <w:pStyle w:val="4"/>
        <w:rPr>
          <w:rFonts w:hint="default" w:eastAsiaTheme="minorEastAsia"/>
          <w:lang w:val="en-US" w:eastAsia="zh-CN"/>
        </w:rPr>
      </w:pPr>
      <w:r>
        <w:rPr>
          <w:rFonts w:hint="eastAsia"/>
          <w:lang w:val="en-US" w:eastAsia="zh-CN"/>
        </w:rPr>
        <w:t>用词不当，时序逻辑是逻辑学上一个专有名词，应修改</w:t>
      </w:r>
    </w:p>
  </w:comment>
  <w:comment w:id="8" w:author="csn" w:date="2025-10-14T12:00:08Z" w:initials="">
    <w:p w14:paraId="335645C8">
      <w:pPr>
        <w:pStyle w:val="4"/>
        <w:rPr>
          <w:rFonts w:hint="default" w:eastAsiaTheme="minorEastAsia"/>
          <w:lang w:val="en-US" w:eastAsia="zh-CN"/>
        </w:rPr>
      </w:pPr>
      <w:r>
        <w:rPr>
          <w:rFonts w:hint="eastAsia"/>
          <w:lang w:val="en-US" w:eastAsia="zh-CN"/>
        </w:rPr>
        <w:t>应引用一手文献</w:t>
      </w:r>
    </w:p>
  </w:comment>
  <w:comment w:id="9" w:author="csn" w:date="2025-10-14T12:00:33Z" w:initials="">
    <w:p w14:paraId="59ED369B">
      <w:pPr>
        <w:pStyle w:val="4"/>
        <w:rPr>
          <w:rFonts w:hint="default" w:eastAsiaTheme="minorEastAsia"/>
          <w:lang w:val="en-US" w:eastAsia="zh-CN"/>
        </w:rPr>
      </w:pPr>
      <w:r>
        <w:rPr>
          <w:rFonts w:hint="eastAsia"/>
          <w:lang w:val="en-US" w:eastAsia="zh-CN"/>
        </w:rPr>
        <w:t>论证太粗疏。权利义务对等原则在破产法中，具体体现为什么权利与什么义务对等？需要进行论证；许可免责制度背后的利益衡量，需要进一步精细化。</w:t>
      </w:r>
    </w:p>
  </w:comment>
  <w:comment w:id="10" w:author="csn" w:date="2025-10-14T12:06:35Z" w:initials="">
    <w:p w14:paraId="547AAAE5">
      <w:pPr>
        <w:pStyle w:val="4"/>
        <w:rPr>
          <w:rFonts w:hint="default" w:eastAsiaTheme="minorEastAsia"/>
          <w:lang w:val="en-US" w:eastAsia="zh-CN"/>
        </w:rPr>
      </w:pPr>
      <w:r>
        <w:rPr>
          <w:rFonts w:hint="eastAsia"/>
          <w:lang w:val="en-US" w:eastAsia="zh-CN"/>
        </w:rPr>
        <w:t>还需细化论证。复杂的免责程序，虽然加高了债务人破产的门槛，但是也保护了债权人的利益，同时也有对司法资源有效利用的考量。增加多方主体审核，也是在利益衡量上进行权利义务分配的过程，不能仅以债务人的视角进行批评。即使作出批评，也应当结合各方的利益加以权衡后，才能得出结论。</w:t>
      </w:r>
    </w:p>
  </w:comment>
  <w:comment w:id="11" w:author="csn" w:date="2025-10-14T14:02:28Z" w:initials="">
    <w:p w14:paraId="31E15C33">
      <w:pPr>
        <w:pStyle w:val="4"/>
        <w:rPr>
          <w:rFonts w:hint="default" w:eastAsiaTheme="minorEastAsia"/>
          <w:lang w:val="en-US" w:eastAsia="zh-CN"/>
        </w:rPr>
      </w:pPr>
      <w:r>
        <w:rPr>
          <w:rFonts w:hint="eastAsia"/>
          <w:lang w:val="en-US" w:eastAsia="zh-CN"/>
        </w:rPr>
        <w:t>偿债能力作为免责条件的重点，并非是收入测评的具体标准，而是如何去评估债务人的收入。只有标准，而无实操层面的指引，立法也只是纸面上的法律，此处论述并未直击痛点。</w:t>
      </w:r>
    </w:p>
  </w:comment>
  <w:comment w:id="12" w:author="csn" w:date="2025-10-14T14:04:30Z" w:initials="">
    <w:p w14:paraId="7F668D1A">
      <w:pPr>
        <w:pStyle w:val="4"/>
        <w:rPr>
          <w:rFonts w:hint="default" w:eastAsiaTheme="minorEastAsia"/>
          <w:lang w:val="en-US" w:eastAsia="zh-CN"/>
        </w:rPr>
      </w:pPr>
      <w:r>
        <w:rPr>
          <w:rFonts w:hint="eastAsia"/>
          <w:lang w:val="en-US" w:eastAsia="zh-CN"/>
        </w:rPr>
        <w:t>什么处分权？</w:t>
      </w:r>
    </w:p>
  </w:comment>
  <w:comment w:id="13" w:author="csn" w:date="2025-10-14T14:04:42Z" w:initials="">
    <w:p w14:paraId="490BCC77">
      <w:pPr>
        <w:pStyle w:val="4"/>
        <w:rPr>
          <w:rFonts w:hint="default" w:eastAsiaTheme="minorEastAsia"/>
          <w:lang w:val="en-US" w:eastAsia="zh-CN"/>
        </w:rPr>
      </w:pPr>
      <w:r>
        <w:rPr>
          <w:rFonts w:hint="eastAsia"/>
          <w:lang w:val="en-US" w:eastAsia="zh-CN"/>
        </w:rPr>
        <w:t>须补充介绍比较法的具体规定</w:t>
      </w:r>
    </w:p>
  </w:comment>
  <w:comment w:id="14" w:author="csn" w:date="2025-10-14T14:05:01Z" w:initials="">
    <w:p w14:paraId="0FA28D2B">
      <w:pPr>
        <w:pStyle w:val="4"/>
        <w:rPr>
          <w:rFonts w:hint="default"/>
          <w:lang w:val="en-US"/>
        </w:rPr>
      </w:pPr>
      <w:r>
        <w:rPr>
          <w:rFonts w:hint="eastAsia"/>
          <w:lang w:val="en-US" w:eastAsia="zh-CN"/>
        </w:rPr>
        <w:t>须补充介绍比较法的具体规定。比较法材料的运用，并非简单地罗列即可参照，必须有制度之间、功能之间的对照分析，论证异同。</w:t>
      </w:r>
    </w:p>
  </w:comment>
  <w:comment w:id="15" w:author="csn" w:date="2025-10-14T14:06:14Z" w:initials="">
    <w:p w14:paraId="6BA510EB">
      <w:pPr>
        <w:pStyle w:val="4"/>
        <w:rPr>
          <w:rFonts w:hint="default" w:eastAsiaTheme="minorEastAsia"/>
          <w:lang w:val="en-US" w:eastAsia="zh-CN"/>
        </w:rPr>
      </w:pPr>
      <w:r>
        <w:rPr>
          <w:rFonts w:hint="eastAsia"/>
          <w:lang w:val="en-US" w:eastAsia="zh-CN"/>
        </w:rPr>
        <w:t>什么是“重生”？一方面，作者大可不必为了对仗工整，而使每个三级标题结构一致，否则个别标题容易陷入词不达意的境地；另一方面，既然前述标题均体现了制度修正背后的价值理由，此处的“重生”便显得意义不明。</w:t>
      </w:r>
    </w:p>
  </w:comment>
  <w:comment w:id="16" w:author="csn" w:date="2025-10-14T14:08:04Z" w:initials="">
    <w:p w14:paraId="07D5BA4C">
      <w:pPr>
        <w:pStyle w:val="4"/>
        <w:rPr>
          <w:rFonts w:hint="default" w:eastAsiaTheme="minorEastAsia"/>
          <w:lang w:val="en-US" w:eastAsia="zh-CN"/>
        </w:rPr>
      </w:pPr>
      <w:r>
        <w:rPr>
          <w:rFonts w:hint="eastAsia"/>
          <w:lang w:val="en-US" w:eastAsia="zh-CN"/>
        </w:rPr>
        <w:t>论述过少，分析不够深入。</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8B0C095" w15:done="0"/>
  <w15:commentEx w15:paraId="134DF960" w15:done="0"/>
  <w15:commentEx w15:paraId="08F72B93" w15:done="0"/>
  <w15:commentEx w15:paraId="7DFE5A7F" w15:done="0"/>
  <w15:commentEx w15:paraId="4D18E11E" w15:done="0"/>
  <w15:commentEx w15:paraId="28FF391D" w15:done="0"/>
  <w15:commentEx w15:paraId="65B7F18C" w15:done="0"/>
  <w15:commentEx w15:paraId="21A0E5CF" w15:done="0"/>
  <w15:commentEx w15:paraId="335645C8" w15:done="0"/>
  <w15:commentEx w15:paraId="59ED369B" w15:done="0"/>
  <w15:commentEx w15:paraId="547AAAE5" w15:done="0"/>
  <w15:commentEx w15:paraId="31E15C33" w15:done="0"/>
  <w15:commentEx w15:paraId="7F668D1A" w15:done="0"/>
  <w15:commentEx w15:paraId="490BCC77" w15:done="0"/>
  <w15:commentEx w15:paraId="0FA28D2B" w15:done="0"/>
  <w15:commentEx w15:paraId="6BA510EB" w15:done="0"/>
  <w15:commentEx w15:paraId="07D5BA4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BFD41">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39EFA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C39EFA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56E0CE73">
      <w:pPr>
        <w:numPr>
          <w:ilvl w:val="0"/>
          <w:numId w:val="0"/>
        </w:numPr>
        <w:spacing w:line="360" w:lineRule="auto"/>
        <w:rPr>
          <w:rFonts w:hint="eastAsia" w:ascii="宋体" w:hAnsi="宋体" w:eastAsia="宋体" w:cs="宋体"/>
          <w:sz w:val="21"/>
          <w:szCs w:val="21"/>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7BEFF6"/>
    <w:multiLevelType w:val="singleLevel"/>
    <w:tmpl w:val="D37BEFF6"/>
    <w:lvl w:ilvl="0" w:tentative="0">
      <w:start w:val="1"/>
      <w:numFmt w:val="decimal"/>
      <w:suff w:val="space"/>
      <w:lvlText w:val="[%1]"/>
      <w:lvlJc w:val="left"/>
      <w:pPr>
        <w:ind w:left="420" w:leftChars="0" w:hanging="420" w:firstLineChars="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sn">
    <w15:presenceInfo w15:providerId="WPS Office" w15:userId="34286496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A0MjllZGYzNGEzZDdlZjBjZmNjZDZmZjJiMjlkYzEifQ=="/>
  </w:docVars>
  <w:rsids>
    <w:rsidRoot w:val="20BA165D"/>
    <w:rsid w:val="01981D96"/>
    <w:rsid w:val="0247556A"/>
    <w:rsid w:val="02862D86"/>
    <w:rsid w:val="02913BC4"/>
    <w:rsid w:val="02AE3035"/>
    <w:rsid w:val="02CD0AE3"/>
    <w:rsid w:val="035C2393"/>
    <w:rsid w:val="041E2451"/>
    <w:rsid w:val="04330D71"/>
    <w:rsid w:val="044C330C"/>
    <w:rsid w:val="04A74632"/>
    <w:rsid w:val="04B62E36"/>
    <w:rsid w:val="0580326D"/>
    <w:rsid w:val="05A61C80"/>
    <w:rsid w:val="05B30064"/>
    <w:rsid w:val="071F0864"/>
    <w:rsid w:val="079052BE"/>
    <w:rsid w:val="079C1EB4"/>
    <w:rsid w:val="084F5179"/>
    <w:rsid w:val="088968DD"/>
    <w:rsid w:val="090715AF"/>
    <w:rsid w:val="092F70B7"/>
    <w:rsid w:val="09615308"/>
    <w:rsid w:val="09D41D74"/>
    <w:rsid w:val="0A963302"/>
    <w:rsid w:val="0AB13EC9"/>
    <w:rsid w:val="0ADB28A7"/>
    <w:rsid w:val="0AED3D65"/>
    <w:rsid w:val="0B9C2483"/>
    <w:rsid w:val="0C2A5BE4"/>
    <w:rsid w:val="0C481107"/>
    <w:rsid w:val="0C4D19CF"/>
    <w:rsid w:val="0D367D9A"/>
    <w:rsid w:val="0D3B4368"/>
    <w:rsid w:val="0DF2142D"/>
    <w:rsid w:val="0E7D5E53"/>
    <w:rsid w:val="0EBD7C50"/>
    <w:rsid w:val="0F56121B"/>
    <w:rsid w:val="0FCE2E27"/>
    <w:rsid w:val="10C55FD8"/>
    <w:rsid w:val="10D40911"/>
    <w:rsid w:val="10EA5F4D"/>
    <w:rsid w:val="10F3513F"/>
    <w:rsid w:val="11BA18B5"/>
    <w:rsid w:val="11FA35E1"/>
    <w:rsid w:val="12413D84"/>
    <w:rsid w:val="126C160D"/>
    <w:rsid w:val="12BA00B4"/>
    <w:rsid w:val="134543C4"/>
    <w:rsid w:val="139D6A15"/>
    <w:rsid w:val="13C06F2A"/>
    <w:rsid w:val="149E7590"/>
    <w:rsid w:val="15154D22"/>
    <w:rsid w:val="158F3058"/>
    <w:rsid w:val="15EA028F"/>
    <w:rsid w:val="15EB3A81"/>
    <w:rsid w:val="15F64E85"/>
    <w:rsid w:val="16192E85"/>
    <w:rsid w:val="16233C99"/>
    <w:rsid w:val="173C6014"/>
    <w:rsid w:val="185526B6"/>
    <w:rsid w:val="194B373A"/>
    <w:rsid w:val="198D0FE8"/>
    <w:rsid w:val="1B410951"/>
    <w:rsid w:val="1B8E37DE"/>
    <w:rsid w:val="1BB47375"/>
    <w:rsid w:val="1BFB31F6"/>
    <w:rsid w:val="1C436E64"/>
    <w:rsid w:val="1C9B22E3"/>
    <w:rsid w:val="1CF0262F"/>
    <w:rsid w:val="1E2D4A07"/>
    <w:rsid w:val="1E612B51"/>
    <w:rsid w:val="1E83310F"/>
    <w:rsid w:val="1F1A3993"/>
    <w:rsid w:val="1F454277"/>
    <w:rsid w:val="1F971487"/>
    <w:rsid w:val="20BA165D"/>
    <w:rsid w:val="21182154"/>
    <w:rsid w:val="21B7196D"/>
    <w:rsid w:val="22B31319"/>
    <w:rsid w:val="234A5FD0"/>
    <w:rsid w:val="234D2CAB"/>
    <w:rsid w:val="243A0633"/>
    <w:rsid w:val="250F7101"/>
    <w:rsid w:val="255B4D66"/>
    <w:rsid w:val="264B583A"/>
    <w:rsid w:val="27C43035"/>
    <w:rsid w:val="2800014D"/>
    <w:rsid w:val="2828756B"/>
    <w:rsid w:val="28497097"/>
    <w:rsid w:val="29001E4B"/>
    <w:rsid w:val="2A225DF1"/>
    <w:rsid w:val="2A506972"/>
    <w:rsid w:val="2A721064"/>
    <w:rsid w:val="2ACF1EA7"/>
    <w:rsid w:val="2AD25CB0"/>
    <w:rsid w:val="2AE17A5A"/>
    <w:rsid w:val="2AF84B7E"/>
    <w:rsid w:val="2B9A2276"/>
    <w:rsid w:val="2C0954BB"/>
    <w:rsid w:val="2C162605"/>
    <w:rsid w:val="2CDD22AB"/>
    <w:rsid w:val="2D9F26E5"/>
    <w:rsid w:val="2DBF149D"/>
    <w:rsid w:val="2E79424B"/>
    <w:rsid w:val="2E9B3506"/>
    <w:rsid w:val="2EB45BB2"/>
    <w:rsid w:val="2FEE6EA1"/>
    <w:rsid w:val="2FEF2C1A"/>
    <w:rsid w:val="31657B2E"/>
    <w:rsid w:val="31B3313E"/>
    <w:rsid w:val="322814D9"/>
    <w:rsid w:val="325B0A84"/>
    <w:rsid w:val="32974F27"/>
    <w:rsid w:val="32E12E85"/>
    <w:rsid w:val="347A10D3"/>
    <w:rsid w:val="348200BA"/>
    <w:rsid w:val="35D5640E"/>
    <w:rsid w:val="36404DC6"/>
    <w:rsid w:val="366C0B20"/>
    <w:rsid w:val="37A93461"/>
    <w:rsid w:val="380500CD"/>
    <w:rsid w:val="383F7AEF"/>
    <w:rsid w:val="393873DF"/>
    <w:rsid w:val="393F251C"/>
    <w:rsid w:val="395C1320"/>
    <w:rsid w:val="395E01FC"/>
    <w:rsid w:val="39645141"/>
    <w:rsid w:val="39953421"/>
    <w:rsid w:val="3AF90F4C"/>
    <w:rsid w:val="3B253993"/>
    <w:rsid w:val="3B337998"/>
    <w:rsid w:val="3BCE5AAC"/>
    <w:rsid w:val="3C593492"/>
    <w:rsid w:val="3C7E3FF8"/>
    <w:rsid w:val="3CA550F8"/>
    <w:rsid w:val="3CD1792F"/>
    <w:rsid w:val="3D536596"/>
    <w:rsid w:val="3DF83513"/>
    <w:rsid w:val="3DFE37B8"/>
    <w:rsid w:val="3E471D2C"/>
    <w:rsid w:val="3F3D726D"/>
    <w:rsid w:val="3FC9259C"/>
    <w:rsid w:val="40AB66E9"/>
    <w:rsid w:val="40D56E2C"/>
    <w:rsid w:val="4101455B"/>
    <w:rsid w:val="411A73CB"/>
    <w:rsid w:val="413F4FFF"/>
    <w:rsid w:val="41683EAA"/>
    <w:rsid w:val="416937DF"/>
    <w:rsid w:val="42383FAC"/>
    <w:rsid w:val="42FF4ACA"/>
    <w:rsid w:val="4421735E"/>
    <w:rsid w:val="444950CD"/>
    <w:rsid w:val="445B2B4B"/>
    <w:rsid w:val="44613C8E"/>
    <w:rsid w:val="44800831"/>
    <w:rsid w:val="45670C9D"/>
    <w:rsid w:val="460850D4"/>
    <w:rsid w:val="467C0E76"/>
    <w:rsid w:val="48B12D0A"/>
    <w:rsid w:val="4956603D"/>
    <w:rsid w:val="49823E59"/>
    <w:rsid w:val="4A145BEE"/>
    <w:rsid w:val="4A28714E"/>
    <w:rsid w:val="4A454E67"/>
    <w:rsid w:val="4ABA06A9"/>
    <w:rsid w:val="4AC117F2"/>
    <w:rsid w:val="4B427C4A"/>
    <w:rsid w:val="4BBC17AA"/>
    <w:rsid w:val="4BE55038"/>
    <w:rsid w:val="4CC364FF"/>
    <w:rsid w:val="4CD87130"/>
    <w:rsid w:val="4DBC0187"/>
    <w:rsid w:val="4DD67682"/>
    <w:rsid w:val="4DDD7B3D"/>
    <w:rsid w:val="4E121B55"/>
    <w:rsid w:val="4E154A06"/>
    <w:rsid w:val="4EEA4880"/>
    <w:rsid w:val="4EF748AF"/>
    <w:rsid w:val="4F04097E"/>
    <w:rsid w:val="4FFF25AD"/>
    <w:rsid w:val="50243E04"/>
    <w:rsid w:val="50262309"/>
    <w:rsid w:val="511E4A3C"/>
    <w:rsid w:val="514E1453"/>
    <w:rsid w:val="51C55131"/>
    <w:rsid w:val="52152393"/>
    <w:rsid w:val="53856213"/>
    <w:rsid w:val="540970B3"/>
    <w:rsid w:val="54560AEA"/>
    <w:rsid w:val="5474356A"/>
    <w:rsid w:val="5523289A"/>
    <w:rsid w:val="55605D05"/>
    <w:rsid w:val="559D2106"/>
    <w:rsid w:val="56C86C5D"/>
    <w:rsid w:val="57075E55"/>
    <w:rsid w:val="577469B8"/>
    <w:rsid w:val="58523FD0"/>
    <w:rsid w:val="58BC1F54"/>
    <w:rsid w:val="58C33BAC"/>
    <w:rsid w:val="591A2206"/>
    <w:rsid w:val="5A1804F3"/>
    <w:rsid w:val="5B1939D6"/>
    <w:rsid w:val="5B291D9C"/>
    <w:rsid w:val="5D2B49E2"/>
    <w:rsid w:val="5D7E6A57"/>
    <w:rsid w:val="5DE60909"/>
    <w:rsid w:val="5DE90597"/>
    <w:rsid w:val="5E40626B"/>
    <w:rsid w:val="5E9D36BD"/>
    <w:rsid w:val="5FBA6B25"/>
    <w:rsid w:val="5FFFA5C5"/>
    <w:rsid w:val="6052051E"/>
    <w:rsid w:val="60DA0BF8"/>
    <w:rsid w:val="6103271D"/>
    <w:rsid w:val="618D4082"/>
    <w:rsid w:val="61B711EE"/>
    <w:rsid w:val="62B42BA3"/>
    <w:rsid w:val="6317701F"/>
    <w:rsid w:val="641D2DC0"/>
    <w:rsid w:val="643B38FE"/>
    <w:rsid w:val="647536F8"/>
    <w:rsid w:val="64F56650"/>
    <w:rsid w:val="65735E65"/>
    <w:rsid w:val="65E40627"/>
    <w:rsid w:val="66694B9C"/>
    <w:rsid w:val="672C6851"/>
    <w:rsid w:val="67631CEC"/>
    <w:rsid w:val="68B513D1"/>
    <w:rsid w:val="68D52ABD"/>
    <w:rsid w:val="68EA74FF"/>
    <w:rsid w:val="68EC771B"/>
    <w:rsid w:val="69584DB0"/>
    <w:rsid w:val="6A211646"/>
    <w:rsid w:val="6AA07341"/>
    <w:rsid w:val="6AB25F69"/>
    <w:rsid w:val="6B206150"/>
    <w:rsid w:val="6C1256EA"/>
    <w:rsid w:val="6C3C2BE9"/>
    <w:rsid w:val="6C661592"/>
    <w:rsid w:val="6E044222"/>
    <w:rsid w:val="6E53166C"/>
    <w:rsid w:val="6E7066F8"/>
    <w:rsid w:val="6EBC3530"/>
    <w:rsid w:val="6F1002EA"/>
    <w:rsid w:val="6F2335BC"/>
    <w:rsid w:val="6F74233B"/>
    <w:rsid w:val="6FD44A65"/>
    <w:rsid w:val="70B90980"/>
    <w:rsid w:val="70E01E87"/>
    <w:rsid w:val="72256031"/>
    <w:rsid w:val="72785B7B"/>
    <w:rsid w:val="72A439A3"/>
    <w:rsid w:val="72BE45FC"/>
    <w:rsid w:val="73235862"/>
    <w:rsid w:val="738C0C46"/>
    <w:rsid w:val="73F953EE"/>
    <w:rsid w:val="74116359"/>
    <w:rsid w:val="747D44D4"/>
    <w:rsid w:val="748E472D"/>
    <w:rsid w:val="74E474F8"/>
    <w:rsid w:val="74FD05BA"/>
    <w:rsid w:val="75584FF4"/>
    <w:rsid w:val="75933079"/>
    <w:rsid w:val="75B97A43"/>
    <w:rsid w:val="76220E86"/>
    <w:rsid w:val="77185B7F"/>
    <w:rsid w:val="78202F3D"/>
    <w:rsid w:val="78CF2F83"/>
    <w:rsid w:val="7B577F4A"/>
    <w:rsid w:val="7B6C4305"/>
    <w:rsid w:val="7C094D6E"/>
    <w:rsid w:val="7D552865"/>
    <w:rsid w:val="7DE762AB"/>
    <w:rsid w:val="7E4F067C"/>
    <w:rsid w:val="7F485EDA"/>
    <w:rsid w:val="7F4D7E5C"/>
    <w:rsid w:val="7FF56A51"/>
    <w:rsid w:val="AE9DC4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jc w:val="center"/>
      <w:outlineLvl w:val="0"/>
    </w:pPr>
    <w:rPr>
      <w:rFonts w:hint="eastAsia" w:ascii="Times New Roman" w:hAnsi="Times New Roman"/>
      <w:b/>
      <w:kern w:val="44"/>
      <w:sz w:val="30"/>
      <w:szCs w:val="39"/>
    </w:rPr>
  </w:style>
  <w:style w:type="paragraph" w:styleId="3">
    <w:name w:val="heading 2"/>
    <w:basedOn w:val="1"/>
    <w:next w:val="1"/>
    <w:qFormat/>
    <w:uiPriority w:val="9"/>
    <w:pPr>
      <w:keepNext/>
      <w:keepLines/>
      <w:outlineLvl w:val="1"/>
    </w:pPr>
    <w:rPr>
      <w:b/>
      <w:bCs/>
      <w:sz w:val="28"/>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footnote text"/>
    <w:basedOn w:val="1"/>
    <w:qFormat/>
    <w:uiPriority w:val="0"/>
    <w:pPr>
      <w:snapToGrid w:val="0"/>
      <w:jc w:val="left"/>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styleId="13">
    <w:name w:val="footnote reference"/>
    <w:basedOn w:val="10"/>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9218</Words>
  <Characters>11028</Characters>
  <Lines>0</Lines>
  <Paragraphs>0</Paragraphs>
  <TotalTime>46</TotalTime>
  <ScaleCrop>false</ScaleCrop>
  <LinksUpToDate>false</LinksUpToDate>
  <CharactersWithSpaces>11319</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2025-03-27T11:07:00Z</dcterms:created>
  <dc:creator>BBQ</dc:creator>
  <cp:lastModifiedBy>csn</cp:lastModifiedBy>
  <dcterms:modified xsi:type="dcterms:W3CDTF">2025-10-14T14:08:20Z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0BBFCF2BCF804FDD8FB2193DE8161E89_13</vt:lpwstr>
  </property>
  <property fmtid="{D5CDD505-2E9C-101B-9397-08002B2CF9AE}" pid="4" name="KSOTemplateDocerSaveRecord">
    <vt:lpwstr>eyJoZGlkIjoiZGJmMTI3ZmMxNTVmZjI0M2E5OTliNWEwNDQwZDBiNzIiLCJ1c2VySWQiOiI2MzIyMTU1NzMifQ==</vt:lpwstr>
  </property>
</Properties>
</file>