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50006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eastAsiaTheme="minorEastAsia"/>
          <w:b/>
          <w:bCs/>
          <w:sz w:val="24"/>
          <w:szCs w:val="24"/>
          <w:lang w:val="en-US" w:eastAsia="zh-CN"/>
        </w:rPr>
      </w:pPr>
      <w:r>
        <w:rPr>
          <w:rFonts w:hint="eastAsia" w:ascii="Times New Roman" w:hAnsi="Times New Roman" w:cs="Times New Roman"/>
          <w:b/>
          <w:bCs/>
          <w:sz w:val="24"/>
          <w:szCs w:val="24"/>
          <w:lang w:val="en-US" w:eastAsia="zh-CN"/>
        </w:rPr>
        <w:t>修改说明</w:t>
      </w:r>
    </w:p>
    <w:p w14:paraId="7C2523A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尊敬的《中国政法大学研究生学报》编辑部：</w:t>
      </w:r>
    </w:p>
    <w:p w14:paraId="5885B84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您好！非常感谢您在百忙之中对《个人数据受托的模式选择与制度构建》一文作出评审，提出宝贵的修改意见。本文已按照要求修改意见进行修改，具体内容如下：</w:t>
      </w:r>
    </w:p>
    <w:p w14:paraId="12A83B39">
      <w:pPr>
        <w:keepNext w:val="0"/>
        <w:keepLines w:val="0"/>
        <w:pageBreakBefore w:val="0"/>
        <w:widowControl w:val="0"/>
        <w:kinsoku/>
        <w:wordWrap/>
        <w:overflowPunct/>
        <w:topLinePunct w:val="0"/>
        <w:autoSpaceDE/>
        <w:autoSpaceDN/>
        <w:bidi w:val="0"/>
        <w:adjustRightInd/>
        <w:snapToGrid/>
        <w:spacing w:line="240" w:lineRule="auto"/>
        <w:ind w:firstLine="422" w:firstLineChars="200"/>
        <w:textAlignment w:val="auto"/>
        <w:rPr>
          <w:rFonts w:hint="eastAsia" w:ascii="Times New Roman" w:hAnsi="Times New Roman" w:cs="Times New Roman" w:eastAsiaTheme="minorEastAsia"/>
          <w:b/>
          <w:bCs/>
          <w:sz w:val="21"/>
          <w:szCs w:val="21"/>
          <w:lang w:val="en-US" w:eastAsia="zh-CN"/>
        </w:rPr>
      </w:pPr>
    </w:p>
    <w:p w14:paraId="54921887">
      <w:pPr>
        <w:keepNext w:val="0"/>
        <w:keepLines w:val="0"/>
        <w:pageBreakBefore w:val="0"/>
        <w:widowControl w:val="0"/>
        <w:kinsoku/>
        <w:wordWrap/>
        <w:overflowPunct/>
        <w:topLinePunct w:val="0"/>
        <w:autoSpaceDE/>
        <w:autoSpaceDN/>
        <w:bidi w:val="0"/>
        <w:adjustRightInd/>
        <w:snapToGrid/>
        <w:spacing w:line="240" w:lineRule="auto"/>
        <w:ind w:firstLine="422" w:firstLineChars="200"/>
        <w:textAlignment w:val="auto"/>
        <w:rPr>
          <w:rFonts w:hint="default" w:ascii="Times New Roman" w:hAnsi="Times New Roman" w:cs="Times New Roman" w:eastAsiaTheme="minorEastAsia"/>
          <w:sz w:val="21"/>
          <w:szCs w:val="21"/>
          <w:lang w:val="en-US" w:eastAsia="zh-CN"/>
        </w:rPr>
      </w:pPr>
      <w:r>
        <w:rPr>
          <w:rFonts w:hint="eastAsia" w:ascii="Times New Roman" w:hAnsi="Times New Roman" w:cs="Times New Roman"/>
          <w:b/>
          <w:bCs/>
          <w:sz w:val="21"/>
          <w:szCs w:val="21"/>
          <w:lang w:val="en-US" w:eastAsia="zh-CN"/>
        </w:rPr>
        <w:t>修改</w:t>
      </w:r>
      <w:r>
        <w:rPr>
          <w:rFonts w:hint="eastAsia" w:ascii="Times New Roman" w:hAnsi="Times New Roman" w:cs="Times New Roman" w:eastAsiaTheme="minorEastAsia"/>
          <w:b/>
          <w:bCs/>
          <w:sz w:val="21"/>
          <w:szCs w:val="21"/>
          <w:lang w:val="en-US" w:eastAsia="zh-CN"/>
        </w:rPr>
        <w:t>意见</w:t>
      </w:r>
      <w:r>
        <w:rPr>
          <w:rFonts w:hint="eastAsia" w:ascii="Times New Roman" w:hAnsi="Times New Roman" w:cs="Times New Roman"/>
          <w:b/>
          <w:bCs/>
          <w:sz w:val="21"/>
          <w:szCs w:val="21"/>
          <w:lang w:val="en-US" w:eastAsia="zh-CN"/>
        </w:rPr>
        <w:t>1</w:t>
      </w:r>
      <w:r>
        <w:rPr>
          <w:rFonts w:hint="eastAsia" w:ascii="Times New Roman" w:hAnsi="Times New Roman" w:cs="Times New Roman" w:eastAsiaTheme="minorEastAsia"/>
          <w:b/>
          <w:bCs/>
          <w:sz w:val="21"/>
          <w:szCs w:val="21"/>
          <w:lang w:val="en-US" w:eastAsia="zh-CN"/>
        </w:rPr>
        <w:t>：</w:t>
      </w:r>
      <w:r>
        <w:rPr>
          <w:rFonts w:hint="eastAsia" w:ascii="Times New Roman" w:hAnsi="Times New Roman" w:cs="Times New Roman"/>
          <w:b w:val="0"/>
          <w:bCs w:val="0"/>
          <w:sz w:val="21"/>
          <w:szCs w:val="21"/>
          <w:lang w:val="en-US" w:eastAsia="zh-CN"/>
        </w:rPr>
        <w:t>文章并未说明</w:t>
      </w:r>
      <w:r>
        <w:rPr>
          <w:rFonts w:hint="eastAsia" w:ascii="Times New Roman" w:hAnsi="Times New Roman" w:cs="Times New Roman"/>
          <w:sz w:val="21"/>
          <w:szCs w:val="21"/>
          <w:lang w:val="en-US" w:eastAsia="zh-CN"/>
        </w:rPr>
        <w:t>在数据信托的模式之下，个人在整个数据价值链条中的弱势地位是如何克服的，现有论述依旧没有直接解决个人在交付数据时的议价能力和知情权问题。</w:t>
      </w:r>
    </w:p>
    <w:p w14:paraId="74F130B3">
      <w:pPr>
        <w:keepNext w:val="0"/>
        <w:keepLines w:val="0"/>
        <w:pageBreakBefore w:val="0"/>
        <w:widowControl w:val="0"/>
        <w:kinsoku/>
        <w:wordWrap/>
        <w:overflowPunct/>
        <w:topLinePunct w:val="0"/>
        <w:autoSpaceDE/>
        <w:autoSpaceDN/>
        <w:bidi w:val="0"/>
        <w:adjustRightInd/>
        <w:snapToGrid/>
        <w:spacing w:line="240" w:lineRule="auto"/>
        <w:ind w:firstLine="422" w:firstLineChars="200"/>
        <w:textAlignment w:val="auto"/>
        <w:rPr>
          <w:rFonts w:hint="default" w:ascii="Times New Roman" w:hAnsi="Times New Roman" w:cs="Times New Roman"/>
          <w:b w:val="0"/>
          <w:bCs w:val="0"/>
          <w:sz w:val="21"/>
          <w:szCs w:val="21"/>
          <w:lang w:val="en-US" w:eastAsia="zh-CN"/>
        </w:rPr>
      </w:pPr>
      <w:r>
        <w:rPr>
          <w:rFonts w:hint="eastAsia" w:ascii="Times New Roman" w:hAnsi="Times New Roman" w:cs="Times New Roman"/>
          <w:b/>
          <w:bCs/>
          <w:sz w:val="21"/>
          <w:szCs w:val="21"/>
          <w:lang w:val="en-US" w:eastAsia="zh-CN"/>
        </w:rPr>
        <w:t>修改说明1：</w:t>
      </w:r>
      <w:r>
        <w:rPr>
          <w:rFonts w:hint="eastAsia" w:ascii="Times New Roman" w:hAnsi="Times New Roman" w:cs="Times New Roman"/>
          <w:b w:val="0"/>
          <w:bCs w:val="0"/>
          <w:sz w:val="21"/>
          <w:szCs w:val="21"/>
          <w:lang w:val="en-US" w:eastAsia="zh-CN"/>
        </w:rPr>
        <w:t>已进行相应修改。个人处于弱势地位本质上是数字时代不同主体间能力鸿沟的延续，但第三方数据信托模式的作用不是“解决所有问题”，而是“让问题变得可解决”，数据受托者的核心价值在于缓解而非根除信息不对称，其对个人数据来源者权利状况的改善已远超信息受托人，也与个人现实</w:t>
      </w:r>
      <w:bookmarkStart w:id="0" w:name="_GoBack"/>
      <w:bookmarkEnd w:id="0"/>
      <w:r>
        <w:rPr>
          <w:rFonts w:hint="eastAsia" w:ascii="Times New Roman" w:hAnsi="Times New Roman" w:cs="Times New Roman"/>
          <w:b w:val="0"/>
          <w:bCs w:val="0"/>
          <w:sz w:val="21"/>
          <w:szCs w:val="21"/>
          <w:lang w:val="en-US" w:eastAsia="zh-CN"/>
        </w:rPr>
        <w:t>需求更相契合。该模式虽非保障个人数据来源者权利的完美提案，不能一劳永逸地解决数字经济中个体能力有限性与数据利用专业性之间地矛盾，但却能通过集体治理的方式有效改善个人权利窘境，再结合技术手段与监管机制，逐步调整数据处理者与个人之间失衡的二元关系，实现数据利用与权益保护的平衡，因而是现行制度框架下的最优选择。</w:t>
      </w:r>
    </w:p>
    <w:p w14:paraId="29FF125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sz w:val="21"/>
          <w:szCs w:val="21"/>
          <w:lang w:val="en-US" w:eastAsia="zh-CN"/>
        </w:rPr>
      </w:pPr>
    </w:p>
    <w:p w14:paraId="7C3D8EEB">
      <w:pPr>
        <w:keepNext w:val="0"/>
        <w:keepLines w:val="0"/>
        <w:pageBreakBefore w:val="0"/>
        <w:widowControl w:val="0"/>
        <w:kinsoku/>
        <w:wordWrap/>
        <w:overflowPunct/>
        <w:topLinePunct w:val="0"/>
        <w:autoSpaceDE/>
        <w:autoSpaceDN/>
        <w:bidi w:val="0"/>
        <w:adjustRightInd/>
        <w:snapToGrid/>
        <w:spacing w:line="240" w:lineRule="auto"/>
        <w:ind w:firstLine="422" w:firstLineChars="200"/>
        <w:textAlignment w:val="auto"/>
        <w:rPr>
          <w:rFonts w:hint="default" w:ascii="Times New Roman" w:hAnsi="Times New Roman" w:cs="Times New Roman" w:eastAsiaTheme="minorEastAsia"/>
          <w:sz w:val="21"/>
          <w:szCs w:val="21"/>
          <w:lang w:val="en-US" w:eastAsia="zh-CN"/>
        </w:rPr>
      </w:pPr>
      <w:r>
        <w:rPr>
          <w:rFonts w:hint="eastAsia" w:ascii="Times New Roman" w:hAnsi="Times New Roman" w:cs="Times New Roman"/>
          <w:b/>
          <w:bCs/>
          <w:sz w:val="21"/>
          <w:szCs w:val="21"/>
          <w:lang w:val="en-US" w:eastAsia="zh-CN"/>
        </w:rPr>
        <w:t>修改意见2：</w:t>
      </w:r>
      <w:r>
        <w:rPr>
          <w:rFonts w:hint="eastAsia" w:ascii="Times New Roman" w:hAnsi="Times New Roman" w:cs="Times New Roman"/>
          <w:b w:val="0"/>
          <w:bCs w:val="0"/>
          <w:sz w:val="21"/>
          <w:szCs w:val="21"/>
          <w:lang w:val="en-US" w:eastAsia="zh-CN"/>
        </w:rPr>
        <w:t>文章并未说明</w:t>
      </w:r>
      <w:r>
        <w:rPr>
          <w:rFonts w:hint="eastAsia" w:ascii="Times New Roman" w:hAnsi="Times New Roman" w:cs="Times New Roman"/>
          <w:sz w:val="21"/>
          <w:szCs w:val="21"/>
          <w:lang w:val="en-US" w:eastAsia="zh-CN"/>
        </w:rPr>
        <w:t>第三方的数据信托主体和现存的数据处理者的不同，没有说明增加第三方数据信托主体的必要性。</w:t>
      </w:r>
    </w:p>
    <w:p w14:paraId="44A1207E">
      <w:pPr>
        <w:keepNext w:val="0"/>
        <w:keepLines w:val="0"/>
        <w:pageBreakBefore w:val="0"/>
        <w:widowControl w:val="0"/>
        <w:kinsoku/>
        <w:wordWrap/>
        <w:overflowPunct/>
        <w:topLinePunct w:val="0"/>
        <w:autoSpaceDE/>
        <w:autoSpaceDN/>
        <w:bidi w:val="0"/>
        <w:adjustRightInd/>
        <w:snapToGrid/>
        <w:spacing w:line="240" w:lineRule="auto"/>
        <w:ind w:firstLine="422" w:firstLineChars="200"/>
        <w:textAlignment w:val="auto"/>
        <w:rPr>
          <w:rFonts w:hint="default" w:ascii="Times New Roman" w:hAnsi="Times New Roman" w:cs="Times New Roman"/>
          <w:b w:val="0"/>
          <w:bCs w:val="0"/>
          <w:sz w:val="21"/>
          <w:szCs w:val="21"/>
          <w:lang w:val="en-US" w:eastAsia="zh-CN"/>
        </w:rPr>
      </w:pPr>
      <w:r>
        <w:rPr>
          <w:rFonts w:hint="eastAsia" w:ascii="Times New Roman" w:hAnsi="Times New Roman" w:cs="Times New Roman"/>
          <w:b/>
          <w:bCs/>
          <w:sz w:val="21"/>
          <w:szCs w:val="21"/>
          <w:lang w:val="en-US" w:eastAsia="zh-CN"/>
        </w:rPr>
        <w:t>修改说明2：</w:t>
      </w:r>
      <w:r>
        <w:rPr>
          <w:rFonts w:hint="eastAsia" w:ascii="Times New Roman" w:hAnsi="Times New Roman" w:cs="Times New Roman"/>
          <w:b w:val="0"/>
          <w:bCs w:val="0"/>
          <w:sz w:val="21"/>
          <w:szCs w:val="21"/>
          <w:lang w:val="en-US" w:eastAsia="zh-CN"/>
        </w:rPr>
        <w:t>第三部分“制度构建”中的准入规则既是对数据受托者资质的明确，也是其区别于既有数据处理者的区别。因此，修改了该部分首段，起到说明作用。</w:t>
      </w:r>
    </w:p>
    <w:p w14:paraId="33A7E35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sz w:val="21"/>
          <w:szCs w:val="21"/>
          <w:lang w:val="en-US" w:eastAsia="zh-CN"/>
        </w:rPr>
      </w:pPr>
    </w:p>
    <w:p w14:paraId="076CAB05">
      <w:pPr>
        <w:keepNext w:val="0"/>
        <w:keepLines w:val="0"/>
        <w:pageBreakBefore w:val="0"/>
        <w:widowControl w:val="0"/>
        <w:kinsoku/>
        <w:wordWrap/>
        <w:overflowPunct/>
        <w:topLinePunct w:val="0"/>
        <w:autoSpaceDE/>
        <w:autoSpaceDN/>
        <w:bidi w:val="0"/>
        <w:adjustRightInd/>
        <w:snapToGrid/>
        <w:spacing w:line="240" w:lineRule="auto"/>
        <w:ind w:firstLine="422" w:firstLineChars="200"/>
        <w:textAlignment w:val="auto"/>
        <w:rPr>
          <w:rFonts w:hint="eastAsia" w:ascii="Times New Roman" w:hAnsi="Times New Roman" w:cs="Times New Roman"/>
          <w:b w:val="0"/>
          <w:bCs w:val="0"/>
          <w:sz w:val="21"/>
          <w:szCs w:val="21"/>
          <w:lang w:val="en-US" w:eastAsia="zh-CN"/>
        </w:rPr>
      </w:pPr>
      <w:r>
        <w:rPr>
          <w:rFonts w:hint="eastAsia" w:ascii="Times New Roman" w:hAnsi="Times New Roman" w:cs="Times New Roman"/>
          <w:b/>
          <w:bCs/>
          <w:sz w:val="21"/>
          <w:szCs w:val="21"/>
          <w:lang w:val="en-US" w:eastAsia="zh-CN"/>
        </w:rPr>
        <w:t>修改意见3：</w:t>
      </w:r>
      <w:r>
        <w:rPr>
          <w:rFonts w:hint="eastAsia" w:ascii="Times New Roman" w:hAnsi="Times New Roman" w:cs="Times New Roman"/>
          <w:b w:val="0"/>
          <w:bCs w:val="0"/>
          <w:sz w:val="21"/>
          <w:szCs w:val="21"/>
          <w:lang w:val="en-US" w:eastAsia="zh-CN"/>
        </w:rPr>
        <w:t>数据信托这样的模式是否会弱化个体的意志？</w:t>
      </w:r>
    </w:p>
    <w:p w14:paraId="4027170B">
      <w:pPr>
        <w:keepNext w:val="0"/>
        <w:keepLines w:val="0"/>
        <w:pageBreakBefore w:val="0"/>
        <w:widowControl w:val="0"/>
        <w:kinsoku/>
        <w:wordWrap/>
        <w:overflowPunct/>
        <w:topLinePunct w:val="0"/>
        <w:autoSpaceDE/>
        <w:autoSpaceDN/>
        <w:bidi w:val="0"/>
        <w:adjustRightInd/>
        <w:snapToGrid/>
        <w:spacing w:line="240" w:lineRule="auto"/>
        <w:ind w:firstLine="422" w:firstLineChars="200"/>
        <w:textAlignment w:val="auto"/>
        <w:rPr>
          <w:rFonts w:hint="default" w:ascii="Times New Roman" w:hAnsi="Times New Roman" w:cs="Times New Roman"/>
          <w:b w:val="0"/>
          <w:bCs w:val="0"/>
          <w:sz w:val="21"/>
          <w:szCs w:val="21"/>
          <w:lang w:val="en-US" w:eastAsia="zh-CN"/>
        </w:rPr>
      </w:pPr>
      <w:r>
        <w:rPr>
          <w:rFonts w:hint="eastAsia" w:ascii="Times New Roman" w:hAnsi="Times New Roman" w:cs="Times New Roman"/>
          <w:b/>
          <w:bCs/>
          <w:sz w:val="21"/>
          <w:szCs w:val="21"/>
          <w:lang w:val="en-US" w:eastAsia="zh-CN"/>
        </w:rPr>
        <w:t>修改说明3：</w:t>
      </w:r>
      <w:r>
        <w:rPr>
          <w:rFonts w:hint="eastAsia" w:ascii="Times New Roman" w:hAnsi="Times New Roman" w:cs="Times New Roman"/>
          <w:b w:val="0"/>
          <w:bCs w:val="0"/>
          <w:sz w:val="21"/>
          <w:szCs w:val="21"/>
          <w:lang w:val="en-US" w:eastAsia="zh-CN"/>
        </w:rPr>
        <w:t>已在“权属规则”部分进行相应修改。个人始终保有数据来源者权，这就要求明确个人享有不可让渡的核心权利，诸如最终决定是否将敏感数据应用于特定场景的权利、随时通过平台或其他方式撤回数据授权的权利、参与数据流通利用重大决策的权利等，从而避免走向数据受托者凌驾于个人意志的极端。</w:t>
      </w:r>
    </w:p>
    <w:p w14:paraId="674C047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sz w:val="21"/>
          <w:szCs w:val="21"/>
          <w:lang w:val="en-US" w:eastAsia="zh-CN"/>
        </w:rPr>
      </w:pPr>
    </w:p>
    <w:p w14:paraId="3BC737D8">
      <w:pPr>
        <w:keepNext w:val="0"/>
        <w:keepLines w:val="0"/>
        <w:pageBreakBefore w:val="0"/>
        <w:widowControl w:val="0"/>
        <w:kinsoku/>
        <w:wordWrap/>
        <w:overflowPunct/>
        <w:topLinePunct w:val="0"/>
        <w:autoSpaceDE/>
        <w:autoSpaceDN/>
        <w:bidi w:val="0"/>
        <w:adjustRightInd/>
        <w:snapToGrid/>
        <w:spacing w:line="240" w:lineRule="auto"/>
        <w:ind w:firstLine="422" w:firstLineChars="200"/>
        <w:textAlignment w:val="auto"/>
        <w:rPr>
          <w:rFonts w:hint="eastAsia" w:ascii="Times New Roman" w:hAnsi="Times New Roman" w:cs="Times New Roman"/>
          <w:sz w:val="21"/>
          <w:szCs w:val="21"/>
          <w:lang w:val="en-US" w:eastAsia="zh-CN"/>
        </w:rPr>
      </w:pPr>
      <w:r>
        <w:rPr>
          <w:rFonts w:hint="eastAsia" w:ascii="Times New Roman" w:hAnsi="Times New Roman" w:cs="Times New Roman"/>
          <w:b/>
          <w:bCs/>
          <w:sz w:val="21"/>
          <w:szCs w:val="21"/>
          <w:lang w:val="en-US" w:eastAsia="zh-CN"/>
        </w:rPr>
        <w:t>修改意见4：</w:t>
      </w:r>
      <w:r>
        <w:rPr>
          <w:rFonts w:hint="eastAsia" w:ascii="Times New Roman" w:hAnsi="Times New Roman" w:cs="Times New Roman"/>
          <w:sz w:val="21"/>
          <w:szCs w:val="21"/>
          <w:lang w:val="en-US" w:eastAsia="zh-CN"/>
        </w:rPr>
        <w:t>文章在数据信托的个人信息安全保障方面有所欠缺。</w:t>
      </w:r>
    </w:p>
    <w:p w14:paraId="70BCA1F5">
      <w:pPr>
        <w:keepNext w:val="0"/>
        <w:keepLines w:val="0"/>
        <w:pageBreakBefore w:val="0"/>
        <w:widowControl w:val="0"/>
        <w:kinsoku/>
        <w:wordWrap/>
        <w:overflowPunct/>
        <w:topLinePunct w:val="0"/>
        <w:autoSpaceDE/>
        <w:autoSpaceDN/>
        <w:bidi w:val="0"/>
        <w:adjustRightInd/>
        <w:snapToGrid/>
        <w:spacing w:line="240" w:lineRule="auto"/>
        <w:ind w:firstLine="422" w:firstLineChars="200"/>
        <w:textAlignment w:val="auto"/>
        <w:rPr>
          <w:rFonts w:hint="default" w:ascii="Times New Roman" w:hAnsi="Times New Roman" w:cs="Times New Roman"/>
          <w:sz w:val="21"/>
          <w:szCs w:val="21"/>
          <w:lang w:val="en-US" w:eastAsia="zh-CN"/>
        </w:rPr>
      </w:pPr>
      <w:r>
        <w:rPr>
          <w:rFonts w:hint="eastAsia" w:ascii="Times New Roman" w:hAnsi="Times New Roman" w:cs="Times New Roman"/>
          <w:b/>
          <w:bCs/>
          <w:sz w:val="21"/>
          <w:szCs w:val="21"/>
          <w:lang w:val="en-US" w:eastAsia="zh-CN"/>
        </w:rPr>
        <w:t>修改说明4：</w:t>
      </w:r>
      <w:r>
        <w:rPr>
          <w:rFonts w:hint="eastAsia" w:ascii="Times New Roman" w:hAnsi="Times New Roman" w:cs="Times New Roman"/>
          <w:sz w:val="21"/>
          <w:szCs w:val="21"/>
          <w:lang w:val="en-US" w:eastAsia="zh-CN"/>
        </w:rPr>
        <w:t>已在“义务规则”部分进行相应修改。数据受托的客体为无形权利，关乎个人数据安全，这就要求数据受托者突破事后救济的传统思路，履行更高标准的谨慎义务。</w:t>
      </w:r>
    </w:p>
    <w:p w14:paraId="3ED3AFB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sz w:val="21"/>
          <w:szCs w:val="21"/>
          <w:lang w:val="en-US" w:eastAsia="zh-CN"/>
        </w:rPr>
      </w:pPr>
    </w:p>
    <w:p w14:paraId="78984D61">
      <w:pPr>
        <w:keepNext w:val="0"/>
        <w:keepLines w:val="0"/>
        <w:pageBreakBefore w:val="0"/>
        <w:widowControl w:val="0"/>
        <w:kinsoku/>
        <w:wordWrap/>
        <w:overflowPunct/>
        <w:topLinePunct w:val="0"/>
        <w:autoSpaceDE/>
        <w:autoSpaceDN/>
        <w:bidi w:val="0"/>
        <w:adjustRightInd/>
        <w:snapToGrid/>
        <w:spacing w:line="240" w:lineRule="auto"/>
        <w:ind w:firstLine="422" w:firstLineChars="200"/>
        <w:textAlignment w:val="auto"/>
        <w:rPr>
          <w:rFonts w:hint="default" w:ascii="Times New Roman" w:hAnsi="Times New Roman" w:cs="Times New Roman"/>
          <w:b w:val="0"/>
          <w:bCs w:val="0"/>
          <w:sz w:val="21"/>
          <w:szCs w:val="21"/>
          <w:lang w:val="en-US" w:eastAsia="zh-CN"/>
        </w:rPr>
      </w:pPr>
      <w:r>
        <w:rPr>
          <w:rFonts w:hint="eastAsia" w:ascii="Times New Roman" w:hAnsi="Times New Roman" w:cs="Times New Roman"/>
          <w:b/>
          <w:bCs/>
          <w:sz w:val="21"/>
          <w:szCs w:val="21"/>
          <w:lang w:val="en-US" w:eastAsia="zh-CN"/>
        </w:rPr>
        <w:t>修改意见5：</w:t>
      </w:r>
      <w:r>
        <w:rPr>
          <w:rFonts w:hint="eastAsia" w:ascii="Times New Roman" w:hAnsi="Times New Roman" w:cs="Times New Roman"/>
          <w:b w:val="0"/>
          <w:bCs w:val="0"/>
          <w:sz w:val="21"/>
          <w:szCs w:val="21"/>
          <w:lang w:val="en-US" w:eastAsia="zh-CN"/>
        </w:rPr>
        <w:t>在收益分配上，仅论述定价机制显得割裂，建议落脚到如何保护个人数据来源者的信息权益和分配权益上。</w:t>
      </w:r>
    </w:p>
    <w:p w14:paraId="67CBFDA5">
      <w:pPr>
        <w:keepNext w:val="0"/>
        <w:keepLines w:val="0"/>
        <w:pageBreakBefore w:val="0"/>
        <w:widowControl w:val="0"/>
        <w:kinsoku/>
        <w:wordWrap/>
        <w:overflowPunct/>
        <w:topLinePunct w:val="0"/>
        <w:autoSpaceDE/>
        <w:autoSpaceDN/>
        <w:bidi w:val="0"/>
        <w:adjustRightInd/>
        <w:snapToGrid/>
        <w:spacing w:line="240" w:lineRule="auto"/>
        <w:ind w:firstLine="422" w:firstLineChars="200"/>
        <w:textAlignment w:val="auto"/>
        <w:rPr>
          <w:rFonts w:hint="default" w:ascii="Times New Roman" w:hAnsi="Times New Roman" w:cs="Times New Roman"/>
          <w:b w:val="0"/>
          <w:bCs w:val="0"/>
          <w:sz w:val="21"/>
          <w:szCs w:val="21"/>
          <w:lang w:val="en-US" w:eastAsia="zh-CN"/>
        </w:rPr>
      </w:pPr>
      <w:r>
        <w:rPr>
          <w:rFonts w:hint="eastAsia" w:ascii="Times New Roman" w:hAnsi="Times New Roman" w:cs="Times New Roman"/>
          <w:b/>
          <w:bCs/>
          <w:sz w:val="21"/>
          <w:szCs w:val="21"/>
          <w:lang w:val="en-US" w:eastAsia="zh-CN"/>
        </w:rPr>
        <w:t>修改说明5：</w:t>
      </w:r>
      <w:r>
        <w:rPr>
          <w:rFonts w:hint="eastAsia" w:ascii="Times New Roman" w:hAnsi="Times New Roman" w:cs="Times New Roman"/>
          <w:b w:val="0"/>
          <w:bCs w:val="0"/>
          <w:sz w:val="21"/>
          <w:szCs w:val="21"/>
          <w:lang w:val="en-US" w:eastAsia="zh-CN"/>
        </w:rPr>
        <w:t>“收益分配”分为量化主体贡献、明确定价机制、优化执行机制三部分，以保障个人数据来源者的分配权益。</w:t>
      </w:r>
    </w:p>
    <w:p w14:paraId="136CA15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sz w:val="21"/>
          <w:szCs w:val="21"/>
          <w:lang w:val="en-US" w:eastAsia="zh-CN"/>
        </w:rPr>
      </w:pPr>
    </w:p>
    <w:p w14:paraId="65E1C640">
      <w:pPr>
        <w:keepNext w:val="0"/>
        <w:keepLines w:val="0"/>
        <w:pageBreakBefore w:val="0"/>
        <w:widowControl w:val="0"/>
        <w:kinsoku/>
        <w:wordWrap/>
        <w:overflowPunct/>
        <w:topLinePunct w:val="0"/>
        <w:autoSpaceDE/>
        <w:autoSpaceDN/>
        <w:bidi w:val="0"/>
        <w:adjustRightInd/>
        <w:snapToGrid/>
        <w:spacing w:line="240" w:lineRule="auto"/>
        <w:ind w:firstLine="422" w:firstLineChars="200"/>
        <w:textAlignment w:val="auto"/>
        <w:rPr>
          <w:rFonts w:hint="eastAsia" w:ascii="Times New Roman" w:hAnsi="Times New Roman" w:cs="Times New Roman"/>
          <w:sz w:val="21"/>
          <w:szCs w:val="21"/>
          <w:lang w:val="en-US" w:eastAsia="zh-CN"/>
        </w:rPr>
      </w:pPr>
      <w:r>
        <w:rPr>
          <w:rFonts w:hint="eastAsia" w:ascii="Times New Roman" w:hAnsi="Times New Roman" w:cs="Times New Roman"/>
          <w:b/>
          <w:bCs/>
          <w:sz w:val="21"/>
          <w:szCs w:val="21"/>
          <w:lang w:val="en-US" w:eastAsia="zh-CN"/>
        </w:rPr>
        <w:t>修改意见6：</w:t>
      </w:r>
      <w:r>
        <w:rPr>
          <w:rFonts w:hint="eastAsia" w:ascii="Times New Roman" w:hAnsi="Times New Roman" w:cs="Times New Roman"/>
          <w:sz w:val="21"/>
          <w:szCs w:val="21"/>
          <w:lang w:val="en-US" w:eastAsia="zh-CN"/>
        </w:rPr>
        <w:t>部分语段太过冗长，可以把论述分段或精简表述。</w:t>
      </w:r>
    </w:p>
    <w:p w14:paraId="219EAD6A">
      <w:pPr>
        <w:keepNext w:val="0"/>
        <w:keepLines w:val="0"/>
        <w:pageBreakBefore w:val="0"/>
        <w:widowControl w:val="0"/>
        <w:kinsoku/>
        <w:wordWrap/>
        <w:overflowPunct/>
        <w:topLinePunct w:val="0"/>
        <w:autoSpaceDE/>
        <w:autoSpaceDN/>
        <w:bidi w:val="0"/>
        <w:adjustRightInd/>
        <w:snapToGrid/>
        <w:spacing w:line="240" w:lineRule="auto"/>
        <w:ind w:firstLine="422" w:firstLineChars="200"/>
        <w:textAlignment w:val="auto"/>
        <w:rPr>
          <w:rFonts w:hint="eastAsia" w:ascii="Times New Roman" w:hAnsi="Times New Roman" w:cs="Times New Roman"/>
          <w:b w:val="0"/>
          <w:bCs w:val="0"/>
          <w:sz w:val="21"/>
          <w:szCs w:val="21"/>
          <w:lang w:val="en-US" w:eastAsia="zh-CN"/>
        </w:rPr>
      </w:pPr>
      <w:r>
        <w:rPr>
          <w:rFonts w:hint="eastAsia" w:ascii="Times New Roman" w:hAnsi="Times New Roman" w:cs="Times New Roman"/>
          <w:b/>
          <w:bCs/>
          <w:sz w:val="21"/>
          <w:szCs w:val="21"/>
          <w:lang w:val="en-US" w:eastAsia="zh-CN"/>
        </w:rPr>
        <w:t>修改说明6：</w:t>
      </w:r>
      <w:r>
        <w:rPr>
          <w:rFonts w:hint="eastAsia" w:ascii="Times New Roman" w:hAnsi="Times New Roman" w:cs="Times New Roman"/>
          <w:b w:val="0"/>
          <w:bCs w:val="0"/>
          <w:sz w:val="21"/>
          <w:szCs w:val="21"/>
          <w:lang w:val="en-US" w:eastAsia="zh-CN"/>
        </w:rPr>
        <w:t>已进行相应修改。</w:t>
      </w:r>
    </w:p>
    <w:p w14:paraId="59D62F16">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b w:val="0"/>
          <w:bCs w:val="0"/>
          <w:sz w:val="21"/>
          <w:szCs w:val="21"/>
          <w:lang w:val="en-US" w:eastAsia="zh-CN"/>
        </w:rPr>
      </w:pPr>
    </w:p>
    <w:p w14:paraId="08B47702">
      <w:pPr>
        <w:keepNext w:val="0"/>
        <w:keepLines w:val="0"/>
        <w:pageBreakBefore w:val="0"/>
        <w:widowControl w:val="0"/>
        <w:kinsoku/>
        <w:wordWrap/>
        <w:overflowPunct/>
        <w:topLinePunct w:val="0"/>
        <w:autoSpaceDE/>
        <w:autoSpaceDN/>
        <w:bidi w:val="0"/>
        <w:adjustRightInd/>
        <w:snapToGrid/>
        <w:spacing w:line="240" w:lineRule="auto"/>
        <w:ind w:firstLine="422" w:firstLineChars="200"/>
        <w:textAlignment w:val="auto"/>
        <w:rPr>
          <w:rFonts w:hint="eastAsia" w:ascii="Times New Roman" w:hAnsi="Times New Roman" w:cs="Times New Roman"/>
          <w:b w:val="0"/>
          <w:bCs w:val="0"/>
          <w:sz w:val="21"/>
          <w:szCs w:val="21"/>
          <w:lang w:val="en-US" w:eastAsia="zh-CN"/>
        </w:rPr>
      </w:pPr>
      <w:r>
        <w:rPr>
          <w:rFonts w:hint="default" w:ascii="Times New Roman" w:hAnsi="Times New Roman" w:cs="Times New Roman"/>
          <w:b/>
          <w:bCs/>
          <w:sz w:val="21"/>
          <w:szCs w:val="21"/>
          <w:lang w:val="en-US" w:eastAsia="zh-CN"/>
        </w:rPr>
        <w:t>修改意见</w:t>
      </w:r>
      <w:r>
        <w:rPr>
          <w:rFonts w:hint="eastAsia" w:ascii="Times New Roman" w:hAnsi="Times New Roman" w:cs="Times New Roman"/>
          <w:b/>
          <w:bCs/>
          <w:sz w:val="21"/>
          <w:szCs w:val="21"/>
          <w:lang w:val="en-US" w:eastAsia="zh-CN"/>
        </w:rPr>
        <w:t>7</w:t>
      </w:r>
      <w:r>
        <w:rPr>
          <w:rFonts w:hint="default" w:ascii="Times New Roman" w:hAnsi="Times New Roman" w:cs="Times New Roman"/>
          <w:b/>
          <w:bCs/>
          <w:sz w:val="21"/>
          <w:szCs w:val="21"/>
          <w:lang w:val="en-US" w:eastAsia="zh-CN"/>
        </w:rPr>
        <w:t>：</w:t>
      </w:r>
      <w:r>
        <w:rPr>
          <w:rFonts w:hint="default" w:ascii="Times New Roman" w:hAnsi="Times New Roman" w:cs="Times New Roman"/>
          <w:b w:val="0"/>
          <w:bCs w:val="0"/>
          <w:sz w:val="21"/>
          <w:szCs w:val="21"/>
          <w:lang w:val="en-US" w:eastAsia="zh-CN"/>
        </w:rPr>
        <w:t>对美国和英国模式的介绍略显单薄，尤其是外文文献稀缺，仅有两篇外文参考文献，建议在这一方面再下功夫</w:t>
      </w:r>
      <w:r>
        <w:rPr>
          <w:rFonts w:hint="eastAsia" w:ascii="Times New Roman" w:hAnsi="Times New Roman" w:cs="Times New Roman"/>
          <w:b w:val="0"/>
          <w:bCs w:val="0"/>
          <w:sz w:val="21"/>
          <w:szCs w:val="21"/>
          <w:lang w:val="en-US" w:eastAsia="zh-CN"/>
        </w:rPr>
        <w:t>。</w:t>
      </w:r>
    </w:p>
    <w:p w14:paraId="1CE65714">
      <w:pPr>
        <w:keepNext w:val="0"/>
        <w:keepLines w:val="0"/>
        <w:pageBreakBefore w:val="0"/>
        <w:widowControl w:val="0"/>
        <w:kinsoku/>
        <w:wordWrap/>
        <w:overflowPunct/>
        <w:topLinePunct w:val="0"/>
        <w:autoSpaceDE/>
        <w:autoSpaceDN/>
        <w:bidi w:val="0"/>
        <w:adjustRightInd/>
        <w:snapToGrid/>
        <w:spacing w:line="240" w:lineRule="auto"/>
        <w:ind w:firstLine="422" w:firstLineChars="200"/>
        <w:textAlignment w:val="auto"/>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修改说明</w:t>
      </w:r>
      <w:r>
        <w:rPr>
          <w:rFonts w:hint="eastAsia" w:ascii="Times New Roman" w:hAnsi="Times New Roman" w:cs="Times New Roman"/>
          <w:b/>
          <w:bCs/>
          <w:sz w:val="21"/>
          <w:szCs w:val="21"/>
          <w:lang w:val="en-US" w:eastAsia="zh-CN"/>
        </w:rPr>
        <w:t>7</w:t>
      </w:r>
      <w:r>
        <w:rPr>
          <w:rFonts w:hint="default" w:ascii="Times New Roman" w:hAnsi="Times New Roman" w:cs="Times New Roman"/>
          <w:b/>
          <w:bCs/>
          <w:sz w:val="21"/>
          <w:szCs w:val="21"/>
          <w:lang w:val="en-US" w:eastAsia="zh-CN"/>
        </w:rPr>
        <w:t>：</w:t>
      </w:r>
      <w:r>
        <w:rPr>
          <w:rFonts w:hint="default" w:ascii="Times New Roman" w:hAnsi="Times New Roman" w:cs="Times New Roman"/>
          <w:b w:val="0"/>
          <w:bCs w:val="0"/>
          <w:sz w:val="21"/>
          <w:szCs w:val="21"/>
          <w:lang w:val="en-US" w:eastAsia="zh-CN"/>
        </w:rPr>
        <w:t>已进行相应修改</w:t>
      </w:r>
      <w:r>
        <w:rPr>
          <w:rFonts w:hint="eastAsia" w:ascii="Times New Roman" w:hAnsi="Times New Roman" w:cs="Times New Roman"/>
          <w:b w:val="0"/>
          <w:bCs w:val="0"/>
          <w:sz w:val="21"/>
          <w:szCs w:val="21"/>
          <w:lang w:val="en-US" w:eastAsia="zh-CN"/>
        </w:rPr>
        <w:t>，并增加参考文献。</w:t>
      </w:r>
    </w:p>
    <w:p w14:paraId="2AFD2C6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sz w:val="21"/>
          <w:szCs w:val="21"/>
          <w:lang w:val="en-US" w:eastAsia="zh-CN"/>
        </w:rPr>
      </w:pPr>
    </w:p>
    <w:p w14:paraId="59EFE066">
      <w:pPr>
        <w:keepNext w:val="0"/>
        <w:keepLines w:val="0"/>
        <w:pageBreakBefore w:val="0"/>
        <w:widowControl w:val="0"/>
        <w:kinsoku/>
        <w:wordWrap/>
        <w:overflowPunct/>
        <w:topLinePunct w:val="0"/>
        <w:autoSpaceDE/>
        <w:autoSpaceDN/>
        <w:bidi w:val="0"/>
        <w:adjustRightInd/>
        <w:snapToGrid/>
        <w:spacing w:line="240" w:lineRule="auto"/>
        <w:ind w:firstLine="422" w:firstLineChars="200"/>
        <w:textAlignment w:val="auto"/>
        <w:rPr>
          <w:rFonts w:hint="eastAsia" w:ascii="Times New Roman" w:hAnsi="Times New Roman" w:cs="Times New Roman"/>
          <w:sz w:val="21"/>
          <w:szCs w:val="21"/>
          <w:lang w:val="en-US" w:eastAsia="zh-CN"/>
        </w:rPr>
      </w:pPr>
      <w:r>
        <w:rPr>
          <w:rFonts w:hint="eastAsia" w:ascii="Times New Roman" w:hAnsi="Times New Roman" w:cs="Times New Roman"/>
          <w:b/>
          <w:bCs/>
          <w:sz w:val="21"/>
          <w:szCs w:val="21"/>
          <w:lang w:val="en-US" w:eastAsia="zh-CN"/>
        </w:rPr>
        <w:t>修改意见8：</w:t>
      </w:r>
      <w:r>
        <w:rPr>
          <w:rFonts w:hint="eastAsia" w:ascii="Times New Roman" w:hAnsi="Times New Roman" w:cs="Times New Roman"/>
          <w:sz w:val="21"/>
          <w:szCs w:val="21"/>
          <w:lang w:val="en-US" w:eastAsia="zh-CN"/>
        </w:rPr>
        <w:t>文章的结语部分过于简短。</w:t>
      </w:r>
    </w:p>
    <w:p w14:paraId="4EE39E4C">
      <w:pPr>
        <w:keepNext w:val="0"/>
        <w:keepLines w:val="0"/>
        <w:pageBreakBefore w:val="0"/>
        <w:widowControl w:val="0"/>
        <w:kinsoku/>
        <w:wordWrap/>
        <w:overflowPunct/>
        <w:topLinePunct w:val="0"/>
        <w:autoSpaceDE/>
        <w:autoSpaceDN/>
        <w:bidi w:val="0"/>
        <w:adjustRightInd/>
        <w:snapToGrid/>
        <w:spacing w:line="240" w:lineRule="auto"/>
        <w:ind w:firstLine="422" w:firstLineChars="200"/>
        <w:textAlignment w:val="auto"/>
        <w:rPr>
          <w:rFonts w:hint="eastAsia" w:ascii="Times New Roman" w:hAnsi="Times New Roman" w:cs="Times New Roman"/>
          <w:b w:val="0"/>
          <w:bCs w:val="0"/>
          <w:sz w:val="21"/>
          <w:szCs w:val="21"/>
          <w:lang w:val="en-US" w:eastAsia="zh-CN"/>
        </w:rPr>
      </w:pPr>
      <w:r>
        <w:rPr>
          <w:rFonts w:hint="eastAsia" w:ascii="Times New Roman" w:hAnsi="Times New Roman" w:cs="Times New Roman"/>
          <w:b/>
          <w:bCs/>
          <w:sz w:val="21"/>
          <w:szCs w:val="21"/>
          <w:lang w:val="en-US" w:eastAsia="zh-CN"/>
        </w:rPr>
        <w:t>修改说明8：</w:t>
      </w:r>
      <w:r>
        <w:rPr>
          <w:rFonts w:hint="eastAsia" w:ascii="Times New Roman" w:hAnsi="Times New Roman" w:cs="Times New Roman"/>
          <w:b w:val="0"/>
          <w:bCs w:val="0"/>
          <w:sz w:val="21"/>
          <w:szCs w:val="21"/>
          <w:lang w:val="en-US" w:eastAsia="zh-CN"/>
        </w:rPr>
        <w:t>已进行相应修改。</w:t>
      </w:r>
    </w:p>
    <w:p w14:paraId="6DE0B6A7">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cs="Times New Roman"/>
          <w:sz w:val="21"/>
          <w:szCs w:val="21"/>
          <w:lang w:val="en-US" w:eastAsia="zh-CN"/>
        </w:rPr>
      </w:pPr>
    </w:p>
    <w:p w14:paraId="548FAFE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再次感谢编辑老师与审稿专家对本文提出的宝贵意见，如有修改不当之处，万望您能再次予以指导。顺祝时祺！</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D65FD4"/>
    <w:rsid w:val="12530A1F"/>
    <w:rsid w:val="188A2A57"/>
    <w:rsid w:val="18F30A84"/>
    <w:rsid w:val="29453D02"/>
    <w:rsid w:val="298567F4"/>
    <w:rsid w:val="361C403D"/>
    <w:rsid w:val="3D296AAD"/>
    <w:rsid w:val="3FD53EEB"/>
    <w:rsid w:val="43503578"/>
    <w:rsid w:val="49247E0A"/>
    <w:rsid w:val="4A6C513B"/>
    <w:rsid w:val="556829A3"/>
    <w:rsid w:val="5BB8342A"/>
    <w:rsid w:val="6C300204"/>
    <w:rsid w:val="71A3335C"/>
    <w:rsid w:val="75752846"/>
    <w:rsid w:val="787E7C64"/>
    <w:rsid w:val="7E6727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1178</Words>
  <Characters>1178</Characters>
  <Lines>0</Lines>
  <Paragraphs>0</Paragraphs>
  <TotalTime>1</TotalTime>
  <ScaleCrop>false</ScaleCrop>
  <LinksUpToDate>false</LinksUpToDate>
  <CharactersWithSpaces>1178</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2025-05-14T08:44:00Z</dcterms:created>
  <dc:creator>Administrator</dc:creator>
  <cp:lastModifiedBy>游刃鲤鱼</cp:lastModifiedBy>
  <dcterms:modified xsi:type="dcterms:W3CDTF">2025-08-30T12:34:14Z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eyJoZGlkIjoiNTI2YTgxMWJmYjljOWI3MGU0OGE5NWFhN2YxYTRjMmEiLCJ1c2VySWQiOiI2Njc0NzY5NTIifQ==</vt:lpwstr>
  </property>
  <property fmtid="{D5CDD505-2E9C-101B-9397-08002B2CF9AE}" pid="4" name="ICV">
    <vt:lpwstr>B1D2D4EC49854D08882EBF92C89D33E4_12</vt:lpwstr>
  </property>
</Properties>
</file>