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wordWrap/>
        <w:bidi w:val="0"/>
        <w:spacing w:before="0" w:beforeAutospacing="0" w:after="0" w:afterAutospacing="0" w:line="420" w:lineRule="atLeast"/>
        <w:ind w:left="0" w:right="0" w:firstLine="0"/>
        <w:jc w:val="center"/>
        <w:rPr>
          <w:rFonts w:hint="default" w:asciiTheme="minorEastAsia" w:hAnsiTheme="minorEastAsia" w:eastAsiaTheme="minorEastAsia" w:cstheme="minorEastAsia"/>
          <w:b/>
          <w:bCs/>
          <w:i w:val="0"/>
          <w:iCs w:val="0"/>
          <w:caps w:val="0"/>
          <w:color w:val="000000"/>
          <w:spacing w:val="0"/>
          <w:kern w:val="0"/>
          <w:sz w:val="28"/>
          <w:szCs w:val="28"/>
          <w:u w:val="none"/>
          <w:lang w:val="en-US" w:eastAsia="zh-CN" w:bidi="ar"/>
        </w:rPr>
      </w:pPr>
      <w:r>
        <w:rPr>
          <w:rFonts w:hint="eastAsia" w:asciiTheme="minorEastAsia" w:hAnsiTheme="minorEastAsia" w:cstheme="minorEastAsia"/>
          <w:b/>
          <w:bCs/>
          <w:i w:val="0"/>
          <w:iCs w:val="0"/>
          <w:caps w:val="0"/>
          <w:color w:val="000000"/>
          <w:spacing w:val="0"/>
          <w:kern w:val="0"/>
          <w:sz w:val="28"/>
          <w:szCs w:val="28"/>
          <w:u w:val="none"/>
          <w:lang w:val="en-US" w:eastAsia="zh-CN" w:bidi="ar"/>
        </w:rPr>
        <w:t>《</w:t>
      </w:r>
      <w:r>
        <w:rPr>
          <w:rFonts w:hint="eastAsia" w:asciiTheme="minorEastAsia" w:hAnsiTheme="minorEastAsia" w:eastAsiaTheme="minorEastAsia" w:cstheme="minorEastAsia"/>
          <w:b/>
          <w:bCs/>
          <w:i w:val="0"/>
          <w:iCs w:val="0"/>
          <w:caps w:val="0"/>
          <w:color w:val="000000"/>
          <w:spacing w:val="0"/>
          <w:kern w:val="0"/>
          <w:sz w:val="28"/>
          <w:szCs w:val="28"/>
          <w:u w:val="none"/>
          <w:lang w:val="en-US" w:eastAsia="zh-CN" w:bidi="ar"/>
        </w:rPr>
        <w:t>公司组织变动场景下企业社会责任适用规则重构</w:t>
      </w:r>
      <w:r>
        <w:rPr>
          <w:rFonts w:hint="eastAsia" w:asciiTheme="minorEastAsia" w:hAnsiTheme="minorEastAsia" w:cstheme="minorEastAsia"/>
          <w:b/>
          <w:bCs/>
          <w:i w:val="0"/>
          <w:iCs w:val="0"/>
          <w:caps w:val="0"/>
          <w:color w:val="000000"/>
          <w:spacing w:val="0"/>
          <w:kern w:val="0"/>
          <w:sz w:val="28"/>
          <w:szCs w:val="28"/>
          <w:u w:val="none"/>
          <w:lang w:val="en-US" w:eastAsia="zh-CN" w:bidi="ar"/>
        </w:rPr>
        <w:t>》一审修改说明</w:t>
      </w:r>
    </w:p>
    <w:p>
      <w:pPr>
        <w:keepNext w:val="0"/>
        <w:keepLines w:val="0"/>
        <w:widowControl/>
        <w:suppressLineNumbers w:val="0"/>
        <w:wordWrap/>
        <w:bidi w:val="0"/>
        <w:spacing w:before="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pPr>
    </w:p>
    <w:p>
      <w:pPr>
        <w:keepNext w:val="0"/>
        <w:keepLines w:val="0"/>
        <w:widowControl/>
        <w:suppressLineNumbers w:val="0"/>
        <w:wordWrap/>
        <w:bidi w:val="0"/>
        <w:spacing w:before="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4"/>
          <w:szCs w:val="24"/>
          <w:u w:val="none"/>
        </w:rPr>
      </w:pPr>
      <w:bookmarkStart w:id="0" w:name="_GoBack"/>
      <w:bookmarkEnd w:id="0"/>
      <w:r>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t>尊敬的编辑老师:</w:t>
      </w:r>
    </w:p>
    <w:p>
      <w:pPr>
        <w:keepNext w:val="0"/>
        <w:keepLines w:val="0"/>
        <w:widowControl/>
        <w:suppressLineNumbers w:val="0"/>
        <w:wordWrap/>
        <w:bidi w:val="0"/>
        <w:spacing w:before="0" w:beforeAutospacing="0" w:after="0" w:afterAutospacing="0" w:line="420" w:lineRule="atLeast"/>
        <w:ind w:left="0" w:right="0" w:firstLine="480"/>
        <w:jc w:val="left"/>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pPr>
      <w:r>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t>您好！非常感谢您在百忙之中对《公司组织变动场景下企业社会责任适用规则重构》一文做出一审评审，提出宝贵的修改意见并给予修改的机会。本人根据编辑老师所提意见与建议再次对稿件进行了详细修改，以下结合修改内容具体回复老师所提出的修改意见:</w:t>
      </w:r>
    </w:p>
    <w:p>
      <w:pPr>
        <w:keepNext w:val="0"/>
        <w:keepLines w:val="0"/>
        <w:widowControl/>
        <w:suppressLineNumbers w:val="0"/>
        <w:wordWrap/>
        <w:bidi w:val="0"/>
        <w:spacing w:before="0" w:beforeAutospacing="0" w:after="0" w:afterAutospacing="0" w:line="420" w:lineRule="atLeast"/>
        <w:ind w:left="0" w:right="0" w:firstLine="480"/>
        <w:jc w:val="left"/>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pPr>
    </w:p>
    <w:p>
      <w:pPr>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sz w:val="24"/>
          <w:szCs w:val="24"/>
          <w:lang w:val="en-US" w:eastAsia="zh-CN"/>
        </w:rPr>
        <w:t>修改问题1:</w:t>
      </w:r>
      <w:r>
        <w:rPr>
          <w:rFonts w:hint="eastAsia" w:asciiTheme="minorEastAsia" w:hAnsiTheme="minorEastAsia" w:eastAsiaTheme="minorEastAsia" w:cstheme="minorEastAsia"/>
          <w:b/>
          <w:bCs/>
          <w:kern w:val="0"/>
          <w:sz w:val="24"/>
          <w:szCs w:val="24"/>
        </w:rPr>
        <w:t>对新《公司法》第191条规定的董事对第三人责任在反收购场景下适用于利益相关者的论证，虽然观点明确，但论证可再深化，特别是董事对第三人责任在反收购场景下的具体适用规则（如故意或重大过失的认定标准、与商业判断规则的协调）。</w:t>
      </w:r>
    </w:p>
    <w:p>
      <w:pPr>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非常感谢编辑老师指出该点问题，确实是文章欠缺之处，针对此本文结合新《公司法》第191条在理论学界的争议，增加了“董事会权力扩大却缺乏约束机制”“并购中董事与利益相关者信息不对称性”两点关于董事对第三人责任在公司并购场景下的适用具备正当性的论述，以此深化支持本文观点。同时结合公司并购场景对董事对第三人责任中的“故意与重大过失”进行了近一步阐释，指出应结合上文中董事信义义务的内涵为董事主观过错确立客观化判断标准，并对某些董事股东损害利益相关者利益的典型行为进行了列举。同时通过信义义务将商业判断规则引入到董事并购决策的豁免中，弥补了商业判断规则与董事对第三人责任之间缺乏协调与衔接的问题。</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lang w:val="en-US" w:eastAsia="zh-CN"/>
        </w:rPr>
        <w:t>修改问题2:</w:t>
      </w:r>
      <w:r>
        <w:rPr>
          <w:rFonts w:hint="eastAsia" w:asciiTheme="minorEastAsia" w:hAnsiTheme="minorEastAsia" w:eastAsiaTheme="minorEastAsia" w:cstheme="minorEastAsia"/>
          <w:b/>
          <w:bCs/>
          <w:kern w:val="0"/>
          <w:sz w:val="24"/>
          <w:szCs w:val="24"/>
        </w:rPr>
        <w:t>经营者集中审查部分，关于如何具体“细化内涵”“建立分类审查制度”（特别是具体行业分类标准）“细化公共利益审查标准和审查方法”（特别是“社会影响评估报告”的具体内容和效力），论证相对宏观，可提供更具体的设想或借鉴域外更成熟的经验。</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感谢编辑老师指出该部分的不足，对此本文补充了关于“分类标准”的内容，指出可以通过市场监督管理总局确立“关系国民经济命脉和民生保障等关键领域”等重点领域名单的形式进行确立。同时对社会影响评估报告的相关内容进行了从评估主体、评估方法、评估效力三方面进一步论述，结合现有的经营者集中审查报告制度将集中行为的社会影响评估报告嵌入其中。</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lang w:val="en-US" w:eastAsia="zh-CN"/>
        </w:rPr>
        <w:t>修改问题3:</w:t>
      </w:r>
      <w:r>
        <w:rPr>
          <w:rFonts w:hint="eastAsia" w:asciiTheme="minorEastAsia" w:hAnsiTheme="minorEastAsia" w:eastAsiaTheme="minorEastAsia" w:cstheme="minorEastAsia"/>
          <w:b/>
          <w:bCs/>
          <w:kern w:val="0"/>
          <w:sz w:val="24"/>
          <w:szCs w:val="24"/>
        </w:rPr>
        <w:t>方法论上有个隐蔽漏洞，即文中的“三种组织变动类型”中仅并购属于主动变动，司法解散和经营者集中其实都是被动变动。这一根本差异被模糊处理了，导致三类比较的基础不够坚实。</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感谢老师指出该点问题。确实如此，文本在第二部分的最后对三种公司组织变动场景下社会责任作用方式的总结时指明此点，同时正是因为这种差异性决定了社会责任落实主体以及利益相关者保护方式的差异所在。</w:t>
      </w:r>
    </w:p>
    <w:p>
      <w:pPr>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b/>
          <w:bCs/>
          <w:kern w:val="0"/>
          <w:sz w:val="24"/>
          <w:szCs w:val="24"/>
          <w:lang w:val="en-US" w:eastAsia="zh-CN"/>
        </w:rPr>
        <w:t>修改问题4:</w:t>
      </w:r>
      <w:r>
        <w:rPr>
          <w:rFonts w:hint="eastAsia" w:asciiTheme="minorEastAsia" w:hAnsiTheme="minorEastAsia" w:eastAsiaTheme="minorEastAsia" w:cstheme="minorEastAsia"/>
          <w:b/>
          <w:bCs/>
          <w:kern w:val="0"/>
          <w:sz w:val="24"/>
          <w:szCs w:val="24"/>
        </w:rPr>
        <w:t>最值得商榷的是重构方案部分。要求董事在反收购决策中同时考量股东、员工、债权人、消费者等多元利益，这在实际商业决策中可能难以操作。论文没有提供具体的利益权重指引，这种“既要又要”的方案可能沦为纸面宣言。特别是援引新法191条董事对第三人责任时，未讨论该条款在实务中的争议性——很多学者担心这会过度加重董事责任。</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感谢编辑老师指出该点问题，这一点确实是笔者考虑欠妥，着墨不足之处。为加强论述，本文在提出利用第191条董事对第三人责任构建利益相关者诉权的同时，又增加了关于加强董事责任正当性的论述，并且指明可以通过严格限制董事对第三人责任的归责条件的方式避免董事责任的进一步扩张，以此回应理论上的争议。同时在重构方案第一部分“强化公司收购与反收购过程中的董事义务”中点明了董事是否履行了应尽的注意义务的判断标准只有一个就是“公司利益最大化”，并且进一步点明公司利益最大化与各利益相关者利益与公共利益间的联系与不同，明确应该利用“</w:t>
      </w:r>
      <w:r>
        <w:rPr>
          <w:rFonts w:hint="eastAsia" w:asciiTheme="minorEastAsia" w:hAnsiTheme="minorEastAsia" w:eastAsiaTheme="minorEastAsia" w:cstheme="minorEastAsia"/>
          <w:sz w:val="24"/>
          <w:szCs w:val="24"/>
          <w:lang w:val="en-US" w:eastAsia="zh-CN"/>
        </w:rPr>
        <w:t>公司法的风险与利益分配为禀赋</w:t>
      </w:r>
      <w:r>
        <w:rPr>
          <w:rFonts w:hint="eastAsia" w:asciiTheme="minorEastAsia" w:hAnsiTheme="minorEastAsia" w:eastAsiaTheme="minorEastAsia" w:cstheme="minorEastAsia"/>
          <w:kern w:val="0"/>
          <w:sz w:val="24"/>
          <w:szCs w:val="24"/>
          <w:lang w:val="en-US" w:eastAsia="zh-CN"/>
        </w:rPr>
        <w:t>”这一标准在公司利益最大化的目标下实现对利益相关者的利益的权重分配，为董事行事提供更明确的标准，具体化了重构方案，加强了论述的说服力。</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lang w:val="en-US" w:eastAsia="zh-CN"/>
        </w:rPr>
        <w:t>修改问题5：</w:t>
      </w:r>
      <w:r>
        <w:rPr>
          <w:rFonts w:hint="eastAsia" w:asciiTheme="minorEastAsia" w:hAnsiTheme="minorEastAsia" w:eastAsiaTheme="minorEastAsia" w:cstheme="minorEastAsia"/>
          <w:b/>
          <w:bCs/>
          <w:kern w:val="0"/>
          <w:sz w:val="24"/>
          <w:szCs w:val="24"/>
        </w:rPr>
        <w:t>ESG理念与社会责任条款的衔接论证不足。论文将ESG作为触发社会责任的理论基础之一，并提到新法第20条“赋予公司在ESG趋势下的更多决策空间”。然而，对于ESG的具体要求如何具体转化或映射到新法第20条“充分考虑利益相关者利益与社会公共利益”的抽象要求上，缺乏深入论证。ESG是更系统、更具操作性的框架，论文未能清晰阐述公司法社会责任条款在组织变动场景下如何实质性地承载或回应ESG的具体维度。</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本文重新审视了公司社会责任理念与ESG理念之间的关系，改变了自身观点，公司社会责任并非是对ESG理念从一般到具体的践行，而是一种从具体到一般的制度化升华。虽然ESG评估已经具备细化详细的指标与方法，但本文通过观察我国立法体系中对ESG理念的规定，发现其并没有得到普遍适用，而社会责任条款则借由此次修法通过公司法的强制力将ESG理念普遍化适用于各类公司，本文结合新《公司法》第20条对责任对象的立法表述以及ESG理念的落实方式进一步补充了新法第20条是如何</w:t>
      </w:r>
      <w:r>
        <w:rPr>
          <w:rFonts w:hint="eastAsia" w:asciiTheme="minorEastAsia" w:hAnsiTheme="minorEastAsia" w:eastAsiaTheme="minorEastAsia" w:cstheme="minorEastAsia"/>
          <w:kern w:val="0"/>
          <w:sz w:val="24"/>
          <w:szCs w:val="24"/>
        </w:rPr>
        <w:t>实质性地承载</w:t>
      </w:r>
      <w:r>
        <w:rPr>
          <w:rFonts w:hint="eastAsia" w:asciiTheme="minorEastAsia" w:hAnsiTheme="minorEastAsia" w:eastAsiaTheme="minorEastAsia" w:cstheme="minorEastAsia"/>
          <w:kern w:val="0"/>
          <w:sz w:val="24"/>
          <w:szCs w:val="24"/>
          <w:lang w:val="en-US" w:eastAsia="zh-CN"/>
        </w:rPr>
        <w:t>并一般化ESG理念的。</w:t>
      </w:r>
    </w:p>
    <w:p>
      <w:pPr>
        <w:tabs>
          <w:tab w:val="left" w:pos="144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lang w:val="en-US" w:eastAsia="zh-CN"/>
        </w:rPr>
        <w:t>修改问题6:</w:t>
      </w:r>
      <w:r>
        <w:rPr>
          <w:rFonts w:hint="eastAsia" w:asciiTheme="minorEastAsia" w:hAnsiTheme="minorEastAsia" w:eastAsiaTheme="minorEastAsia" w:cstheme="minorEastAsia"/>
          <w:b/>
          <w:bCs/>
          <w:kern w:val="0"/>
          <w:sz w:val="24"/>
          <w:szCs w:val="24"/>
        </w:rPr>
        <w:t>论文提出社会责任的核心逻辑是“向非股东利益相关者分配公司利益或股东利益”。但是，这个表述一方面过于笼统，即“分配”的具体含义是什么？是利润分享、成本承担、优先受偿权，还是其他？在不同组织变动场景下，“分配”的表现形式差异巨大，论文未作区分和细化。另一方面，这种“分配”逻辑与新《公司法》坚守的股东会掌握公司治理过程中的大部分职权以及董事对公司的信义义务如何协调？论文在提出反收购中强化董事信义义务时，试图弥合，但未深入探讨这种“分配”要求可能对传统公司法根基产生的冲击和理论张力。尤其是在股东利益与社会利益尖锐冲突时，“分配”的边界和优先级如何界定？</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感谢编辑老师的意见。本文进一步明确了在不同的公司组织变动场景下分配的对象和表现形式为何，虽然其存在种种差异，但这种“分配”的理念相同，都是一种为倾斜保护利益相关者所进行的利益均衡手段，并且在后文重构路径“强化公司收购与反收购过程中的董事义务”部分关于董事注意义务的论述明确了分配的序位判断标准。以及“构建司法解散纠纷中公司社会责任的差异化适用模式”第二段对这种分配理念即倾斜保护的边界进行了划定——“仅在清算程序无法</w:t>
      </w:r>
      <w:r>
        <w:rPr>
          <w:rFonts w:hint="eastAsia" w:asciiTheme="minorEastAsia" w:hAnsiTheme="minorEastAsia" w:eastAsiaTheme="minorEastAsia" w:cstheme="minorEastAsia"/>
          <w:sz w:val="24"/>
          <w:szCs w:val="24"/>
        </w:rPr>
        <w:t>补偿公司解散行为所产生负外部性的场景下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才会有分配的理念产生</w:t>
      </w:r>
      <w:r>
        <w:rPr>
          <w:rFonts w:hint="eastAsia" w:asciiTheme="minorEastAsia" w:hAnsiTheme="minorEastAsia" w:eastAsiaTheme="minorEastAsia" w:cstheme="minorEastAsia"/>
          <w:kern w:val="0"/>
          <w:sz w:val="24"/>
          <w:szCs w:val="24"/>
          <w:lang w:val="en-US" w:eastAsia="zh-CN"/>
        </w:rPr>
        <w:t>。</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b/>
          <w:bCs/>
          <w:kern w:val="0"/>
          <w:sz w:val="24"/>
          <w:szCs w:val="24"/>
          <w:lang w:val="en-US" w:eastAsia="zh-CN"/>
        </w:rPr>
        <w:t>修改问题7:</w:t>
      </w:r>
      <w:r>
        <w:rPr>
          <w:rFonts w:hint="eastAsia" w:asciiTheme="minorEastAsia" w:hAnsiTheme="minorEastAsia" w:eastAsiaTheme="minorEastAsia" w:cstheme="minorEastAsia"/>
          <w:b/>
          <w:bCs/>
          <w:kern w:val="0"/>
          <w:sz w:val="24"/>
          <w:szCs w:val="24"/>
        </w:rPr>
        <w:t>“负外部性”作为核心触发机制的局限性。其一，论文将“负外部性”作为组织变动触发社会责任的核心原因。这固然是重要视角，但“负外部性”是一个经济学概念，其内涵非常广泛。论文未能清晰界定在不同组织变动类型下，所讨论的“负外部性”具体指涉哪些利益，以及这些负外部性在法律上如何被识别和衡量。这导致“负外部性”作为分析框架显得有些笼统，削弱了论证的精准性。其二，论文将“负外部性”与“利益冲突剧烈”并列为触发原因。但本质上，负外部性的存在正是引发内部与外部利益冲突的根源。论文将两者平行列出，逻辑上稍显重复，未能更精炼地构建因果关系链条。</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感谢编辑老师对该部分修改的建议，本文进一步完善了在公司组织变动场景下“负外部性”的含义以及识别方法，以及在并购与公司解散等公司组织变动行为下公司利益相关者所遭受的负外部性影响具体所在，增强了论述的精准性。同时，</w:t>
      </w:r>
      <w:r>
        <w:rPr>
          <w:rFonts w:hint="eastAsia" w:asciiTheme="minorEastAsia" w:hAnsiTheme="minorEastAsia" w:eastAsiaTheme="minorEastAsia" w:cstheme="minorEastAsia"/>
          <w:kern w:val="0"/>
          <w:sz w:val="24"/>
          <w:szCs w:val="24"/>
        </w:rPr>
        <w:t>“负外部性”与“利益冲突剧烈”并列为触发原因</w:t>
      </w:r>
      <w:r>
        <w:rPr>
          <w:rFonts w:hint="eastAsia" w:asciiTheme="minorEastAsia" w:hAnsiTheme="minorEastAsia" w:eastAsiaTheme="minorEastAsia" w:cstheme="minorEastAsia"/>
          <w:kern w:val="0"/>
          <w:sz w:val="24"/>
          <w:szCs w:val="24"/>
          <w:lang w:val="en-US" w:eastAsia="zh-CN"/>
        </w:rPr>
        <w:t>确实存在重复，笔者思考后认为本部分实际是想说明“</w:t>
      </w:r>
      <w:r>
        <w:rPr>
          <w:rFonts w:hint="eastAsia" w:asciiTheme="minorEastAsia" w:hAnsiTheme="minorEastAsia" w:eastAsiaTheme="minorEastAsia" w:cstheme="minorEastAsia"/>
          <w:sz w:val="24"/>
          <w:szCs w:val="24"/>
        </w:rPr>
        <w:t>‌公司组织变动</w:t>
      </w:r>
      <w:r>
        <w:rPr>
          <w:rFonts w:hint="eastAsia" w:asciiTheme="minorEastAsia" w:hAnsiTheme="minorEastAsia" w:eastAsiaTheme="minorEastAsia" w:cstheme="minorEastAsia"/>
          <w:sz w:val="24"/>
          <w:szCs w:val="24"/>
          <w:lang w:val="en-US" w:eastAsia="zh-CN"/>
        </w:rPr>
        <w:t>容易引发激烈的社会矛盾</w:t>
      </w:r>
      <w:r>
        <w:rPr>
          <w:rFonts w:hint="eastAsia" w:asciiTheme="minorEastAsia" w:hAnsiTheme="minorEastAsia" w:eastAsiaTheme="minorEastAsia" w:cstheme="minorEastAsia"/>
          <w:kern w:val="0"/>
          <w:sz w:val="24"/>
          <w:szCs w:val="24"/>
          <w:lang w:val="en-US" w:eastAsia="zh-CN"/>
        </w:rPr>
        <w:t>”，想要强调这种负外部性影响的巨大，因此本文将原内容删除重新增加了关于公司组织变动下社会影响巨大的论述，使上下文逻辑衔接合理。</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lang w:val="en-US" w:eastAsia="zh-CN"/>
        </w:rPr>
        <w:t>修改问题8:</w:t>
      </w:r>
      <w:r>
        <w:rPr>
          <w:rFonts w:hint="eastAsia" w:asciiTheme="minorEastAsia" w:hAnsiTheme="minorEastAsia" w:eastAsiaTheme="minorEastAsia" w:cstheme="minorEastAsia"/>
          <w:b/>
          <w:bCs/>
          <w:kern w:val="0"/>
          <w:sz w:val="24"/>
          <w:szCs w:val="24"/>
        </w:rPr>
        <w:t>重构路径的具体可行性与潜在风险。其一，要求董事在反收购决策中进行全面利益衡量，个案评估对债权人、客户及雇员等利益相关方的影响，并结合公共利益诉求等实际情况。这几乎是一个不可能完成的的任务。在瞬息万变、信息不对称的收购战中，董事如何有效获取并评估如此广泛的信息？商业判断规则能否为这种高度复杂且充满价值判断的决策提供足够的保护？论文对此挑战估计不足。通过新法第191条董事对第三人责任为利益相关者提供救济。然而，如何认定董事在反收购决策中未充分考虑利益相关者利益构成故意或重大过失？利益相关者利益本身具有多元性和潜在冲突性，董事如何取舍？法院如何事后评判这种商业决策中的价值权衡？这极易导致司法过度介入商业判断，使董事陷入动辄得咎的境地，反而抑制其采取必要的反收购措施。其二，虽然提出了行业特征、集中度、规模等区分因素，但缺乏可操作的量化或质性标准。例如，“劳动密集型企业”的认定边界？“规模大”的具体门槛？“涉及国计民生”的范围？这赋予了法官过大的自由裁量权，可能导致同案不同判，损害法律的可预期性。论文未提出构建更具体评估指标的思路。强调个案衡量并要求法官详细说理固然重要，但这与构建差异化适用模式的目标存在一定张力。其三，社会公共利益内涵的模糊性依然存在：虽然提出要细化内涵，聚焦于“市场稳定、经济发展、国家安全等”，但这仍然是高度抽象的概念。例如，经济发展具体指GDP增长、就业率、还是产业升级？这些目标本身可能冲突。如何将抽象的公共利益转化为审查时可操作的具体指标？论文建议的社会影响评估报告是方向，但报告应包含哪些核心内容？由谁评估？效力如何？缺乏深入设计。其四，提出区分领域适用不同审查严格度，这需要科学、动态的行业分类和影响评估机制支持。如何界定市场竞争充分、准入门槛低的领域？哪些是关系国民经济命脉和民生保障的关键领域？这些分类本身可能引发争议且需要不断更新。</w:t>
      </w:r>
    </w:p>
    <w:p>
      <w:pPr>
        <w:tabs>
          <w:tab w:val="left" w:pos="2160"/>
        </w:tabs>
        <w:autoSpaceDE w:val="0"/>
        <w:autoSpaceDN w:val="0"/>
        <w:adjustRightInd w:val="0"/>
        <w:snapToGrid w:val="0"/>
        <w:spacing w:line="360" w:lineRule="auto"/>
        <w:ind w:firstLine="480" w:firstLineChars="20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针对问题其一，确实存在论述欠缺之处，本文在重构路径部分增加了相应论述明确了董事在面临众多利益相关者利益时的衡量与判断标尺，同时在利用董事对第三人责任构建利益相关者诉权的部分对“过错和重大过失”以及“商业判断规则”进行了进一步论述。针对问题其二，在此部分进一步引入“社会影响评估”下的BIA分析模型以对公司的社会影响力进行精准判断，也为</w:t>
      </w:r>
      <w:r>
        <w:rPr>
          <w:rFonts w:hint="eastAsia" w:asciiTheme="minorEastAsia" w:hAnsiTheme="minorEastAsia" w:eastAsiaTheme="minorEastAsia" w:cstheme="minorEastAsia"/>
          <w:kern w:val="0"/>
          <w:sz w:val="24"/>
          <w:szCs w:val="24"/>
        </w:rPr>
        <w:t>行业特征、集中度、规模等</w:t>
      </w:r>
      <w:r>
        <w:rPr>
          <w:rFonts w:hint="eastAsia" w:asciiTheme="minorEastAsia" w:hAnsiTheme="minorEastAsia" w:eastAsiaTheme="minorEastAsia" w:cstheme="minorEastAsia"/>
          <w:kern w:val="0"/>
          <w:sz w:val="24"/>
          <w:szCs w:val="24"/>
          <w:lang w:val="en-US" w:eastAsia="zh-CN"/>
        </w:rPr>
        <w:t>考量因素进行量化赋分原理进行了论述，试图对此种区分主体类型的差异化社会责任适用模式提供精准的量化标准。针对问题其三，进一步对经营者集中的社会影响评估报告制度进行完善，其作为经营者集中申报资料的一部分效力与其相同是强制提交的，反垄断执法部分依据申报材料对进行审查。同时对评估报告的评估内容以及评估主体结合《</w:t>
      </w:r>
      <w:r>
        <w:rPr>
          <w:rFonts w:hint="eastAsia" w:asciiTheme="minorEastAsia" w:hAnsiTheme="minorEastAsia" w:eastAsiaTheme="minorEastAsia" w:cstheme="minorEastAsia"/>
          <w:sz w:val="24"/>
          <w:szCs w:val="24"/>
          <w:lang w:val="en-US" w:eastAsia="zh-CN"/>
        </w:rPr>
        <w:t>横向经营者集中审查指引</w:t>
      </w:r>
      <w:r>
        <w:rPr>
          <w:rFonts w:hint="eastAsia" w:asciiTheme="minorEastAsia" w:hAnsiTheme="minorEastAsia" w:eastAsiaTheme="minorEastAsia" w:cstheme="minorEastAsia"/>
          <w:kern w:val="0"/>
          <w:sz w:val="24"/>
          <w:szCs w:val="24"/>
          <w:lang w:val="en-US" w:eastAsia="zh-CN"/>
        </w:rPr>
        <w:t>》进行了明确，评估方法则应是定性评估与定量评估相结合的方式进行。针对问题其四，本文进一步明确了区分方法，即应由市场监督管理总局确立“关系国民经济命脉和民生保障等关键领域”等重点领域名单的形式进行确立。</w:t>
      </w:r>
    </w:p>
    <w:p>
      <w:pPr>
        <w:tabs>
          <w:tab w:val="left" w:pos="2160"/>
        </w:tabs>
        <w:autoSpaceDE w:val="0"/>
        <w:autoSpaceDN w:val="0"/>
        <w:adjustRightInd w:val="0"/>
        <w:snapToGrid w:val="0"/>
        <w:spacing w:line="360" w:lineRule="auto"/>
        <w:ind w:firstLine="420"/>
        <w:jc w:val="left"/>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lang w:val="en-US" w:eastAsia="zh-CN"/>
        </w:rPr>
        <w:t>修改问题9:</w:t>
      </w:r>
      <w:r>
        <w:rPr>
          <w:rFonts w:hint="eastAsia" w:asciiTheme="minorEastAsia" w:hAnsiTheme="minorEastAsia" w:eastAsiaTheme="minorEastAsia" w:cstheme="minorEastAsia"/>
          <w:b/>
          <w:bCs/>
          <w:kern w:val="0"/>
          <w:sz w:val="24"/>
          <w:szCs w:val="24"/>
        </w:rPr>
        <w:t>对替代方案的讨论不足。在讨论阻却司法解散时，提到了股权强制收购等替代安排，但未深入探讨这些替代方案在化解僵局和保护利益相关者方面的具体可行性、法律障碍以及与社会责任条款适用的关系。在反收购部分，主要依赖强化董事责任，但对如股东会批准特定反收购措施、强化信息披露要求让利益相关者知情、特定情形下赋予利益相关者某种形式的表达权等其他可能的约束机制缺乏探讨和比较。</w:t>
      </w:r>
    </w:p>
    <w:p>
      <w:pPr>
        <w:tabs>
          <w:tab w:val="left" w:pos="2160"/>
        </w:tabs>
        <w:autoSpaceDE w:val="0"/>
        <w:autoSpaceDN w:val="0"/>
        <w:adjustRightInd w:val="0"/>
        <w:snapToGrid w:val="0"/>
        <w:spacing w:line="360" w:lineRule="auto"/>
        <w:ind w:firstLine="420"/>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回复：针对此问题，确实着墨不多，但笔者认为本文主要聚焦于社会责任对司法判决解散的影响，而并非为司法解散僵局化解寻找更好的方案，替代方案的对比对本文讨论问题的论点支持不足。本文对</w:t>
      </w:r>
      <w:r>
        <w:rPr>
          <w:rFonts w:hint="eastAsia" w:asciiTheme="minorEastAsia" w:hAnsiTheme="minorEastAsia" w:eastAsiaTheme="minorEastAsia" w:cstheme="minorEastAsia"/>
          <w:kern w:val="0"/>
          <w:sz w:val="24"/>
          <w:szCs w:val="24"/>
        </w:rPr>
        <w:t>反收购部分强化信息披露要求让利益相关者知情</w:t>
      </w:r>
      <w:r>
        <w:rPr>
          <w:rFonts w:hint="eastAsia" w:asciiTheme="minorEastAsia" w:hAnsiTheme="minorEastAsia" w:eastAsiaTheme="minorEastAsia" w:cstheme="minorEastAsia"/>
          <w:kern w:val="0"/>
          <w:sz w:val="24"/>
          <w:szCs w:val="24"/>
          <w:lang w:val="en-US" w:eastAsia="zh-CN"/>
        </w:rPr>
        <w:t>的方案进行了比较，进一步支持通过强化董事信义义务落实利益相关者利益保护的正当性与可行性，认为信息披露制度并不能全面弥补并购这一信息不对称场景下利益相关者的利益损害，利益相关者纵使知情也无法左右董事的决策行为。</w:t>
      </w:r>
    </w:p>
    <w:p>
      <w:pPr>
        <w:keepNext w:val="0"/>
        <w:keepLines w:val="0"/>
        <w:widowControl/>
        <w:suppressLineNumbers w:val="0"/>
        <w:wordWrap/>
        <w:bidi w:val="0"/>
        <w:spacing w:before="0" w:beforeAutospacing="0" w:after="0" w:afterAutospacing="0" w:line="420" w:lineRule="atLeast"/>
        <w:ind w:left="0" w:right="0" w:firstLine="480"/>
        <w:jc w:val="left"/>
        <w:rPr>
          <w:rFonts w:hint="eastAsia" w:asciiTheme="minorEastAsia" w:hAnsiTheme="minorEastAsia" w:eastAsiaTheme="minorEastAsia" w:cstheme="minorEastAsia"/>
          <w:i w:val="0"/>
          <w:iCs w:val="0"/>
          <w:caps w:val="0"/>
          <w:color w:val="000000"/>
          <w:spacing w:val="0"/>
          <w:sz w:val="24"/>
          <w:szCs w:val="24"/>
          <w:u w:val="none"/>
        </w:rPr>
      </w:pPr>
      <w:r>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t>再次感谢编辑老师对本稿件提出的宝贵的指导意见，每一次修改都是对本稿件的完善与提升，非常感谢编辑老师无私的帮助。如有修改不当之处，万望您能再次予以指导，学生将继续修改直至完善！</w:t>
      </w:r>
    </w:p>
    <w:p>
      <w:pPr>
        <w:keepNext w:val="0"/>
        <w:keepLines w:val="0"/>
        <w:widowControl/>
        <w:suppressLineNumbers w:val="0"/>
        <w:wordWrap/>
        <w:bidi w:val="0"/>
        <w:spacing w:before="0" w:beforeAutospacing="0" w:after="0" w:afterAutospacing="0" w:line="420" w:lineRule="atLeast"/>
        <w:ind w:left="0" w:right="0" w:firstLine="0"/>
        <w:jc w:val="right"/>
        <w:rPr>
          <w:rFonts w:hint="eastAsia" w:asciiTheme="minorEastAsia" w:hAnsiTheme="minorEastAsia" w:eastAsiaTheme="minorEastAsia" w:cstheme="minorEastAsia"/>
          <w:i w:val="0"/>
          <w:iCs w:val="0"/>
          <w:caps w:val="0"/>
          <w:color w:val="000000"/>
          <w:spacing w:val="0"/>
          <w:sz w:val="24"/>
          <w:szCs w:val="24"/>
          <w:u w:val="none"/>
        </w:rPr>
      </w:pPr>
      <w:r>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t>回复人：李增萍</w:t>
      </w:r>
    </w:p>
    <w:p>
      <w:pPr>
        <w:keepNext w:val="0"/>
        <w:keepLines w:val="0"/>
        <w:widowControl/>
        <w:suppressLineNumbers w:val="0"/>
        <w:wordWrap/>
        <w:bidi w:val="0"/>
        <w:spacing w:before="0" w:beforeAutospacing="0" w:after="0" w:afterAutospacing="0" w:line="420" w:lineRule="atLeast"/>
        <w:ind w:left="0" w:right="0" w:firstLine="0"/>
        <w:jc w:val="right"/>
        <w:rPr>
          <w:rFonts w:hint="eastAsia" w:asciiTheme="minorEastAsia" w:hAnsiTheme="minorEastAsia" w:eastAsiaTheme="minorEastAsia" w:cstheme="minorEastAsia"/>
          <w:i w:val="0"/>
          <w:iCs w:val="0"/>
          <w:caps w:val="0"/>
          <w:color w:val="000000"/>
          <w:spacing w:val="0"/>
          <w:sz w:val="24"/>
          <w:szCs w:val="24"/>
          <w:u w:val="none"/>
        </w:rPr>
      </w:pPr>
      <w:r>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t>回复时间：2025年</w:t>
      </w:r>
      <w:r>
        <w:rPr>
          <w:rFonts w:hint="eastAsia" w:asciiTheme="minorEastAsia" w:hAnsiTheme="minorEastAsia" w:cstheme="minorEastAsia"/>
          <w:i w:val="0"/>
          <w:iCs w:val="0"/>
          <w:caps w:val="0"/>
          <w:color w:val="000000"/>
          <w:spacing w:val="0"/>
          <w:kern w:val="0"/>
          <w:sz w:val="24"/>
          <w:szCs w:val="24"/>
          <w:u w:val="none"/>
          <w:lang w:val="en-US" w:eastAsia="zh-CN" w:bidi="ar"/>
        </w:rPr>
        <w:t>9</w:t>
      </w:r>
      <w:r>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t>月</w:t>
      </w:r>
      <w:r>
        <w:rPr>
          <w:rFonts w:hint="eastAsia" w:asciiTheme="minorEastAsia" w:hAnsiTheme="minorEastAsia" w:cstheme="minorEastAsia"/>
          <w:i w:val="0"/>
          <w:iCs w:val="0"/>
          <w:caps w:val="0"/>
          <w:color w:val="000000"/>
          <w:spacing w:val="0"/>
          <w:kern w:val="0"/>
          <w:sz w:val="24"/>
          <w:szCs w:val="24"/>
          <w:u w:val="none"/>
          <w:lang w:val="en-US" w:eastAsia="zh-CN" w:bidi="ar"/>
        </w:rPr>
        <w:t>4</w:t>
      </w:r>
      <w:r>
        <w:rPr>
          <w:rFonts w:hint="eastAsia" w:asciiTheme="minorEastAsia" w:hAnsiTheme="minorEastAsia" w:eastAsiaTheme="minorEastAsia" w:cstheme="minorEastAsia"/>
          <w:i w:val="0"/>
          <w:iCs w:val="0"/>
          <w:caps w:val="0"/>
          <w:color w:val="000000"/>
          <w:spacing w:val="0"/>
          <w:kern w:val="0"/>
          <w:sz w:val="24"/>
          <w:szCs w:val="24"/>
          <w:u w:val="none"/>
          <w:lang w:val="en-US" w:eastAsia="zh-CN" w:bidi="ar"/>
        </w:rPr>
        <w:t>日</w:t>
      </w:r>
    </w:p>
    <w:p>
      <w:pPr>
        <w:tabs>
          <w:tab w:val="left" w:pos="2160"/>
        </w:tabs>
        <w:autoSpaceDE w:val="0"/>
        <w:autoSpaceDN w:val="0"/>
        <w:adjustRightInd w:val="0"/>
        <w:snapToGrid w:val="0"/>
        <w:spacing w:line="360" w:lineRule="auto"/>
        <w:ind w:firstLine="420" w:firstLineChars="200"/>
        <w:jc w:val="left"/>
        <w:rPr>
          <w:rFonts w:hint="default" w:ascii="宋体" w:hAnsi="宋体" w:cs="宋体"/>
          <w:kern w:val="0"/>
          <w:szCs w:val="21"/>
          <w:lang w:val="en-US" w:eastAsia="zh-CN"/>
        </w:rPr>
      </w:pPr>
    </w:p>
    <w:p>
      <w:pPr>
        <w:tabs>
          <w:tab w:val="left" w:pos="2160"/>
        </w:tabs>
        <w:autoSpaceDE w:val="0"/>
        <w:autoSpaceDN w:val="0"/>
        <w:adjustRightInd w:val="0"/>
        <w:snapToGrid w:val="0"/>
        <w:spacing w:line="360" w:lineRule="auto"/>
        <w:ind w:firstLine="420" w:firstLineChars="200"/>
        <w:jc w:val="left"/>
        <w:rPr>
          <w:rFonts w:hint="default" w:ascii="宋体" w:hAnsi="宋体" w:cs="宋体"/>
          <w:kern w:val="0"/>
          <w:szCs w:val="21"/>
          <w:lang w:val="en-US" w:eastAsia="zh-CN"/>
        </w:rPr>
      </w:pPr>
    </w:p>
    <w:p>
      <w:pPr>
        <w:tabs>
          <w:tab w:val="left" w:pos="2160"/>
        </w:tabs>
        <w:autoSpaceDE w:val="0"/>
        <w:autoSpaceDN w:val="0"/>
        <w:adjustRightInd w:val="0"/>
        <w:snapToGrid w:val="0"/>
        <w:spacing w:line="360" w:lineRule="auto"/>
        <w:ind w:firstLine="420" w:firstLineChars="200"/>
        <w:jc w:val="left"/>
        <w:rPr>
          <w:rFonts w:hint="default" w:ascii="宋体" w:hAnsi="宋体" w:cs="宋体"/>
          <w:kern w:val="0"/>
          <w:szCs w:val="21"/>
          <w:lang w:val="en-US" w:eastAsia="zh-CN"/>
        </w:rPr>
      </w:pPr>
    </w:p>
    <w:p>
      <w:pPr>
        <w:autoSpaceDE w:val="0"/>
        <w:autoSpaceDN w:val="0"/>
        <w:adjustRightInd w:val="0"/>
        <w:snapToGrid w:val="0"/>
        <w:spacing w:line="360" w:lineRule="auto"/>
        <w:ind w:firstLine="420" w:firstLineChars="200"/>
        <w:jc w:val="left"/>
        <w:rPr>
          <w:rFonts w:hint="default" w:ascii="宋体" w:hAnsi="宋体" w:cs="宋体" w:eastAsiaTheme="minorEastAsia"/>
          <w:kern w:val="0"/>
          <w:szCs w:val="21"/>
          <w:lang w:val="en-US" w:eastAsia="zh-CN"/>
        </w:rPr>
      </w:pPr>
    </w:p>
    <w:p>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华文楷体">
    <w:panose1 w:val="02010600040101010101"/>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EFDDC1"/>
    <w:rsid w:val="17EB9121"/>
    <w:rsid w:val="3F73590C"/>
    <w:rsid w:val="48768950"/>
    <w:rsid w:val="5AB95DE0"/>
    <w:rsid w:val="5DF70556"/>
    <w:rsid w:val="6B5E916E"/>
    <w:rsid w:val="7D7F2A08"/>
    <w:rsid w:val="7DBC2073"/>
    <w:rsid w:val="7FBFF12B"/>
    <w:rsid w:val="937D6ECA"/>
    <w:rsid w:val="9C871EBF"/>
    <w:rsid w:val="9FAF3A68"/>
    <w:rsid w:val="BFDA3B43"/>
    <w:rsid w:val="BFEFDDC1"/>
    <w:rsid w:val="C3DA0EFC"/>
    <w:rsid w:val="D5D71D9F"/>
    <w:rsid w:val="E6FF34C2"/>
    <w:rsid w:val="F7BF2668"/>
    <w:rsid w:val="FD7F79C6"/>
    <w:rsid w:val="FF5F4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2025-09-05T18:23:00Z</dcterms:created>
  <dc:creator>李增萍</dc:creator>
  <cp:lastModifiedBy>李增萍</cp:lastModifiedBy>
  <dcterms:modified xsi:type="dcterms:W3CDTF">2025-09-05T20:56:15Z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F4CFC766506A6D6214BABA6877CE6A36_41</vt:lpwstr>
  </property>
</Properties>
</file>