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E41C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6CBBB054">
      <w:pPr>
        <w:rPr>
          <w:rFonts w:hint="eastAsia"/>
          <w:sz w:val="24"/>
        </w:rPr>
      </w:pPr>
    </w:p>
    <w:p w14:paraId="5449DCE2">
      <w:pPr>
        <w:rPr>
          <w:rFonts w:hint="eastAsia"/>
          <w:sz w:val="24"/>
        </w:rPr>
      </w:pPr>
      <w:r>
        <w:rPr>
          <w:rFonts w:hint="eastAsia"/>
          <w:sz w:val="24"/>
        </w:rPr>
        <w:t>论文题目：公司组织变动场景下企业社会责任适用规则重构</w:t>
      </w:r>
    </w:p>
    <w:p w14:paraId="3FBD2D80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33C6CA25">
      <w:pPr>
        <w:rPr>
          <w:rFonts w:hint="eastAsia"/>
          <w:sz w:val="24"/>
        </w:rPr>
      </w:pP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5D7A6C3">
        <w:trPr>
          <w:trHeight w:val="586" w:hRule="atLeast"/>
        </w:trPr>
        <w:tc>
          <w:tcPr>
            <w:tcW w:w="649" w:type="dxa"/>
          </w:tcPr>
          <w:p w14:paraId="31F5044B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2C3D3A14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A317308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598B6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157E6F7F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06D325D7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09536C">
        <w:trPr>
          <w:trHeight w:val="289" w:hRule="atLeast"/>
        </w:trPr>
        <w:tc>
          <w:tcPr>
            <w:tcW w:w="649" w:type="dxa"/>
            <w:vMerge w:val="restart"/>
          </w:tcPr>
          <w:p w14:paraId="2E7B18BE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D3CEEFB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  <w:p w14:paraId="58400B1B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01" w:type="dxa"/>
            <w:vMerge w:val="restart"/>
          </w:tcPr>
          <w:p w14:paraId="3B5EFE3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554A4B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FA091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9CCDD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C0A011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5619F58A">
        <w:trPr>
          <w:trHeight w:val="312" w:hRule="atLeast"/>
        </w:trPr>
        <w:tc>
          <w:tcPr>
            <w:tcW w:w="649" w:type="dxa"/>
            <w:vMerge w:val="continue"/>
          </w:tcPr>
          <w:p w14:paraId="2035EB1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EE2BD2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B1D2C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71F607A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348DDD96">
        <w:trPr>
          <w:trHeight w:val="302" w:hRule="atLeast"/>
        </w:trPr>
        <w:tc>
          <w:tcPr>
            <w:tcW w:w="649" w:type="dxa"/>
            <w:vMerge w:val="continue"/>
          </w:tcPr>
          <w:p w14:paraId="1BA93F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4C9E6B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CE42E4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1FD582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5DE9A8A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31A63A3">
        <w:trPr>
          <w:trHeight w:val="321" w:hRule="atLeast"/>
        </w:trPr>
        <w:tc>
          <w:tcPr>
            <w:tcW w:w="649" w:type="dxa"/>
            <w:vMerge w:val="restart"/>
          </w:tcPr>
          <w:p w14:paraId="4910FA86">
            <w:pPr>
              <w:rPr>
                <w:rFonts w:hint="eastAsia"/>
                <w:b/>
                <w:sz w:val="18"/>
                <w:szCs w:val="18"/>
              </w:rPr>
            </w:pPr>
          </w:p>
          <w:p w14:paraId="4F676A1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6BB63560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901" w:type="dxa"/>
            <w:vMerge w:val="restart"/>
          </w:tcPr>
          <w:p w14:paraId="41B2D8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59A27C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098FE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E73321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6DD415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6AF19E0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F2A0585">
        <w:trPr>
          <w:trHeight w:val="302" w:hRule="atLeast"/>
        </w:trPr>
        <w:tc>
          <w:tcPr>
            <w:tcW w:w="649" w:type="dxa"/>
            <w:vMerge w:val="continue"/>
          </w:tcPr>
          <w:p w14:paraId="30C8A83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0D5ECD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083922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747BAC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2AE0353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9C888E">
        <w:trPr>
          <w:trHeight w:val="389" w:hRule="atLeast"/>
        </w:trPr>
        <w:tc>
          <w:tcPr>
            <w:tcW w:w="649" w:type="dxa"/>
            <w:vMerge w:val="continue"/>
          </w:tcPr>
          <w:p w14:paraId="4D8AEDE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DA257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4306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5C3A7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713FEEE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D221D59">
        <w:trPr>
          <w:trHeight w:val="302" w:hRule="atLeast"/>
        </w:trPr>
        <w:tc>
          <w:tcPr>
            <w:tcW w:w="649" w:type="dxa"/>
            <w:vMerge w:val="restart"/>
          </w:tcPr>
          <w:p w14:paraId="46686E1F">
            <w:pPr>
              <w:rPr>
                <w:rFonts w:hint="eastAsia"/>
                <w:b/>
                <w:sz w:val="18"/>
                <w:szCs w:val="18"/>
              </w:rPr>
            </w:pPr>
          </w:p>
          <w:p w14:paraId="7C658F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  <w:p w14:paraId="5B4777B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901" w:type="dxa"/>
            <w:vMerge w:val="restart"/>
          </w:tcPr>
          <w:p w14:paraId="663EE616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7A96B5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6292E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030B7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134C37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7F20EB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C4747F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2AF56B">
        <w:trPr>
          <w:trHeight w:val="302" w:hRule="atLeast"/>
        </w:trPr>
        <w:tc>
          <w:tcPr>
            <w:tcW w:w="649" w:type="dxa"/>
            <w:vMerge w:val="continue"/>
          </w:tcPr>
          <w:p w14:paraId="6C4CDD5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DDD73D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90BAE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67EE6B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2F1D0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66EC9DA">
        <w:trPr>
          <w:trHeight w:val="302" w:hRule="atLeast"/>
        </w:trPr>
        <w:tc>
          <w:tcPr>
            <w:tcW w:w="649" w:type="dxa"/>
            <w:vMerge w:val="continue"/>
          </w:tcPr>
          <w:p w14:paraId="24BBBE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74D0C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BA08B4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539BDB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1AB84D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3AF4A67">
        <w:trPr>
          <w:trHeight w:val="302" w:hRule="atLeast"/>
        </w:trPr>
        <w:tc>
          <w:tcPr>
            <w:tcW w:w="649" w:type="dxa"/>
            <w:vMerge w:val="continue"/>
          </w:tcPr>
          <w:p w14:paraId="25117D6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476C0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2DC22B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66A8C07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622B38E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E2230D">
        <w:trPr>
          <w:trHeight w:val="293" w:hRule="atLeast"/>
        </w:trPr>
        <w:tc>
          <w:tcPr>
            <w:tcW w:w="649" w:type="dxa"/>
            <w:vMerge w:val="restart"/>
          </w:tcPr>
          <w:p w14:paraId="7C44A3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28A5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  <w:p w14:paraId="4A21CFC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01" w:type="dxa"/>
            <w:vMerge w:val="restart"/>
          </w:tcPr>
          <w:p w14:paraId="3CB09C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B9D01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06E46E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C02F96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60AF42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2B91A38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F0F259">
        <w:trPr>
          <w:trHeight w:val="605" w:hRule="atLeast"/>
        </w:trPr>
        <w:tc>
          <w:tcPr>
            <w:tcW w:w="649" w:type="dxa"/>
            <w:vMerge w:val="continue"/>
          </w:tcPr>
          <w:p w14:paraId="3C8180C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EE026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06F6F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231683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69E3D03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BB853F">
        <w:trPr>
          <w:trHeight w:val="337" w:hRule="atLeast"/>
        </w:trPr>
        <w:tc>
          <w:tcPr>
            <w:tcW w:w="649" w:type="dxa"/>
            <w:vMerge w:val="restart"/>
          </w:tcPr>
          <w:p w14:paraId="3338A15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1B4335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  <w:p w14:paraId="53109B3F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901" w:type="dxa"/>
            <w:vMerge w:val="restart"/>
          </w:tcPr>
          <w:p w14:paraId="331C908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0538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61E9448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220CD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65AE50B">
        <w:trPr>
          <w:trHeight w:val="538" w:hRule="atLeast"/>
        </w:trPr>
        <w:tc>
          <w:tcPr>
            <w:tcW w:w="649" w:type="dxa"/>
            <w:vMerge w:val="continue"/>
          </w:tcPr>
          <w:p w14:paraId="075BE0B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555D4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1758A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4B54D17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5E6B85E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ECEF3B6">
        <w:trPr>
          <w:trHeight w:val="293" w:hRule="atLeast"/>
        </w:trPr>
        <w:tc>
          <w:tcPr>
            <w:tcW w:w="649" w:type="dxa"/>
            <w:vMerge w:val="restart"/>
          </w:tcPr>
          <w:p w14:paraId="080EDFA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1F35C3E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3054FE72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01" w:type="dxa"/>
            <w:vMerge w:val="restart"/>
          </w:tcPr>
          <w:p w14:paraId="479BBF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E16F9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2033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1AF764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7F81C88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0CC76EA">
        <w:trPr>
          <w:trHeight w:val="302" w:hRule="atLeast"/>
        </w:trPr>
        <w:tc>
          <w:tcPr>
            <w:tcW w:w="649" w:type="dxa"/>
            <w:vMerge w:val="continue"/>
          </w:tcPr>
          <w:p w14:paraId="13D62C1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172273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2740F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0E5C5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9C3E5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3B8E9AF">
        <w:trPr>
          <w:trHeight w:val="504" w:hRule="atLeast"/>
        </w:trPr>
        <w:tc>
          <w:tcPr>
            <w:tcW w:w="649" w:type="dxa"/>
            <w:vMerge w:val="continue"/>
          </w:tcPr>
          <w:p w14:paraId="4F71B8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85B7F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A5ED58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04BB468E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549096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B5AF4A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D6E99B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55</w:t>
            </w:r>
          </w:p>
        </w:tc>
      </w:tr>
      <w:tr w14:paraId="604A1441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238FA83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71A11FE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14:paraId="060A4AB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0E92BDB">
            <w:pPr>
              <w:jc w:val="center"/>
              <w:rPr>
                <w:sz w:val="18"/>
                <w:szCs w:val="18"/>
              </w:rPr>
            </w:pPr>
          </w:p>
          <w:p w14:paraId="061C8B2B">
            <w:pPr>
              <w:jc w:val="center"/>
              <w:rPr>
                <w:sz w:val="18"/>
                <w:szCs w:val="18"/>
              </w:rPr>
            </w:pPr>
          </w:p>
          <w:p w14:paraId="28F4B097">
            <w:pPr>
              <w:jc w:val="center"/>
              <w:rPr>
                <w:sz w:val="18"/>
                <w:szCs w:val="18"/>
              </w:rPr>
            </w:pPr>
          </w:p>
          <w:p w14:paraId="035FA5E4">
            <w:pPr>
              <w:jc w:val="center"/>
              <w:rPr>
                <w:sz w:val="18"/>
                <w:szCs w:val="18"/>
              </w:rPr>
            </w:pPr>
          </w:p>
          <w:p w14:paraId="78739798">
            <w:pPr>
              <w:jc w:val="center"/>
              <w:rPr>
                <w:sz w:val="18"/>
                <w:szCs w:val="18"/>
              </w:rPr>
            </w:pPr>
          </w:p>
          <w:p w14:paraId="6589F284">
            <w:pPr>
              <w:jc w:val="center"/>
              <w:rPr>
                <w:sz w:val="18"/>
                <w:szCs w:val="18"/>
              </w:rPr>
            </w:pPr>
          </w:p>
          <w:p w14:paraId="0DD386F6">
            <w:pPr>
              <w:jc w:val="center"/>
              <w:rPr>
                <w:sz w:val="18"/>
                <w:szCs w:val="18"/>
              </w:rPr>
            </w:pPr>
          </w:p>
          <w:p w14:paraId="774D2703">
            <w:pPr>
              <w:jc w:val="center"/>
              <w:rPr>
                <w:sz w:val="18"/>
                <w:szCs w:val="18"/>
              </w:rPr>
            </w:pPr>
          </w:p>
          <w:p w14:paraId="0DB6E2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75EFC2FB">
            <w:pPr>
              <w:ind w:firstLine="480" w:firstLineChars="20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感谢修改，但遗憾本文未能通过我刊二审，以下为对文章修改的建议，供参考，详细的批注请参见修订文档：</w:t>
            </w:r>
          </w:p>
          <w:p w14:paraId="797751A0">
            <w:pPr>
              <w:ind w:firstLine="480" w:firstLineChars="20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B6ED1EF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论文主题太分散。作为一篇“共性抽取型”的论文，社会责任条款在公司收购、司法解散、经营者集中审查三种事项的适用中，并未表现出很高的相似性，三者之间的关联度是否能够支撑全文的论证框架，不无疑问。具体而言，三种场景下社会利益的概念不尽相同，收购更偏向对董事行为的纠偏，司法解散偏向债权人与职工保护，经营者集中审查则注重竞争秩序。如果讲三者进行统一的论述，则放大了社会利益的概念，使得全文有关社会利益的论述显得过于模糊。建议将文章拆分，本文篇幅也足够大，可以拆为三篇文章，分别考察社会利益条款在三种场景下的适用方法，论证上会更加轻松且集中。</w:t>
            </w:r>
          </w:p>
          <w:p w14:paraId="4F3F484C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3325850F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论证过于粗疏，不够深入。本文一部分论证缺少展开论述，例如，本文使用的“利益衡量”“负外部性”“利益不当失衡”“核心伦理价值”“公益普惠性”，这些并非理论上现成的法言法语，而是需要被解释的概念。摈弃大词论证，需要作者从简单的论述做起，能用简单、准确、朴实的话把道理讲懂，才是最好的论证手段。</w:t>
            </w:r>
          </w:p>
          <w:p w14:paraId="1F9DD3CB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1EF33DC2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文章部分句子过长，影响阅读。在中文学术论文（尤其是法学、经济学、人文社科类）中，一个分句（即句中由逗号、分号隔开的子句）建议控制在 20～30 字左右；整个句子（含多个分句）一般不宜超过 60～70 字。分句过长，并不代表就能完整表达意思，反而会影响读者的观感，致使读者理解文意受到影响。本文有许多处分句字数超过了30字，应进一步做分句处理，减少分句字数，多用短句。</w:t>
            </w:r>
          </w:p>
          <w:p w14:paraId="66E25B7F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22C80A64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缺少法律适用或制度修改方面的具体建议，创新性不足。本部分具体的创新点，即为三种场景下社会责任条款的适用提出建议，这些建议并无太大的创新之处，几乎是对已有制度的倡导，或是简单的口号。强化信义义务，根据主体类型差异化适用司法解散，审慎控制审查限度，这些表述未能提供具体的行动指引或者判断标准，也可能是文章限于篇幅，无法进一步展开。建议细化具体的改进措施，使其具有可操作性，否则难谓具有创新。</w:t>
            </w:r>
          </w:p>
          <w:p w14:paraId="3F3881FF">
            <w:pPr>
              <w:jc w:val="both"/>
              <w:rPr>
                <w:sz w:val="18"/>
                <w:szCs w:val="18"/>
              </w:rPr>
            </w:pPr>
            <w:bookmarkStart w:id="0" w:name="_GoBack"/>
            <w:bookmarkEnd w:id="0"/>
          </w:p>
          <w:p w14:paraId="14C0C09F">
            <w:pPr>
              <w:jc w:val="center"/>
              <w:rPr>
                <w:sz w:val="18"/>
                <w:szCs w:val="18"/>
              </w:rPr>
            </w:pPr>
          </w:p>
          <w:p w14:paraId="2444A09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79CE943E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F895F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0E094C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260FA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45DA4E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4AA526E9">
            <w:pPr>
              <w:rPr>
                <w:sz w:val="18"/>
                <w:szCs w:val="18"/>
              </w:rPr>
            </w:pPr>
          </w:p>
          <w:p w14:paraId="383F83F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29FA676A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F625E4"/>
    <w:multiLevelType w:val="singleLevel"/>
    <w:tmpl w:val="D3F625E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MjllZGYzNGEzZDdlZjBjZmNjZDZmZjJiMjlkYzEifQ=="/>
  </w:docVars>
  <w:rsids>
    <w:rsidRoot w:val="00C749F8"/>
    <w:rsid w:val="00C17DEA"/>
    <w:rsid w:val="00C749F8"/>
    <w:rsid w:val="00CF60D9"/>
    <w:rsid w:val="00DD4CD6"/>
    <w:rsid w:val="5B77DE0C"/>
    <w:rsid w:val="5C9723EB"/>
    <w:rsid w:val="7E3A6AB8"/>
    <w:rsid w:val="7F8FBB79"/>
    <w:rsid w:val="FBFFD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743</Characters>
  <Lines>6</Lines>
  <Paragraphs>1</Paragraphs>
  <TotalTime>19</TotalTime>
  <ScaleCrop>false</ScaleCrop>
  <LinksUpToDate>false</LinksUpToDate>
  <CharactersWithSpaces>872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2024-01-11T00:17:00Z</dcterms:created>
  <dc:creator>admin</dc:creator>
  <cp:lastModifiedBy>csn</cp:lastModifiedBy>
  <dcterms:modified xsi:type="dcterms:W3CDTF">2025-10-14T10:49:27Z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E0F7B6C8D4DD8B79F961F166366CE078_42</vt:lpwstr>
  </property>
</Properties>
</file>