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论行使股东优先购买权过程中的请求、形成与抗辩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35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83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1E09A6E4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48A39725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5B56229B">
            <w:p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感谢来稿，文章聚焦于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股东优先购买权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，整体上，文章选题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属于重要的公司法问题，论述清晰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，但仍存在以下主要问题:</w:t>
            </w:r>
          </w:p>
          <w:p w14:paraId="2444A09D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文章结构还需要调整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。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本文是一种典型的评述制度型论文，这种文体的好处是能够对一种法律制度进行全景式的考察，缺点是章节之间联系性太弱，没有明显的逻辑关联，缺乏论证递进。对于学生写作者而言，以问题意识为中心串联起整篇文章的写法，更简单也更有表达性，建议作者提炼一个问题意识，以优先购买权的某一个价值为中心，将反悔权、购买权性质、同意权、履行能力抗辩等各个要件联系起来，有逻辑的进行论述。或者，也可以参照请求权基础的写法，按照优先购买权行使的逻辑，即“性质-产生-行使-抗辩”的逻辑，明确地展开论证，论文的效果会好很多。此外，本文的题目未能实现意欲达到的效果，“请求、形成、抗辩”的表达不知所云，改为“论股东优先购买权的效力”甚至都更加贴近本文主题，当然“论股东优先购买权的效力”这个题目也规范。最后，如果按照本条意见进行调整，文章应当有一个结论。</w:t>
            </w:r>
          </w:p>
          <w:p w14:paraId="234D26D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的观点非常新颖，具有创新性，但缺乏法学方法论的表达。本文中的观点都具有学术潜力，例如借鉴对外担保善意判断规则，以及借鉴不安抗辩权设计优先购买权抗辩思维。这些论证都是法学方法论上的“类推”，而类推的前提即。但是，本文并没有体现出很好的法学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方法论是存在法律漏洞。因此，在论证上，首先应当论证相关制度上存在法律漏洞，进而明确使用类推的方法，填补漏洞。文章应当加强法学方法论式的说理，而不是停留在简单的借鉴或者参照，才能够提升文章的理论说服力。</w:t>
            </w:r>
          </w:p>
          <w:p w14:paraId="66E62921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的一些观点，在民法上欠缺论证。对于通知义务，本文分析了废除同意权后的竞价机制，但其中仍然存在出让股东通知的环节，本文认为此通知并非通知义务，但如果不是通知义务，那么它是什么？本文需要明确，并同时明确出让股东拒绝通知后的法律效果，其与违法通知义务之间有何差异。将反悔权定性为预约解除的前提是，将行使优先购买权形成的潜在合同关系定性为预约合同，但这种构造显得牵强，需要加强论证。</w:t>
            </w:r>
          </w:p>
          <w:p w14:paraId="5449885C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注意法律规范的时效性。在新公司法解释征求意见稿中，也存在着大量有限公司股权转让与优先购买权行使的相关规定，很可能改变原有司法解释的处理思路，文章应该同时考虑到法律规范的时效性，避免解释出台后的规范差异导致论证失效。</w:t>
            </w:r>
          </w:p>
          <w:p w14:paraId="035BDE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  <w:p w14:paraId="1A9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F2665"/>
    <w:multiLevelType w:val="singleLevel"/>
    <w:tmpl w:val="F7EF26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1BF7B9B1"/>
    <w:rsid w:val="5B77DE0C"/>
    <w:rsid w:val="5C9723EB"/>
    <w:rsid w:val="7BCFB0B8"/>
    <w:rsid w:val="7E3A6AB8"/>
    <w:rsid w:val="7F8FBB79"/>
    <w:rsid w:val="8DC1214A"/>
    <w:rsid w:val="9D97B39B"/>
    <w:rsid w:val="9EDB623D"/>
    <w:rsid w:val="AD6F7EE4"/>
    <w:rsid w:val="FBFFD2EC"/>
    <w:rsid w:val="FEF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1</TotalTime>
  <ScaleCrop>false</ScaleCrop>
  <LinksUpToDate>false</LinksUpToDate>
  <CharactersWithSpaces>872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2024-01-12T16:17:00Z</dcterms:created>
  <dc:creator>admin</dc:creator>
  <cp:lastModifiedBy>研究生学报</cp:lastModifiedBy>
  <dcterms:modified xsi:type="dcterms:W3CDTF">2026-02-27T21:49:57Z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E0F7B6C8D4DD8B79F961F166366CE078_42</vt:lpwstr>
  </property>
</Properties>
</file>