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DBABAC">
      <w:pPr>
        <w:widowControl/>
        <w:spacing w:line="360" w:lineRule="auto"/>
        <w:jc w:val="center"/>
        <w:rPr>
          <w:rFonts w:cs="宋体" w:asciiTheme="minorEastAsia" w:hAnsiTheme="minorEastAsia"/>
          <w:color w:val="000000"/>
          <w:kern w:val="0"/>
          <w:sz w:val="28"/>
          <w:szCs w:val="28"/>
          <w:lang w:bidi="ar"/>
        </w:rPr>
      </w:pPr>
      <w:r>
        <w:rPr>
          <w:rFonts w:hint="eastAsia" w:cs="宋体" w:asciiTheme="minorEastAsia" w:hAnsiTheme="minorEastAsia"/>
          <w:color w:val="000000"/>
          <w:kern w:val="0"/>
          <w:sz w:val="28"/>
          <w:szCs w:val="28"/>
          <w:lang w:bidi="ar"/>
        </w:rPr>
        <w:t>修改说明</w:t>
      </w:r>
    </w:p>
    <w:p w14:paraId="21FD5651">
      <w:pPr>
        <w:widowControl/>
        <w:adjustRightInd w:val="0"/>
        <w:snapToGrid w:val="0"/>
        <w:spacing w:line="360" w:lineRule="auto"/>
        <w:jc w:val="center"/>
        <w:rPr>
          <w:rFonts w:hint="eastAsia" w:cs="宋体" w:asciiTheme="minorEastAsia" w:hAnsiTheme="minorEastAsia" w:eastAsiaTheme="minorEastAsia"/>
          <w:color w:val="000000"/>
          <w:kern w:val="0"/>
          <w:sz w:val="28"/>
          <w:szCs w:val="28"/>
          <w:lang w:eastAsia="zh" w:bidi="ar"/>
          <w:woUserID w:val="1"/>
        </w:rPr>
      </w:pPr>
      <w:r>
        <w:rPr>
          <w:rFonts w:hint="eastAsia" w:cs="宋体" w:asciiTheme="minorEastAsia" w:hAnsiTheme="minorEastAsia" w:eastAsiaTheme="minorEastAsia"/>
          <w:color w:val="000000"/>
          <w:kern w:val="0"/>
          <w:sz w:val="28"/>
          <w:szCs w:val="28"/>
          <w:lang w:eastAsia="zh" w:bidi="ar"/>
          <w:woUserID w:val="1"/>
        </w:rPr>
        <w:t>论新公司法下数据资产入股——基于霍菲尔德法律关系理论之视角</w:t>
      </w:r>
    </w:p>
    <w:p w14:paraId="54F08EFC">
      <w:pPr>
        <w:widowControl/>
        <w:adjustRightInd w:val="0"/>
        <w:snapToGrid w:val="0"/>
        <w:spacing w:line="360" w:lineRule="auto"/>
        <w:rPr>
          <w:rFonts w:cs="宋体" w:asciiTheme="minorEastAsia" w:hAnsiTheme="minorEastAsia"/>
          <w:color w:val="000000"/>
          <w:szCs w:val="21"/>
        </w:rPr>
      </w:pPr>
      <w:r>
        <w:rPr>
          <w:rFonts w:hint="eastAsia" w:cs="宋体" w:asciiTheme="minorEastAsia" w:hAnsiTheme="minorEastAsia"/>
          <w:color w:val="000000"/>
          <w:szCs w:val="21"/>
        </w:rPr>
        <w:t>尊敬的《</w:t>
      </w:r>
      <w:r>
        <w:rPr>
          <w:rFonts w:hint="eastAsia" w:cs="宋体" w:asciiTheme="minorEastAsia" w:hAnsiTheme="minorEastAsia"/>
          <w:color w:val="000000"/>
          <w:szCs w:val="21"/>
          <w:lang w:eastAsia="zh"/>
          <w:woUserID w:val="1"/>
        </w:rPr>
        <w:t>中国政法大学研究生学报</w:t>
      </w:r>
      <w:r>
        <w:rPr>
          <w:rFonts w:hint="eastAsia" w:cs="宋体" w:asciiTheme="minorEastAsia" w:hAnsiTheme="minorEastAsia"/>
          <w:color w:val="000000"/>
          <w:szCs w:val="21"/>
        </w:rPr>
        <w:t>》编辑部老师：</w:t>
      </w:r>
    </w:p>
    <w:p w14:paraId="2BAA33B0">
      <w:pPr>
        <w:widowControl/>
        <w:adjustRightInd w:val="0"/>
        <w:snapToGrid w:val="0"/>
        <w:spacing w:line="360" w:lineRule="auto"/>
        <w:ind w:firstLine="420"/>
        <w:rPr>
          <w:rFonts w:cs="宋体" w:asciiTheme="minorEastAsia" w:hAnsiTheme="minorEastAsia"/>
          <w:color w:val="000000"/>
          <w:szCs w:val="21"/>
        </w:rPr>
      </w:pPr>
      <w:r>
        <w:rPr>
          <w:rFonts w:hint="eastAsia" w:cs="宋体" w:asciiTheme="minorEastAsia" w:hAnsiTheme="minorEastAsia"/>
          <w:color w:val="000000"/>
          <w:szCs w:val="21"/>
        </w:rPr>
        <w:t>您好！</w:t>
      </w:r>
    </w:p>
    <w:p w14:paraId="3B8DAE1F">
      <w:pPr>
        <w:widowControl/>
        <w:adjustRightInd w:val="0"/>
        <w:snapToGrid w:val="0"/>
        <w:spacing w:line="360" w:lineRule="auto"/>
        <w:ind w:firstLine="420"/>
        <w:rPr>
          <w:rFonts w:cs="宋体" w:asciiTheme="minorEastAsia" w:hAnsiTheme="minorEastAsia"/>
          <w:color w:val="000000"/>
          <w:szCs w:val="21"/>
        </w:rPr>
      </w:pPr>
      <w:r>
        <w:rPr>
          <w:rFonts w:hint="eastAsia" w:cs="宋体" w:asciiTheme="minorEastAsia" w:hAnsiTheme="minorEastAsia"/>
          <w:color w:val="000000"/>
          <w:szCs w:val="21"/>
          <w:lang w:eastAsia="zh"/>
          <w:woUserID w:val="1"/>
        </w:rPr>
        <w:t>感谢您在百忙之中拨冗审阅拙作《论新公司法下数据资产入股——基于霍菲尔德法律关系理论之视角》，并对文章给予肯定与鼓励，同时提出了极为宝贵的修改意见。您就论文选题、结构安排、内容论证等方面所给予的指导，使我深受启发。针对您提出的形式与内容方面的各项建议，我在进一步思考和补充查阅文献的基础上，对全文进行了细致的修改与系统的梳理。为方便您审阅，特撰写此修改说明。现将对您审稿意见的具体修改情况逐条呈报如下，敬请批评指正。</w:t>
      </w:r>
    </w:p>
    <w:p w14:paraId="455DA42B">
      <w:pPr>
        <w:pStyle w:val="4"/>
        <w:widowControl/>
        <w:pBdr>
          <w:top w:val="single" w:color="auto" w:sz="4" w:space="1"/>
        </w:pBdr>
        <w:adjustRightInd w:val="0"/>
        <w:snapToGrid w:val="0"/>
        <w:spacing w:before="156" w:beforeLines="50" w:after="156" w:afterLines="50" w:line="360" w:lineRule="auto"/>
        <w:rPr>
          <w:rFonts w:cs="宋体" w:asciiTheme="minorEastAsia" w:hAnsiTheme="minorEastAsia"/>
          <w:color w:val="000000"/>
          <w:sz w:val="21"/>
          <w:szCs w:val="21"/>
        </w:rPr>
      </w:pPr>
      <w:r>
        <w:rPr>
          <w:rFonts w:hint="eastAsia" w:cs="宋体" w:asciiTheme="minorEastAsia" w:hAnsiTheme="minorEastAsia"/>
          <w:color w:val="000000"/>
          <w:sz w:val="21"/>
          <w:szCs w:val="21"/>
        </w:rPr>
        <w:t>【</w:t>
      </w:r>
      <w:r>
        <w:rPr>
          <w:rFonts w:hint="eastAsia" w:cs="宋体" w:asciiTheme="minorEastAsia" w:hAnsiTheme="minorEastAsia"/>
          <w:color w:val="000000"/>
          <w:sz w:val="21"/>
          <w:szCs w:val="21"/>
          <w:lang w:eastAsia="zh"/>
          <w:woUserID w:val="1"/>
        </w:rPr>
        <w:t>修改</w:t>
      </w:r>
      <w:r>
        <w:rPr>
          <w:rFonts w:hint="eastAsia" w:cs="宋体" w:asciiTheme="minorEastAsia" w:hAnsiTheme="minorEastAsia"/>
          <w:color w:val="000000"/>
          <w:sz w:val="21"/>
          <w:szCs w:val="21"/>
        </w:rPr>
        <w:t>意见1】</w:t>
      </w:r>
    </w:p>
    <w:p w14:paraId="18340E76">
      <w:pPr>
        <w:pStyle w:val="4"/>
        <w:widowControl/>
        <w:adjustRightInd w:val="0"/>
        <w:snapToGrid w:val="0"/>
        <w:spacing w:line="360" w:lineRule="auto"/>
        <w:ind w:firstLine="420"/>
        <w:rPr>
          <w:rFonts w:cs="宋体" w:asciiTheme="minorEastAsia" w:hAnsiTheme="minorEastAsia"/>
          <w:color w:val="000000"/>
          <w:sz w:val="21"/>
          <w:szCs w:val="21"/>
        </w:rPr>
      </w:pPr>
      <w:r>
        <w:rPr>
          <w:rFonts w:hint="eastAsia" w:cs="宋体" w:asciiTheme="minorEastAsia" w:hAnsiTheme="minorEastAsia"/>
          <w:color w:val="000000"/>
          <w:sz w:val="21"/>
          <w:szCs w:val="21"/>
          <w:lang w:eastAsia="zh"/>
          <w:woUserID w:val="1"/>
        </w:rPr>
        <w:t>统一概念，标题是数据资产入股，但全文有较多的数据出资、数据出资入股、数据资产入股等表达</w:t>
      </w:r>
      <w:r>
        <w:rPr>
          <w:rFonts w:hint="eastAsia" w:cs="宋体" w:asciiTheme="minorEastAsia" w:hAnsiTheme="minorEastAsia"/>
          <w:color w:val="000000"/>
          <w:sz w:val="21"/>
          <w:szCs w:val="21"/>
          <w:woUserID w:val="1"/>
        </w:rPr>
        <w:t>。</w:t>
      </w:r>
    </w:p>
    <w:p w14:paraId="41587500">
      <w:pPr>
        <w:pStyle w:val="4"/>
        <w:widowControl/>
        <w:adjustRightInd w:val="0"/>
        <w:snapToGrid w:val="0"/>
        <w:spacing w:line="360" w:lineRule="auto"/>
        <w:rPr>
          <w:rFonts w:cs="宋体" w:asciiTheme="minorEastAsia" w:hAnsiTheme="minorEastAsia"/>
          <w:color w:val="000000"/>
          <w:sz w:val="21"/>
          <w:szCs w:val="21"/>
        </w:rPr>
      </w:pPr>
      <w:r>
        <w:rPr>
          <w:rFonts w:hint="eastAsia" w:cs="宋体" w:asciiTheme="minorEastAsia" w:hAnsiTheme="minorEastAsia"/>
          <w:color w:val="000000"/>
          <w:sz w:val="21"/>
          <w:szCs w:val="21"/>
        </w:rPr>
        <w:t>【修改说明1】</w:t>
      </w:r>
    </w:p>
    <w:p w14:paraId="03BA199B">
      <w:pPr>
        <w:widowControl/>
        <w:pBdr>
          <w:bottom w:val="single" w:color="auto" w:sz="6" w:space="1"/>
        </w:pBdr>
        <w:spacing w:line="360" w:lineRule="auto"/>
        <w:ind w:firstLine="420"/>
        <w:rPr>
          <w:rFonts w:cs="Times New Roman" w:asciiTheme="minorEastAsia" w:hAnsiTheme="minorEastAsia"/>
          <w:color w:val="000000"/>
          <w:kern w:val="0"/>
          <w:szCs w:val="21"/>
        </w:rPr>
      </w:pPr>
      <w:r>
        <w:rPr>
          <w:rFonts w:hint="eastAsia" w:cs="Times New Roman" w:asciiTheme="minorEastAsia" w:hAnsiTheme="minorEastAsia"/>
          <w:color w:val="000000"/>
          <w:kern w:val="0"/>
          <w:szCs w:val="21"/>
          <w:woUserID w:val="1"/>
        </w:rPr>
        <w:t>感谢审稿人的</w:t>
      </w:r>
      <w:r>
        <w:rPr>
          <w:rFonts w:hint="eastAsia" w:cs="Times New Roman" w:asciiTheme="minorEastAsia" w:hAnsiTheme="minorEastAsia"/>
          <w:color w:val="000000"/>
          <w:kern w:val="0"/>
          <w:szCs w:val="21"/>
          <w:lang w:eastAsia="zh"/>
          <w:woUserID w:val="1"/>
        </w:rPr>
        <w:t>建议</w:t>
      </w:r>
      <w:r>
        <w:rPr>
          <w:rFonts w:hint="eastAsia" w:cs="Times New Roman" w:asciiTheme="minorEastAsia" w:hAnsiTheme="minorEastAsia"/>
          <w:color w:val="000000"/>
          <w:kern w:val="0"/>
          <w:szCs w:val="21"/>
          <w:woUserID w:val="1"/>
        </w:rPr>
        <w:t>，</w:t>
      </w:r>
      <w:r>
        <w:rPr>
          <w:rFonts w:hint="eastAsia" w:cs="Times New Roman" w:asciiTheme="minorEastAsia" w:hAnsiTheme="minorEastAsia"/>
          <w:color w:val="000000"/>
          <w:kern w:val="0"/>
          <w:szCs w:val="21"/>
          <w:lang w:eastAsia="zh"/>
          <w:woUserID w:val="1"/>
        </w:rPr>
        <w:t>笔者</w:t>
      </w:r>
      <w:r>
        <w:rPr>
          <w:rFonts w:hint="eastAsia" w:cs="Times New Roman" w:asciiTheme="minorEastAsia" w:hAnsiTheme="minorEastAsia"/>
          <w:color w:val="000000"/>
          <w:kern w:val="0"/>
          <w:szCs w:val="21"/>
          <w:woUserID w:val="1"/>
        </w:rPr>
        <w:t>已对</w:t>
      </w:r>
      <w:r>
        <w:rPr>
          <w:rFonts w:hint="eastAsia" w:cs="Times New Roman" w:asciiTheme="minorEastAsia" w:hAnsiTheme="minorEastAsia"/>
          <w:color w:val="000000"/>
          <w:kern w:val="0"/>
          <w:szCs w:val="21"/>
          <w:lang w:eastAsia="zh"/>
          <w:woUserID w:val="1"/>
        </w:rPr>
        <w:t>文中的上述概念进行统一表述为“数据资产入股”</w:t>
      </w:r>
      <w:r>
        <w:rPr>
          <w:rFonts w:hint="eastAsia" w:cs="Times New Roman" w:asciiTheme="minorEastAsia" w:hAnsiTheme="minorEastAsia"/>
          <w:color w:val="000000"/>
          <w:kern w:val="0"/>
          <w:szCs w:val="21"/>
        </w:rPr>
        <w:t>。</w:t>
      </w:r>
    </w:p>
    <w:p w14:paraId="3BF47D88">
      <w:pPr>
        <w:pStyle w:val="4"/>
        <w:widowControl/>
        <w:adjustRightInd w:val="0"/>
        <w:snapToGrid w:val="0"/>
        <w:spacing w:before="156" w:beforeLines="50" w:after="156" w:afterLines="50" w:line="360" w:lineRule="auto"/>
        <w:rPr>
          <w:rFonts w:cs="宋体" w:asciiTheme="minorEastAsia" w:hAnsiTheme="minorEastAsia"/>
          <w:color w:val="000000"/>
          <w:sz w:val="21"/>
          <w:szCs w:val="21"/>
        </w:rPr>
      </w:pPr>
      <w:r>
        <w:rPr>
          <w:rFonts w:hint="eastAsia" w:cs="宋体" w:asciiTheme="minorEastAsia" w:hAnsiTheme="minorEastAsia"/>
          <w:color w:val="000000"/>
          <w:sz w:val="21"/>
          <w:szCs w:val="21"/>
        </w:rPr>
        <w:t>【</w:t>
      </w:r>
      <w:r>
        <w:rPr>
          <w:rFonts w:hint="eastAsia" w:cs="宋体" w:asciiTheme="minorEastAsia" w:hAnsiTheme="minorEastAsia"/>
          <w:color w:val="000000"/>
          <w:sz w:val="21"/>
          <w:szCs w:val="21"/>
          <w:lang w:eastAsia="zh"/>
          <w:woUserID w:val="1"/>
        </w:rPr>
        <w:t>修改</w:t>
      </w:r>
      <w:r>
        <w:rPr>
          <w:rFonts w:hint="eastAsia" w:cs="宋体" w:asciiTheme="minorEastAsia" w:hAnsiTheme="minorEastAsia"/>
          <w:color w:val="000000"/>
          <w:sz w:val="21"/>
          <w:szCs w:val="21"/>
        </w:rPr>
        <w:t>意见2】</w:t>
      </w:r>
    </w:p>
    <w:p w14:paraId="47A2ACB9">
      <w:pPr>
        <w:pStyle w:val="2"/>
        <w:ind w:firstLine="420"/>
        <w:rPr>
          <w:rFonts w:ascii="Times New Roman Regular" w:hAnsi="Times New Roman Regular" w:cs="Times New Roman Regular"/>
        </w:rPr>
      </w:pPr>
      <w:r>
        <w:rPr>
          <w:rFonts w:hint="eastAsia" w:ascii="Times New Roman Regular" w:hAnsi="Times New Roman Regular" w:cs="Times New Roman Regular"/>
          <w:lang w:eastAsia="zh"/>
          <w:woUserID w:val="1"/>
        </w:rPr>
        <w:t>问题的提出第2段：此为通识，无需赘言</w:t>
      </w:r>
      <w:r>
        <w:rPr>
          <w:rFonts w:ascii="Times New Roman Regular" w:hAnsi="Times New Roman Regular" w:cs="Times New Roman Regular"/>
        </w:rPr>
        <w:t>。</w:t>
      </w:r>
    </w:p>
    <w:p w14:paraId="3B5214C0">
      <w:pPr>
        <w:pStyle w:val="4"/>
        <w:widowControl/>
        <w:adjustRightInd w:val="0"/>
        <w:snapToGrid w:val="0"/>
        <w:spacing w:line="360" w:lineRule="auto"/>
        <w:rPr>
          <w:rFonts w:cs="宋体" w:asciiTheme="minorEastAsia" w:hAnsiTheme="minorEastAsia"/>
          <w:color w:val="000000"/>
          <w:sz w:val="21"/>
          <w:szCs w:val="21"/>
        </w:rPr>
      </w:pPr>
      <w:r>
        <w:rPr>
          <w:rFonts w:hint="eastAsia" w:cs="宋体" w:asciiTheme="minorEastAsia" w:hAnsiTheme="minorEastAsia"/>
          <w:color w:val="000000"/>
          <w:sz w:val="21"/>
          <w:szCs w:val="21"/>
        </w:rPr>
        <w:t>【修改说明2】</w:t>
      </w:r>
    </w:p>
    <w:p w14:paraId="749B864B">
      <w:pPr>
        <w:widowControl/>
        <w:pBdr>
          <w:bottom w:val="single" w:color="auto" w:sz="6" w:space="1"/>
        </w:pBdr>
        <w:spacing w:line="360" w:lineRule="auto"/>
        <w:ind w:firstLine="420"/>
        <w:rPr>
          <w:rFonts w:hint="eastAsia" w:cs="Times New Roman" w:asciiTheme="minorEastAsia" w:hAnsiTheme="minorEastAsia" w:eastAsiaTheme="minorEastAsia"/>
          <w:color w:val="000000"/>
          <w:kern w:val="0"/>
          <w:szCs w:val="21"/>
          <w:lang w:eastAsia="zh"/>
          <w:woUserID w:val="1"/>
        </w:rPr>
      </w:pPr>
      <w:r>
        <w:rPr>
          <w:rFonts w:hint="eastAsia" w:cs="Times New Roman" w:asciiTheme="minorEastAsia" w:hAnsiTheme="minorEastAsia"/>
          <w:color w:val="000000"/>
          <w:kern w:val="0"/>
          <w:szCs w:val="21"/>
          <w:lang w:eastAsia="zh"/>
          <w:woUserID w:val="1"/>
        </w:rPr>
        <w:t>感谢审稿人的建议，笔者已对原文该段落精简论述。</w:t>
      </w:r>
    </w:p>
    <w:p w14:paraId="0D7BF006">
      <w:pPr>
        <w:pStyle w:val="4"/>
        <w:widowControl/>
        <w:adjustRightInd w:val="0"/>
        <w:snapToGrid w:val="0"/>
        <w:spacing w:before="156" w:beforeLines="50" w:after="156" w:afterLines="50" w:line="360" w:lineRule="auto"/>
        <w:rPr>
          <w:rFonts w:cs="宋体" w:asciiTheme="minorEastAsia" w:hAnsiTheme="minorEastAsia"/>
          <w:color w:val="000000"/>
          <w:sz w:val="21"/>
          <w:szCs w:val="21"/>
        </w:rPr>
      </w:pPr>
      <w:r>
        <w:rPr>
          <w:rFonts w:hint="eastAsia" w:cs="宋体" w:asciiTheme="minorEastAsia" w:hAnsiTheme="minorEastAsia"/>
          <w:color w:val="000000"/>
          <w:sz w:val="21"/>
          <w:szCs w:val="21"/>
        </w:rPr>
        <w:t>【</w:t>
      </w:r>
      <w:r>
        <w:rPr>
          <w:rFonts w:hint="eastAsia" w:cs="宋体" w:asciiTheme="minorEastAsia" w:hAnsiTheme="minorEastAsia"/>
          <w:color w:val="000000"/>
          <w:sz w:val="21"/>
          <w:szCs w:val="21"/>
          <w:lang w:eastAsia="zh"/>
          <w:woUserID w:val="1"/>
        </w:rPr>
        <w:t>修改</w:t>
      </w:r>
      <w:r>
        <w:rPr>
          <w:rFonts w:hint="eastAsia" w:cs="宋体" w:asciiTheme="minorEastAsia" w:hAnsiTheme="minorEastAsia"/>
          <w:color w:val="000000"/>
          <w:sz w:val="21"/>
          <w:szCs w:val="21"/>
        </w:rPr>
        <w:t>意见3】</w:t>
      </w:r>
    </w:p>
    <w:p w14:paraId="79FDA2CB">
      <w:pPr>
        <w:widowControl/>
        <w:spacing w:line="360" w:lineRule="auto"/>
        <w:ind w:firstLine="420"/>
        <w:jc w:val="left"/>
        <w:rPr>
          <w:rFonts w:ascii="Times New Roman Regular" w:hAnsi="Times New Roman Regular" w:cs="Times New Roman Regular"/>
        </w:rPr>
      </w:pPr>
      <w:r>
        <w:rPr>
          <w:rFonts w:hint="eastAsia" w:ascii="Times New Roman Regular" w:hAnsi="Times New Roman Regular" w:cs="Times New Roman Regular"/>
          <w:lang w:eastAsia="zh"/>
          <w:woUserID w:val="1"/>
        </w:rPr>
        <w:t>霍菲尔德视角下的权利属性第2段：霍菲尔德既然是本文的基本理论基础，那就需要阅读其英文原文，而不是转引</w:t>
      </w:r>
      <w:r>
        <w:rPr>
          <w:rFonts w:ascii="Times New Roman Regular" w:hAnsi="Times New Roman Regular" w:cs="Times New Roman Regular"/>
        </w:rPr>
        <w:t>。</w:t>
      </w:r>
    </w:p>
    <w:p w14:paraId="19888C80">
      <w:pPr>
        <w:widowControl/>
        <w:spacing w:line="360" w:lineRule="auto"/>
        <w:jc w:val="left"/>
        <w:rPr>
          <w:rFonts w:cs="Arial" w:asciiTheme="minorEastAsia" w:hAnsiTheme="minorEastAsia"/>
          <w:color w:val="000000"/>
          <w:kern w:val="0"/>
          <w:szCs w:val="21"/>
        </w:rPr>
      </w:pPr>
      <w:r>
        <w:rPr>
          <w:rFonts w:hint="eastAsia" w:cs="Times New Roman" w:asciiTheme="minorEastAsia" w:hAnsiTheme="minorEastAsia"/>
          <w:color w:val="000000"/>
          <w:kern w:val="0"/>
          <w:szCs w:val="21"/>
        </w:rPr>
        <w:t>【修改说明3】</w:t>
      </w:r>
    </w:p>
    <w:p w14:paraId="39FF4627">
      <w:pPr>
        <w:widowControl/>
        <w:pBdr>
          <w:bottom w:val="single" w:color="auto" w:sz="6" w:space="1"/>
        </w:pBdr>
        <w:spacing w:line="360" w:lineRule="auto"/>
        <w:ind w:firstLine="420"/>
        <w:jc w:val="left"/>
        <w:rPr>
          <w:rFonts w:hint="eastAsia" w:cs="Arial" w:asciiTheme="minorEastAsia" w:hAnsiTheme="minorEastAsia" w:eastAsiaTheme="minorEastAsia"/>
          <w:color w:val="000000"/>
          <w:kern w:val="0"/>
          <w:szCs w:val="21"/>
          <w:lang w:eastAsia="zh"/>
          <w:woUserID w:val="1"/>
        </w:rPr>
      </w:pPr>
      <w:r>
        <w:rPr>
          <w:rFonts w:hint="eastAsia" w:cs="Arial" w:asciiTheme="minorEastAsia" w:hAnsiTheme="minorEastAsia"/>
          <w:color w:val="000000"/>
          <w:kern w:val="0"/>
          <w:szCs w:val="21"/>
          <w:woUserID w:val="1"/>
        </w:rPr>
        <w:t>感谢审稿人的</w:t>
      </w:r>
      <w:r>
        <w:rPr>
          <w:rFonts w:hint="eastAsia" w:cs="Arial" w:asciiTheme="minorEastAsia" w:hAnsiTheme="minorEastAsia"/>
          <w:color w:val="000000"/>
          <w:kern w:val="0"/>
          <w:szCs w:val="21"/>
          <w:lang w:eastAsia="zh"/>
          <w:woUserID w:val="1"/>
        </w:rPr>
        <w:t>建议</w:t>
      </w:r>
      <w:r>
        <w:rPr>
          <w:rFonts w:hint="eastAsia" w:cs="Arial" w:asciiTheme="minorEastAsia" w:hAnsiTheme="minorEastAsia"/>
          <w:color w:val="000000"/>
          <w:kern w:val="0"/>
          <w:szCs w:val="21"/>
          <w:woUserID w:val="1"/>
        </w:rPr>
        <w:t>，</w:t>
      </w:r>
      <w:r>
        <w:rPr>
          <w:rFonts w:hint="eastAsia" w:cs="Arial" w:asciiTheme="minorEastAsia" w:hAnsiTheme="minorEastAsia"/>
          <w:color w:val="000000"/>
          <w:kern w:val="0"/>
          <w:szCs w:val="21"/>
          <w:lang w:eastAsia="zh"/>
          <w:woUserID w:val="1"/>
        </w:rPr>
        <w:t>笔者已经阅读转引中的英文文献，并对相关段落进行修改和补充。</w:t>
      </w:r>
    </w:p>
    <w:p w14:paraId="113319B7">
      <w:pPr>
        <w:pStyle w:val="4"/>
        <w:widowControl/>
        <w:adjustRightInd w:val="0"/>
        <w:snapToGrid w:val="0"/>
        <w:spacing w:before="156" w:beforeLines="50" w:after="156" w:afterLines="50" w:line="360" w:lineRule="auto"/>
        <w:rPr>
          <w:rFonts w:cs="宋体" w:asciiTheme="minorEastAsia" w:hAnsiTheme="minorEastAsia"/>
          <w:color w:val="000000"/>
          <w:sz w:val="21"/>
          <w:szCs w:val="21"/>
        </w:rPr>
      </w:pPr>
      <w:r>
        <w:rPr>
          <w:rFonts w:hint="eastAsia" w:cs="宋体" w:asciiTheme="minorEastAsia" w:hAnsiTheme="minorEastAsia"/>
          <w:color w:val="000000"/>
          <w:sz w:val="21"/>
          <w:szCs w:val="21"/>
        </w:rPr>
        <w:t>【</w:t>
      </w:r>
      <w:r>
        <w:rPr>
          <w:rFonts w:hint="eastAsia" w:cs="宋体" w:asciiTheme="minorEastAsia" w:hAnsiTheme="minorEastAsia"/>
          <w:color w:val="000000"/>
          <w:sz w:val="21"/>
          <w:szCs w:val="21"/>
          <w:lang w:eastAsia="zh"/>
          <w:woUserID w:val="1"/>
        </w:rPr>
        <w:t>修改</w:t>
      </w:r>
      <w:r>
        <w:rPr>
          <w:rFonts w:hint="eastAsia" w:cs="宋体" w:asciiTheme="minorEastAsia" w:hAnsiTheme="minorEastAsia"/>
          <w:color w:val="000000"/>
          <w:sz w:val="21"/>
          <w:szCs w:val="21"/>
        </w:rPr>
        <w:t>意见4】</w:t>
      </w:r>
    </w:p>
    <w:p w14:paraId="11853B34">
      <w:pPr>
        <w:widowControl/>
        <w:spacing w:line="360" w:lineRule="auto"/>
        <w:ind w:firstLine="420"/>
        <w:jc w:val="left"/>
        <w:rPr>
          <w:rFonts w:ascii="Times New Roman Regular" w:hAnsi="Times New Roman Regular" w:cs="Times New Roman Regular"/>
        </w:rPr>
      </w:pPr>
      <w:r>
        <w:rPr>
          <w:rFonts w:hint="eastAsia" w:ascii="Times New Roman Regular" w:hAnsi="Times New Roman Regular" w:cs="Times New Roman Regular"/>
          <w:lang w:eastAsia="zh"/>
          <w:woUserID w:val="1"/>
        </w:rPr>
        <w:t>什么叫做经算法演变的公开数据产权？若基于公开数据加工而成的数据产品、数据集，也有一定的劳动付出，此类数据也类似于公物吗？这部分的概念界定不够清晰，经算法演变的公开数据产权、经算法演变的非公开数据产权、公开原始数据经算法演变的非公开数据产权、非公开原始数据经算法演变的非公开数据产权这四个概念的界定要补充说明</w:t>
      </w:r>
      <w:r>
        <w:rPr>
          <w:rFonts w:hint="eastAsia" w:ascii="Times New Roman Regular" w:hAnsi="Times New Roman Regular" w:cs="Times New Roman Regular"/>
          <w:woUserID w:val="1"/>
        </w:rPr>
        <w:t>。</w:t>
      </w:r>
    </w:p>
    <w:p w14:paraId="51FD69A1">
      <w:pPr>
        <w:widowControl/>
        <w:spacing w:line="360" w:lineRule="auto"/>
        <w:jc w:val="left"/>
        <w:rPr>
          <w:rFonts w:cs="Times New Roman" w:asciiTheme="minorEastAsia" w:hAnsiTheme="minorEastAsia"/>
          <w:color w:val="000000"/>
          <w:kern w:val="0"/>
          <w:szCs w:val="21"/>
        </w:rPr>
      </w:pPr>
      <w:r>
        <w:rPr>
          <w:rFonts w:hint="eastAsia" w:cs="Times New Roman" w:asciiTheme="minorEastAsia" w:hAnsiTheme="minorEastAsia"/>
          <w:color w:val="000000"/>
          <w:kern w:val="0"/>
          <w:szCs w:val="21"/>
        </w:rPr>
        <w:t>【修改说明4】</w:t>
      </w:r>
    </w:p>
    <w:p w14:paraId="45F0FDB2">
      <w:pPr>
        <w:widowControl/>
        <w:pBdr>
          <w:bottom w:val="single" w:color="auto" w:sz="6" w:space="1"/>
        </w:pBdr>
        <w:spacing w:line="360" w:lineRule="auto"/>
        <w:ind w:firstLine="420"/>
        <w:jc w:val="left"/>
        <w:rPr>
          <w:rFonts w:cs="Arial" w:asciiTheme="minorEastAsia" w:hAnsiTheme="minorEastAsia"/>
          <w:color w:val="000000"/>
          <w:kern w:val="0"/>
          <w:szCs w:val="21"/>
        </w:rPr>
      </w:pPr>
      <w:r>
        <w:rPr>
          <w:rFonts w:hint="eastAsia" w:cs="Arial" w:asciiTheme="minorEastAsia" w:hAnsiTheme="minorEastAsia"/>
          <w:color w:val="000000"/>
          <w:kern w:val="0"/>
          <w:szCs w:val="21"/>
          <w:woUserID w:val="1"/>
        </w:rPr>
        <w:t>感谢审稿人的建议，</w:t>
      </w:r>
      <w:r>
        <w:rPr>
          <w:rFonts w:hint="eastAsia" w:cs="Arial" w:asciiTheme="minorEastAsia" w:hAnsiTheme="minorEastAsia"/>
          <w:color w:val="000000"/>
          <w:kern w:val="0"/>
          <w:szCs w:val="21"/>
          <w:lang w:eastAsia="zh"/>
          <w:woUserID w:val="1"/>
        </w:rPr>
        <w:t>在此次修订中，</w:t>
      </w:r>
      <w:r>
        <w:rPr>
          <w:rFonts w:hint="eastAsia" w:cs="Arial" w:asciiTheme="minorEastAsia" w:hAnsiTheme="minorEastAsia"/>
          <w:color w:val="000000"/>
          <w:kern w:val="0"/>
          <w:szCs w:val="21"/>
          <w:woUserID w:val="1"/>
        </w:rPr>
        <w:t>笔者</w:t>
      </w:r>
      <w:r>
        <w:rPr>
          <w:rFonts w:hint="eastAsia" w:cs="Arial" w:asciiTheme="minorEastAsia" w:hAnsiTheme="minorEastAsia"/>
          <w:color w:val="000000"/>
          <w:kern w:val="0"/>
          <w:szCs w:val="21"/>
          <w:lang w:eastAsia="zh"/>
          <w:woUserID w:val="1"/>
        </w:rPr>
        <w:t>从两方面进行修改：（1）对</w:t>
      </w:r>
      <w:r>
        <w:rPr>
          <w:rFonts w:hint="eastAsia" w:ascii="Times New Roman Regular" w:hAnsi="Times New Roman Regular" w:cs="Times New Roman Regular"/>
          <w:lang w:eastAsia="zh"/>
          <w:woUserID w:val="1"/>
        </w:rPr>
        <w:t>经算法演变的公开数据产权、经算法演变的非公开数据产权、公开原始数据经算法演变的非公开数据产权、非公开原始数据经算法演变的非公开数据产权这四个概念进行了明确的界定。</w:t>
      </w:r>
      <w:r>
        <w:rPr>
          <w:rFonts w:hint="eastAsia" w:cs="Arial" w:asciiTheme="minorEastAsia" w:hAnsiTheme="minorEastAsia"/>
          <w:color w:val="000000"/>
          <w:kern w:val="0"/>
          <w:szCs w:val="21"/>
          <w:highlight w:val="none"/>
          <w:lang w:eastAsia="zh"/>
          <w:woUserID w:val="1"/>
        </w:rPr>
        <w:t>（2）该段落的写作思路为：由于数据资产的核心经济价值是基于其非公开性及持有者的决策选择，产生的使用价值与交易价值，且法律规定得以被出资的非货币资产需具有一定的财产价值，故笔者认为“公开性”系界定数据资产是否得以入股的第一个划分标准；对于经算法演变的非公开数据产权而言，该类数据产权因其非公开性和可被持有者选择性而具有一定的经济及财产价值。又因数据资产自原始数据演变而来，且原始数据是否公开会影响霍菲尔德法律关系理论项下的财产权类型界定，故笔者将原始数据的公开性与非公开性作为第二个划分标准，并从霍菲尔德法律关系理论方面展开探讨</w:t>
      </w:r>
      <w:r>
        <w:rPr>
          <w:rFonts w:hint="eastAsia" w:cs="Arial" w:asciiTheme="minorEastAsia" w:hAnsiTheme="minorEastAsia"/>
          <w:color w:val="000000"/>
          <w:kern w:val="0"/>
          <w:szCs w:val="21"/>
          <w:woUserID w:val="1"/>
        </w:rPr>
        <w:t>。</w:t>
      </w:r>
    </w:p>
    <w:p w14:paraId="49416E01">
      <w:pPr>
        <w:pStyle w:val="4"/>
        <w:widowControl/>
        <w:adjustRightInd w:val="0"/>
        <w:snapToGrid w:val="0"/>
        <w:spacing w:before="156" w:beforeLines="50" w:after="156" w:afterLines="50" w:line="360" w:lineRule="auto"/>
        <w:rPr>
          <w:rFonts w:cs="宋体" w:asciiTheme="minorEastAsia" w:hAnsiTheme="minorEastAsia"/>
          <w:color w:val="000000"/>
          <w:sz w:val="21"/>
          <w:szCs w:val="21"/>
        </w:rPr>
      </w:pPr>
      <w:r>
        <w:rPr>
          <w:rFonts w:hint="eastAsia" w:cs="宋体" w:asciiTheme="minorEastAsia" w:hAnsiTheme="minorEastAsia"/>
          <w:color w:val="000000"/>
          <w:sz w:val="21"/>
          <w:szCs w:val="21"/>
        </w:rPr>
        <w:t>【</w:t>
      </w:r>
      <w:r>
        <w:rPr>
          <w:rFonts w:hint="eastAsia" w:cs="宋体" w:asciiTheme="minorEastAsia" w:hAnsiTheme="minorEastAsia"/>
          <w:color w:val="000000"/>
          <w:sz w:val="21"/>
          <w:szCs w:val="21"/>
          <w:lang w:eastAsia="zh"/>
          <w:woUserID w:val="1"/>
        </w:rPr>
        <w:t>修改</w:t>
      </w:r>
      <w:r>
        <w:rPr>
          <w:rFonts w:hint="eastAsia" w:cs="宋体" w:asciiTheme="minorEastAsia" w:hAnsiTheme="minorEastAsia"/>
          <w:color w:val="000000"/>
          <w:sz w:val="21"/>
          <w:szCs w:val="21"/>
        </w:rPr>
        <w:t>意见5】</w:t>
      </w:r>
    </w:p>
    <w:p w14:paraId="65616041">
      <w:pPr>
        <w:widowControl/>
        <w:spacing w:line="360" w:lineRule="auto"/>
        <w:ind w:firstLine="420"/>
        <w:jc w:val="left"/>
        <w:rPr>
          <w:rFonts w:ascii="Times New Roman Regular" w:hAnsi="Times New Roman Regular" w:cs="Times New Roman Regular"/>
        </w:rPr>
      </w:pPr>
      <w:r>
        <w:rPr>
          <w:rFonts w:hint="eastAsia" w:ascii="Times New Roman Regular" w:hAnsi="Times New Roman Regular" w:cs="Times New Roman Regular"/>
          <w:lang w:eastAsia="zh"/>
          <w:woUserID w:val="1"/>
        </w:rPr>
        <w:t>作者这一章所提及的诸多案例，本质上均是知识产权，与作者上文所证否的知识产权观点相矛盾。从行文结构来看，作者实际上先驳论，认为不是知识产权出资等，而是霍菲尔德体系中的“受法律保护的物理垄断”，“法律垄断，且具有许可权”权利，但在第三章的制度构建中，有很多案例、说理都是参照知识产权出资。这就引出一个问题——霍菲尔德的这个权利框架，是否与作者所证否的知识产权等观点是相违背的？还是其实是并行的、不同分类体系下的另一种可能？</w:t>
      </w:r>
    </w:p>
    <w:p w14:paraId="42461059">
      <w:pPr>
        <w:widowControl/>
        <w:spacing w:line="360" w:lineRule="auto"/>
        <w:jc w:val="left"/>
        <w:rPr>
          <w:rFonts w:cs="Arial" w:asciiTheme="minorEastAsia" w:hAnsiTheme="minorEastAsia"/>
          <w:color w:val="000000"/>
          <w:kern w:val="0"/>
          <w:szCs w:val="21"/>
        </w:rPr>
      </w:pPr>
      <w:r>
        <w:rPr>
          <w:rFonts w:hint="eastAsia" w:cs="Arial" w:asciiTheme="minorEastAsia" w:hAnsiTheme="minorEastAsia"/>
          <w:color w:val="000000"/>
          <w:kern w:val="0"/>
          <w:szCs w:val="21"/>
        </w:rPr>
        <w:t>【修改说明5】</w:t>
      </w:r>
    </w:p>
    <w:p w14:paraId="6BAEF15F">
      <w:pPr>
        <w:pStyle w:val="4"/>
        <w:widowControl/>
        <w:pBdr>
          <w:bottom w:val="none" w:color="auto" w:sz="0" w:space="1"/>
        </w:pBdr>
        <w:adjustRightInd w:val="0"/>
        <w:snapToGrid w:val="0"/>
        <w:spacing w:before="156" w:beforeLines="50" w:after="156" w:afterLines="50" w:line="360" w:lineRule="auto"/>
        <w:ind w:firstLine="420"/>
        <w:rPr>
          <w:rFonts w:hint="eastAsia" w:ascii="Times New Roman Regular" w:hAnsi="Times New Roman Regular" w:cs="Times New Roman Regular"/>
          <w:sz w:val="21"/>
          <w:highlight w:val="yellow"/>
          <w:lang w:eastAsia="zh"/>
          <w:woUserID w:val="1"/>
        </w:rPr>
      </w:pPr>
      <w:r>
        <w:rPr>
          <w:rFonts w:hint="eastAsia" w:ascii="Times New Roman Regular" w:hAnsi="Times New Roman Regular" w:cs="Times New Roman Regular"/>
          <w:sz w:val="21"/>
          <w:lang w:eastAsia="zh"/>
          <w:woUserID w:val="1"/>
        </w:rPr>
        <w:t>感谢审稿人的建议，笔者对第三部分的内容进行了审查和修改，在第三部分中主要涉及三处有关知识产的借鉴和引用，笔者的核心观点和主要论证目的如下：（1）在“实体：“转让”的内涵范畴”部分中，作者引用了部分有关商业秘密出资及知识产权使用权出资的案例，旨在说明《公司法》第48条中所要求的“可转让性”的范畴并不仅局限于霍菲尔德法律关系理论中的实质转让这一概念，相反，通过以上案例可知，形式转让出资和使用权许可出资的方式亦属于实践中存在且符合“可转让性”设置目的出资方式，因此上述两种出资方式也应涵盖在《公司法》第48条之中。因此，本处引用案例的作用旨在对第48条所规定的“可转让性”作扩大解释，与数据产权的法律性质无关，亦不会与数据产权的法律性质非属知识产的观点相违背；（2）在“数据资产交付规则”第二点“办理交付手续”中，笔者认为，因为数据资产的具体交付内容目前并未存在通说，且部分数据资产与知识产权（尤指专有技术）一样具有科技性，公司在持有数据资产后或会遇到技术性难题，此时因公司适用该数据资产来达成自己的经营目标的出资目的没有实现，故而可以借鉴关于专有技术的司法案例中的裁判思路，股东还需要给公司的员工培训以确保该数据资产可用于公司经营才系完成交付手续。该案例是基于数据资产和专有技术特征方面的类似性而引用的，亦不表明数据资产就是专有技术，或数据产权属于知识产权。（3）在“数据资产交付规则”第三点“披露数据资产入股信息”中，因目前并未统一对数据资产出资中的备案登记要求进行规定，而数据资产与知识产权均可通过使用权许可的方式出资，故在数据资产许可入股时可参照适用知识产权的相关规定，笔者认为其需作备案登记。这是基于两者均可进行使用权许可出资而在程序层面进行了一定的参照，亦不影响对数据产权法律性质的定性。</w:t>
      </w:r>
    </w:p>
    <w:p w14:paraId="64A94DCF">
      <w:pPr>
        <w:pStyle w:val="4"/>
        <w:widowControl/>
        <w:pBdr>
          <w:bottom w:val="single" w:color="auto" w:sz="4" w:space="1"/>
        </w:pBdr>
        <w:adjustRightInd w:val="0"/>
        <w:snapToGrid w:val="0"/>
        <w:spacing w:before="156" w:beforeLines="50" w:after="156" w:afterLines="50" w:line="360" w:lineRule="auto"/>
        <w:ind w:firstLine="420"/>
        <w:rPr>
          <w:rFonts w:hint="eastAsia" w:ascii="Times New Roman Regular" w:hAnsi="Times New Roman Regular" w:cs="Times New Roman Regular"/>
          <w:sz w:val="21"/>
          <w:highlight w:val="none"/>
          <w:lang w:eastAsia="zh"/>
          <w:woUserID w:val="1"/>
        </w:rPr>
      </w:pPr>
      <w:r>
        <w:rPr>
          <w:rFonts w:hint="eastAsia" w:ascii="Times New Roman Regular" w:hAnsi="Times New Roman Regular" w:cs="Times New Roman Regular"/>
          <w:sz w:val="21"/>
          <w:highlight w:val="none"/>
          <w:lang w:eastAsia="zh"/>
          <w:woUserID w:val="1"/>
        </w:rPr>
        <w:t>以上为笔者的观点，或有不周延之处，烦请批评指正。</w:t>
      </w:r>
    </w:p>
    <w:p w14:paraId="363543DC">
      <w:pPr>
        <w:adjustRightInd w:val="0"/>
        <w:snapToGrid w:val="0"/>
        <w:spacing w:line="360" w:lineRule="auto"/>
        <w:ind w:left="0" w:leftChars="0" w:firstLine="0" w:firstLineChars="0"/>
        <w:rPr>
          <w:rFonts w:hint="eastAsia" w:asciiTheme="minorEastAsia" w:hAnsiTheme="minorEastAsia"/>
          <w:lang w:eastAsia="zh"/>
          <w:woUserID w:val="1"/>
        </w:rPr>
      </w:pPr>
      <w:bookmarkStart w:id="0" w:name="OLE_LINK1"/>
      <w:r>
        <w:rPr>
          <w:rFonts w:hint="eastAsia" w:asciiTheme="minorEastAsia" w:hAnsiTheme="minorEastAsia"/>
          <w:lang w:eastAsia="zh"/>
          <w:woUserID w:val="1"/>
        </w:rPr>
        <w:t>【修改意见6】</w:t>
      </w:r>
    </w:p>
    <w:p w14:paraId="7430575B">
      <w:pPr>
        <w:pBdr>
          <w:bottom w:val="none" w:color="auto" w:sz="0" w:space="0"/>
        </w:pBdr>
        <w:adjustRightInd w:val="0"/>
        <w:snapToGrid w:val="0"/>
        <w:spacing w:line="360" w:lineRule="auto"/>
        <w:ind w:firstLine="420"/>
        <w:rPr>
          <w:rFonts w:hint="eastAsia" w:asciiTheme="minorEastAsia" w:hAnsiTheme="minorEastAsia"/>
          <w:lang w:eastAsia="zh"/>
          <w:woUserID w:val="1"/>
        </w:rPr>
      </w:pPr>
      <w:r>
        <w:rPr>
          <w:rFonts w:hint="eastAsia" w:asciiTheme="minorEastAsia" w:hAnsiTheme="minorEastAsia"/>
          <w:lang w:eastAsia="zh"/>
          <w:woUserID w:val="1"/>
        </w:rPr>
        <w:t>出资转移的到底是什么权利？使用权，所有权？根据数据局发布的名词解释，出资是经营权，本文在这一方面的阐释不够清晰，如果是知识产权的方式，那就是一种许可，不是经营权。</w:t>
      </w:r>
    </w:p>
    <w:p w14:paraId="728635A0">
      <w:pPr>
        <w:pBdr>
          <w:bottom w:val="none" w:color="auto" w:sz="0" w:space="0"/>
        </w:pBdr>
        <w:adjustRightInd w:val="0"/>
        <w:snapToGrid w:val="0"/>
        <w:spacing w:line="360" w:lineRule="auto"/>
        <w:ind w:left="0" w:leftChars="0" w:firstLine="0" w:firstLineChars="0"/>
        <w:rPr>
          <w:rFonts w:hint="eastAsia" w:asciiTheme="minorEastAsia" w:hAnsiTheme="minorEastAsia"/>
          <w:lang w:eastAsia="zh"/>
          <w:woUserID w:val="1"/>
        </w:rPr>
      </w:pPr>
      <w:r>
        <w:rPr>
          <w:rFonts w:hint="eastAsia" w:asciiTheme="minorEastAsia" w:hAnsiTheme="minorEastAsia"/>
          <w:lang w:eastAsia="zh"/>
          <w:woUserID w:val="1"/>
        </w:rPr>
        <w:t>【修改说明6】</w:t>
      </w:r>
    </w:p>
    <w:p w14:paraId="4BE0522D">
      <w:pPr>
        <w:pBdr>
          <w:bottom w:val="none" w:color="auto" w:sz="0" w:space="0"/>
        </w:pBdr>
        <w:adjustRightInd w:val="0"/>
        <w:snapToGrid w:val="0"/>
        <w:spacing w:line="360" w:lineRule="auto"/>
        <w:ind w:firstLine="420"/>
        <w:rPr>
          <w:rFonts w:hint="eastAsia" w:asciiTheme="minorEastAsia" w:hAnsiTheme="minorEastAsia"/>
          <w:lang w:eastAsia="zh"/>
          <w:woUserID w:val="1"/>
        </w:rPr>
      </w:pPr>
      <w:r>
        <w:rPr>
          <w:rFonts w:hint="eastAsia" w:asciiTheme="minorEastAsia" w:hAnsiTheme="minorEastAsia"/>
          <w:lang w:eastAsia="zh"/>
          <w:woUserID w:val="1"/>
        </w:rPr>
        <w:t>感谢审稿人的建议，已就该部分做了以下两方面的修改：（1）笔者认为，形式转让的出资方式仅涉及物理的转授行为，因此不涉及任何权利的移转；（2）笔者认为，许可出资方式核心旨在让公司能够使用上述数据资产，因此双方之间交付的是数据使用权。另外，根据国家数据局的名称解释中的定义，“数据经营权，是指权利人通过转让、许可、出资或者设立担保等有偿或无偿的方式对外提供数据的权利。”但笔者认为该定义只是表明持有数据的权利主体享有将数据许可、转让、出资等对待进行数据交易的权利，但在许可出资过程中双方交付的具体权利并非亦为数据经营权，而系数据使用权。</w:t>
      </w:r>
    </w:p>
    <w:p w14:paraId="634DEF25">
      <w:pPr>
        <w:pStyle w:val="4"/>
        <w:widowControl/>
        <w:pBdr>
          <w:bottom w:val="single" w:color="auto" w:sz="4" w:space="1"/>
        </w:pBdr>
        <w:adjustRightInd w:val="0"/>
        <w:snapToGrid w:val="0"/>
        <w:spacing w:before="156" w:beforeLines="50" w:after="156" w:afterLines="50" w:line="360" w:lineRule="auto"/>
        <w:ind w:firstLine="420"/>
        <w:rPr>
          <w:rFonts w:hint="eastAsia" w:ascii="Times New Roman Regular" w:hAnsi="Times New Roman Regular" w:cs="Times New Roman Regular"/>
          <w:sz w:val="21"/>
          <w:highlight w:val="none"/>
          <w:lang w:eastAsia="zh"/>
          <w:woUserID w:val="1"/>
        </w:rPr>
      </w:pPr>
      <w:r>
        <w:rPr>
          <w:rFonts w:hint="eastAsia" w:ascii="Times New Roman Regular" w:hAnsi="Times New Roman Regular" w:cs="Times New Roman Regular"/>
          <w:sz w:val="21"/>
          <w:highlight w:val="none"/>
          <w:lang w:eastAsia="zh"/>
          <w:woUserID w:val="1"/>
        </w:rPr>
        <w:t>以上为笔者的观点，或有不周延之处，烦请批评指正。</w:t>
      </w:r>
    </w:p>
    <w:p w14:paraId="5D5A7538">
      <w:pPr>
        <w:adjustRightInd w:val="0"/>
        <w:snapToGrid w:val="0"/>
        <w:spacing w:line="360" w:lineRule="auto"/>
        <w:ind w:firstLine="420"/>
        <w:rPr>
          <w:rFonts w:hint="eastAsia" w:asciiTheme="minorEastAsia" w:hAnsiTheme="minorEastAsia" w:eastAsiaTheme="minorEastAsia"/>
          <w:lang w:eastAsia="zh"/>
        </w:rPr>
      </w:pPr>
      <w:bookmarkStart w:id="1" w:name="_GoBack"/>
      <w:bookmarkEnd w:id="1"/>
      <w:r>
        <w:rPr>
          <w:rFonts w:hint="eastAsia" w:asciiTheme="minorEastAsia" w:hAnsiTheme="minorEastAsia"/>
          <w:lang w:eastAsia="zh"/>
          <w:woUserID w:val="1"/>
        </w:rPr>
        <w:t>以上是笔者对您审稿意见的逐一回应。再次衷心感谢编辑老师对本文提出的珍贵建议与指导。希望修改后的稿件能更好地符合刊发要求，若有仍需完善之处，恳请您不吝指正。最后，谨祝您学习及工作顺利、生活愉快！</w:t>
      </w:r>
    </w:p>
    <w:bookmarkEnd w:id="0"/>
    <w:p w14:paraId="724FBC08">
      <w:pPr>
        <w:adjustRightInd w:val="0"/>
        <w:snapToGrid w:val="0"/>
        <w:spacing w:line="360" w:lineRule="auto"/>
        <w:ind w:firstLine="420"/>
        <w:rPr>
          <w:rFonts w:asciiTheme="minorEastAsia" w:hAnsiTheme="minorEastAsia"/>
        </w:rPr>
      </w:pPr>
    </w:p>
    <w:p w14:paraId="77ED852D">
      <w:pPr>
        <w:adjustRightInd w:val="0"/>
        <w:snapToGrid w:val="0"/>
        <w:spacing w:line="360" w:lineRule="auto"/>
        <w:ind w:firstLine="420"/>
        <w:rPr>
          <w:rFonts w:asciiTheme="minorEastAsia" w:hAnsiTheme="minorEastAsia"/>
        </w:rPr>
      </w:pPr>
      <w:r>
        <w:rPr>
          <w:rFonts w:hint="eastAsia" w:asciiTheme="minorEastAsia" w:hAnsiTheme="minorEastAsia"/>
        </w:rPr>
        <w:t>此致</w:t>
      </w:r>
    </w:p>
    <w:p w14:paraId="6E1AFC5E">
      <w:pPr>
        <w:adjustRightInd w:val="0"/>
        <w:snapToGrid w:val="0"/>
        <w:spacing w:line="360" w:lineRule="auto"/>
        <w:rPr>
          <w:rFonts w:asciiTheme="minorEastAsia" w:hAnsiTheme="minorEastAsia"/>
        </w:rPr>
      </w:pPr>
      <w:r>
        <w:rPr>
          <w:rFonts w:hint="eastAsia" w:asciiTheme="minorEastAsia" w:hAnsiTheme="minorEastAsia"/>
        </w:rPr>
        <w:t>敬礼！</w:t>
      </w:r>
    </w:p>
    <w:p w14:paraId="1C508714">
      <w:pPr>
        <w:adjustRightInd w:val="0"/>
        <w:snapToGrid w:val="0"/>
        <w:spacing w:line="360" w:lineRule="auto"/>
        <w:ind w:right="630"/>
        <w:jc w:val="right"/>
        <w:rPr>
          <w:rFonts w:asciiTheme="minorEastAsia" w:hAnsiTheme="minorEastAsia"/>
        </w:rPr>
      </w:pPr>
      <w:r>
        <w:rPr>
          <w:rFonts w:hint="eastAsia" w:asciiTheme="minorEastAsia" w:hAnsiTheme="minorEastAsia"/>
        </w:rPr>
        <w:t xml:space="preserve">作者      </w:t>
      </w:r>
    </w:p>
    <w:p w14:paraId="585AD784">
      <w:pPr>
        <w:adjustRightInd w:val="0"/>
        <w:snapToGrid w:val="0"/>
        <w:spacing w:line="360" w:lineRule="auto"/>
        <w:jc w:val="right"/>
        <w:rPr>
          <w:rFonts w:asciiTheme="minorEastAsia" w:hAnsiTheme="minorEastAsia"/>
        </w:rPr>
      </w:pPr>
      <w:r>
        <w:rPr>
          <w:rFonts w:hint="eastAsia" w:asciiTheme="minorEastAsia" w:hAnsiTheme="minorEastAsia"/>
        </w:rPr>
        <w:t>202</w:t>
      </w:r>
      <w:r>
        <w:rPr>
          <w:rFonts w:hint="eastAsia" w:asciiTheme="minorEastAsia" w:hAnsiTheme="minorEastAsia"/>
          <w:lang w:eastAsia="zh"/>
          <w:woUserID w:val="1"/>
        </w:rPr>
        <w:t>6</w:t>
      </w:r>
      <w:r>
        <w:rPr>
          <w:rFonts w:hint="eastAsia" w:asciiTheme="minorEastAsia" w:hAnsiTheme="minorEastAsia"/>
        </w:rPr>
        <w:t>年1月</w:t>
      </w:r>
      <w:r>
        <w:rPr>
          <w:rFonts w:hint="eastAsia" w:asciiTheme="minorEastAsia" w:hAnsiTheme="minorEastAsia"/>
          <w:lang w:eastAsia="zh"/>
          <w:woUserID w:val="1"/>
        </w:rPr>
        <w:t>22</w:t>
      </w:r>
      <w:r>
        <w:rPr>
          <w:rFonts w:hint="eastAsia" w:asciiTheme="minorEastAsia" w:hAnsiTheme="minorEastAsia"/>
        </w:rPr>
        <w:t>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Times New Roman Regular">
    <w:altName w:val="Times New Roman"/>
    <w:panose1 w:val="020B0604020202020204"/>
    <w:charset w:val="00"/>
    <w:family w:val="auto"/>
    <w:pitch w:val="default"/>
    <w:sig w:usb0="00000000" w:usb1="00000000" w:usb2="00000001" w:usb3="00000000" w:csb0="400001BF" w:csb1="DFF70000"/>
  </w:font>
  <w:font w:name="@宋体">
    <w:altName w:val="汉仪书宋二KW"/>
    <w:panose1 w:val="02010600030101010101"/>
    <w:charset w:val="86"/>
    <w:family w:val="auto"/>
    <w:pitch w:val="variable"/>
    <w:sig w:usb0="00000203" w:usb1="288F0000" w:usb2="00000016" w:usb3="00000000" w:csb0="00040001" w:csb1="00000000"/>
  </w:font>
  <w:font w:name="楷体">
    <w:altName w:val="汉仪楷体KW"/>
    <w:panose1 w:val="02010609060101010101"/>
    <w:charset w:val="86"/>
    <w:family w:val="auto"/>
    <w:pitch w:val="fixed"/>
    <w:sig w:usb0="800002BF" w:usb1="38CF7CFA"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Cambria Math">
    <w:altName w:val="Kingsoft Math"/>
    <w:panose1 w:val="02040503050406030204"/>
    <w:charset w:val="00"/>
    <w:family w:val="auto"/>
    <w:pitch w:val="variable"/>
    <w:sig w:usb0="E00006FF" w:usb1="420024FF" w:usb2="02000000" w:usb3="00000000" w:csb0="0000019F" w:csb1="00000000"/>
  </w:font>
  <w:font w:name="Kingsoft Math">
    <w:panose1 w:val="02040503050406030204"/>
    <w:charset w:val="00"/>
    <w:family w:val="auto"/>
    <w:pitch w:val="default"/>
    <w:sig w:usb0="00000081" w:usb1="02000068" w:usb2="02000000" w:usb3="00000000" w:csb0="00000001" w:csb1="00000000"/>
  </w:font>
  <w:font w:name="@楷体">
    <w:altName w:val="汉仪楷体KW"/>
    <w:panose1 w:val="00000000000000000000"/>
    <w:charset w:val="86"/>
    <w:family w:val="auto"/>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FDD1B3"/>
    <w:rsid w:val="00035F9B"/>
    <w:rsid w:val="00085131"/>
    <w:rsid w:val="000C2301"/>
    <w:rsid w:val="000F2A7E"/>
    <w:rsid w:val="00141BC7"/>
    <w:rsid w:val="0016247B"/>
    <w:rsid w:val="001A7ECC"/>
    <w:rsid w:val="002004B8"/>
    <w:rsid w:val="00257F98"/>
    <w:rsid w:val="00280CAA"/>
    <w:rsid w:val="002A68AE"/>
    <w:rsid w:val="002B2BEA"/>
    <w:rsid w:val="00301298"/>
    <w:rsid w:val="0030519C"/>
    <w:rsid w:val="00383A2B"/>
    <w:rsid w:val="003F054A"/>
    <w:rsid w:val="00435F99"/>
    <w:rsid w:val="0044626C"/>
    <w:rsid w:val="004C594E"/>
    <w:rsid w:val="00620429"/>
    <w:rsid w:val="0067307D"/>
    <w:rsid w:val="006C041D"/>
    <w:rsid w:val="006E15A4"/>
    <w:rsid w:val="007E768E"/>
    <w:rsid w:val="00803443"/>
    <w:rsid w:val="00865E31"/>
    <w:rsid w:val="008D06F1"/>
    <w:rsid w:val="00A43AD9"/>
    <w:rsid w:val="00AD36F9"/>
    <w:rsid w:val="00B52609"/>
    <w:rsid w:val="00B62B6E"/>
    <w:rsid w:val="00B63F79"/>
    <w:rsid w:val="00BA3BAC"/>
    <w:rsid w:val="00C3763A"/>
    <w:rsid w:val="00C422E6"/>
    <w:rsid w:val="00C55291"/>
    <w:rsid w:val="00C67DC0"/>
    <w:rsid w:val="00CD4A62"/>
    <w:rsid w:val="00CF432D"/>
    <w:rsid w:val="00D04C3D"/>
    <w:rsid w:val="00DC28B6"/>
    <w:rsid w:val="00E22F79"/>
    <w:rsid w:val="00F141BB"/>
    <w:rsid w:val="00F167B6"/>
    <w:rsid w:val="00F53595"/>
    <w:rsid w:val="1F35BD94"/>
    <w:rsid w:val="1FDAB197"/>
    <w:rsid w:val="393C7A80"/>
    <w:rsid w:val="3ACFFDA2"/>
    <w:rsid w:val="3AFFF86C"/>
    <w:rsid w:val="3FD7BD1D"/>
    <w:rsid w:val="5755DEEB"/>
    <w:rsid w:val="5FDBB4F9"/>
    <w:rsid w:val="5FDE5C9F"/>
    <w:rsid w:val="62FEE178"/>
    <w:rsid w:val="678F3A45"/>
    <w:rsid w:val="6B8F951D"/>
    <w:rsid w:val="6EDF1B78"/>
    <w:rsid w:val="73FDD1B3"/>
    <w:rsid w:val="77F2BF2C"/>
    <w:rsid w:val="77F96084"/>
    <w:rsid w:val="7AFD6E10"/>
    <w:rsid w:val="7B5D955E"/>
    <w:rsid w:val="7BB35E5D"/>
    <w:rsid w:val="7BFF6E5C"/>
    <w:rsid w:val="7DCDFAC5"/>
    <w:rsid w:val="7DED916A"/>
    <w:rsid w:val="7F7F7256"/>
    <w:rsid w:val="7FCDFACD"/>
    <w:rsid w:val="BD6FA298"/>
    <w:rsid w:val="BEBBE9FB"/>
    <w:rsid w:val="BF7A322A"/>
    <w:rsid w:val="BFAF160B"/>
    <w:rsid w:val="C55648DD"/>
    <w:rsid w:val="D97FD821"/>
    <w:rsid w:val="E9ED8C34"/>
    <w:rsid w:val="EDFBB07B"/>
    <w:rsid w:val="F3B5CF04"/>
    <w:rsid w:val="F5BFCFE4"/>
    <w:rsid w:val="FAB91A82"/>
    <w:rsid w:val="FBE3B783"/>
    <w:rsid w:val="FD9B8AC7"/>
    <w:rsid w:val="FFBCFEC8"/>
    <w:rsid w:val="FFFC1A7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1"/>
    <w:qFormat/>
    <w:uiPriority w:val="0"/>
    <w:pPr>
      <w:jc w:val="left"/>
    </w:pPr>
    <w:rPr>
      <w:rFonts w:ascii="Calibri" w:hAnsi="Calibri" w:eastAsia="宋体" w:cs="Times New Roman"/>
    </w:rPr>
  </w:style>
  <w:style w:type="paragraph" w:styleId="3">
    <w:name w:val="footnote text"/>
    <w:basedOn w:val="1"/>
    <w:uiPriority w:val="0"/>
    <w:pPr>
      <w:snapToGrid w:val="0"/>
      <w:jc w:val="left"/>
    </w:pPr>
    <w:rPr>
      <w:sz w:val="18"/>
    </w:rPr>
  </w:style>
  <w:style w:type="paragraph" w:styleId="4">
    <w:name w:val="Normal (Web)"/>
    <w:basedOn w:val="1"/>
    <w:uiPriority w:val="0"/>
    <w:rPr>
      <w:sz w:val="24"/>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footnote reference"/>
    <w:basedOn w:val="7"/>
    <w:uiPriority w:val="0"/>
    <w:rPr>
      <w:vertAlign w:val="superscript"/>
    </w:rPr>
  </w:style>
  <w:style w:type="paragraph" w:customStyle="1" w:styleId="9">
    <w:name w:val="15"/>
    <w:basedOn w:val="1"/>
    <w:uiPriority w:val="0"/>
    <w:pPr>
      <w:widowControl/>
      <w:spacing w:before="100" w:beforeAutospacing="1" w:after="100" w:afterAutospacing="1"/>
      <w:jc w:val="left"/>
    </w:pPr>
    <w:rPr>
      <w:rFonts w:ascii="宋体" w:hAnsi="宋体" w:eastAsia="宋体" w:cs="宋体"/>
      <w:kern w:val="0"/>
      <w:sz w:val="24"/>
    </w:rPr>
  </w:style>
  <w:style w:type="paragraph" w:styleId="10">
    <w:name w:val="List Paragraph"/>
    <w:basedOn w:val="1"/>
    <w:unhideWhenUsed/>
    <w:uiPriority w:val="99"/>
    <w:pPr>
      <w:ind w:firstLine="420" w:firstLineChars="200"/>
    </w:pPr>
  </w:style>
  <w:style w:type="character" w:customStyle="1" w:styleId="11">
    <w:name w:val="批注文字 字符"/>
    <w:basedOn w:val="7"/>
    <w:link w:val="2"/>
    <w:uiPriority w:val="0"/>
    <w:rPr>
      <w:rFonts w:ascii="Calibri" w:hAnsi="Calibri"/>
      <w:kern w:val="2"/>
      <w:sz w:val="21"/>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950992DE-982B-924C-A437-A65BB9BA5179}">
  <ds:schemaRefs/>
</ds:datastoreItem>
</file>

<file path=docProps/app.xml><?xml version="1.0" encoding="utf-8"?>
<Properties xmlns="http://schemas.openxmlformats.org/officeDocument/2006/extended-properties" xmlns:vt="http://schemas.openxmlformats.org/officeDocument/2006/docPropsVTypes">
  <Pages>3</Pages>
  <Words>1047</Words>
  <Characters>1068</Characters>
  <Lines>33</Lines>
  <Paragraphs>14</Paragraphs>
  <TotalTime>0</TotalTime>
  <ScaleCrop>false</ScaleCrop>
  <LinksUpToDate>false</LinksUpToDate>
  <CharactersWithSpaces>2101</CharactersWithSpaces>
  <Application>WPS Office WWO_wpscloud_20260121170420-4af9624cc4</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2025-11-12T23:18:00Z</dcterms:created>
  <dc:creator>毛翰翔</dc:creator>
  <cp:lastModifiedBy>作者</cp:lastModifiedBy>
  <dcterms:modified xsi:type="dcterms:W3CDTF">2026-01-22T21:44:13Z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2052-12.9.0.25189</vt:lpwstr>
  </property>
  <property fmtid="{D5CDD505-2E9C-101B-9397-08002B2CF9AE}" pid="3" name="ICV">
    <vt:lpwstr>43B44AD57ADBB16DAD29726986192E0C_43</vt:lpwstr>
  </property>
</Properties>
</file>