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0E41C">
      <w:pPr>
        <w:jc w:val="center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6CBBB054">
      <w:pPr>
        <w:rPr>
          <w:rFonts w:hint="eastAsia"/>
          <w:sz w:val="24"/>
        </w:rPr>
      </w:pPr>
    </w:p>
    <w:p w14:paraId="5449DCE2">
      <w:pPr>
        <w:rPr>
          <w:rFonts w:hint="eastAsia"/>
          <w:sz w:val="24"/>
        </w:rPr>
      </w:pPr>
      <w:r>
        <w:rPr>
          <w:rFonts w:hint="eastAsia"/>
          <w:sz w:val="24"/>
        </w:rPr>
        <w:t>论文题目：论新公司法下数据资产入股——基于霍</w:t>
      </w:r>
      <w:bookmarkStart w:id="0" w:name="_GoBack"/>
      <w:bookmarkEnd w:id="0"/>
      <w:r>
        <w:rPr>
          <w:rFonts w:hint="eastAsia"/>
          <w:sz w:val="24"/>
        </w:rPr>
        <w:t>菲尔德法律关系理论之视角</w:t>
      </w:r>
    </w:p>
    <w:p w14:paraId="3FBD2D80">
      <w:pPr>
        <w:rPr>
          <w:rFonts w:hint="eastAsia"/>
          <w:sz w:val="24"/>
        </w:rPr>
      </w:pPr>
      <w:r>
        <w:rPr>
          <w:rFonts w:hint="eastAsia"/>
          <w:sz w:val="24"/>
        </w:rPr>
        <w:t>论文作者：</w:t>
      </w:r>
    </w:p>
    <w:p w14:paraId="33C6CA25">
      <w:pPr>
        <w:rPr>
          <w:rFonts w:hint="eastAsia"/>
          <w:sz w:val="24"/>
        </w:rPr>
      </w:pPr>
    </w:p>
    <w:tbl>
      <w:tblPr>
        <w:tblStyle w:val="6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15D7A6C3">
        <w:trPr>
          <w:trHeight w:val="586" w:hRule="atLeast"/>
        </w:trPr>
        <w:tc>
          <w:tcPr>
            <w:tcW w:w="649" w:type="dxa"/>
          </w:tcPr>
          <w:p w14:paraId="31F5044B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2C3D3A14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2A317308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598B6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157E6F7F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06D325D7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09536C">
        <w:trPr>
          <w:trHeight w:val="289" w:hRule="atLeast"/>
        </w:trPr>
        <w:tc>
          <w:tcPr>
            <w:tcW w:w="649" w:type="dxa"/>
            <w:vMerge w:val="restart"/>
          </w:tcPr>
          <w:p w14:paraId="2E7B18BE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5D3CEEFB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  <w:p w14:paraId="58400B1B">
            <w:pPr>
              <w:jc w:val="center"/>
              <w:rPr>
                <w:rFonts w:hint="eastAsia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901" w:type="dxa"/>
            <w:vMerge w:val="restart"/>
          </w:tcPr>
          <w:p w14:paraId="3B5EFE3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554A4BB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4FA0915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9CCDD7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5C0A011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5619F58A">
        <w:trPr>
          <w:trHeight w:val="312" w:hRule="atLeast"/>
        </w:trPr>
        <w:tc>
          <w:tcPr>
            <w:tcW w:w="649" w:type="dxa"/>
            <w:vMerge w:val="continue"/>
          </w:tcPr>
          <w:p w14:paraId="2035EB1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EE2BD2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1B1D2C7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71F607A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348DDD96">
        <w:trPr>
          <w:trHeight w:val="302" w:hRule="atLeast"/>
        </w:trPr>
        <w:tc>
          <w:tcPr>
            <w:tcW w:w="649" w:type="dxa"/>
            <w:vMerge w:val="continue"/>
          </w:tcPr>
          <w:p w14:paraId="1BA93F0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4C9E6B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CE42E4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1FD582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5DE9A8AE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31A63A3">
        <w:trPr>
          <w:trHeight w:val="321" w:hRule="atLeast"/>
        </w:trPr>
        <w:tc>
          <w:tcPr>
            <w:tcW w:w="649" w:type="dxa"/>
            <w:vMerge w:val="restart"/>
          </w:tcPr>
          <w:p w14:paraId="4910FA86">
            <w:pPr>
              <w:rPr>
                <w:rFonts w:hint="eastAsia"/>
                <w:b/>
                <w:sz w:val="18"/>
                <w:szCs w:val="18"/>
              </w:rPr>
            </w:pPr>
          </w:p>
          <w:p w14:paraId="4F676A1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6BB63560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901" w:type="dxa"/>
            <w:vMerge w:val="restart"/>
          </w:tcPr>
          <w:p w14:paraId="41B2D84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59A27C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098FE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E73321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6DD415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6AF19E0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F2A0585">
        <w:trPr>
          <w:trHeight w:val="302" w:hRule="atLeast"/>
        </w:trPr>
        <w:tc>
          <w:tcPr>
            <w:tcW w:w="649" w:type="dxa"/>
            <w:vMerge w:val="continue"/>
          </w:tcPr>
          <w:p w14:paraId="30C8A83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0D5ECD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3083922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747BAC9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2AE0353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9C888E">
        <w:trPr>
          <w:trHeight w:val="389" w:hRule="atLeast"/>
        </w:trPr>
        <w:tc>
          <w:tcPr>
            <w:tcW w:w="649" w:type="dxa"/>
            <w:vMerge w:val="continue"/>
          </w:tcPr>
          <w:p w14:paraId="4D8AEDE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DA2576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243065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5C3A74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713FEEE0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D221D59">
        <w:trPr>
          <w:trHeight w:val="302" w:hRule="atLeast"/>
        </w:trPr>
        <w:tc>
          <w:tcPr>
            <w:tcW w:w="649" w:type="dxa"/>
            <w:vMerge w:val="restart"/>
          </w:tcPr>
          <w:p w14:paraId="46686E1F">
            <w:pPr>
              <w:rPr>
                <w:rFonts w:hint="eastAsia"/>
                <w:b/>
                <w:sz w:val="18"/>
                <w:szCs w:val="18"/>
              </w:rPr>
            </w:pPr>
          </w:p>
          <w:p w14:paraId="7C658F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  <w:p w14:paraId="5B4777B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901" w:type="dxa"/>
            <w:vMerge w:val="restart"/>
          </w:tcPr>
          <w:p w14:paraId="663EE616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07A96B5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6292EE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1030B75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134C37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7F20EBF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6C4747F6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2AF56B">
        <w:trPr>
          <w:trHeight w:val="302" w:hRule="atLeast"/>
        </w:trPr>
        <w:tc>
          <w:tcPr>
            <w:tcW w:w="649" w:type="dxa"/>
            <w:vMerge w:val="continue"/>
          </w:tcPr>
          <w:p w14:paraId="6C4CDD5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DDD73D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90BAE1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67EE6B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2F1D0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66EC9DA">
        <w:trPr>
          <w:trHeight w:val="302" w:hRule="atLeast"/>
        </w:trPr>
        <w:tc>
          <w:tcPr>
            <w:tcW w:w="649" w:type="dxa"/>
            <w:vMerge w:val="continue"/>
          </w:tcPr>
          <w:p w14:paraId="24BBBE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74D0CB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BA08B4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0539BDB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71AB84D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3AF4A67">
        <w:trPr>
          <w:trHeight w:val="302" w:hRule="atLeast"/>
        </w:trPr>
        <w:tc>
          <w:tcPr>
            <w:tcW w:w="649" w:type="dxa"/>
            <w:vMerge w:val="continue"/>
          </w:tcPr>
          <w:p w14:paraId="25117D6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476C0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2DC22B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66A8C07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622B38E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E2230D">
        <w:trPr>
          <w:trHeight w:val="293" w:hRule="atLeast"/>
        </w:trPr>
        <w:tc>
          <w:tcPr>
            <w:tcW w:w="649" w:type="dxa"/>
            <w:vMerge w:val="restart"/>
          </w:tcPr>
          <w:p w14:paraId="7C44A3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628A5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  <w:p w14:paraId="4A21CFC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901" w:type="dxa"/>
            <w:vMerge w:val="restart"/>
          </w:tcPr>
          <w:p w14:paraId="3CB09C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B9D01D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06E46E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C02F96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60AF42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2B91A38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FF0F259">
        <w:trPr>
          <w:trHeight w:val="605" w:hRule="atLeast"/>
        </w:trPr>
        <w:tc>
          <w:tcPr>
            <w:tcW w:w="649" w:type="dxa"/>
            <w:vMerge w:val="continue"/>
          </w:tcPr>
          <w:p w14:paraId="3C8180C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EE026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06F6FE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231683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69E3D03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4BB853F">
        <w:trPr>
          <w:trHeight w:val="337" w:hRule="atLeast"/>
        </w:trPr>
        <w:tc>
          <w:tcPr>
            <w:tcW w:w="649" w:type="dxa"/>
            <w:vMerge w:val="restart"/>
          </w:tcPr>
          <w:p w14:paraId="3338A15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01B4335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  <w:p w14:paraId="53109B3F">
            <w:pPr>
              <w:jc w:val="center"/>
              <w:rPr>
                <w:rFonts w:hint="eastAsia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901" w:type="dxa"/>
            <w:vMerge w:val="restart"/>
          </w:tcPr>
          <w:p w14:paraId="331C908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05382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61E9448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220CD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65AE50B">
        <w:trPr>
          <w:trHeight w:val="538" w:hRule="atLeast"/>
        </w:trPr>
        <w:tc>
          <w:tcPr>
            <w:tcW w:w="649" w:type="dxa"/>
            <w:vMerge w:val="continue"/>
          </w:tcPr>
          <w:p w14:paraId="075BE0B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555D4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1758A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4B54D17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5E6B85E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ECEF3B6">
        <w:trPr>
          <w:trHeight w:val="293" w:hRule="atLeast"/>
        </w:trPr>
        <w:tc>
          <w:tcPr>
            <w:tcW w:w="649" w:type="dxa"/>
            <w:vMerge w:val="restart"/>
          </w:tcPr>
          <w:p w14:paraId="080EDFA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1F35C3E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  <w:p w14:paraId="3054FE72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901" w:type="dxa"/>
            <w:vMerge w:val="restart"/>
          </w:tcPr>
          <w:p w14:paraId="479BBF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E16F9A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20337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1AF764F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7F81C88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0CC76EA">
        <w:trPr>
          <w:trHeight w:val="302" w:hRule="atLeast"/>
        </w:trPr>
        <w:tc>
          <w:tcPr>
            <w:tcW w:w="649" w:type="dxa"/>
            <w:vMerge w:val="continue"/>
          </w:tcPr>
          <w:p w14:paraId="13D62C1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172273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2740F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0E5C5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9C3E5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3B8E9AF">
        <w:trPr>
          <w:trHeight w:val="504" w:hRule="atLeast"/>
        </w:trPr>
        <w:tc>
          <w:tcPr>
            <w:tcW w:w="649" w:type="dxa"/>
            <w:vMerge w:val="continue"/>
          </w:tcPr>
          <w:p w14:paraId="4F71B87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85B7FD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A5ED58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04BB468E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549096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B5AF4A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D6E99B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74</w:t>
            </w:r>
          </w:p>
        </w:tc>
      </w:tr>
      <w:tr w14:paraId="604A1441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238FA83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71A11FE8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返修</w:t>
            </w:r>
          </w:p>
        </w:tc>
      </w:tr>
      <w:tr w14:paraId="060A4AB2">
        <w:trPr>
          <w:trHeight w:val="8088" w:hRule="atLeast"/>
        </w:trPr>
        <w:tc>
          <w:tcPr>
            <w:tcW w:w="1550" w:type="dxa"/>
            <w:gridSpan w:val="2"/>
            <w:vAlign w:val="center"/>
          </w:tcPr>
          <w:p w14:paraId="30E92BDB">
            <w:pPr>
              <w:jc w:val="center"/>
              <w:rPr>
                <w:sz w:val="18"/>
                <w:szCs w:val="18"/>
              </w:rPr>
            </w:pPr>
          </w:p>
          <w:p w14:paraId="061C8B2B">
            <w:pPr>
              <w:jc w:val="center"/>
              <w:rPr>
                <w:sz w:val="18"/>
                <w:szCs w:val="18"/>
              </w:rPr>
            </w:pPr>
          </w:p>
          <w:p w14:paraId="28F4B097">
            <w:pPr>
              <w:jc w:val="center"/>
              <w:rPr>
                <w:sz w:val="18"/>
                <w:szCs w:val="18"/>
              </w:rPr>
            </w:pPr>
          </w:p>
          <w:p w14:paraId="035FA5E4">
            <w:pPr>
              <w:jc w:val="center"/>
              <w:rPr>
                <w:sz w:val="18"/>
                <w:szCs w:val="18"/>
              </w:rPr>
            </w:pPr>
          </w:p>
          <w:p w14:paraId="78739798">
            <w:pPr>
              <w:jc w:val="center"/>
              <w:rPr>
                <w:sz w:val="18"/>
                <w:szCs w:val="18"/>
              </w:rPr>
            </w:pPr>
          </w:p>
          <w:p w14:paraId="6589F284">
            <w:pPr>
              <w:jc w:val="center"/>
              <w:rPr>
                <w:sz w:val="18"/>
                <w:szCs w:val="18"/>
              </w:rPr>
            </w:pPr>
          </w:p>
          <w:p w14:paraId="0DD386F6">
            <w:pPr>
              <w:jc w:val="center"/>
              <w:rPr>
                <w:sz w:val="18"/>
                <w:szCs w:val="18"/>
              </w:rPr>
            </w:pPr>
          </w:p>
          <w:p w14:paraId="774D2703">
            <w:pPr>
              <w:jc w:val="center"/>
              <w:rPr>
                <w:sz w:val="18"/>
                <w:szCs w:val="18"/>
              </w:rPr>
            </w:pPr>
          </w:p>
          <w:p w14:paraId="0DB6E2C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797751A0">
            <w:pPr>
              <w:ind w:firstLine="480" w:firstLineChars="20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感谢修改，文章修改后有一定提升，但仍存在一些影响录用的重大问题，以下为对文章修改的建议，供参考，详细的批注请参见修订文档：</w:t>
            </w:r>
          </w:p>
          <w:p w14:paraId="6703591F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本文利用霍菲尔德分析法学的衍生理论——财产权谱系理论，对数据资产进行确权，应当说方法上具有创新。但是，本文未能做好理论铺垫与论证衔接，具有以下重要的问题：</w:t>
            </w:r>
          </w:p>
          <w:p w14:paraId="2F19435C">
            <w:pPr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（1）霍菲尔德分析法学理论，也就是霍菲尔德发表的两篇同名论文提出的理论，并未言及财产权的法律结构问题，而是重点讨论了法律关系的八个-四对基本形式。本文的方法重心不在此处。</w:t>
            </w:r>
          </w:p>
          <w:p w14:paraId="47B3CAA3">
            <w:pPr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（2）本文使用的财产权谱系分类的方法，是王涌教授在其专著中提出的，以霍菲尔德分析法学为基础、对财产权法律结构进行类型化的方法。这才是本文的立论核心。事实上，王涌教授的分析方法有其自身的私法逻辑，霍菲尔德理论只是其表达方式，因此王涌教授才是该财产谱系分析法的独创者。本文没有进一步区分霍氏理论与财产权谱系分析之间的关系。</w:t>
            </w:r>
          </w:p>
          <w:p w14:paraId="725F3A60">
            <w:pPr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2. 本文花费大量篇幅，论证“形式转让”同样属于转让。但是，这样的论证过于迂回。实际上，本文只需要说明，无论是许可式转让还是真正的转让，数据资产出资均具有经济价值，能够成为公司债务的担保即可。因此，本文的核心论证目标在于：参照商业秘密的出资有效性，论证相关类型的数据资产出资的有效性。此外，三级标题“实体”“程序”意义不明，转让与交付规则均为实体法规则，并无程序可言。本部分需要修改论证结构。</w:t>
            </w:r>
          </w:p>
          <w:p w14:paraId="0A95DBFA">
            <w:pPr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3. 本文的估值部分，所谓的数据资产的三中评估方法，即收益法、成本法、市场法，完全是估值中最常见的三种方法，本文用在此处并未有太大的意义，反而表现出对于估值理论的不熟悉。解决的思路可以是，直接找出具体的数据资产估值个案，结合其估值思路，考察现行实践中数据资产估值的特点与相关法律缺陷。横平部分同样没能体现出数据资产估值的法律特点。将本文的数据资产换成知识产权，甚至任一非货币出资，都能得到相同的论证。该部分的法律重点不在于判断规则是否合理，以及第三方机构何时介入，而在于估值方法错误，造成债权人损失的情况下，权利义务如何分配。例如，股东以数据出资，是否需要提供初步的估值方法或者价值证明；董事在评估数据资产价值时，可以参考哪些法律标准；当估值出现错误时，法律责任如何承担？就最后一个问题而言，非货币出资都有相同的问题，如何体现数据资产出资的特性？这是本文需要着力修改的地方。</w:t>
            </w:r>
          </w:p>
          <w:p w14:paraId="2444A09D">
            <w:pPr>
              <w:ind w:firstLine="480" w:firstLineChars="20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4. 本文对王涌教授著作引用的页码存在许多问题，应参考纸质版图书，逐一核对引用。</w:t>
            </w:r>
          </w:p>
        </w:tc>
      </w:tr>
      <w:tr w14:paraId="79CE943E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F895F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加挂导师建议</w:t>
            </w:r>
          </w:p>
          <w:p w14:paraId="10E094C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14:paraId="260FA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1.优秀硕博士论文，不建议加挂导师。</w:t>
            </w:r>
          </w:p>
          <w:p w14:paraId="45DA4E9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14:paraId="4AA526E9">
            <w:pPr>
              <w:rPr>
                <w:sz w:val="18"/>
                <w:szCs w:val="18"/>
              </w:rPr>
            </w:pPr>
          </w:p>
          <w:p w14:paraId="383F83F4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14:paraId="29FA676A">
      <w:pPr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FD568"/>
    <w:multiLevelType w:val="singleLevel"/>
    <w:tmpl w:val="F7FFD56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A0MjllZGYzNGEzZDdlZjBjZmNjZDZmZjJiMjlkYzEifQ=="/>
  </w:docVars>
  <w:rsids>
    <w:rsidRoot w:val="00C749F8"/>
    <w:rsid w:val="00C17DEA"/>
    <w:rsid w:val="00C749F8"/>
    <w:rsid w:val="00CF60D9"/>
    <w:rsid w:val="00DD4CD6"/>
    <w:rsid w:val="5B77DE0C"/>
    <w:rsid w:val="5C9723EB"/>
    <w:rsid w:val="5E979227"/>
    <w:rsid w:val="7E3A6AB8"/>
    <w:rsid w:val="7F8FBB79"/>
    <w:rsid w:val="FBFFD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130</Words>
  <Characters>743</Characters>
  <Lines>6</Lines>
  <Paragraphs>1</Paragraphs>
  <TotalTime>0</TotalTime>
  <ScaleCrop>false</ScaleCrop>
  <LinksUpToDate>false</LinksUpToDate>
  <CharactersWithSpaces>872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2024-01-11T08:17:00Z</dcterms:created>
  <dc:creator>admin</dc:creator>
  <cp:lastModifiedBy>研究生学报</cp:lastModifiedBy>
  <dcterms:modified xsi:type="dcterms:W3CDTF">2026-02-27T21:46:46Z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E0F7B6C8D4DD8B79F961F166366CE078_42</vt:lpwstr>
  </property>
</Properties>
</file>