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论股东优先购买权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机制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中的请求、形成与抗辩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37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86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1E09A6E4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48A39725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5B56229B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感谢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修改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修改意见完善，修改后文章质量有明显提升，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但仍存在以下问题:</w:t>
            </w:r>
          </w:p>
          <w:p w14:paraId="035BDE96">
            <w:pPr>
              <w:widowControl w:val="0"/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题目仍然需要雕琢。本文的题目即使修改后，仍然不是常见的法学命题方式，题目中的“请求、形成、抗辩”仍然容易让人困惑，读者不能从题目中了解到文章的结构，只能细读正文才明白题目的含义，即“优先购买权是请求权”“反悔权是形成权”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履行能力不足解释为出让股东的不安抗辩权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”。建议作者慎重考虑题目的选取，能够以一个精要的题目贯穿全文。实际上，“请求”是对优先购买权的定性；“形成”是对反悔权的定性，而反悔权则是对优先购买权终局性的消灭，“抗辩”则是指履行能力作为优先购买权的一时抗辩。因此，本文实际上是在论述优先购买权的产生、行使、抗辩与消灭，核心仍然是优先购买权的效力。作者可以优先购买权的效力为核心，以请求权基础的论证思维，安排题目与结构。例如，题目可拟为《论股东优先购买权效力的体系化阐释》，或其他合适的题目。</w:t>
            </w:r>
          </w:p>
          <w:p w14:paraId="3FAA59B7">
            <w:pPr>
              <w:widowControl w:val="0"/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以公司契约理论论证反悔权的性质，在论证衔接上还需要再增添一些，以说明为何法经济学的概念能够直接嫁接法教义学的建构。</w:t>
            </w:r>
          </w:p>
          <w:p w14:paraId="62B4F512">
            <w:pPr>
              <w:widowControl w:val="0"/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形式上，全文应有个简短的结论，便于收束全文；此外，个别段落太长（超过了1500个字），应合理分段，便于行文论证与读者阅读。</w:t>
            </w:r>
            <w:bookmarkStart w:id="0" w:name="_GoBack"/>
            <w:bookmarkEnd w:id="0"/>
          </w:p>
          <w:p w14:paraId="1A9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57E9C"/>
    <w:multiLevelType w:val="singleLevel"/>
    <w:tmpl w:val="9BF57E9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1BF7B9B1"/>
    <w:rsid w:val="5B77DE0C"/>
    <w:rsid w:val="5C9723EB"/>
    <w:rsid w:val="66AF10AF"/>
    <w:rsid w:val="7BCFB0B8"/>
    <w:rsid w:val="7E3A6AB8"/>
    <w:rsid w:val="7F8FBB79"/>
    <w:rsid w:val="8DC1214A"/>
    <w:rsid w:val="9D97B39B"/>
    <w:rsid w:val="9EDB623D"/>
    <w:rsid w:val="9FFD835E"/>
    <w:rsid w:val="AD6F7EE4"/>
    <w:rsid w:val="FBFFD2EC"/>
    <w:rsid w:val="FEF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26</TotalTime>
  <ScaleCrop>false</ScaleCrop>
  <LinksUpToDate>false</LinksUpToDate>
  <CharactersWithSpaces>872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2024-01-13T08:17:00Z</dcterms:created>
  <dc:creator>admin</dc:creator>
  <cp:lastModifiedBy>张芮铭</cp:lastModifiedBy>
  <dcterms:modified xsi:type="dcterms:W3CDTF">2026-03-27T16:07:49Z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E0F7B6C8D4DD8B79F961F166366CE078_42</vt:lpwstr>
  </property>
</Properties>
</file>