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D9B0E">
      <w:pPr>
        <w:jc w:val="center"/>
        <w:rPr>
          <w:rFonts w:hint="default"/>
          <w:sz w:val="28"/>
          <w:szCs w:val="28"/>
          <w:lang w:val="en-US" w:eastAsia="zh-CN"/>
        </w:rPr>
      </w:pPr>
      <w:commentRangeStart w:id="0"/>
      <w:r>
        <w:rPr>
          <w:rFonts w:hint="eastAsia"/>
          <w:sz w:val="28"/>
          <w:szCs w:val="28"/>
          <w:lang w:val="en-US" w:eastAsia="zh-CN"/>
        </w:rPr>
        <w:t>债权多重让与中通知移转主义的确立——兼对《合同编通则司法解释》第50条的场景化阐释</w:t>
      </w:r>
      <w:commentRangeEnd w:id="0"/>
      <w:r>
        <w:commentReference w:id="0"/>
      </w:r>
    </w:p>
    <w:p w14:paraId="0F731FA4">
      <w:pPr>
        <w:rPr>
          <w:rFonts w:hint="default"/>
          <w:sz w:val="28"/>
          <w:szCs w:val="28"/>
          <w:lang w:val="en-US" w:eastAsia="zh-CN"/>
        </w:rPr>
      </w:pPr>
    </w:p>
    <w:p w14:paraId="16AEE7E7">
      <w:pPr>
        <w:rPr>
          <w:rFonts w:hint="default"/>
          <w:sz w:val="28"/>
          <w:szCs w:val="28"/>
          <w:lang w:val="en-US" w:eastAsia="zh-CN"/>
        </w:rPr>
      </w:pPr>
      <w:r>
        <w:rPr>
          <w:rFonts w:hint="eastAsia" w:asciiTheme="minorAscii" w:eastAsiaTheme="minorEastAsia"/>
          <w:b/>
          <w:bCs/>
          <w:sz w:val="28"/>
          <w:szCs w:val="28"/>
          <w:lang w:val="en-US" w:eastAsia="zh-CN"/>
        </w:rPr>
        <w:t>摘要：</w:t>
      </w:r>
      <w:r>
        <w:rPr>
          <w:rFonts w:hint="eastAsia"/>
          <w:b w:val="0"/>
          <w:bCs w:val="0"/>
          <w:sz w:val="28"/>
          <w:szCs w:val="28"/>
          <w:lang w:val="en-US" w:eastAsia="zh-CN"/>
        </w:rPr>
        <w:t>债权多重让与的争议始终未能消弭，证明采债务人视角的清偿效力路</w:t>
      </w:r>
      <w:bookmarkStart w:id="28" w:name="_GoBack"/>
      <w:bookmarkEnd w:id="28"/>
      <w:r>
        <w:rPr>
          <w:rFonts w:hint="eastAsia"/>
          <w:b w:val="0"/>
          <w:bCs w:val="0"/>
          <w:sz w:val="28"/>
          <w:szCs w:val="28"/>
          <w:lang w:val="en-US" w:eastAsia="zh-CN"/>
        </w:rPr>
        <w:t>线无法根本解决这一问题。</w:t>
      </w:r>
      <w:r>
        <w:rPr>
          <w:rFonts w:hint="eastAsia"/>
          <w:sz w:val="28"/>
          <w:szCs w:val="28"/>
          <w:lang w:val="en-US" w:eastAsia="zh-CN"/>
        </w:rPr>
        <w:t>债权让与制度应</w:t>
      </w:r>
      <w:r>
        <w:rPr>
          <w:rFonts w:hint="eastAsia" w:asciiTheme="minorAscii" w:eastAsiaTheme="minorEastAsia"/>
          <w:sz w:val="28"/>
          <w:szCs w:val="28"/>
          <w:lang w:val="en-US" w:eastAsia="zh-CN"/>
        </w:rPr>
        <w:t>以动态</w:t>
      </w:r>
      <w:r>
        <w:rPr>
          <w:rFonts w:hint="eastAsia"/>
          <w:sz w:val="28"/>
          <w:szCs w:val="28"/>
          <w:lang w:val="en-US" w:eastAsia="zh-CN"/>
        </w:rPr>
        <w:t>交易</w:t>
      </w:r>
      <w:r>
        <w:rPr>
          <w:rFonts w:hint="eastAsia" w:asciiTheme="minorAscii" w:eastAsiaTheme="minorEastAsia"/>
          <w:sz w:val="28"/>
          <w:szCs w:val="28"/>
          <w:lang w:val="en-US" w:eastAsia="zh-CN"/>
        </w:rPr>
        <w:t>利益优先为共识，</w:t>
      </w:r>
      <w:r>
        <w:rPr>
          <w:rFonts w:hint="eastAsia"/>
          <w:sz w:val="28"/>
          <w:szCs w:val="28"/>
          <w:lang w:val="en-US" w:eastAsia="zh-CN"/>
        </w:rPr>
        <w:t>将受让人利益作为制度核心利益，摒弃从债务人视角看待债权流转的传统思路，直面债权让与生效规则</w:t>
      </w:r>
      <w:r>
        <w:rPr>
          <w:rFonts w:hint="eastAsia" w:asciiTheme="minorAscii" w:eastAsiaTheme="minorEastAsia"/>
          <w:sz w:val="28"/>
          <w:szCs w:val="28"/>
          <w:lang w:val="en-US" w:eastAsia="zh-CN"/>
        </w:rPr>
        <w:t>。《民法典》第768条的文义</w:t>
      </w:r>
      <w:r>
        <w:rPr>
          <w:rFonts w:hint="eastAsia"/>
          <w:sz w:val="28"/>
          <w:szCs w:val="28"/>
          <w:lang w:val="en-US" w:eastAsia="zh-CN"/>
        </w:rPr>
        <w:t>、</w:t>
      </w:r>
      <w:r>
        <w:rPr>
          <w:rFonts w:hint="eastAsia" w:asciiTheme="minorAscii" w:eastAsiaTheme="minorEastAsia"/>
          <w:sz w:val="28"/>
          <w:szCs w:val="28"/>
          <w:lang w:val="en-US" w:eastAsia="zh-CN"/>
        </w:rPr>
        <w:t>动产和权利担保登记的</w:t>
      </w:r>
      <w:r>
        <w:rPr>
          <w:rFonts w:hint="eastAsia"/>
          <w:sz w:val="28"/>
          <w:szCs w:val="28"/>
          <w:lang w:val="en-US" w:eastAsia="zh-CN"/>
        </w:rPr>
        <w:t>立法初衷及制度设计</w:t>
      </w:r>
      <w:r>
        <w:rPr>
          <w:rFonts w:hint="eastAsia" w:asciiTheme="minorAscii" w:eastAsiaTheme="minorEastAsia"/>
          <w:sz w:val="28"/>
          <w:szCs w:val="28"/>
          <w:lang w:val="en-US" w:eastAsia="zh-CN"/>
        </w:rPr>
        <w:t>决定了债权让与制度无法实现单轨化。</w:t>
      </w:r>
      <w:r>
        <w:rPr>
          <w:rFonts w:hint="eastAsia"/>
          <w:sz w:val="28"/>
          <w:szCs w:val="28"/>
          <w:lang w:val="en-US" w:eastAsia="zh-CN"/>
        </w:rPr>
        <w:t>债权让与生效规则应采</w:t>
      </w:r>
      <w:r>
        <w:rPr>
          <w:rFonts w:hint="eastAsia" w:asciiTheme="minorAscii" w:eastAsiaTheme="minorEastAsia"/>
          <w:sz w:val="28"/>
          <w:szCs w:val="28"/>
          <w:lang w:val="en-US" w:eastAsia="zh-CN"/>
        </w:rPr>
        <w:t>通知移转主义</w:t>
      </w:r>
      <w:r>
        <w:rPr>
          <w:rFonts w:hint="eastAsia"/>
          <w:sz w:val="28"/>
          <w:szCs w:val="28"/>
          <w:lang w:val="en-US" w:eastAsia="zh-CN"/>
        </w:rPr>
        <w:t>，对串通让与</w:t>
      </w:r>
      <w:r>
        <w:rPr>
          <w:rFonts w:hint="eastAsia" w:asciiTheme="minorAscii" w:eastAsiaTheme="minorEastAsia"/>
          <w:sz w:val="28"/>
          <w:szCs w:val="28"/>
          <w:lang w:val="en-US" w:eastAsia="zh-CN"/>
        </w:rPr>
        <w:t>、隐秘让与、未来债权让与三大主要质疑不存在解释难题</w:t>
      </w:r>
      <w:r>
        <w:rPr>
          <w:rFonts w:hint="eastAsia"/>
          <w:sz w:val="28"/>
          <w:szCs w:val="28"/>
          <w:lang w:val="en-US" w:eastAsia="zh-CN"/>
        </w:rPr>
        <w:t>。</w:t>
      </w:r>
      <w:r>
        <w:rPr>
          <w:rFonts w:hint="eastAsia" w:asciiTheme="minorAscii" w:eastAsiaTheme="minorEastAsia"/>
          <w:sz w:val="28"/>
          <w:szCs w:val="28"/>
          <w:lang w:val="en-US" w:eastAsia="zh-CN"/>
        </w:rPr>
        <w:t>《</w:t>
      </w:r>
      <w:r>
        <w:rPr>
          <w:rFonts w:hint="eastAsia"/>
          <w:sz w:val="28"/>
          <w:szCs w:val="28"/>
          <w:lang w:val="en-US" w:eastAsia="zh-CN"/>
        </w:rPr>
        <w:t>合同编通则司法解释</w:t>
      </w:r>
      <w:r>
        <w:rPr>
          <w:rFonts w:hint="eastAsia" w:asciiTheme="minorAscii" w:eastAsiaTheme="minorEastAsia"/>
          <w:sz w:val="28"/>
          <w:szCs w:val="28"/>
          <w:lang w:val="en-US" w:eastAsia="zh-CN"/>
        </w:rPr>
        <w:t>》第</w:t>
      </w:r>
      <w:r>
        <w:rPr>
          <w:rFonts w:hint="eastAsia"/>
          <w:sz w:val="28"/>
          <w:szCs w:val="28"/>
          <w:lang w:val="en-US" w:eastAsia="zh-CN"/>
        </w:rPr>
        <w:t>50</w:t>
      </w:r>
      <w:r>
        <w:rPr>
          <w:rFonts w:hint="eastAsia" w:asciiTheme="minorAscii" w:eastAsiaTheme="minorEastAsia"/>
          <w:sz w:val="28"/>
          <w:szCs w:val="28"/>
          <w:lang w:val="en-US" w:eastAsia="zh-CN"/>
        </w:rPr>
        <w:t>条第</w:t>
      </w:r>
      <w:r>
        <w:rPr>
          <w:rFonts w:hint="eastAsia"/>
          <w:sz w:val="28"/>
          <w:szCs w:val="28"/>
          <w:lang w:val="en-US" w:eastAsia="zh-CN"/>
        </w:rPr>
        <w:t>1</w:t>
      </w:r>
      <w:r>
        <w:rPr>
          <w:rFonts w:hint="eastAsia" w:asciiTheme="minorAscii" w:eastAsiaTheme="minorEastAsia"/>
          <w:sz w:val="28"/>
          <w:szCs w:val="28"/>
          <w:lang w:val="en-US" w:eastAsia="zh-CN"/>
        </w:rPr>
        <w:t>款</w:t>
      </w:r>
      <w:r>
        <w:rPr>
          <w:rFonts w:hint="eastAsia"/>
          <w:sz w:val="28"/>
          <w:szCs w:val="28"/>
          <w:lang w:val="en-US" w:eastAsia="zh-CN"/>
        </w:rPr>
        <w:t>基于债务人和受让人的主观状态可区分出四种债权让与具体场景，结合通知移转主义均可得出妥当解释。</w:t>
      </w:r>
    </w:p>
    <w:p w14:paraId="5EC17D68">
      <w:pPr>
        <w:rPr>
          <w:rFonts w:hint="eastAsia"/>
          <w:sz w:val="28"/>
          <w:szCs w:val="28"/>
          <w:lang w:val="en-US" w:eastAsia="zh-CN"/>
        </w:rPr>
      </w:pPr>
    </w:p>
    <w:p w14:paraId="0C5C6B2E">
      <w:pPr>
        <w:rPr>
          <w:rFonts w:hint="eastAsia"/>
          <w:sz w:val="28"/>
          <w:szCs w:val="28"/>
          <w:lang w:val="en-US" w:eastAsia="zh-CN"/>
        </w:rPr>
      </w:pPr>
      <w:r>
        <w:rPr>
          <w:rFonts w:hint="eastAsia" w:asciiTheme="minorAscii" w:eastAsiaTheme="minorEastAsia"/>
          <w:b/>
          <w:bCs/>
          <w:sz w:val="28"/>
          <w:szCs w:val="28"/>
          <w:lang w:val="en-US" w:eastAsia="zh-CN"/>
        </w:rPr>
        <w:t>关键词：</w:t>
      </w:r>
      <w:r>
        <w:rPr>
          <w:rFonts w:hint="eastAsia" w:asciiTheme="minorAscii" w:eastAsiaTheme="minorEastAsia"/>
          <w:sz w:val="28"/>
          <w:szCs w:val="28"/>
          <w:lang w:val="en-US" w:eastAsia="zh-CN"/>
        </w:rPr>
        <w:t>利益衡量；债权多重让与；</w:t>
      </w:r>
      <w:r>
        <w:rPr>
          <w:rFonts w:hint="eastAsia"/>
          <w:sz w:val="28"/>
          <w:szCs w:val="28"/>
          <w:lang w:val="en-US" w:eastAsia="zh-CN"/>
        </w:rPr>
        <w:t>双轨制；</w:t>
      </w:r>
      <w:r>
        <w:rPr>
          <w:rFonts w:hint="eastAsia" w:asciiTheme="minorAscii" w:eastAsiaTheme="minorEastAsia"/>
          <w:sz w:val="28"/>
          <w:szCs w:val="28"/>
          <w:lang w:val="en-US" w:eastAsia="zh-CN"/>
        </w:rPr>
        <w:t>通知移转主义</w:t>
      </w:r>
    </w:p>
    <w:p w14:paraId="30CC37DB">
      <w:pPr>
        <w:rPr>
          <w:rFonts w:hint="eastAsia"/>
          <w:sz w:val="28"/>
          <w:szCs w:val="28"/>
          <w:lang w:val="en-US" w:eastAsia="zh-CN"/>
        </w:rPr>
      </w:pPr>
    </w:p>
    <w:p w14:paraId="57EFABB5">
      <w:pPr>
        <w:rPr>
          <w:rFonts w:hint="eastAsia"/>
          <w:sz w:val="28"/>
          <w:szCs w:val="28"/>
          <w:lang w:val="en-US" w:eastAsia="zh-CN"/>
        </w:rPr>
      </w:pPr>
    </w:p>
    <w:p w14:paraId="210B74E8">
      <w:pPr>
        <w:rPr>
          <w:rFonts w:hint="eastAsia"/>
          <w:sz w:val="28"/>
          <w:szCs w:val="28"/>
          <w:lang w:val="en-US" w:eastAsia="zh-CN"/>
        </w:rPr>
      </w:pPr>
    </w:p>
    <w:p w14:paraId="5CA4F7D1">
      <w:pPr>
        <w:rPr>
          <w:rFonts w:hint="eastAsia"/>
          <w:sz w:val="28"/>
          <w:szCs w:val="28"/>
          <w:lang w:val="en-US" w:eastAsia="zh-CN"/>
        </w:rPr>
      </w:pPr>
    </w:p>
    <w:p w14:paraId="21C86FC4">
      <w:pPr>
        <w:rPr>
          <w:rFonts w:hint="eastAsia"/>
          <w:sz w:val="28"/>
          <w:szCs w:val="28"/>
          <w:lang w:val="en-US" w:eastAsia="zh-CN"/>
        </w:rPr>
      </w:pPr>
    </w:p>
    <w:p w14:paraId="606E90E9">
      <w:pPr>
        <w:rPr>
          <w:rFonts w:hint="eastAsia"/>
          <w:sz w:val="28"/>
          <w:szCs w:val="28"/>
          <w:lang w:val="en-US" w:eastAsia="zh-CN"/>
        </w:rPr>
      </w:pPr>
    </w:p>
    <w:p w14:paraId="66F07C7C">
      <w:pPr>
        <w:rPr>
          <w:rFonts w:hint="eastAsia"/>
          <w:sz w:val="28"/>
          <w:szCs w:val="28"/>
          <w:lang w:val="en-US" w:eastAsia="zh-CN"/>
        </w:rPr>
      </w:pPr>
    </w:p>
    <w:p w14:paraId="759A5E56">
      <w:pPr>
        <w:rPr>
          <w:rFonts w:hint="eastAsia"/>
          <w:sz w:val="28"/>
          <w:szCs w:val="28"/>
          <w:lang w:val="en-US" w:eastAsia="zh-CN"/>
        </w:rPr>
      </w:pPr>
    </w:p>
    <w:p w14:paraId="0DC5BEA4">
      <w:pPr>
        <w:rPr>
          <w:rFonts w:hint="eastAsia"/>
          <w:sz w:val="28"/>
          <w:szCs w:val="28"/>
          <w:lang w:val="en-US" w:eastAsia="zh-CN"/>
        </w:rPr>
      </w:pPr>
    </w:p>
    <w:p w14:paraId="4EFB14CE">
      <w:pPr>
        <w:rPr>
          <w:rFonts w:hint="eastAsia"/>
          <w:sz w:val="28"/>
          <w:szCs w:val="28"/>
          <w:lang w:val="en-US" w:eastAsia="zh-CN"/>
        </w:rPr>
      </w:pPr>
    </w:p>
    <w:p w14:paraId="33296BEF">
      <w:pPr>
        <w:rPr>
          <w:rFonts w:hint="eastAsia"/>
          <w:sz w:val="28"/>
          <w:szCs w:val="28"/>
          <w:lang w:val="en-US" w:eastAsia="zh-CN"/>
        </w:rPr>
      </w:pPr>
    </w:p>
    <w:p w14:paraId="01BEA1F4">
      <w:pPr>
        <w:rPr>
          <w:rFonts w:hint="eastAsia"/>
          <w:sz w:val="28"/>
          <w:szCs w:val="28"/>
          <w:lang w:val="en-US" w:eastAsia="zh-CN"/>
        </w:rPr>
      </w:pPr>
    </w:p>
    <w:p w14:paraId="61412FA8">
      <w:pPr>
        <w:rPr>
          <w:rFonts w:hint="eastAsia"/>
          <w:sz w:val="28"/>
          <w:szCs w:val="28"/>
          <w:lang w:val="en-US" w:eastAsia="zh-CN"/>
        </w:rPr>
      </w:pPr>
    </w:p>
    <w:p w14:paraId="7F8EE0F1">
      <w:pPr>
        <w:rPr>
          <w:rFonts w:hint="eastAsia"/>
          <w:sz w:val="28"/>
          <w:szCs w:val="28"/>
          <w:lang w:val="en-US" w:eastAsia="zh-CN"/>
        </w:rPr>
      </w:pPr>
    </w:p>
    <w:p w14:paraId="2AF039EE">
      <w:pPr>
        <w:rPr>
          <w:rFonts w:hint="eastAsia"/>
          <w:sz w:val="28"/>
          <w:szCs w:val="28"/>
          <w:lang w:val="en-US" w:eastAsia="zh-CN"/>
        </w:rPr>
      </w:pPr>
    </w:p>
    <w:p w14:paraId="39F8434D">
      <w:pPr>
        <w:rPr>
          <w:rFonts w:hint="eastAsia"/>
          <w:sz w:val="28"/>
          <w:szCs w:val="28"/>
          <w:lang w:val="en-US" w:eastAsia="zh-CN"/>
        </w:rPr>
      </w:pPr>
    </w:p>
    <w:p w14:paraId="11D0D5DA">
      <w:pPr>
        <w:rPr>
          <w:rFonts w:hint="eastAsia"/>
          <w:sz w:val="28"/>
          <w:szCs w:val="28"/>
          <w:lang w:val="en-US" w:eastAsia="zh-CN"/>
        </w:rPr>
      </w:pPr>
    </w:p>
    <w:p w14:paraId="65C4E375">
      <w:pPr>
        <w:rPr>
          <w:rFonts w:hint="eastAsia"/>
          <w:sz w:val="28"/>
          <w:szCs w:val="28"/>
          <w:lang w:val="en-US" w:eastAsia="zh-CN"/>
        </w:rPr>
      </w:pPr>
    </w:p>
    <w:p w14:paraId="639DBB9F">
      <w:pPr>
        <w:rPr>
          <w:rFonts w:hint="eastAsia"/>
          <w:sz w:val="28"/>
          <w:szCs w:val="28"/>
          <w:lang w:val="en-US" w:eastAsia="zh-CN"/>
        </w:rPr>
      </w:pPr>
    </w:p>
    <w:p w14:paraId="5DEB876C">
      <w:pPr>
        <w:rPr>
          <w:rFonts w:hint="eastAsia"/>
          <w:sz w:val="28"/>
          <w:szCs w:val="28"/>
          <w:lang w:val="en-US" w:eastAsia="zh-CN"/>
        </w:rPr>
      </w:pPr>
    </w:p>
    <w:sdt>
      <w:sdtPr>
        <w:rPr>
          <w:rFonts w:hint="eastAsia" w:ascii="黑体" w:hAnsi="黑体" w:eastAsia="黑体" w:cs="黑体"/>
          <w:kern w:val="2"/>
          <w:sz w:val="36"/>
          <w:szCs w:val="36"/>
          <w:lang w:val="en-US" w:eastAsia="zh-CN" w:bidi="ar-SA"/>
        </w:rPr>
        <w:id w:val="147469700"/>
        <w15:color w:val="DBDBDB"/>
        <w:docPartObj>
          <w:docPartGallery w:val="Table of Contents"/>
          <w:docPartUnique/>
        </w:docPartObj>
      </w:sdtPr>
      <w:sdtEndPr>
        <w:rPr>
          <w:rFonts w:hint="eastAsia" w:asciiTheme="minorAscii" w:hAnsiTheme="minorAscii" w:eastAsiaTheme="minorEastAsia" w:cstheme="minorBidi"/>
          <w:kern w:val="2"/>
          <w:sz w:val="24"/>
          <w:szCs w:val="28"/>
          <w:lang w:val="en-US" w:eastAsia="zh-CN" w:bidi="ar-SA"/>
        </w:rPr>
      </w:sdtEndPr>
      <w:sdtContent>
        <w:p w14:paraId="138DB30B">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r>
            <w:rPr>
              <w:rFonts w:hint="eastAsia" w:ascii="黑体" w:hAnsi="黑体" w:eastAsia="黑体" w:cs="黑体"/>
              <w:sz w:val="36"/>
              <w:szCs w:val="36"/>
            </w:rPr>
            <w:t>目</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录</w:t>
          </w:r>
        </w:p>
        <w:p w14:paraId="157F2D82">
          <w:pPr>
            <w:pStyle w:val="7"/>
            <w:tabs>
              <w:tab w:val="right" w:leader="dot" w:pos="8504"/>
            </w:tabs>
          </w:pPr>
          <w:r>
            <w:rPr>
              <w:rFonts w:hint="eastAsia"/>
              <w:sz w:val="28"/>
              <w:szCs w:val="28"/>
              <w:lang w:val="en-US" w:eastAsia="zh-CN"/>
            </w:rPr>
            <w:fldChar w:fldCharType="begin"/>
          </w:r>
          <w:r>
            <w:rPr>
              <w:rFonts w:hint="eastAsia"/>
              <w:sz w:val="28"/>
              <w:szCs w:val="28"/>
              <w:lang w:val="en-US" w:eastAsia="zh-CN"/>
            </w:rPr>
            <w:instrText xml:space="preserve">TOC \o "1-3" \h \u </w:instrText>
          </w:r>
          <w:r>
            <w:rPr>
              <w:rFonts w:hint="eastAsia"/>
              <w:sz w:val="28"/>
              <w:szCs w:val="28"/>
              <w:lang w:val="en-US" w:eastAsia="zh-CN"/>
            </w:rPr>
            <w:fldChar w:fldCharType="separate"/>
          </w:r>
          <w:r>
            <w:rPr>
              <w:rFonts w:hint="eastAsia"/>
              <w:szCs w:val="28"/>
              <w:lang w:val="en-US" w:eastAsia="zh-CN"/>
            </w:rPr>
            <w:fldChar w:fldCharType="begin"/>
          </w:r>
          <w:r>
            <w:rPr>
              <w:rFonts w:hint="eastAsia"/>
              <w:szCs w:val="28"/>
              <w:lang w:val="en-US" w:eastAsia="zh-CN"/>
            </w:rPr>
            <w:instrText xml:space="preserve"> HYPERLINK \l _Toc1934710192 </w:instrText>
          </w:r>
          <w:r>
            <w:rPr>
              <w:rFonts w:hint="eastAsia"/>
              <w:szCs w:val="28"/>
              <w:lang w:val="en-US" w:eastAsia="zh-CN"/>
            </w:rPr>
            <w:fldChar w:fldCharType="separate"/>
          </w:r>
          <w:r>
            <w:rPr>
              <w:rFonts w:hint="eastAsia"/>
              <w:lang w:val="en-US" w:eastAsia="zh-CN"/>
            </w:rPr>
            <w:t>一、 问题的提出</w:t>
          </w:r>
          <w:r>
            <w:tab/>
          </w:r>
          <w:r>
            <w:fldChar w:fldCharType="begin"/>
          </w:r>
          <w:r>
            <w:instrText xml:space="preserve"> PAGEREF _Toc1934710192 \h </w:instrText>
          </w:r>
          <w:r>
            <w:fldChar w:fldCharType="separate"/>
          </w:r>
          <w:r>
            <w:t>3</w:t>
          </w:r>
          <w:r>
            <w:fldChar w:fldCharType="end"/>
          </w:r>
          <w:r>
            <w:rPr>
              <w:rFonts w:hint="eastAsia"/>
              <w:szCs w:val="28"/>
              <w:lang w:val="en-US" w:eastAsia="zh-CN"/>
            </w:rPr>
            <w:fldChar w:fldCharType="end"/>
          </w:r>
        </w:p>
        <w:p w14:paraId="0526F054">
          <w:pPr>
            <w:pStyle w:val="7"/>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_Toc1624297717 </w:instrText>
          </w:r>
          <w:r>
            <w:rPr>
              <w:rFonts w:hint="eastAsia"/>
              <w:szCs w:val="28"/>
              <w:lang w:val="en-US" w:eastAsia="zh-CN"/>
            </w:rPr>
            <w:fldChar w:fldCharType="separate"/>
          </w:r>
          <w:r>
            <w:rPr>
              <w:rFonts w:hint="eastAsia"/>
              <w:lang w:val="en-US" w:eastAsia="zh-CN"/>
            </w:rPr>
            <w:t>二</w:t>
          </w:r>
          <w:r>
            <w:rPr>
              <w:rFonts w:hint="eastAsia" w:asciiTheme="minorAscii" w:eastAsiaTheme="minorEastAsia"/>
              <w:lang w:val="en-US" w:eastAsia="zh-CN"/>
            </w:rPr>
            <w:t>、</w:t>
          </w:r>
          <w:r>
            <w:rPr>
              <w:rFonts w:hint="eastAsia"/>
              <w:lang w:val="en-US" w:eastAsia="zh-CN"/>
            </w:rPr>
            <w:t>债权让与制度核心利益的应然设计</w:t>
          </w:r>
          <w:r>
            <w:tab/>
          </w:r>
          <w:r>
            <w:fldChar w:fldCharType="begin"/>
          </w:r>
          <w:r>
            <w:instrText xml:space="preserve"> PAGEREF _Toc1624297717 \h </w:instrText>
          </w:r>
          <w:r>
            <w:fldChar w:fldCharType="separate"/>
          </w:r>
          <w:r>
            <w:t>4</w:t>
          </w:r>
          <w:r>
            <w:fldChar w:fldCharType="end"/>
          </w:r>
          <w:r>
            <w:rPr>
              <w:rFonts w:hint="eastAsia"/>
              <w:szCs w:val="28"/>
              <w:lang w:val="en-US" w:eastAsia="zh-CN"/>
            </w:rPr>
            <w:fldChar w:fldCharType="end"/>
          </w:r>
        </w:p>
        <w:p w14:paraId="79C0D28B">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_Toc759608955 </w:instrText>
          </w:r>
          <w:r>
            <w:rPr>
              <w:rFonts w:hint="eastAsia"/>
              <w:szCs w:val="28"/>
              <w:lang w:val="en-US" w:eastAsia="zh-CN"/>
            </w:rPr>
            <w:fldChar w:fldCharType="separate"/>
          </w:r>
          <w:r>
            <w:rPr>
              <w:rFonts w:hint="eastAsia"/>
              <w:lang w:val="en-US" w:eastAsia="zh-CN"/>
            </w:rPr>
            <w:t>（一）债权让与制度关切利益的初步限定</w:t>
          </w:r>
          <w:r>
            <w:tab/>
          </w:r>
          <w:r>
            <w:fldChar w:fldCharType="begin"/>
          </w:r>
          <w:r>
            <w:instrText xml:space="preserve"> PAGEREF _Toc759608955 \h </w:instrText>
          </w:r>
          <w:r>
            <w:fldChar w:fldCharType="separate"/>
          </w:r>
          <w:r>
            <w:t>4</w:t>
          </w:r>
          <w:r>
            <w:fldChar w:fldCharType="end"/>
          </w:r>
          <w:r>
            <w:rPr>
              <w:rFonts w:hint="eastAsia"/>
              <w:szCs w:val="28"/>
              <w:lang w:val="en-US" w:eastAsia="zh-CN"/>
            </w:rPr>
            <w:fldChar w:fldCharType="end"/>
          </w:r>
        </w:p>
        <w:p w14:paraId="325CC679">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_Toc2104908917 </w:instrText>
          </w:r>
          <w:r>
            <w:rPr>
              <w:rFonts w:hint="eastAsia"/>
              <w:szCs w:val="28"/>
              <w:lang w:val="en-US" w:eastAsia="zh-CN"/>
            </w:rPr>
            <w:fldChar w:fldCharType="separate"/>
          </w:r>
          <w:r>
            <w:rPr>
              <w:rFonts w:hint="eastAsia"/>
              <w:lang w:val="en-US" w:eastAsia="zh-CN"/>
            </w:rPr>
            <w:t>（二）债权让与中的异质利益衡量</w:t>
          </w:r>
          <w:r>
            <w:tab/>
          </w:r>
          <w:r>
            <w:fldChar w:fldCharType="begin"/>
          </w:r>
          <w:r>
            <w:instrText xml:space="preserve"> PAGEREF _Toc2104908917 \h </w:instrText>
          </w:r>
          <w:r>
            <w:fldChar w:fldCharType="separate"/>
          </w:r>
          <w:r>
            <w:t>5</w:t>
          </w:r>
          <w:r>
            <w:fldChar w:fldCharType="end"/>
          </w:r>
          <w:r>
            <w:rPr>
              <w:rFonts w:hint="eastAsia"/>
              <w:szCs w:val="28"/>
              <w:lang w:val="en-US" w:eastAsia="zh-CN"/>
            </w:rPr>
            <w:fldChar w:fldCharType="end"/>
          </w:r>
        </w:p>
        <w:p w14:paraId="39035C16">
          <w:pPr>
            <w:pStyle w:val="7"/>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_Toc1706050988 </w:instrText>
          </w:r>
          <w:r>
            <w:rPr>
              <w:rFonts w:hint="eastAsia"/>
              <w:szCs w:val="28"/>
              <w:lang w:val="en-US" w:eastAsia="zh-CN"/>
            </w:rPr>
            <w:fldChar w:fldCharType="separate"/>
          </w:r>
          <w:r>
            <w:rPr>
              <w:rFonts w:hint="eastAsia"/>
              <w:lang w:val="en-US" w:eastAsia="zh-CN"/>
            </w:rPr>
            <w:t>三、债权让与之通知移转主义的证立</w:t>
          </w:r>
          <w:r>
            <w:tab/>
          </w:r>
          <w:r>
            <w:fldChar w:fldCharType="begin"/>
          </w:r>
          <w:r>
            <w:instrText xml:space="preserve"> PAGEREF _Toc1706050988 \h </w:instrText>
          </w:r>
          <w:r>
            <w:fldChar w:fldCharType="separate"/>
          </w:r>
          <w:r>
            <w:t>7</w:t>
          </w:r>
          <w:r>
            <w:fldChar w:fldCharType="end"/>
          </w:r>
          <w:r>
            <w:rPr>
              <w:rFonts w:hint="eastAsia"/>
              <w:szCs w:val="28"/>
              <w:lang w:val="en-US" w:eastAsia="zh-CN"/>
            </w:rPr>
            <w:fldChar w:fldCharType="end"/>
          </w:r>
        </w:p>
        <w:p w14:paraId="3D91BA1C">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_Toc397300572 </w:instrText>
          </w:r>
          <w:r>
            <w:rPr>
              <w:rFonts w:hint="eastAsia"/>
              <w:szCs w:val="28"/>
              <w:lang w:val="en-US" w:eastAsia="zh-CN"/>
            </w:rPr>
            <w:fldChar w:fldCharType="separate"/>
          </w:r>
          <w:r>
            <w:rPr>
              <w:rFonts w:hint="eastAsia" w:asciiTheme="minorAscii" w:eastAsiaTheme="minorEastAsia"/>
              <w:lang w:val="en-US" w:eastAsia="zh-CN"/>
            </w:rPr>
            <w:t>（一）</w:t>
          </w:r>
          <w:r>
            <w:rPr>
              <w:rFonts w:hint="eastAsia"/>
              <w:lang w:val="en-US" w:eastAsia="zh-CN"/>
            </w:rPr>
            <w:t>债权让与中</w:t>
          </w:r>
          <w:r>
            <w:rPr>
              <w:rFonts w:hint="eastAsia" w:asciiTheme="minorAscii" w:eastAsiaTheme="minorEastAsia"/>
              <w:lang w:val="en-US" w:eastAsia="zh-CN"/>
            </w:rPr>
            <w:t>对抗规则、优先规则</w:t>
          </w:r>
          <w:r>
            <w:rPr>
              <w:rFonts w:hint="eastAsia"/>
              <w:lang w:val="en-US" w:eastAsia="zh-CN"/>
            </w:rPr>
            <w:t>之表述的反思</w:t>
          </w:r>
          <w:r>
            <w:tab/>
          </w:r>
          <w:r>
            <w:fldChar w:fldCharType="begin"/>
          </w:r>
          <w:r>
            <w:instrText xml:space="preserve"> PAGEREF _Toc397300572 \h </w:instrText>
          </w:r>
          <w:r>
            <w:fldChar w:fldCharType="separate"/>
          </w:r>
          <w:r>
            <w:t>7</w:t>
          </w:r>
          <w:r>
            <w:fldChar w:fldCharType="end"/>
          </w:r>
          <w:r>
            <w:rPr>
              <w:rFonts w:hint="eastAsia"/>
              <w:szCs w:val="28"/>
              <w:lang w:val="en-US" w:eastAsia="zh-CN"/>
            </w:rPr>
            <w:fldChar w:fldCharType="end"/>
          </w:r>
        </w:p>
        <w:p w14:paraId="3940FEB5">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_Toc904055081 </w:instrText>
          </w:r>
          <w:r>
            <w:rPr>
              <w:rFonts w:hint="eastAsia"/>
              <w:szCs w:val="28"/>
              <w:lang w:val="en-US" w:eastAsia="zh-CN"/>
            </w:rPr>
            <w:fldChar w:fldCharType="separate"/>
          </w:r>
          <w:r>
            <w:rPr>
              <w:rFonts w:hint="eastAsia" w:asciiTheme="minorAscii" w:eastAsiaTheme="minorEastAsia"/>
              <w:lang w:val="en-US" w:eastAsia="zh-CN"/>
            </w:rPr>
            <w:t>（</w:t>
          </w:r>
          <w:r>
            <w:rPr>
              <w:rFonts w:hint="eastAsia"/>
              <w:lang w:val="en-US" w:eastAsia="zh-CN"/>
            </w:rPr>
            <w:t>二</w:t>
          </w:r>
          <w:r>
            <w:rPr>
              <w:rFonts w:hint="eastAsia" w:asciiTheme="minorAscii" w:eastAsiaTheme="minorEastAsia"/>
              <w:lang w:val="en-US" w:eastAsia="zh-CN"/>
            </w:rPr>
            <w:t>）债权让与制度的双轨制选择</w:t>
          </w:r>
          <w:r>
            <w:tab/>
          </w:r>
          <w:r>
            <w:fldChar w:fldCharType="begin"/>
          </w:r>
          <w:r>
            <w:instrText xml:space="preserve"> PAGEREF _Toc904055081 \h </w:instrText>
          </w:r>
          <w:r>
            <w:fldChar w:fldCharType="separate"/>
          </w:r>
          <w:r>
            <w:t>8</w:t>
          </w:r>
          <w:r>
            <w:fldChar w:fldCharType="end"/>
          </w:r>
          <w:r>
            <w:rPr>
              <w:rFonts w:hint="eastAsia"/>
              <w:szCs w:val="28"/>
              <w:lang w:val="en-US" w:eastAsia="zh-CN"/>
            </w:rPr>
            <w:fldChar w:fldCharType="end"/>
          </w:r>
        </w:p>
        <w:p w14:paraId="3C663E7B">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_Toc1006943842 </w:instrText>
          </w:r>
          <w:r>
            <w:rPr>
              <w:rFonts w:hint="eastAsia"/>
              <w:szCs w:val="28"/>
              <w:lang w:val="en-US" w:eastAsia="zh-CN"/>
            </w:rPr>
            <w:fldChar w:fldCharType="separate"/>
          </w:r>
          <w:r>
            <w:rPr>
              <w:rFonts w:hint="eastAsia"/>
              <w:lang w:val="en-US" w:eastAsia="zh-CN"/>
            </w:rPr>
            <w:t>（三）通知移转主义之可行性的证成</w:t>
          </w:r>
          <w:r>
            <w:tab/>
          </w:r>
          <w:r>
            <w:fldChar w:fldCharType="begin"/>
          </w:r>
          <w:r>
            <w:instrText xml:space="preserve"> PAGEREF _Toc1006943842 \h </w:instrText>
          </w:r>
          <w:r>
            <w:fldChar w:fldCharType="separate"/>
          </w:r>
          <w:r>
            <w:t>11</w:t>
          </w:r>
          <w:r>
            <w:fldChar w:fldCharType="end"/>
          </w:r>
          <w:r>
            <w:rPr>
              <w:rFonts w:hint="eastAsia"/>
              <w:szCs w:val="28"/>
              <w:lang w:val="en-US" w:eastAsia="zh-CN"/>
            </w:rPr>
            <w:fldChar w:fldCharType="end"/>
          </w:r>
        </w:p>
        <w:p w14:paraId="55A37A90">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_Toc1534014134 </w:instrText>
          </w:r>
          <w:r>
            <w:rPr>
              <w:rFonts w:hint="eastAsia"/>
              <w:szCs w:val="28"/>
              <w:lang w:val="en-US" w:eastAsia="zh-CN"/>
            </w:rPr>
            <w:fldChar w:fldCharType="separate"/>
          </w:r>
          <w:r>
            <w:rPr>
              <w:rFonts w:hint="eastAsia"/>
              <w:lang w:val="en-US" w:eastAsia="zh-CN"/>
            </w:rPr>
            <w:t>（四）</w:t>
          </w:r>
          <w:r>
            <w:rPr>
              <w:rFonts w:hint="eastAsia" w:asciiTheme="minorAscii" w:eastAsiaTheme="minorEastAsia"/>
              <w:lang w:val="en-US" w:eastAsia="zh-CN"/>
            </w:rPr>
            <w:t>对通知移转主义</w:t>
          </w:r>
          <w:r>
            <w:rPr>
              <w:rFonts w:hint="eastAsia"/>
              <w:lang w:val="en-US" w:eastAsia="zh-CN"/>
            </w:rPr>
            <w:t>实践质疑的回应</w:t>
          </w:r>
          <w:r>
            <w:tab/>
          </w:r>
          <w:r>
            <w:fldChar w:fldCharType="begin"/>
          </w:r>
          <w:r>
            <w:instrText xml:space="preserve"> PAGEREF _Toc1534014134 \h </w:instrText>
          </w:r>
          <w:r>
            <w:fldChar w:fldCharType="separate"/>
          </w:r>
          <w:r>
            <w:t>15</w:t>
          </w:r>
          <w:r>
            <w:fldChar w:fldCharType="end"/>
          </w:r>
          <w:r>
            <w:rPr>
              <w:rFonts w:hint="eastAsia"/>
              <w:szCs w:val="28"/>
              <w:lang w:val="en-US" w:eastAsia="zh-CN"/>
            </w:rPr>
            <w:fldChar w:fldCharType="end"/>
          </w:r>
        </w:p>
        <w:p w14:paraId="0B7046FA">
          <w:pPr>
            <w:pStyle w:val="7"/>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_Toc1634367903 </w:instrText>
          </w:r>
          <w:r>
            <w:rPr>
              <w:rFonts w:hint="eastAsia"/>
              <w:szCs w:val="28"/>
              <w:lang w:val="en-US" w:eastAsia="zh-CN"/>
            </w:rPr>
            <w:fldChar w:fldCharType="separate"/>
          </w:r>
          <w:r>
            <w:rPr>
              <w:rFonts w:hint="eastAsia"/>
              <w:lang w:val="en-US" w:eastAsia="zh-CN"/>
            </w:rPr>
            <w:t>四、</w:t>
          </w:r>
          <w:r>
            <w:rPr>
              <w:rFonts w:hint="eastAsia" w:asciiTheme="minorEastAsia" w:hAnsiTheme="minorEastAsia" w:cstheme="minorEastAsia"/>
              <w:lang w:val="en-US" w:eastAsia="zh-CN"/>
            </w:rPr>
            <w:t>《合同编通则司法解释》第50条的场景化阐释</w:t>
          </w:r>
          <w:r>
            <w:tab/>
          </w:r>
          <w:r>
            <w:fldChar w:fldCharType="begin"/>
          </w:r>
          <w:r>
            <w:instrText xml:space="preserve"> PAGEREF _Toc1634367903 \h </w:instrText>
          </w:r>
          <w:r>
            <w:fldChar w:fldCharType="separate"/>
          </w:r>
          <w:r>
            <w:t>18</w:t>
          </w:r>
          <w:r>
            <w:fldChar w:fldCharType="end"/>
          </w:r>
          <w:r>
            <w:rPr>
              <w:rFonts w:hint="eastAsia"/>
              <w:szCs w:val="28"/>
              <w:lang w:val="en-US" w:eastAsia="zh-CN"/>
            </w:rPr>
            <w:fldChar w:fldCharType="end"/>
          </w:r>
        </w:p>
        <w:p w14:paraId="6B54B753">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_Toc358016944 </w:instrText>
          </w:r>
          <w:r>
            <w:rPr>
              <w:rFonts w:hint="eastAsia"/>
              <w:szCs w:val="28"/>
              <w:lang w:val="en-US" w:eastAsia="zh-CN"/>
            </w:rPr>
            <w:fldChar w:fldCharType="separate"/>
          </w:r>
          <w:r>
            <w:rPr>
              <w:rFonts w:hint="eastAsia" w:asciiTheme="minorEastAsia" w:hAnsiTheme="minorEastAsia" w:cstheme="minorEastAsia"/>
              <w:lang w:val="en-US" w:eastAsia="zh-CN"/>
            </w:rPr>
            <w:t>（一）债务人与接受履行受让人均明知最先通知受让人</w:t>
          </w:r>
          <w:r>
            <w:tab/>
          </w:r>
          <w:r>
            <w:fldChar w:fldCharType="begin"/>
          </w:r>
          <w:r>
            <w:instrText xml:space="preserve"> PAGEREF _Toc358016944 \h </w:instrText>
          </w:r>
          <w:r>
            <w:fldChar w:fldCharType="separate"/>
          </w:r>
          <w:r>
            <w:t>18</w:t>
          </w:r>
          <w:r>
            <w:fldChar w:fldCharType="end"/>
          </w:r>
          <w:r>
            <w:rPr>
              <w:rFonts w:hint="eastAsia"/>
              <w:szCs w:val="28"/>
              <w:lang w:val="en-US" w:eastAsia="zh-CN"/>
            </w:rPr>
            <w:fldChar w:fldCharType="end"/>
          </w:r>
        </w:p>
        <w:p w14:paraId="7C7381D8">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_Toc2089082561 </w:instrText>
          </w:r>
          <w:r>
            <w:rPr>
              <w:rFonts w:hint="eastAsia"/>
              <w:szCs w:val="28"/>
              <w:lang w:val="en-US" w:eastAsia="zh-CN"/>
            </w:rPr>
            <w:fldChar w:fldCharType="separate"/>
          </w:r>
          <w:r>
            <w:rPr>
              <w:rFonts w:hint="eastAsia" w:asciiTheme="minorEastAsia" w:hAnsiTheme="minorEastAsia" w:cstheme="minorEastAsia"/>
              <w:lang w:val="en-US" w:eastAsia="zh-CN"/>
            </w:rPr>
            <w:t>（二）债务人明知最先通知受让人但接受履行受让人不知</w:t>
          </w:r>
          <w:r>
            <w:tab/>
          </w:r>
          <w:r>
            <w:fldChar w:fldCharType="begin"/>
          </w:r>
          <w:r>
            <w:instrText xml:space="preserve"> PAGEREF _Toc2089082561 \h </w:instrText>
          </w:r>
          <w:r>
            <w:fldChar w:fldCharType="separate"/>
          </w:r>
          <w:r>
            <w:t>19</w:t>
          </w:r>
          <w:r>
            <w:fldChar w:fldCharType="end"/>
          </w:r>
          <w:r>
            <w:rPr>
              <w:rFonts w:hint="eastAsia"/>
              <w:szCs w:val="28"/>
              <w:lang w:val="en-US" w:eastAsia="zh-CN"/>
            </w:rPr>
            <w:fldChar w:fldCharType="end"/>
          </w:r>
        </w:p>
        <w:p w14:paraId="5FBB2E19">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_Toc2000457924 </w:instrText>
          </w:r>
          <w:r>
            <w:rPr>
              <w:rFonts w:hint="eastAsia"/>
              <w:szCs w:val="28"/>
              <w:lang w:val="en-US" w:eastAsia="zh-CN"/>
            </w:rPr>
            <w:fldChar w:fldCharType="separate"/>
          </w:r>
          <w:r>
            <w:rPr>
              <w:rFonts w:hint="eastAsia" w:asciiTheme="minorEastAsia" w:hAnsiTheme="minorEastAsia" w:cstheme="minorEastAsia"/>
              <w:lang w:val="en-US" w:eastAsia="zh-CN"/>
            </w:rPr>
            <w:t>（三）债务人不知最先通知受让人但接受履行受让人明知</w:t>
          </w:r>
          <w:r>
            <w:tab/>
          </w:r>
          <w:r>
            <w:fldChar w:fldCharType="begin"/>
          </w:r>
          <w:r>
            <w:instrText xml:space="preserve"> PAGEREF _Toc2000457924 \h </w:instrText>
          </w:r>
          <w:r>
            <w:fldChar w:fldCharType="separate"/>
          </w:r>
          <w:r>
            <w:t>19</w:t>
          </w:r>
          <w:r>
            <w:fldChar w:fldCharType="end"/>
          </w:r>
          <w:r>
            <w:rPr>
              <w:rFonts w:hint="eastAsia"/>
              <w:szCs w:val="28"/>
              <w:lang w:val="en-US" w:eastAsia="zh-CN"/>
            </w:rPr>
            <w:fldChar w:fldCharType="end"/>
          </w:r>
        </w:p>
        <w:p w14:paraId="2246F30B">
          <w:pPr>
            <w:pStyle w:val="5"/>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_Toc692351236 </w:instrText>
          </w:r>
          <w:r>
            <w:rPr>
              <w:rFonts w:hint="eastAsia"/>
              <w:szCs w:val="28"/>
              <w:lang w:val="en-US" w:eastAsia="zh-CN"/>
            </w:rPr>
            <w:fldChar w:fldCharType="separate"/>
          </w:r>
          <w:r>
            <w:rPr>
              <w:rFonts w:hint="eastAsia" w:asciiTheme="minorEastAsia" w:hAnsiTheme="minorEastAsia" w:cstheme="minorEastAsia"/>
              <w:lang w:val="en-US" w:eastAsia="zh-CN"/>
            </w:rPr>
            <w:t>（四）债务人与接受履行的受让人均不知最先通知的受让人</w:t>
          </w:r>
          <w:r>
            <w:tab/>
          </w:r>
          <w:r>
            <w:fldChar w:fldCharType="begin"/>
          </w:r>
          <w:r>
            <w:instrText xml:space="preserve"> PAGEREF _Toc692351236 \h </w:instrText>
          </w:r>
          <w:r>
            <w:fldChar w:fldCharType="separate"/>
          </w:r>
          <w:r>
            <w:t>20</w:t>
          </w:r>
          <w:r>
            <w:fldChar w:fldCharType="end"/>
          </w:r>
          <w:r>
            <w:rPr>
              <w:rFonts w:hint="eastAsia"/>
              <w:szCs w:val="28"/>
              <w:lang w:val="en-US" w:eastAsia="zh-CN"/>
            </w:rPr>
            <w:fldChar w:fldCharType="end"/>
          </w:r>
        </w:p>
        <w:p w14:paraId="695EAD9B">
          <w:pPr>
            <w:pStyle w:val="7"/>
            <w:tabs>
              <w:tab w:val="right" w:leader="dot" w:pos="8504"/>
            </w:tabs>
          </w:pPr>
          <w:r>
            <w:rPr>
              <w:rFonts w:hint="eastAsia"/>
              <w:szCs w:val="28"/>
              <w:lang w:val="en-US" w:eastAsia="zh-CN"/>
            </w:rPr>
            <w:fldChar w:fldCharType="begin"/>
          </w:r>
          <w:r>
            <w:rPr>
              <w:rFonts w:hint="eastAsia"/>
              <w:szCs w:val="28"/>
              <w:lang w:val="en-US" w:eastAsia="zh-CN"/>
            </w:rPr>
            <w:instrText xml:space="preserve"> HYPERLINK \l _Toc1280824006 </w:instrText>
          </w:r>
          <w:r>
            <w:rPr>
              <w:rFonts w:hint="eastAsia"/>
              <w:szCs w:val="28"/>
              <w:lang w:val="en-US" w:eastAsia="zh-CN"/>
            </w:rPr>
            <w:fldChar w:fldCharType="separate"/>
          </w:r>
          <w:r>
            <w:rPr>
              <w:rFonts w:hint="eastAsia" w:asciiTheme="minorEastAsia" w:hAnsiTheme="minorEastAsia" w:cstheme="minorEastAsia"/>
              <w:lang w:val="en-US" w:eastAsia="zh-CN"/>
            </w:rPr>
            <w:t>五、 结语</w:t>
          </w:r>
          <w:r>
            <w:tab/>
          </w:r>
          <w:r>
            <w:fldChar w:fldCharType="begin"/>
          </w:r>
          <w:r>
            <w:instrText xml:space="preserve"> PAGEREF _Toc1280824006 \h </w:instrText>
          </w:r>
          <w:r>
            <w:fldChar w:fldCharType="separate"/>
          </w:r>
          <w:r>
            <w:t>20</w:t>
          </w:r>
          <w:r>
            <w:fldChar w:fldCharType="end"/>
          </w:r>
          <w:r>
            <w:rPr>
              <w:rFonts w:hint="eastAsia"/>
              <w:szCs w:val="28"/>
              <w:lang w:val="en-US" w:eastAsia="zh-CN"/>
            </w:rPr>
            <w:fldChar w:fldCharType="end"/>
          </w:r>
        </w:p>
        <w:p w14:paraId="6B529C76">
          <w:pPr>
            <w:rPr>
              <w:rFonts w:hint="eastAsia" w:asciiTheme="minorAscii" w:hAnsiTheme="minorAscii" w:eastAsiaTheme="minorEastAsia" w:cstheme="minorBidi"/>
              <w:kern w:val="2"/>
              <w:sz w:val="24"/>
              <w:szCs w:val="28"/>
              <w:lang w:val="en-US" w:eastAsia="zh-CN" w:bidi="ar-SA"/>
            </w:rPr>
          </w:pPr>
          <w:r>
            <w:rPr>
              <w:rFonts w:hint="eastAsia"/>
              <w:szCs w:val="28"/>
              <w:lang w:val="en-US" w:eastAsia="zh-CN"/>
            </w:rPr>
            <w:fldChar w:fldCharType="end"/>
          </w:r>
        </w:p>
      </w:sdtContent>
    </w:sdt>
    <w:p w14:paraId="729C80F2">
      <w:pPr>
        <w:rPr>
          <w:rFonts w:hint="eastAsia" w:asciiTheme="minorAscii" w:hAnsiTheme="minorAscii" w:eastAsiaTheme="minorEastAsia" w:cstheme="minorBidi"/>
          <w:kern w:val="2"/>
          <w:sz w:val="24"/>
          <w:szCs w:val="28"/>
          <w:lang w:val="en-US" w:eastAsia="zh-CN" w:bidi="ar-SA"/>
        </w:rPr>
        <w:sectPr>
          <w:footnotePr>
            <w:numFmt w:val="decimalEnclosedCircleChinese"/>
            <w:numRestart w:val="eachPage"/>
          </w:footnotePr>
          <w:pgSz w:w="11906" w:h="16838"/>
          <w:pgMar w:top="1474" w:right="1701" w:bottom="1474" w:left="1701" w:header="1020" w:footer="1020" w:gutter="0"/>
          <w:cols w:space="0" w:num="1"/>
          <w:rtlGutter w:val="0"/>
          <w:docGrid w:type="lines" w:linePitch="408" w:charSpace="0"/>
        </w:sectPr>
      </w:pPr>
    </w:p>
    <w:p w14:paraId="6C74669B">
      <w:pPr>
        <w:numPr>
          <w:ilvl w:val="0"/>
          <w:numId w:val="1"/>
        </w:numPr>
        <w:bidi w:val="0"/>
        <w:outlineLvl w:val="1"/>
        <w:rPr>
          <w:rFonts w:hint="eastAsia"/>
          <w:lang w:val="en-US" w:eastAsia="zh-CN"/>
        </w:rPr>
      </w:pPr>
      <w:bookmarkStart w:id="0" w:name="_Toc1934710192"/>
      <w:bookmarkStart w:id="1" w:name="_Toc14882"/>
      <w:r>
        <w:rPr>
          <w:rFonts w:hint="eastAsia"/>
          <w:lang w:val="en-US" w:eastAsia="zh-CN"/>
        </w:rPr>
        <w:t>问题的提出</w:t>
      </w:r>
      <w:bookmarkEnd w:id="0"/>
      <w:bookmarkEnd w:id="1"/>
    </w:p>
    <w:p w14:paraId="0A4897C2">
      <w:pPr>
        <w:bidi w:val="0"/>
        <w:ind w:firstLine="480"/>
        <w:rPr>
          <w:rFonts w:hint="eastAsia"/>
          <w:lang w:val="en-US" w:eastAsia="zh-CN"/>
        </w:rPr>
      </w:pPr>
      <w:r>
        <w:rPr>
          <w:rFonts w:hint="eastAsia"/>
          <w:lang w:val="en-US" w:eastAsia="zh-CN"/>
        </w:rPr>
        <w:t>债权的可让与性极大地提升了债权的财产价值，债权人也因此具有实施多重让与的动机，导致实践中纠纷不断。区别于物权让与可采有体物实际交付的方式确定物权归属，债权因无体性特征采何种让与生效规则始终争议不断。债权让与人对债权应享有处分权，对于初次让与之后的再次处分应属无权处分，在后受让人无法取得债权。</w:t>
      </w:r>
      <w:r>
        <w:rPr>
          <w:rStyle w:val="12"/>
          <w:rFonts w:hint="eastAsia"/>
          <w:lang w:val="en-US" w:eastAsia="zh-CN"/>
        </w:rPr>
        <w:footnoteReference w:id="0"/>
      </w:r>
      <w:r>
        <w:rPr>
          <w:rFonts w:hint="eastAsia"/>
          <w:lang w:val="en-US" w:eastAsia="zh-CN"/>
        </w:rPr>
        <w:t>因此债权让与生效规则的另一面就是债权归属规则，而这尤其关涉到如何处理债权让与中多重受让人之间的矛盾。基于对市场交易</w:t>
      </w:r>
      <w:r>
        <w:rPr>
          <w:rFonts w:hint="eastAsia" w:asciiTheme="minorAscii" w:eastAsiaTheme="minorEastAsia"/>
          <w:lang w:val="en-US" w:eastAsia="zh-CN"/>
        </w:rPr>
        <w:t>的严格管控，</w:t>
      </w:r>
      <w:r>
        <w:rPr>
          <w:rFonts w:hint="eastAsia"/>
          <w:lang w:val="en-US" w:eastAsia="zh-CN"/>
        </w:rPr>
        <w:t>1986年</w:t>
      </w:r>
      <w:r>
        <w:rPr>
          <w:rFonts w:hint="eastAsia" w:asciiTheme="minorAscii" w:eastAsiaTheme="minorEastAsia"/>
          <w:lang w:val="en-US" w:eastAsia="zh-CN"/>
        </w:rPr>
        <w:t>《中华人民共和国民法通则》（以下简称《民法通则》）</w:t>
      </w:r>
      <w:r>
        <w:rPr>
          <w:rFonts w:hint="eastAsia"/>
          <w:lang w:val="en-US" w:eastAsia="zh-CN"/>
        </w:rPr>
        <w:t>第91条</w:t>
      </w:r>
      <w:r>
        <w:rPr>
          <w:rFonts w:hint="eastAsia" w:asciiTheme="minorAscii" w:eastAsiaTheme="minorEastAsia"/>
          <w:lang w:val="en-US" w:eastAsia="zh-CN"/>
        </w:rPr>
        <w:t>为</w:t>
      </w:r>
      <w:r>
        <w:rPr>
          <w:rFonts w:hint="eastAsia"/>
          <w:lang w:val="en-US" w:eastAsia="zh-CN"/>
        </w:rPr>
        <w:t>合同权利的</w:t>
      </w:r>
      <w:r>
        <w:rPr>
          <w:rFonts w:hint="eastAsia" w:asciiTheme="minorAscii" w:eastAsiaTheme="minorEastAsia"/>
          <w:lang w:val="en-US" w:eastAsia="zh-CN"/>
        </w:rPr>
        <w:t>让与设定了“债务人同意+不得牟利”的严苛要件，</w:t>
      </w:r>
      <w:r>
        <w:rPr>
          <w:rFonts w:hint="eastAsia"/>
          <w:lang w:val="en-US" w:eastAsia="zh-CN"/>
        </w:rPr>
        <w:t>因此彼时</w:t>
      </w:r>
      <w:r>
        <w:rPr>
          <w:rFonts w:hint="eastAsia" w:asciiTheme="minorAscii" w:eastAsiaTheme="minorEastAsia"/>
          <w:lang w:val="en-US" w:eastAsia="zh-CN"/>
        </w:rPr>
        <w:t>债权多重让与纠纷鲜有发生，</w:t>
      </w:r>
      <w:r>
        <w:rPr>
          <w:rFonts w:hint="eastAsia"/>
          <w:lang w:val="en-US" w:eastAsia="zh-CN"/>
        </w:rPr>
        <w:t>研究</w:t>
      </w:r>
      <w:r>
        <w:rPr>
          <w:rFonts w:hint="eastAsia" w:asciiTheme="minorAscii" w:eastAsiaTheme="minorEastAsia"/>
          <w:lang w:val="en-US" w:eastAsia="zh-CN"/>
        </w:rPr>
        <w:t>尚未聚焦多重让与的权利归属规则</w:t>
      </w:r>
      <w:r>
        <w:rPr>
          <w:rFonts w:hint="eastAsia"/>
          <w:lang w:val="en-US" w:eastAsia="zh-CN"/>
        </w:rPr>
        <w:t>，</w:t>
      </w:r>
      <w:r>
        <w:rPr>
          <w:rFonts w:hint="eastAsia" w:asciiTheme="minorAscii" w:eastAsiaTheme="minorEastAsia"/>
          <w:lang w:val="en-US" w:eastAsia="zh-CN"/>
        </w:rPr>
        <w:t>学界讨论集中于债权让与制度</w:t>
      </w:r>
      <w:r>
        <w:rPr>
          <w:rFonts w:hint="eastAsia"/>
          <w:lang w:val="en-US" w:eastAsia="zh-CN"/>
        </w:rPr>
        <w:t>的</w:t>
      </w:r>
      <w:r>
        <w:rPr>
          <w:rFonts w:hint="eastAsia" w:asciiTheme="minorAscii" w:eastAsiaTheme="minorEastAsia"/>
          <w:lang w:val="en-US" w:eastAsia="zh-CN"/>
        </w:rPr>
        <w:t>松绑。</w:t>
      </w:r>
      <w:r>
        <w:rPr>
          <w:rStyle w:val="12"/>
          <w:rFonts w:hint="eastAsia" w:asciiTheme="minorAscii" w:eastAsiaTheme="minorEastAsia"/>
          <w:lang w:val="en-US" w:eastAsia="zh-CN"/>
        </w:rPr>
        <w:footnoteReference w:id="1"/>
      </w:r>
      <w:r>
        <w:rPr>
          <w:rFonts w:hint="eastAsia" w:asciiTheme="minorAscii" w:eastAsiaTheme="minorEastAsia"/>
          <w:lang w:val="en-US" w:eastAsia="zh-CN"/>
        </w:rPr>
        <w:t>《中华人民共和国合同法》（以下简称《合同法》）第80条废除了债务人同意</w:t>
      </w:r>
      <w:r>
        <w:rPr>
          <w:rFonts w:hint="eastAsia"/>
          <w:lang w:val="en-US" w:eastAsia="zh-CN"/>
        </w:rPr>
        <w:t>的</w:t>
      </w:r>
      <w:r>
        <w:rPr>
          <w:rFonts w:hint="eastAsia" w:asciiTheme="minorAscii" w:eastAsiaTheme="minorEastAsia"/>
          <w:lang w:val="en-US" w:eastAsia="zh-CN"/>
        </w:rPr>
        <w:t>要件，极大释放了债权的流通价值</w:t>
      </w:r>
      <w:r>
        <w:rPr>
          <w:rFonts w:hint="eastAsia"/>
          <w:lang w:val="en-US" w:eastAsia="zh-CN"/>
        </w:rPr>
        <w:t>，</w:t>
      </w:r>
      <w:r>
        <w:rPr>
          <w:rFonts w:hint="eastAsia" w:asciiTheme="minorAscii" w:eastAsiaTheme="minorEastAsia"/>
          <w:lang w:val="en-US" w:eastAsia="zh-CN"/>
        </w:rPr>
        <w:t>但</w:t>
      </w:r>
      <w:r>
        <w:rPr>
          <w:rFonts w:hint="eastAsia"/>
          <w:lang w:val="en-US" w:eastAsia="zh-CN"/>
        </w:rPr>
        <w:t>在增加多重让与可能性的同时</w:t>
      </w:r>
      <w:r>
        <w:rPr>
          <w:rFonts w:hint="eastAsia" w:asciiTheme="minorAscii" w:eastAsiaTheme="minorEastAsia"/>
          <w:lang w:val="en-US" w:eastAsia="zh-CN"/>
        </w:rPr>
        <w:t>完全未回应</w:t>
      </w:r>
      <w:r>
        <w:rPr>
          <w:rFonts w:hint="eastAsia"/>
          <w:lang w:val="en-US" w:eastAsia="zh-CN"/>
        </w:rPr>
        <w:t>如何解决这一纠纷</w:t>
      </w:r>
      <w:r>
        <w:rPr>
          <w:rFonts w:hint="eastAsia" w:asciiTheme="minorAscii" w:eastAsiaTheme="minorEastAsia"/>
          <w:lang w:val="en-US" w:eastAsia="zh-CN"/>
        </w:rPr>
        <w:t>，引发了学界</w:t>
      </w:r>
      <w:r>
        <w:rPr>
          <w:rFonts w:hint="eastAsia"/>
          <w:lang w:val="en-US" w:eastAsia="zh-CN"/>
        </w:rPr>
        <w:t>的</w:t>
      </w:r>
      <w:r>
        <w:rPr>
          <w:rFonts w:hint="eastAsia" w:asciiTheme="minorAscii" w:eastAsiaTheme="minorEastAsia"/>
          <w:lang w:val="en-US" w:eastAsia="zh-CN"/>
        </w:rPr>
        <w:t>持续争论</w:t>
      </w:r>
      <w:r>
        <w:rPr>
          <w:rFonts w:hint="eastAsia"/>
          <w:lang w:val="en-US" w:eastAsia="zh-CN"/>
        </w:rPr>
        <w:t>，并形成了围绕合意、通知与登记的不同债权让与制度设计。</w:t>
      </w:r>
      <w:r>
        <w:rPr>
          <w:rStyle w:val="12"/>
          <w:rFonts w:hint="eastAsia"/>
          <w:lang w:val="en-US" w:eastAsia="zh-CN"/>
        </w:rPr>
        <w:footnoteReference w:id="2"/>
      </w:r>
      <w:r>
        <w:rPr>
          <w:rFonts w:hint="eastAsia"/>
          <w:lang w:val="en-US" w:eastAsia="zh-CN"/>
        </w:rPr>
        <w:t>在这一时期的司法实践中，法院对于债权多重让与的权利归属亦存在不同的裁判观点，有的法院认为债权转让以转让人与受让人达成债权转让的合意，债权让与合同即告成立，同时在转让人和受让人之间发生法律效力。</w:t>
      </w:r>
      <w:r>
        <w:rPr>
          <w:rStyle w:val="12"/>
          <w:rFonts w:hint="eastAsia"/>
          <w:lang w:val="en-US" w:eastAsia="zh-CN"/>
        </w:rPr>
        <w:footnoteReference w:id="3"/>
      </w:r>
      <w:r>
        <w:rPr>
          <w:rFonts w:hint="eastAsia"/>
          <w:lang w:val="en-US" w:eastAsia="zh-CN"/>
        </w:rPr>
        <w:t>另有法院认为《合同法》第80条的立法意旨是以履行通知义务的时间先后确定受让人的优先权。不因让与合意成立的先后及发生原因的不同而有效力上的优劣之分。</w:t>
      </w:r>
      <w:r>
        <w:rPr>
          <w:rStyle w:val="12"/>
          <w:rFonts w:hint="eastAsia"/>
          <w:lang w:val="en-US" w:eastAsia="zh-CN"/>
        </w:rPr>
        <w:footnoteReference w:id="4"/>
      </w:r>
      <w:r>
        <w:rPr>
          <w:rFonts w:hint="eastAsia"/>
          <w:lang w:val="en-US" w:eastAsia="zh-CN"/>
        </w:rPr>
        <w:t>《中华人民共和国民法典》（以下简称《民法典》）对债权让与规则作出微调，但不改条文原意。加之保理合同在这一时期入法，两相比较之下，保理合同反倒规定了债权让与一般规定的未及之处。体系上特别的倒三角结构带来了我国债权让与制度当下首要思考的问题，即保理合同的有关规定只能规范保理行为，还是无须拘于体系位置，上升为债权让与的一般规范。《最高人民法院关于适用〈中华人民共和国民法典〉合同编通则若干问题的解释》（法释〔2023〕13号，以下简称《合同编通则司法解释》）以第50条对债权多重让与问题进行回应，遗憾的是第50条仍以传统的债务人清偿效力视角看待债权让与，并未直接从受让人对债权归属主张的角度进行规定，态度可谓隐晦。</w:t>
      </w:r>
      <w:r>
        <w:rPr>
          <w:rStyle w:val="12"/>
          <w:rFonts w:hint="eastAsia"/>
          <w:lang w:val="en-US" w:eastAsia="zh-CN"/>
        </w:rPr>
        <w:footnoteReference w:id="5"/>
      </w:r>
    </w:p>
    <w:p w14:paraId="31CB50AE">
      <w:pPr>
        <w:bidi w:val="0"/>
        <w:ind w:firstLine="480"/>
        <w:rPr>
          <w:rFonts w:hint="default"/>
          <w:lang w:val="en-US" w:eastAsia="zh-CN"/>
        </w:rPr>
      </w:pPr>
      <w:r>
        <w:rPr>
          <w:rFonts w:hint="eastAsia"/>
          <w:lang w:val="en-US" w:eastAsia="zh-CN"/>
        </w:rPr>
        <w:t>债权多重让与的研究最终仍要回到债权让与制度的基本法理上，既往的立法长期沿用债务人清偿效力的思路，从争议仍未消弭的现状来看，似乎并不能很好地澄清其中疑问。与其通过清偿效力折射出权利人的主张规则，倒不如从受让人的角度直面债权归属规则，而这需要重新挖掘债权让与制度的关切所在，通过核心利益的变换带来视角的切换。因此本文尝试对债权让与制度所涉利益进行分析，论证为何应以受让人利益为制度保护核心，摒弃固有的债务人视角，终以受让人利益为本位对诸多解释进行选择。债权让与制度所涉学说众多，《合同编通则司法解释》的相关规定唯就通知展开，从论证逻辑上看，若要真正确立通知于债权多重让与中的关键作用，由于保理确立了登记最优规则，应先讨论保理合同规定可否对一般债权让与适用，若得到否定答案，才有探讨一般债权让与另行适用何种生效规则的必要，并最终落到通知手段上，后续行文也将循此思路。</w:t>
      </w:r>
    </w:p>
    <w:p w14:paraId="60B971B3">
      <w:pPr>
        <w:bidi w:val="0"/>
        <w:outlineLvl w:val="1"/>
        <w:rPr>
          <w:rFonts w:hint="default"/>
          <w:lang w:val="en-US" w:eastAsia="zh-CN"/>
        </w:rPr>
      </w:pPr>
      <w:bookmarkStart w:id="2" w:name="_Toc11455"/>
      <w:bookmarkStart w:id="3" w:name="_Toc1624297717"/>
      <w:r>
        <w:rPr>
          <w:rFonts w:hint="eastAsia"/>
          <w:lang w:val="en-US" w:eastAsia="zh-CN"/>
        </w:rPr>
        <w:t>二</w:t>
      </w:r>
      <w:r>
        <w:rPr>
          <w:rFonts w:hint="eastAsia" w:asciiTheme="minorAscii" w:eastAsiaTheme="minorEastAsia"/>
          <w:lang w:val="en-US" w:eastAsia="zh-CN"/>
        </w:rPr>
        <w:t>、</w:t>
      </w:r>
      <w:r>
        <w:rPr>
          <w:rFonts w:hint="eastAsia"/>
          <w:lang w:val="en-US" w:eastAsia="zh-CN"/>
        </w:rPr>
        <w:t>债权让与制度核心利益的应然设计</w:t>
      </w:r>
      <w:bookmarkEnd w:id="2"/>
      <w:bookmarkEnd w:id="3"/>
      <w:bookmarkStart w:id="4" w:name="_Toc6586"/>
    </w:p>
    <w:p w14:paraId="1B996FB5">
      <w:pPr>
        <w:bidi w:val="0"/>
        <w:outlineLvl w:val="2"/>
        <w:rPr>
          <w:rFonts w:hint="default"/>
          <w:lang w:val="en-US" w:eastAsia="zh-CN"/>
        </w:rPr>
      </w:pPr>
      <w:bookmarkStart w:id="5" w:name="_Toc759608955"/>
      <w:r>
        <w:rPr>
          <w:rFonts w:hint="eastAsia"/>
          <w:lang w:val="en-US" w:eastAsia="zh-CN"/>
        </w:rPr>
        <w:t>（一）债权让与</w:t>
      </w:r>
      <w:bookmarkEnd w:id="4"/>
      <w:r>
        <w:rPr>
          <w:rFonts w:hint="eastAsia"/>
          <w:lang w:val="en-US" w:eastAsia="zh-CN"/>
        </w:rPr>
        <w:t>制度关切利益的初步限定</w:t>
      </w:r>
      <w:bookmarkEnd w:id="5"/>
    </w:p>
    <w:p w14:paraId="56044971">
      <w:pPr>
        <w:bidi w:val="0"/>
        <w:ind w:firstLine="480" w:firstLineChars="200"/>
        <w:rPr>
          <w:rFonts w:hint="eastAsia"/>
          <w:lang w:val="en-US" w:eastAsia="zh-CN"/>
        </w:rPr>
      </w:pPr>
      <w:r>
        <w:rPr>
          <w:rFonts w:hint="eastAsia"/>
          <w:lang w:val="en-US" w:eastAsia="zh-CN"/>
        </w:rPr>
        <w:t>债权让与制度所涉利益多元。在债权交易场景中，</w:t>
      </w:r>
      <w:r>
        <w:rPr>
          <w:rFonts w:hint="eastAsia" w:asciiTheme="minorAscii" w:eastAsiaTheme="minorEastAsia"/>
          <w:lang w:val="en-US" w:eastAsia="zh-CN"/>
        </w:rPr>
        <w:t>债权人首要关注</w:t>
      </w:r>
      <w:r>
        <w:rPr>
          <w:rFonts w:hint="eastAsia"/>
          <w:lang w:val="en-US" w:eastAsia="zh-CN"/>
        </w:rPr>
        <w:t>债权让与的</w:t>
      </w:r>
      <w:r>
        <w:rPr>
          <w:rFonts w:hint="eastAsia" w:asciiTheme="minorAscii" w:eastAsiaTheme="minorEastAsia"/>
          <w:lang w:val="en-US" w:eastAsia="zh-CN"/>
        </w:rPr>
        <w:t>融资效率</w:t>
      </w:r>
      <w:r>
        <w:rPr>
          <w:rFonts w:hint="eastAsia"/>
          <w:lang w:val="en-US" w:eastAsia="zh-CN"/>
        </w:rPr>
        <w:t>，</w:t>
      </w:r>
      <w:r>
        <w:rPr>
          <w:rFonts w:hint="eastAsia" w:asciiTheme="minorAscii" w:eastAsiaTheme="minorEastAsia"/>
          <w:vertAlign w:val="superscript"/>
          <w:lang w:val="en-US" w:eastAsia="zh-CN"/>
        </w:rPr>
        <w:footnoteReference w:id="6"/>
      </w:r>
      <w:r>
        <w:rPr>
          <w:rFonts w:hint="eastAsia"/>
          <w:lang w:val="en-US" w:eastAsia="zh-CN"/>
        </w:rPr>
        <w:t>受让人注重</w:t>
      </w:r>
      <w:r>
        <w:rPr>
          <w:rFonts w:hint="eastAsia" w:asciiTheme="minorAscii" w:eastAsiaTheme="minorEastAsia"/>
          <w:lang w:val="en-US" w:eastAsia="zh-CN"/>
        </w:rPr>
        <w:t>债权的真实性与可实现性</w:t>
      </w:r>
      <w:r>
        <w:rPr>
          <w:rFonts w:hint="eastAsia"/>
          <w:lang w:val="en-US" w:eastAsia="zh-CN"/>
        </w:rPr>
        <w:t>，债务人的问题在于清偿效力的发挥</w:t>
      </w:r>
      <w:r>
        <w:rPr>
          <w:rFonts w:hint="eastAsia" w:asciiTheme="minorAscii" w:eastAsiaTheme="minorEastAsia"/>
          <w:vertAlign w:val="superscript"/>
          <w:lang w:val="en-US" w:eastAsia="zh-CN"/>
        </w:rPr>
        <w:footnoteReference w:id="7"/>
      </w:r>
      <w:r>
        <w:rPr>
          <w:rFonts w:hint="eastAsia" w:asciiTheme="minorAscii" w:eastAsiaTheme="minorEastAsia"/>
          <w:lang w:val="en-US" w:eastAsia="zh-CN"/>
        </w:rPr>
        <w:t>。</w:t>
      </w:r>
      <w:r>
        <w:rPr>
          <w:rFonts w:hint="eastAsia"/>
          <w:lang w:val="en-US" w:eastAsia="zh-CN"/>
        </w:rPr>
        <w:t>而债权让与事实在其他场景还可能与</w:t>
      </w:r>
      <w:r>
        <w:rPr>
          <w:rFonts w:hint="eastAsia" w:asciiTheme="minorAscii" w:eastAsiaTheme="minorEastAsia"/>
          <w:lang w:val="en-US" w:eastAsia="zh-CN"/>
        </w:rPr>
        <w:t>偏颇清偿</w:t>
      </w:r>
      <w:r>
        <w:rPr>
          <w:rFonts w:hint="eastAsia" w:asciiTheme="minorAscii" w:eastAsiaTheme="minorEastAsia"/>
          <w:vertAlign w:val="superscript"/>
          <w:lang w:val="en-US" w:eastAsia="zh-CN"/>
        </w:rPr>
        <w:footnoteReference w:id="8"/>
      </w:r>
      <w:r>
        <w:rPr>
          <w:rFonts w:hint="eastAsia"/>
          <w:lang w:val="en-US" w:eastAsia="zh-CN"/>
        </w:rPr>
        <w:t>、债权</w:t>
      </w:r>
      <w:r>
        <w:rPr>
          <w:rFonts w:hint="eastAsia" w:asciiTheme="minorAscii" w:eastAsiaTheme="minorEastAsia"/>
          <w:lang w:val="en-US" w:eastAsia="zh-CN"/>
        </w:rPr>
        <w:t>取回权</w:t>
      </w:r>
      <w:r>
        <w:rPr>
          <w:rFonts w:hint="eastAsia" w:asciiTheme="minorAscii" w:eastAsiaTheme="minorEastAsia"/>
          <w:vertAlign w:val="superscript"/>
          <w:lang w:val="en-US" w:eastAsia="zh-CN"/>
        </w:rPr>
        <w:footnoteReference w:id="9"/>
      </w:r>
      <w:r>
        <w:rPr>
          <w:rFonts w:hint="eastAsia"/>
          <w:lang w:val="en-US" w:eastAsia="zh-CN"/>
        </w:rPr>
        <w:t>、债权申报</w:t>
      </w:r>
      <w:r>
        <w:rPr>
          <w:rFonts w:hint="eastAsia" w:asciiTheme="minorAscii" w:eastAsiaTheme="minorEastAsia"/>
          <w:vertAlign w:val="superscript"/>
          <w:lang w:val="en-US" w:eastAsia="zh-CN"/>
        </w:rPr>
        <w:footnoteReference w:id="10"/>
      </w:r>
      <w:r>
        <w:rPr>
          <w:rFonts w:hint="eastAsia"/>
          <w:lang w:val="en-US" w:eastAsia="zh-CN"/>
        </w:rPr>
        <w:t>等问题产生联系，关涉主体不一而足。这些具有不同身份的主体分属不同的利益群体，在债权让与的过程中将形成相互牵制的利益链条，要挖掘制度的核心利益必须对利益关系进行简化</w:t>
      </w:r>
      <w:r>
        <w:rPr>
          <w:rFonts w:hint="eastAsia" w:asciiTheme="minorAscii" w:eastAsiaTheme="minorEastAsia"/>
          <w:lang w:val="en-US" w:eastAsia="zh-CN"/>
        </w:rPr>
        <w:t>。</w:t>
      </w:r>
    </w:p>
    <w:p w14:paraId="59D6B4A2">
      <w:pPr>
        <w:bidi w:val="0"/>
        <w:ind w:firstLine="480" w:firstLineChars="200"/>
        <w:rPr>
          <w:rFonts w:hint="eastAsia" w:asciiTheme="minorAscii" w:eastAsiaTheme="minorEastAsia"/>
          <w:lang w:val="en-US" w:eastAsia="zh-CN"/>
        </w:rPr>
      </w:pPr>
      <w:r>
        <w:rPr>
          <w:rFonts w:hint="eastAsia" w:ascii="Times New Roman" w:eastAsia="宋体"/>
          <w:lang w:val="en-US" w:eastAsia="zh-CN"/>
        </w:rPr>
        <w:t>对于债权让与制度的利益分析，有学者对群体利益进行了详细的区分与剖析。</w:t>
      </w:r>
      <w:r>
        <w:rPr>
          <w:rStyle w:val="12"/>
          <w:rFonts w:hint="eastAsia" w:ascii="Times New Roman" w:eastAsia="宋体"/>
          <w:lang w:val="en-US" w:eastAsia="zh-CN"/>
        </w:rPr>
        <w:footnoteReference w:id="11"/>
      </w:r>
      <w:r>
        <w:rPr>
          <w:rFonts w:hint="eastAsia"/>
          <w:lang w:val="en-US" w:eastAsia="zh-CN"/>
        </w:rPr>
        <w:t>总的来说，对群体利益进行逐一分析在债权让与制度中既不必要，也无可能。一方面，从已有的研究来看，逐一分析法在利益分析过程中出现了群体重叠的问题。例如</w:t>
      </w:r>
      <w:r>
        <w:rPr>
          <w:rFonts w:hint="eastAsia" w:asciiTheme="minorAscii" w:eastAsiaTheme="minorEastAsia"/>
          <w:lang w:val="en-US" w:eastAsia="zh-CN"/>
        </w:rPr>
        <w:t>潜在受让人的利益看似作为独立的利益群体，但其对债权无瑕疵流转的需要，与现实受让人具有相同的追求，已被包含在对现实受让人的保护之中。当制度能够确保受让人取得完整债权时，潜在受让人的交易决策自然会因妥当的债权让与制度而获得保障。</w:t>
      </w:r>
      <w:r>
        <w:rPr>
          <w:rFonts w:hint="eastAsia"/>
          <w:lang w:val="en-US" w:eastAsia="zh-CN"/>
        </w:rPr>
        <w:t>另一方面，正如前文所例，债权让与的事实在各类群体的其他场景下将与更多的主体产生关联，群体类型实际上无法穷举。</w:t>
      </w:r>
      <w:r>
        <w:rPr>
          <w:rFonts w:hint="eastAsia" w:asciiTheme="minorAscii" w:eastAsiaTheme="minorEastAsia"/>
          <w:lang w:val="en-US" w:eastAsia="zh-CN"/>
        </w:rPr>
        <w:t>制度利益的保护应聚焦于核心利益，</w:t>
      </w:r>
      <w:r>
        <w:rPr>
          <w:rStyle w:val="12"/>
          <w:rFonts w:hint="eastAsia" w:ascii="宋体" w:hAnsi="宋体" w:eastAsia="宋体" w:cs="宋体"/>
          <w:szCs w:val="24"/>
          <w:lang w:val="en-US" w:eastAsia="zh-CN"/>
        </w:rPr>
        <w:footnoteReference w:id="12"/>
      </w:r>
      <w:r>
        <w:rPr>
          <w:rFonts w:hint="eastAsia" w:asciiTheme="minorAscii" w:eastAsiaTheme="minorEastAsia"/>
          <w:lang w:val="en-US" w:eastAsia="zh-CN"/>
        </w:rPr>
        <w:t>与核心利益趋同的利益无需重复回应。对于制度利益中包含的非核心利益，则应在让与制度之外寻找保护的路径。例如</w:t>
      </w:r>
      <w:r>
        <w:rPr>
          <w:rFonts w:hint="eastAsia"/>
          <w:lang w:val="en-US" w:eastAsia="zh-CN"/>
        </w:rPr>
        <w:t>在对让与人之</w:t>
      </w:r>
      <w:r>
        <w:rPr>
          <w:rFonts w:hint="eastAsia" w:asciiTheme="minorAscii" w:eastAsiaTheme="minorEastAsia"/>
          <w:lang w:val="en-US" w:eastAsia="zh-CN"/>
        </w:rPr>
        <w:t>普通债权人</w:t>
      </w:r>
      <w:r>
        <w:rPr>
          <w:rFonts w:hint="eastAsia"/>
          <w:lang w:val="en-US" w:eastAsia="zh-CN"/>
        </w:rPr>
        <w:t>和担保债权人的保护上，普通债权人</w:t>
      </w:r>
      <w:r>
        <w:rPr>
          <w:rFonts w:hint="eastAsia" w:asciiTheme="minorAscii" w:eastAsiaTheme="minorEastAsia"/>
          <w:lang w:val="en-US" w:eastAsia="zh-CN"/>
        </w:rPr>
        <w:t>对让与人资信的关注不逊于担保债权人，</w:t>
      </w:r>
      <w:r>
        <w:rPr>
          <w:rStyle w:val="12"/>
          <w:rFonts w:hint="eastAsia" w:ascii="宋体" w:hAnsi="宋体" w:eastAsia="宋体" w:cs="宋体"/>
          <w:szCs w:val="24"/>
          <w:lang w:val="en-US" w:eastAsia="zh-CN"/>
        </w:rPr>
        <w:footnoteReference w:id="13"/>
      </w:r>
      <w:r>
        <w:rPr>
          <w:rFonts w:hint="eastAsia" w:asciiTheme="minorAscii" w:eastAsiaTheme="minorEastAsia"/>
          <w:lang w:val="en-US" w:eastAsia="zh-CN"/>
        </w:rPr>
        <w:t>但其未在事先为自己的债权争取</w:t>
      </w:r>
      <w:r>
        <w:rPr>
          <w:rFonts w:hint="eastAsia"/>
          <w:lang w:val="en-US" w:eastAsia="zh-CN"/>
        </w:rPr>
        <w:t>以被让与债权为</w:t>
      </w:r>
      <w:r>
        <w:rPr>
          <w:rFonts w:hint="eastAsia" w:asciiTheme="minorAscii" w:eastAsiaTheme="minorEastAsia"/>
          <w:lang w:val="en-US" w:eastAsia="zh-CN"/>
        </w:rPr>
        <w:t>担保而无法受到优先保护</w:t>
      </w:r>
      <w:r>
        <w:rPr>
          <w:rFonts w:hint="eastAsia"/>
          <w:lang w:val="en-US" w:eastAsia="zh-CN"/>
        </w:rPr>
        <w:t>，对</w:t>
      </w:r>
      <w:r>
        <w:rPr>
          <w:rFonts w:hint="eastAsia" w:asciiTheme="minorAscii" w:eastAsiaTheme="minorEastAsia"/>
          <w:lang w:val="en-US" w:eastAsia="zh-CN"/>
        </w:rPr>
        <w:t>其利益的保护</w:t>
      </w:r>
      <w:r>
        <w:rPr>
          <w:rFonts w:hint="eastAsia"/>
          <w:lang w:val="en-US" w:eastAsia="zh-CN"/>
        </w:rPr>
        <w:t>交由</w:t>
      </w:r>
      <w:r>
        <w:rPr>
          <w:rFonts w:hint="eastAsia" w:asciiTheme="minorAscii" w:eastAsiaTheme="minorEastAsia"/>
          <w:lang w:val="en-US" w:eastAsia="zh-CN"/>
        </w:rPr>
        <w:t>债权人撤销权制度，若让与行为损害</w:t>
      </w:r>
      <w:r>
        <w:rPr>
          <w:rFonts w:hint="eastAsia"/>
          <w:lang w:val="en-US" w:eastAsia="zh-CN"/>
        </w:rPr>
        <w:t>普通债权人的</w:t>
      </w:r>
      <w:r>
        <w:rPr>
          <w:rFonts w:hint="eastAsia" w:asciiTheme="minorAscii" w:eastAsiaTheme="minorEastAsia"/>
          <w:lang w:val="en-US" w:eastAsia="zh-CN"/>
        </w:rPr>
        <w:t>债权实现，债权人可依《民法典》第539条撤销</w:t>
      </w:r>
      <w:r>
        <w:rPr>
          <w:rFonts w:hint="eastAsia"/>
          <w:lang w:val="en-US" w:eastAsia="zh-CN"/>
        </w:rPr>
        <w:t>让与人与受让人间的让与行为</w:t>
      </w:r>
      <w:r>
        <w:rPr>
          <w:rFonts w:hint="eastAsia" w:asciiTheme="minorAscii" w:eastAsiaTheme="minorEastAsia"/>
          <w:lang w:val="en-US" w:eastAsia="zh-CN"/>
        </w:rPr>
        <w:t>。</w:t>
      </w:r>
      <w:r>
        <w:rPr>
          <w:rFonts w:hint="eastAsia"/>
          <w:lang w:val="en-US" w:eastAsia="zh-CN"/>
        </w:rPr>
        <w:t>与此相同的其他群体利益</w:t>
      </w:r>
      <w:r>
        <w:rPr>
          <w:rFonts w:hint="eastAsia" w:asciiTheme="minorAscii" w:eastAsiaTheme="minorEastAsia"/>
          <w:lang w:val="en-US" w:eastAsia="zh-CN"/>
        </w:rPr>
        <w:t>亦应交由各专门制度</w:t>
      </w:r>
      <w:r>
        <w:rPr>
          <w:rFonts w:hint="eastAsia"/>
          <w:lang w:val="en-US" w:eastAsia="zh-CN"/>
        </w:rPr>
        <w:t>衔接</w:t>
      </w:r>
      <w:r>
        <w:rPr>
          <w:rFonts w:hint="eastAsia" w:asciiTheme="minorAscii" w:eastAsiaTheme="minorEastAsia"/>
          <w:lang w:val="en-US" w:eastAsia="zh-CN"/>
        </w:rPr>
        <w:t>处理，无需于债权让与制度内进行事前的保护。</w:t>
      </w:r>
      <w:r>
        <w:rPr>
          <w:rFonts w:hint="eastAsia"/>
          <w:lang w:val="en-US" w:eastAsia="zh-CN"/>
        </w:rPr>
        <w:t>债权让与的典型交易结构是让与人将债权移转于受让人，受让人基于债权取得向债务人请求给付的权利，债务人则因债权主体变更而负有向新债权人履行的义务，《民法典》的规范重心也始终落在三方主体的互动上。因此虽无法直接锁定制度的核心利益，但至少可先将范围进行限缩至此，再行细致衡量。</w:t>
      </w:r>
    </w:p>
    <w:p w14:paraId="0E4A947D">
      <w:pPr>
        <w:bidi w:val="0"/>
        <w:ind w:firstLine="480" w:firstLineChars="200"/>
        <w:outlineLvl w:val="2"/>
        <w:rPr>
          <w:rFonts w:hint="default" w:asciiTheme="minorAscii" w:eastAsiaTheme="minorEastAsia"/>
          <w:lang w:val="en-US" w:eastAsia="zh-CN"/>
        </w:rPr>
      </w:pPr>
      <w:bookmarkStart w:id="6" w:name="_Toc2104908917"/>
      <w:bookmarkStart w:id="7" w:name="_Toc9478"/>
      <w:r>
        <w:rPr>
          <w:rFonts w:hint="eastAsia"/>
          <w:lang w:val="en-US" w:eastAsia="zh-CN"/>
        </w:rPr>
        <w:t>（二）债权让与中的异质利益衡量</w:t>
      </w:r>
      <w:bookmarkEnd w:id="6"/>
      <w:bookmarkEnd w:id="7"/>
    </w:p>
    <w:p w14:paraId="5424FBF5">
      <w:pPr>
        <w:bidi w:val="0"/>
        <w:rPr>
          <w:rFonts w:hint="eastAsia" w:ascii="宋体" w:hAnsi="宋体" w:eastAsia="宋体" w:cs="宋体"/>
          <w:kern w:val="2"/>
          <w:sz w:val="24"/>
          <w:szCs w:val="24"/>
          <w:lang w:val="en-US" w:eastAsia="zh-CN" w:bidi="ar-SA"/>
        </w:rPr>
      </w:pPr>
      <w:r>
        <w:rPr>
          <w:rFonts w:hint="eastAsia" w:asciiTheme="minorAscii" w:eastAsiaTheme="minorEastAsia"/>
          <w:lang w:val="en-US" w:eastAsia="zh-CN"/>
        </w:rPr>
        <w:t>债务人信赖利益受到我国立法的保护</w:t>
      </w:r>
      <w:r>
        <w:rPr>
          <w:rFonts w:hint="default" w:asciiTheme="minorAscii" w:eastAsiaTheme="minorEastAsia"/>
          <w:lang w:val="en-US" w:eastAsia="zh-CN"/>
        </w:rPr>
        <w:t>，</w:t>
      </w:r>
      <w:r>
        <w:rPr>
          <w:rFonts w:hint="eastAsia" w:asciiTheme="minorAscii" w:eastAsiaTheme="minorEastAsia"/>
          <w:lang w:val="en-US" w:eastAsia="zh-CN"/>
        </w:rPr>
        <w:t>但并非</w:t>
      </w:r>
      <w:r>
        <w:rPr>
          <w:rFonts w:hint="default" w:asciiTheme="minorAscii" w:eastAsiaTheme="minorEastAsia"/>
          <w:lang w:val="en-US" w:eastAsia="zh-CN"/>
        </w:rPr>
        <w:t>唯一</w:t>
      </w:r>
      <w:r>
        <w:rPr>
          <w:rFonts w:hint="default"/>
          <w:lang w:val="en-US" w:eastAsia="zh-CN"/>
        </w:rPr>
        <w:t>的</w:t>
      </w:r>
      <w:r>
        <w:rPr>
          <w:rFonts w:hint="default" w:asciiTheme="minorAscii" w:eastAsiaTheme="minorEastAsia"/>
          <w:lang w:val="en-US" w:eastAsia="zh-CN"/>
        </w:rPr>
        <w:t>制度利益</w:t>
      </w:r>
      <w:r>
        <w:rPr>
          <w:rFonts w:hint="eastAsia" w:asciiTheme="minorAscii" w:eastAsiaTheme="minorEastAsia"/>
          <w:lang w:val="en-US" w:eastAsia="zh-CN"/>
        </w:rPr>
        <w:t>。债权让与不需要经过债务人的同意即可生效，所以债权让与不应对债务人造成不利影响，</w:t>
      </w:r>
      <w:r>
        <w:rPr>
          <w:rStyle w:val="12"/>
          <w:rFonts w:hint="eastAsia" w:ascii="宋体" w:hAnsi="宋体" w:eastAsia="宋体" w:cs="宋体"/>
          <w:szCs w:val="24"/>
          <w:lang w:val="en-US" w:eastAsia="zh-CN"/>
        </w:rPr>
        <w:footnoteReference w:id="14"/>
      </w:r>
      <w:r>
        <w:rPr>
          <w:rFonts w:hint="eastAsia" w:asciiTheme="minorAscii" w:eastAsiaTheme="minorEastAsia"/>
          <w:lang w:val="en-US" w:eastAsia="zh-CN"/>
        </w:rPr>
        <w:t>于是保护债务人成了传统债权让与制度设计的根本价值取向。立法者</w:t>
      </w:r>
      <w:r>
        <w:rPr>
          <w:rFonts w:hint="eastAsia"/>
          <w:lang w:val="en-US" w:eastAsia="zh-CN"/>
        </w:rPr>
        <w:t>虽</w:t>
      </w:r>
      <w:r>
        <w:rPr>
          <w:rFonts w:hint="eastAsia" w:asciiTheme="minorAscii" w:eastAsiaTheme="minorEastAsia"/>
          <w:lang w:val="en-US" w:eastAsia="zh-CN"/>
        </w:rPr>
        <w:t>从保护债务人的立场出发规定的债权移转通知，</w:t>
      </w:r>
      <w:r>
        <w:rPr>
          <w:rStyle w:val="12"/>
          <w:rFonts w:hint="eastAsia"/>
          <w:lang w:val="en-US" w:eastAsia="zh-CN"/>
        </w:rPr>
        <w:footnoteReference w:id="15"/>
      </w:r>
      <w:r>
        <w:rPr>
          <w:rFonts w:hint="eastAsia" w:asciiTheme="minorAscii" w:eastAsiaTheme="minorEastAsia"/>
          <w:lang w:val="en-US" w:eastAsia="zh-CN"/>
        </w:rPr>
        <w:t>但在一般债权让与的场景中，通知并非仅发挥了保护债务人的功能。通知的作用一方面是使债务人知悉债权人更迭的事实，另一方面鉴于出让人对债务人状况更为熟悉，要求出让人进行通知将更加便利，最终保护了受让人的利益。</w:t>
      </w:r>
      <w:r>
        <w:rPr>
          <w:rStyle w:val="12"/>
          <w:rFonts w:hint="eastAsia" w:ascii="宋体" w:hAnsi="宋体" w:eastAsia="宋体" w:cs="宋体"/>
          <w:szCs w:val="24"/>
          <w:lang w:val="en-US" w:eastAsia="zh-CN"/>
        </w:rPr>
        <w:footnoteReference w:id="16"/>
      </w:r>
      <w:r>
        <w:rPr>
          <w:rFonts w:hint="eastAsia" w:asciiTheme="minorAscii" w:eastAsiaTheme="minorEastAsia"/>
          <w:lang w:val="en-US" w:eastAsia="zh-CN"/>
        </w:rPr>
        <w:t>而在保理业务中，</w:t>
      </w:r>
      <w:r>
        <w:rPr>
          <w:rFonts w:hint="eastAsia" w:ascii="Times New Roman" w:eastAsia="宋体"/>
          <w:lang w:val="en-US" w:eastAsia="zh-CN"/>
        </w:rPr>
        <w:t>《民法典》第768条规定，应收账款多重转让时，已登记的保理人优先于未登记的，即使债务人未收到保理通知，最先登记的保理人仍可对抗其他受让人。</w:t>
      </w:r>
      <w:r>
        <w:rPr>
          <w:rStyle w:val="12"/>
          <w:rFonts w:hint="eastAsia" w:ascii="Times New Roman" w:eastAsia="宋体"/>
          <w:lang w:val="en-US" w:eastAsia="zh-CN"/>
        </w:rPr>
        <w:footnoteReference w:id="17"/>
      </w:r>
      <w:r>
        <w:rPr>
          <w:rFonts w:hint="eastAsia" w:ascii="Times New Roman" w:eastAsia="宋体"/>
          <w:lang w:val="en-US" w:eastAsia="zh-CN"/>
        </w:rPr>
        <w:t>当保理登记与债权转让通知并存时，债务人基于通知向受让人履行后，登记在先的保理人仍可请求受让人返还，</w:t>
      </w:r>
      <w:r>
        <w:rPr>
          <w:rStyle w:val="12"/>
          <w:rFonts w:hint="eastAsia" w:ascii="宋体" w:hAnsi="宋体" w:eastAsia="宋体" w:cs="宋体"/>
          <w:szCs w:val="24"/>
          <w:lang w:val="en-US" w:eastAsia="zh-CN"/>
        </w:rPr>
        <w:footnoteReference w:id="18"/>
      </w:r>
      <w:r>
        <w:rPr>
          <w:rFonts w:hint="eastAsia" w:ascii="Times New Roman" w:eastAsia="宋体"/>
          <w:lang w:val="en-US" w:eastAsia="zh-CN"/>
        </w:rPr>
        <w:t>此时债务人视角内的债权人与登记系统载明的债权人并非同一主体，债务人信赖保护逻辑无法解释为何登记可优先于债务人的知悉状态，因为此时受让人对于交易安全的需求已超过对于债务人之信赖保护，立法在此时并非一味地保护债务人。</w:t>
      </w:r>
    </w:p>
    <w:p w14:paraId="0CFCB054">
      <w:pPr>
        <w:bidi w:val="0"/>
        <w:rPr>
          <w:rFonts w:hint="eastAsia"/>
          <w:lang w:val="en-US" w:eastAsia="zh-CN"/>
        </w:rPr>
      </w:pPr>
      <w:r>
        <w:rPr>
          <w:rFonts w:hint="eastAsia" w:ascii="宋体" w:hAnsi="宋体" w:eastAsia="宋体" w:cs="宋体"/>
          <w:kern w:val="2"/>
          <w:sz w:val="24"/>
          <w:szCs w:val="24"/>
          <w:lang w:val="en-US" w:eastAsia="zh-CN" w:bidi="ar-SA"/>
        </w:rPr>
        <w:t>债务人利益和让与人利益的冲突是必然的，其本质是静态信赖利益与动态交易利益之间的异质利益冲突，</w:t>
      </w:r>
      <w:r>
        <w:rPr>
          <w:rFonts w:hint="default"/>
          <w:lang w:val="en-US" w:eastAsia="zh-CN"/>
        </w:rPr>
        <w:t>动态</w:t>
      </w:r>
      <w:r>
        <w:rPr>
          <w:rFonts w:hint="default" w:asciiTheme="minorAscii" w:eastAsiaTheme="minorEastAsia"/>
          <w:lang w:val="en-US" w:eastAsia="zh-CN"/>
        </w:rPr>
        <w:t>利益经异质利益衡量后具有</w:t>
      </w:r>
      <w:r>
        <w:rPr>
          <w:rFonts w:hint="default"/>
          <w:lang w:val="en-US" w:eastAsia="zh-CN"/>
        </w:rPr>
        <w:t>核心</w:t>
      </w:r>
      <w:r>
        <w:rPr>
          <w:rFonts w:hint="default" w:asciiTheme="minorAscii" w:eastAsiaTheme="minorEastAsia"/>
          <w:lang w:val="en-US" w:eastAsia="zh-CN"/>
        </w:rPr>
        <w:t>地位</w:t>
      </w:r>
      <w:r>
        <w:rPr>
          <w:rFonts w:hint="eastAsia"/>
          <w:lang w:val="en-US" w:eastAsia="zh-CN"/>
        </w:rPr>
        <w:t>，可通过保护受让人进行维护。</w:t>
      </w:r>
      <w:r>
        <w:rPr>
          <w:rFonts w:hint="eastAsia" w:ascii="宋体" w:hAnsi="宋体" w:eastAsia="宋体" w:cs="宋体"/>
          <w:kern w:val="2"/>
          <w:sz w:val="24"/>
          <w:szCs w:val="24"/>
          <w:lang w:val="en-US" w:eastAsia="zh-CN" w:bidi="ar-SA"/>
        </w:rPr>
        <w:t>债务人的信赖利益源于债的相对性原则，债务人只需要向债权人履行债务，只有债权人能够请求其承担债务，</w:t>
      </w:r>
      <w:r>
        <w:rPr>
          <w:rFonts w:hint="eastAsia" w:ascii="宋体" w:hAnsi="宋体" w:eastAsia="宋体" w:cs="宋体"/>
          <w:sz w:val="24"/>
          <w:szCs w:val="24"/>
          <w:lang w:val="en-US" w:eastAsia="zh-CN"/>
        </w:rPr>
        <w:t>在大多数情况下债务人并不希望变更债权人，</w:t>
      </w:r>
      <w:r>
        <w:rPr>
          <w:rFonts w:hint="eastAsia" w:ascii="宋体" w:hAnsi="宋体" w:eastAsia="宋体" w:cs="宋体"/>
          <w:kern w:val="2"/>
          <w:sz w:val="24"/>
          <w:szCs w:val="24"/>
          <w:lang w:val="en-US" w:eastAsia="zh-CN" w:bidi="ar-SA"/>
        </w:rPr>
        <w:t>稳定的债之关系带来的履行简便性形成了债务人的静态利益</w:t>
      </w:r>
      <w:r>
        <w:rPr>
          <w:rFonts w:hint="eastAsia" w:ascii="宋体" w:hAnsi="宋体" w:eastAsia="宋体" w:cs="宋体"/>
          <w:sz w:val="24"/>
          <w:szCs w:val="24"/>
          <w:lang w:val="en-US" w:eastAsia="zh-CN"/>
        </w:rPr>
        <w:t>。让与人的交易利益与市场流转效率、金融安全等社会整体利益相关联，债权的流转具有明显的动态化的特征。动态交易利益与静态信赖利益属于异质利益，无法通过经济价值的高低进行比较，但可通过社会群体的共识实现妥当衡量。</w:t>
      </w:r>
      <w:r>
        <w:rPr>
          <w:rStyle w:val="12"/>
          <w:rFonts w:hint="eastAsia" w:ascii="宋体" w:hAnsi="宋体" w:eastAsia="宋体" w:cs="宋体"/>
          <w:kern w:val="2"/>
          <w:sz w:val="24"/>
          <w:szCs w:val="24"/>
          <w:lang w:val="en-US" w:eastAsia="zh-CN" w:bidi="ar-SA"/>
        </w:rPr>
        <w:footnoteReference w:id="19"/>
      </w:r>
      <w:r>
        <w:rPr>
          <w:rFonts w:hint="eastAsia" w:ascii="宋体" w:hAnsi="宋体" w:eastAsia="宋体" w:cs="宋体"/>
          <w:sz w:val="24"/>
          <w:szCs w:val="24"/>
          <w:lang w:val="en-US" w:eastAsia="zh-CN"/>
        </w:rPr>
        <w:t>“动态利益优先于静态利益”是现代交易的重要共识之一，</w:t>
      </w:r>
      <w:r>
        <w:rPr>
          <w:rStyle w:val="12"/>
          <w:rFonts w:hint="eastAsia" w:ascii="宋体" w:hAnsi="宋体" w:eastAsia="宋体" w:cs="宋体"/>
          <w:kern w:val="2"/>
          <w:sz w:val="24"/>
          <w:szCs w:val="24"/>
          <w:lang w:val="en-US" w:eastAsia="zh-CN" w:bidi="ar-SA"/>
        </w:rPr>
        <w:footnoteReference w:id="20"/>
      </w:r>
      <w:r>
        <w:rPr>
          <w:rFonts w:hint="eastAsia" w:ascii="宋体" w:hAnsi="宋体" w:eastAsia="宋体" w:cs="宋体"/>
          <w:sz w:val="24"/>
          <w:szCs w:val="24"/>
          <w:lang w:val="en-US" w:eastAsia="zh-CN"/>
        </w:rPr>
        <w:t>债权移转制度同样应当遵循这一共识，当债务人的信赖利益与让与人的交易安全发生冲突时，应优先保护后者。动态利益对社会整体福祉的促进作用更为显著，债权人对债权流通所享有利益远高于债务人与债权人之间保持人身关系的利益。</w:t>
      </w:r>
      <w:r>
        <w:rPr>
          <w:rStyle w:val="12"/>
          <w:rFonts w:hint="eastAsia" w:ascii="宋体" w:hAnsi="宋体" w:eastAsia="宋体" w:cs="宋体"/>
          <w:sz w:val="24"/>
          <w:szCs w:val="24"/>
          <w:lang w:val="en-US" w:eastAsia="zh-CN"/>
        </w:rPr>
        <w:footnoteReference w:id="21"/>
      </w:r>
      <w:r>
        <w:rPr>
          <w:rFonts w:hint="eastAsia" w:ascii="宋体" w:hAnsi="宋体" w:eastAsia="宋体" w:cs="宋体"/>
          <w:sz w:val="24"/>
          <w:szCs w:val="24"/>
          <w:lang w:val="en-US" w:eastAsia="zh-CN"/>
        </w:rPr>
        <w:t>而要促进债权的流转，保障受让人安全地位的规则才是决定性的。</w:t>
      </w:r>
      <w:r>
        <w:rPr>
          <w:rStyle w:val="12"/>
          <w:rFonts w:hint="eastAsia" w:ascii="宋体" w:hAnsi="宋体" w:eastAsia="宋体" w:cs="宋体"/>
          <w:kern w:val="2"/>
          <w:sz w:val="24"/>
          <w:szCs w:val="24"/>
          <w:lang w:val="en-US" w:eastAsia="zh-CN" w:bidi="ar-SA"/>
        </w:rPr>
        <w:footnoteReference w:id="22"/>
      </w:r>
      <w:r>
        <w:rPr>
          <w:rFonts w:hint="eastAsia" w:ascii="宋体" w:hAnsi="宋体" w:eastAsia="宋体" w:cs="宋体"/>
          <w:sz w:val="24"/>
          <w:szCs w:val="24"/>
          <w:lang w:val="en-US" w:eastAsia="zh-CN"/>
        </w:rPr>
        <w:t>保护商品交易的动态利益就是保护交易安全，</w:t>
      </w:r>
      <w:r>
        <w:rPr>
          <w:rStyle w:val="12"/>
          <w:rFonts w:hint="eastAsia" w:ascii="宋体" w:hAnsi="宋体" w:eastAsia="宋体" w:cs="宋体"/>
          <w:kern w:val="2"/>
          <w:sz w:val="24"/>
          <w:szCs w:val="24"/>
          <w:lang w:val="en-US" w:eastAsia="zh-CN" w:bidi="ar-SA"/>
        </w:rPr>
        <w:footnoteReference w:id="23"/>
      </w:r>
      <w:r>
        <w:rPr>
          <w:rFonts w:hint="eastAsia" w:ascii="宋体" w:hAnsi="宋体" w:eastAsia="宋体" w:cs="宋体"/>
          <w:sz w:val="24"/>
          <w:szCs w:val="24"/>
          <w:lang w:val="en-US" w:eastAsia="zh-CN"/>
        </w:rPr>
        <w:t>如果交易制度不能使买受人明确权利的最终归属，将极大抑制市场的交易热情。因此，虽让与人利益在债权让与制度中是首要的，</w:t>
      </w:r>
      <w:r>
        <w:rPr>
          <w:rStyle w:val="12"/>
          <w:rFonts w:hint="eastAsia" w:ascii="宋体" w:hAnsi="宋体" w:eastAsia="宋体" w:cs="宋体"/>
          <w:sz w:val="24"/>
          <w:szCs w:val="24"/>
          <w:lang w:val="en-US" w:eastAsia="zh-CN"/>
        </w:rPr>
        <w:footnoteReference w:id="24"/>
      </w:r>
      <w:r>
        <w:rPr>
          <w:rFonts w:hint="eastAsia" w:ascii="宋体" w:hAnsi="宋体" w:eastAsia="宋体" w:cs="宋体"/>
          <w:sz w:val="24"/>
          <w:szCs w:val="24"/>
          <w:lang w:val="en-US" w:eastAsia="zh-CN"/>
        </w:rPr>
        <w:t>但最终与受让人利益形成统一，以保护受让人的方式间接保护让与人。在债权移转制度中，债务人的利益已通过通知生效等规则得到基本保护，债务人不会因债权的意外移转而遭受不测损害。为受让人交易之安全性的确牺牲了债务人利益，</w:t>
      </w:r>
      <w:r>
        <w:rPr>
          <w:rStyle w:val="12"/>
          <w:rFonts w:hint="eastAsia" w:ascii="宋体" w:hAnsi="宋体" w:eastAsia="宋体" w:cs="宋体"/>
          <w:kern w:val="2"/>
          <w:sz w:val="24"/>
          <w:szCs w:val="24"/>
          <w:lang w:val="en-US" w:eastAsia="zh-CN" w:bidi="ar-SA"/>
        </w:rPr>
        <w:footnoteReference w:id="25"/>
      </w:r>
      <w:r>
        <w:rPr>
          <w:rFonts w:hint="eastAsia" w:ascii="宋体" w:hAnsi="宋体" w:eastAsia="宋体" w:cs="宋体"/>
          <w:sz w:val="24"/>
          <w:szCs w:val="24"/>
          <w:lang w:val="en-US" w:eastAsia="zh-CN"/>
        </w:rPr>
        <w:t>但以受让人利益作为债权让与制度之核心，并非否定债务人利益的正当性，而是基于社会整体利益最大化的共识作出的价值选择。</w:t>
      </w:r>
      <w:r>
        <w:rPr>
          <w:rFonts w:hint="eastAsia" w:asciiTheme="minorAscii" w:eastAsiaTheme="minorEastAsia"/>
          <w:lang w:val="en-US" w:eastAsia="zh-CN"/>
        </w:rPr>
        <w:br w:type="page"/>
      </w:r>
    </w:p>
    <w:p w14:paraId="1C538C0B">
      <w:pPr>
        <w:numPr>
          <w:ilvl w:val="0"/>
          <w:numId w:val="0"/>
        </w:numPr>
        <w:bidi w:val="0"/>
        <w:ind w:leftChars="200"/>
        <w:outlineLvl w:val="1"/>
        <w:rPr>
          <w:rFonts w:hint="default"/>
          <w:lang w:val="en-US"/>
        </w:rPr>
      </w:pPr>
      <w:bookmarkStart w:id="8" w:name="_Toc15361"/>
      <w:bookmarkStart w:id="9" w:name="_Toc1706050988"/>
      <w:r>
        <w:rPr>
          <w:rFonts w:hint="eastAsia"/>
          <w:lang w:val="en-US" w:eastAsia="zh-CN"/>
        </w:rPr>
        <w:t>三、债权让与之通知移转主义的</w:t>
      </w:r>
      <w:bookmarkEnd w:id="8"/>
      <w:r>
        <w:rPr>
          <w:rFonts w:hint="eastAsia"/>
          <w:lang w:val="en-US" w:eastAsia="zh-CN"/>
        </w:rPr>
        <w:t>证立</w:t>
      </w:r>
      <w:bookmarkEnd w:id="9"/>
    </w:p>
    <w:p w14:paraId="2C2131E0">
      <w:pPr>
        <w:bidi w:val="0"/>
        <w:outlineLvl w:val="2"/>
        <w:rPr>
          <w:rFonts w:hint="eastAsia"/>
          <w:lang w:val="en-US" w:eastAsia="zh-CN"/>
        </w:rPr>
      </w:pPr>
      <w:bookmarkStart w:id="10" w:name="_Toc397300572"/>
      <w:bookmarkStart w:id="11" w:name="_Toc361"/>
      <w:r>
        <w:rPr>
          <w:rFonts w:hint="eastAsia" w:asciiTheme="minorAscii" w:eastAsiaTheme="minorEastAsia"/>
          <w:lang w:val="en-US" w:eastAsia="zh-CN"/>
        </w:rPr>
        <w:t>（一）</w:t>
      </w:r>
      <w:r>
        <w:rPr>
          <w:rFonts w:hint="eastAsia"/>
          <w:lang w:val="en-US" w:eastAsia="zh-CN"/>
        </w:rPr>
        <w:t>债权让与中</w:t>
      </w:r>
      <w:r>
        <w:rPr>
          <w:rFonts w:hint="eastAsia" w:asciiTheme="minorAscii" w:eastAsiaTheme="minorEastAsia"/>
          <w:lang w:val="en-US" w:eastAsia="zh-CN"/>
        </w:rPr>
        <w:t>对抗规则、优先规则</w:t>
      </w:r>
      <w:r>
        <w:rPr>
          <w:rFonts w:hint="eastAsia"/>
          <w:lang w:val="en-US" w:eastAsia="zh-CN"/>
        </w:rPr>
        <w:t>之表述的反思</w:t>
      </w:r>
      <w:bookmarkEnd w:id="10"/>
    </w:p>
    <w:p w14:paraId="7BD27B11">
      <w:pPr>
        <w:bidi w:val="0"/>
        <w:ind w:firstLine="480"/>
        <w:rPr>
          <w:rFonts w:hint="eastAsia"/>
          <w:lang w:val="en-US" w:eastAsia="zh-CN"/>
        </w:rPr>
      </w:pPr>
      <w:r>
        <w:rPr>
          <w:rFonts w:hint="eastAsia" w:asciiTheme="minorAscii" w:eastAsiaTheme="minorEastAsia"/>
          <w:lang w:val="en-US" w:eastAsia="zh-CN"/>
        </w:rPr>
        <w:t>学界对于债权</w:t>
      </w:r>
      <w:r>
        <w:rPr>
          <w:rFonts w:hint="eastAsia"/>
          <w:lang w:val="en-US" w:eastAsia="zh-CN"/>
        </w:rPr>
        <w:t>让与</w:t>
      </w:r>
      <w:r>
        <w:rPr>
          <w:rFonts w:hint="eastAsia" w:asciiTheme="minorAscii" w:eastAsiaTheme="minorEastAsia"/>
          <w:lang w:val="en-US" w:eastAsia="zh-CN"/>
        </w:rPr>
        <w:t>制度的相关规则，有称为对抗规则者，</w:t>
      </w:r>
      <w:r>
        <w:rPr>
          <w:rStyle w:val="12"/>
          <w:rFonts w:hint="eastAsia" w:ascii="宋体" w:hAnsi="宋体" w:eastAsia="宋体" w:cs="宋体"/>
          <w:b w:val="0"/>
          <w:bCs w:val="0"/>
          <w:szCs w:val="24"/>
          <w:lang w:val="en-US" w:eastAsia="zh-CN"/>
        </w:rPr>
        <w:footnoteReference w:id="26"/>
      </w:r>
      <w:r>
        <w:rPr>
          <w:rFonts w:hint="eastAsia" w:asciiTheme="minorAscii" w:eastAsiaTheme="minorEastAsia"/>
          <w:lang w:val="en-US" w:eastAsia="zh-CN"/>
        </w:rPr>
        <w:t>亦有称为优先规则者，</w:t>
      </w:r>
      <w:r>
        <w:rPr>
          <w:rStyle w:val="12"/>
          <w:rFonts w:hint="eastAsia" w:ascii="宋体" w:hAnsi="宋体" w:eastAsia="宋体" w:cs="宋体"/>
          <w:b w:val="0"/>
          <w:bCs w:val="0"/>
          <w:szCs w:val="24"/>
          <w:lang w:val="en-US" w:eastAsia="zh-CN"/>
        </w:rPr>
        <w:footnoteReference w:id="27"/>
      </w:r>
      <w:r>
        <w:rPr>
          <w:rFonts w:hint="eastAsia"/>
          <w:lang w:val="en-US" w:eastAsia="zh-CN"/>
        </w:rPr>
        <w:t>援此表述者多跟随既有研究，未曾思考如此表述是否贴切表达出债权让与生效规则的应有之义。</w:t>
      </w:r>
    </w:p>
    <w:p w14:paraId="59FB24D8">
      <w:pPr>
        <w:bidi w:val="0"/>
        <w:ind w:firstLine="480"/>
        <w:rPr>
          <w:rFonts w:hint="eastAsia" w:asciiTheme="minorAscii" w:eastAsiaTheme="minorEastAsia"/>
          <w:lang w:val="en-US" w:eastAsia="zh-CN"/>
        </w:rPr>
      </w:pPr>
      <w:r>
        <w:rPr>
          <w:rFonts w:hint="eastAsia" w:asciiTheme="minorAscii" w:eastAsiaTheme="minorEastAsia"/>
          <w:lang w:val="en-US" w:eastAsia="zh-CN"/>
        </w:rPr>
        <w:t>所谓对抗规则，从法律效果看，若已实施的法律行为欠缺对抗规则要求的要件，对善意第三人而言，该法律行为的权利变动效果视为未发生</w:t>
      </w:r>
      <w:r>
        <w:rPr>
          <w:rFonts w:hint="eastAsia"/>
          <w:lang w:val="en-US" w:eastAsia="zh-CN"/>
        </w:rPr>
        <w:t>。</w:t>
      </w:r>
      <w:r>
        <w:rPr>
          <w:rStyle w:val="12"/>
          <w:rFonts w:hint="eastAsia" w:ascii="宋体" w:hAnsi="宋体" w:eastAsia="宋体" w:cs="宋体"/>
          <w:b w:val="0"/>
          <w:bCs w:val="0"/>
          <w:szCs w:val="24"/>
          <w:lang w:val="en-US" w:eastAsia="zh-CN"/>
        </w:rPr>
        <w:footnoteReference w:id="28"/>
      </w:r>
      <w:r>
        <w:rPr>
          <w:rFonts w:hint="eastAsia"/>
          <w:lang w:val="en-US" w:eastAsia="zh-CN"/>
        </w:rPr>
        <w:t>试举一例</w:t>
      </w:r>
      <w:r>
        <w:rPr>
          <w:rFonts w:hint="eastAsia" w:asciiTheme="minorAscii" w:eastAsiaTheme="minorEastAsia"/>
          <w:lang w:val="en-US" w:eastAsia="zh-CN"/>
        </w:rPr>
        <w:t>，A将其所有的机动车转让给B，双方以占有改定方式完成交付但未办理登记，后A又将该机动车转让给善意第三人C并办理移转登记，即便</w:t>
      </w:r>
      <w:r>
        <w:rPr>
          <w:rFonts w:hint="eastAsia"/>
          <w:lang w:val="en-US" w:eastAsia="zh-CN"/>
        </w:rPr>
        <w:t>之后</w:t>
      </w:r>
      <w:r>
        <w:rPr>
          <w:rFonts w:hint="eastAsia" w:asciiTheme="minorAscii" w:eastAsiaTheme="minorEastAsia"/>
          <w:lang w:val="en-US" w:eastAsia="zh-CN"/>
        </w:rPr>
        <w:t>B主张其</w:t>
      </w:r>
      <w:r>
        <w:rPr>
          <w:rFonts w:hint="eastAsia"/>
          <w:lang w:val="en-US" w:eastAsia="zh-CN"/>
        </w:rPr>
        <w:t>已</w:t>
      </w:r>
      <w:r>
        <w:rPr>
          <w:rFonts w:hint="eastAsia" w:asciiTheme="minorAscii" w:eastAsiaTheme="minorEastAsia"/>
          <w:lang w:val="en-US" w:eastAsia="zh-CN"/>
        </w:rPr>
        <w:t>在先受让所有权，C仍</w:t>
      </w:r>
      <w:r>
        <w:rPr>
          <w:rFonts w:hint="eastAsia"/>
          <w:lang w:val="en-US" w:eastAsia="zh-CN"/>
        </w:rPr>
        <w:t>可以B未进行登记的事实否认其</w:t>
      </w:r>
      <w:r>
        <w:rPr>
          <w:rFonts w:hint="eastAsia" w:asciiTheme="minorAscii" w:eastAsiaTheme="minorEastAsia"/>
          <w:lang w:val="en-US" w:eastAsia="zh-CN"/>
        </w:rPr>
        <w:t>主张。此时C可依法取得机动车所有权并非基于善意取得制度</w:t>
      </w:r>
      <w:r>
        <w:rPr>
          <w:rFonts w:hint="eastAsia"/>
          <w:lang w:val="en-US" w:eastAsia="zh-CN"/>
        </w:rPr>
        <w:t>，因为</w:t>
      </w:r>
      <w:r>
        <w:rPr>
          <w:rFonts w:hint="eastAsia" w:asciiTheme="minorAscii" w:eastAsiaTheme="minorEastAsia"/>
          <w:lang w:val="en-US" w:eastAsia="zh-CN"/>
        </w:rPr>
        <w:t>对于C而言，A此时对机动车的处分仍属有权处分，</w:t>
      </w:r>
      <w:r>
        <w:rPr>
          <w:rStyle w:val="12"/>
          <w:rFonts w:hint="eastAsia" w:ascii="宋体" w:hAnsi="宋体" w:eastAsia="宋体" w:cs="宋体"/>
          <w:b w:val="0"/>
          <w:bCs w:val="0"/>
          <w:szCs w:val="24"/>
          <w:lang w:val="en-US" w:eastAsia="zh-CN"/>
        </w:rPr>
        <w:footnoteReference w:id="29"/>
      </w:r>
      <w:r>
        <w:rPr>
          <w:rFonts w:hint="eastAsia" w:asciiTheme="minorAscii" w:eastAsiaTheme="minorEastAsia"/>
          <w:lang w:val="en-US" w:eastAsia="zh-CN"/>
        </w:rPr>
        <w:t>登记的对抗效力旨在排除B</w:t>
      </w:r>
      <w:r>
        <w:rPr>
          <w:rFonts w:hint="eastAsia"/>
          <w:lang w:val="en-US" w:eastAsia="zh-CN"/>
        </w:rPr>
        <w:t>在缺乏登记时的</w:t>
      </w:r>
      <w:r>
        <w:rPr>
          <w:rFonts w:hint="eastAsia" w:asciiTheme="minorAscii" w:eastAsiaTheme="minorEastAsia"/>
          <w:lang w:val="en-US" w:eastAsia="zh-CN"/>
        </w:rPr>
        <w:t>权利主张，而非为C提供完整的信赖保护基础。</w:t>
      </w:r>
      <w:r>
        <w:rPr>
          <w:rFonts w:hint="eastAsia"/>
          <w:lang w:val="en-US" w:eastAsia="zh-CN"/>
        </w:rPr>
        <w:t>对抗</w:t>
      </w:r>
      <w:r>
        <w:rPr>
          <w:rFonts w:hint="eastAsia" w:asciiTheme="minorAscii" w:eastAsiaTheme="minorEastAsia"/>
          <w:lang w:val="en-US" w:eastAsia="zh-CN"/>
        </w:rPr>
        <w:t>规则与意思主义权利变动模式存在高度关联</w:t>
      </w:r>
      <w:r>
        <w:rPr>
          <w:rFonts w:hint="eastAsia"/>
          <w:lang w:val="en-US" w:eastAsia="zh-CN"/>
        </w:rPr>
        <w:t>，</w:t>
      </w:r>
      <w:r>
        <w:rPr>
          <w:rFonts w:hint="eastAsia" w:asciiTheme="minorAscii" w:eastAsiaTheme="minorEastAsia"/>
          <w:vertAlign w:val="superscript"/>
          <w:lang w:val="en-US" w:eastAsia="zh-CN"/>
        </w:rPr>
        <w:footnoteReference w:id="30"/>
      </w:r>
      <w:r>
        <w:rPr>
          <w:rFonts w:hint="eastAsia" w:asciiTheme="minorAscii" w:eastAsiaTheme="minorEastAsia"/>
          <w:lang w:val="en-US" w:eastAsia="zh-CN"/>
        </w:rPr>
        <w:t>但本身</w:t>
      </w:r>
      <w:r>
        <w:rPr>
          <w:rFonts w:hint="eastAsia"/>
          <w:lang w:val="en-US" w:eastAsia="zh-CN"/>
        </w:rPr>
        <w:t>确非</w:t>
      </w:r>
      <w:r>
        <w:rPr>
          <w:rFonts w:hint="eastAsia" w:asciiTheme="minorAscii" w:eastAsiaTheme="minorEastAsia"/>
          <w:lang w:val="en-US" w:eastAsia="zh-CN"/>
        </w:rPr>
        <w:t>权利变动生效要件</w:t>
      </w:r>
      <w:r>
        <w:rPr>
          <w:rFonts w:hint="eastAsia"/>
          <w:lang w:val="en-US" w:eastAsia="zh-CN"/>
        </w:rPr>
        <w:t>，并不直接通过比较对抗力强弱决定权利的归属，因此</w:t>
      </w:r>
      <w:r>
        <w:rPr>
          <w:rFonts w:hint="eastAsia" w:asciiTheme="minorAscii" w:eastAsiaTheme="minorEastAsia"/>
          <w:lang w:val="en-US" w:eastAsia="zh-CN"/>
        </w:rPr>
        <w:t>不能将债权让与的所有效力均归入对抗效力范畴，</w:t>
      </w:r>
      <w:r>
        <w:rPr>
          <w:rFonts w:hint="eastAsia"/>
          <w:lang w:val="en-US" w:eastAsia="zh-CN"/>
        </w:rPr>
        <w:t>也不能以对抗规则指代债权让与生效规则的全部内容。</w:t>
      </w:r>
    </w:p>
    <w:p w14:paraId="23AF41FD">
      <w:pPr>
        <w:bidi w:val="0"/>
        <w:ind w:firstLine="480"/>
        <w:rPr>
          <w:rFonts w:hint="eastAsia"/>
          <w:lang w:val="en-US" w:eastAsia="zh-CN"/>
        </w:rPr>
      </w:pPr>
      <w:r>
        <w:rPr>
          <w:rFonts w:hint="eastAsia"/>
          <w:lang w:val="en-US" w:eastAsia="zh-CN"/>
        </w:rPr>
        <w:t>与权利相关的另一重要规则为优先规则</w:t>
      </w:r>
      <w:r>
        <w:rPr>
          <w:rFonts w:hint="eastAsia" w:asciiTheme="minorAscii" w:eastAsiaTheme="minorEastAsia"/>
          <w:lang w:val="en-US" w:eastAsia="zh-CN"/>
        </w:rPr>
        <w:t>，核心功能在于解决权利实现的顺位冲突，具体是指当多方主体就同一客体提出权利主张时，法律为化解权利冲突，对不同主体的权利实现顺序予以事先明确的规则。</w:t>
      </w:r>
      <w:r>
        <w:rPr>
          <w:rStyle w:val="12"/>
          <w:rFonts w:hint="eastAsia" w:ascii="宋体" w:hAnsi="宋体" w:eastAsia="宋体" w:cs="宋体"/>
          <w:b w:val="0"/>
          <w:bCs w:val="0"/>
          <w:szCs w:val="24"/>
          <w:lang w:val="en-US" w:eastAsia="zh-CN"/>
        </w:rPr>
        <w:footnoteReference w:id="31"/>
      </w:r>
      <w:r>
        <w:rPr>
          <w:rFonts w:hint="eastAsia" w:asciiTheme="minorAscii" w:eastAsiaTheme="minorEastAsia"/>
          <w:lang w:val="en-US" w:eastAsia="zh-CN"/>
        </w:rPr>
        <w:t>这种法律上的不同位阶内在于已取得的权利，典型如优先承租权，优先受偿权等，都附着于其已取得</w:t>
      </w:r>
      <w:r>
        <w:rPr>
          <w:rFonts w:hint="eastAsia"/>
          <w:lang w:val="en-US" w:eastAsia="zh-CN"/>
        </w:rPr>
        <w:t>的</w:t>
      </w:r>
      <w:r>
        <w:rPr>
          <w:rFonts w:hint="eastAsia" w:asciiTheme="minorAscii" w:eastAsiaTheme="minorEastAsia"/>
          <w:lang w:val="en-US" w:eastAsia="zh-CN"/>
        </w:rPr>
        <w:t>承租权和担保物权。在债权多重让与场景中，各受让人基于债权让与合同享有的均为请求出让人移转债权的债权请求权，其法律地位完全平等，不存在典型优先规则所要求的法律地位差异，与优先规则的顺位预设</w:t>
      </w:r>
      <w:r>
        <w:rPr>
          <w:rFonts w:hint="eastAsia"/>
          <w:lang w:val="en-US" w:eastAsia="zh-CN"/>
        </w:rPr>
        <w:t>特性</w:t>
      </w:r>
      <w:r>
        <w:rPr>
          <w:rFonts w:hint="eastAsia" w:asciiTheme="minorAscii" w:eastAsiaTheme="minorEastAsia"/>
          <w:lang w:val="en-US" w:eastAsia="zh-CN"/>
        </w:rPr>
        <w:t>无涉。《最高人民法院关于审理买卖合同纠纷案件适用法律问题的解释》</w:t>
      </w:r>
      <w:r>
        <w:rPr>
          <w:rFonts w:hint="eastAsia"/>
          <w:lang w:val="en-US" w:eastAsia="zh-CN"/>
        </w:rPr>
        <w:t>第9、10条也因违反债权平等原理，为动产多重买卖的履行设定优先规则而饱受批评。</w:t>
      </w:r>
      <w:r>
        <w:rPr>
          <w:rStyle w:val="12"/>
          <w:rFonts w:hint="eastAsia"/>
          <w:lang w:val="en-US" w:eastAsia="zh-CN"/>
        </w:rPr>
        <w:footnoteReference w:id="32"/>
      </w:r>
      <w:r>
        <w:rPr>
          <w:rFonts w:hint="eastAsia"/>
          <w:lang w:val="en-US" w:eastAsia="zh-CN"/>
        </w:rPr>
        <w:t>而就</w:t>
      </w:r>
      <w:r>
        <w:rPr>
          <w:rFonts w:hint="eastAsia" w:asciiTheme="minorAscii" w:eastAsiaTheme="minorEastAsia"/>
          <w:lang w:val="en-US" w:eastAsia="zh-CN"/>
        </w:rPr>
        <w:t>《民法典》第768条而言，</w:t>
      </w:r>
      <w:r>
        <w:rPr>
          <w:rFonts w:hint="eastAsia"/>
          <w:lang w:val="en-US" w:eastAsia="zh-CN"/>
        </w:rPr>
        <w:t>由于</w:t>
      </w:r>
      <w:r>
        <w:rPr>
          <w:rFonts w:hint="eastAsia" w:asciiTheme="minorAscii" w:eastAsiaTheme="minorEastAsia"/>
          <w:highlight w:val="none"/>
          <w:lang w:val="en-US" w:eastAsia="zh-CN"/>
        </w:rPr>
        <w:t>应收账款的商业融资属性被经常地采用，让与担保和买卖之间的界限并不十分清楚</w:t>
      </w:r>
      <w:r>
        <w:rPr>
          <w:rFonts w:hint="eastAsia"/>
          <w:highlight w:val="none"/>
          <w:lang w:val="en-US" w:eastAsia="zh-CN"/>
        </w:rPr>
        <w:t>，</w:t>
      </w:r>
      <w:r>
        <w:rPr>
          <w:rStyle w:val="12"/>
          <w:rFonts w:hint="eastAsia"/>
          <w:highlight w:val="none"/>
          <w:lang w:val="en-US" w:eastAsia="zh-CN"/>
        </w:rPr>
        <w:footnoteReference w:id="33"/>
      </w:r>
      <w:r>
        <w:rPr>
          <w:rFonts w:hint="eastAsia"/>
          <w:highlight w:val="none"/>
          <w:lang w:val="en-US" w:eastAsia="zh-CN"/>
        </w:rPr>
        <w:t>因此</w:t>
      </w:r>
      <w:r>
        <w:rPr>
          <w:rFonts w:hint="eastAsia" w:asciiTheme="minorAscii" w:eastAsiaTheme="minorEastAsia"/>
          <w:lang w:val="en-US" w:eastAsia="zh-CN"/>
        </w:rPr>
        <w:t>该条确立的</w:t>
      </w:r>
      <w:r>
        <w:rPr>
          <w:rFonts w:hint="eastAsia"/>
          <w:lang w:val="en-US" w:eastAsia="zh-CN"/>
        </w:rPr>
        <w:t>登记优先</w:t>
      </w:r>
      <w:r>
        <w:rPr>
          <w:rFonts w:hint="eastAsia" w:asciiTheme="minorAscii" w:eastAsiaTheme="minorEastAsia"/>
          <w:lang w:val="en-US" w:eastAsia="zh-CN"/>
        </w:rPr>
        <w:t>规则，实则借鉴担保制度中的顺位规则构建债权让与的处分效力体系，从规则内容看，其既是债权让与的处分行为规定，</w:t>
      </w:r>
      <w:r>
        <w:rPr>
          <w:rStyle w:val="12"/>
          <w:rFonts w:hint="eastAsia" w:ascii="宋体" w:hAnsi="宋体" w:eastAsia="宋体" w:cs="宋体"/>
          <w:b w:val="0"/>
          <w:bCs w:val="0"/>
          <w:szCs w:val="24"/>
          <w:lang w:val="en-US" w:eastAsia="zh-CN"/>
        </w:rPr>
        <w:footnoteReference w:id="34"/>
      </w:r>
      <w:r>
        <w:rPr>
          <w:rFonts w:hint="eastAsia" w:asciiTheme="minorAscii" w:eastAsiaTheme="minorEastAsia"/>
          <w:lang w:val="en-US" w:eastAsia="zh-CN"/>
        </w:rPr>
        <w:t>又通过“登记优先、通知次先、最后分割”的顺位，对不同受让人的权利主张优先级进行划分</w:t>
      </w:r>
      <w:r>
        <w:rPr>
          <w:rFonts w:hint="eastAsia"/>
          <w:lang w:val="en-US" w:eastAsia="zh-CN"/>
        </w:rPr>
        <w:t>，</w:t>
      </w:r>
      <w:r>
        <w:rPr>
          <w:rFonts w:hint="eastAsia" w:asciiTheme="minorAscii" w:eastAsiaTheme="minorEastAsia"/>
          <w:lang w:val="en-US" w:eastAsia="zh-CN"/>
        </w:rPr>
        <w:t>存在权利变动要件与顺位安排的杂糅性。但需明确其与典型优先规则的区别，该规则并未在受让人之间设定法律地位的本质差异，仅是通过程序要件的完成情况确定权利主张顺序，与优先购买权等基于法律直接规定的地位差异型优先规则有所不同。正如所有权变动模式不应被称为所有权变动优先顺序，债权让与的权利取得规则围绕权利变动要件展开，不涉及权利实现顺位的预设，故不能称之为优先规则。</w:t>
      </w:r>
    </w:p>
    <w:p w14:paraId="102E2225">
      <w:pPr>
        <w:bidi w:val="0"/>
        <w:outlineLvl w:val="9"/>
        <w:rPr>
          <w:rFonts w:hint="eastAsia" w:asciiTheme="minorAscii" w:eastAsiaTheme="minorEastAsia"/>
          <w:lang w:val="en-US" w:eastAsia="zh-CN"/>
        </w:rPr>
      </w:pPr>
      <w:r>
        <w:rPr>
          <w:rFonts w:hint="eastAsia" w:asciiTheme="minorAscii" w:eastAsiaTheme="minorEastAsia"/>
          <w:lang w:val="en-US" w:eastAsia="zh-CN"/>
        </w:rPr>
        <w:t>债权让与的权利归属判定需依托两层规则设计，第一层为变动规则，即通过判断哪一受让人已满足债权变动的全部要件，来认定债权归属。第二层为对抗规则，</w:t>
      </w:r>
      <w:r>
        <w:rPr>
          <w:rFonts w:hint="eastAsia"/>
          <w:lang w:val="en-US" w:eastAsia="zh-CN"/>
        </w:rPr>
        <w:t>因为</w:t>
      </w:r>
      <w:r>
        <w:rPr>
          <w:rFonts w:hint="eastAsia" w:asciiTheme="minorAscii" w:eastAsiaTheme="minorEastAsia"/>
          <w:lang w:val="en-US" w:eastAsia="zh-CN"/>
        </w:rPr>
        <w:t>即便让与人与受让人之间成立债权让与行为，能否对外主张仍是另一问题，</w:t>
      </w:r>
      <w:r>
        <w:rPr>
          <w:rStyle w:val="12"/>
          <w:rFonts w:hint="eastAsia" w:ascii="宋体" w:hAnsi="宋体" w:eastAsia="宋体" w:cs="宋体"/>
          <w:b w:val="0"/>
          <w:bCs w:val="0"/>
          <w:szCs w:val="24"/>
          <w:lang w:val="en-US" w:eastAsia="zh-CN"/>
        </w:rPr>
        <w:footnoteReference w:id="35"/>
      </w:r>
      <w:r>
        <w:rPr>
          <w:rFonts w:hint="eastAsia" w:asciiTheme="minorAscii" w:eastAsiaTheme="minorEastAsia"/>
          <w:lang w:val="en-US" w:eastAsia="zh-CN"/>
        </w:rPr>
        <w:t>仅当依据权利变动规则确定的债权归属无法对抗特定主体时，该规则才具备适用空间。</w:t>
      </w:r>
      <w:r>
        <w:rPr>
          <w:rFonts w:hint="eastAsia"/>
          <w:lang w:val="en-US" w:eastAsia="zh-CN"/>
        </w:rPr>
        <w:t>将债权让与生效规则笼统地称为对抗规则或优先规则是已有现象，前者</w:t>
      </w:r>
      <w:r>
        <w:rPr>
          <w:rFonts w:hint="eastAsia" w:asciiTheme="minorAscii" w:eastAsiaTheme="minorEastAsia"/>
          <w:lang w:val="en-US" w:eastAsia="zh-CN"/>
        </w:rPr>
        <w:t>是将债权让与制度的第一层与第二层设计混淆，认为对抗规则具有确认权利归属的作用，</w:t>
      </w:r>
      <w:r>
        <w:rPr>
          <w:rStyle w:val="12"/>
          <w:rFonts w:hint="eastAsia" w:ascii="宋体" w:hAnsi="宋体" w:eastAsia="宋体" w:cs="宋体"/>
          <w:b w:val="0"/>
          <w:bCs w:val="0"/>
          <w:szCs w:val="24"/>
          <w:lang w:val="en-US" w:eastAsia="zh-CN"/>
        </w:rPr>
        <w:footnoteReference w:id="36"/>
      </w:r>
      <w:r>
        <w:rPr>
          <w:rFonts w:hint="eastAsia" w:asciiTheme="minorAscii" w:eastAsiaTheme="minorEastAsia"/>
          <w:lang w:val="en-US" w:eastAsia="zh-CN"/>
        </w:rPr>
        <w:t>将对抗要件与债权处分权挂钩。</w:t>
      </w:r>
      <w:r>
        <w:rPr>
          <w:rStyle w:val="12"/>
          <w:rFonts w:hint="eastAsia" w:ascii="宋体" w:hAnsi="宋体" w:eastAsia="宋体" w:cs="宋体"/>
          <w:b w:val="0"/>
          <w:bCs w:val="0"/>
          <w:szCs w:val="24"/>
          <w:lang w:val="en-US" w:eastAsia="zh-CN"/>
        </w:rPr>
        <w:footnoteReference w:id="37"/>
      </w:r>
      <w:r>
        <w:rPr>
          <w:rFonts w:hint="eastAsia" w:asciiTheme="minorAscii" w:eastAsiaTheme="minorEastAsia"/>
          <w:lang w:val="en-US" w:eastAsia="zh-CN"/>
        </w:rPr>
        <w:t>后者是未能明晰《民法典》第768条中的“优先”是由担保制度引申而来，不能作为描述非担保型债权让与的通用概念。本文主张</w:t>
      </w:r>
      <w:r>
        <w:rPr>
          <w:rFonts w:hint="eastAsia"/>
          <w:lang w:val="en-US" w:eastAsia="zh-CN"/>
        </w:rPr>
        <w:t>除对保理规定之讨论外不使用“优先”的表述，</w:t>
      </w:r>
      <w:r>
        <w:rPr>
          <w:rFonts w:hint="eastAsia" w:asciiTheme="minorAscii" w:eastAsiaTheme="minorEastAsia"/>
          <w:lang w:val="en-US" w:eastAsia="zh-CN"/>
        </w:rPr>
        <w:t>对于</w:t>
      </w:r>
      <w:r>
        <w:rPr>
          <w:rFonts w:hint="eastAsia"/>
          <w:lang w:val="en-US" w:eastAsia="zh-CN"/>
        </w:rPr>
        <w:t>债权让与</w:t>
      </w:r>
      <w:r>
        <w:rPr>
          <w:rFonts w:hint="eastAsia" w:asciiTheme="minorAscii" w:eastAsiaTheme="minorEastAsia"/>
          <w:lang w:val="en-US" w:eastAsia="zh-CN"/>
        </w:rPr>
        <w:t>第一层制度设计称为移转规则，对抗仅限于描述第二层规则</w:t>
      </w:r>
      <w:r>
        <w:rPr>
          <w:rStyle w:val="12"/>
          <w:rFonts w:hint="eastAsia" w:ascii="宋体" w:hAnsi="宋体" w:eastAsia="宋体" w:cs="宋体"/>
          <w:b w:val="0"/>
          <w:bCs w:val="0"/>
          <w:szCs w:val="24"/>
          <w:lang w:val="en-US" w:eastAsia="zh-CN"/>
        </w:rPr>
        <w:footnoteReference w:id="38"/>
      </w:r>
      <w:r>
        <w:rPr>
          <w:rFonts w:hint="eastAsia"/>
          <w:lang w:val="en-US" w:eastAsia="zh-CN"/>
        </w:rPr>
        <w:t>，</w:t>
      </w:r>
      <w:r>
        <w:rPr>
          <w:rFonts w:hint="eastAsia" w:asciiTheme="minorAscii" w:eastAsiaTheme="minorEastAsia"/>
          <w:lang w:val="en-US" w:eastAsia="zh-CN"/>
        </w:rPr>
        <w:t>后续对于债权让与问题的分析，也需要区分移转与对抗两个问题进行讨论。</w:t>
      </w:r>
    </w:p>
    <w:p w14:paraId="42EDEA0E">
      <w:pPr>
        <w:bidi w:val="0"/>
        <w:outlineLvl w:val="2"/>
        <w:rPr>
          <w:rFonts w:hint="default"/>
          <w:lang w:val="en-US" w:eastAsia="zh-CN"/>
        </w:rPr>
      </w:pPr>
      <w:bookmarkStart w:id="12" w:name="_Toc904055081"/>
      <w:r>
        <w:rPr>
          <w:rFonts w:hint="eastAsia" w:asciiTheme="minorAscii" w:eastAsiaTheme="minorEastAsia"/>
          <w:lang w:val="en-US" w:eastAsia="zh-CN"/>
        </w:rPr>
        <w:t>（</w:t>
      </w:r>
      <w:r>
        <w:rPr>
          <w:rFonts w:hint="eastAsia"/>
          <w:lang w:val="en-US" w:eastAsia="zh-CN"/>
        </w:rPr>
        <w:t>二</w:t>
      </w:r>
      <w:r>
        <w:rPr>
          <w:rFonts w:hint="eastAsia" w:asciiTheme="minorAscii" w:eastAsiaTheme="minorEastAsia"/>
          <w:lang w:val="en-US" w:eastAsia="zh-CN"/>
        </w:rPr>
        <w:t>）债权让与制度的双轨制选择</w:t>
      </w:r>
      <w:bookmarkEnd w:id="12"/>
    </w:p>
    <w:p w14:paraId="770860B4">
      <w:pPr>
        <w:bidi w:val="0"/>
        <w:outlineLvl w:val="3"/>
        <w:rPr>
          <w:rFonts w:hint="eastAsia"/>
          <w:lang w:val="en-US" w:eastAsia="zh-CN"/>
        </w:rPr>
      </w:pPr>
      <w:r>
        <w:rPr>
          <w:rFonts w:hint="eastAsia" w:asciiTheme="minorAscii" w:eastAsiaTheme="minorEastAsia"/>
          <w:lang w:val="en-US" w:eastAsia="zh-CN"/>
        </w:rPr>
        <w:t>1.债权让与单轨制与双轨制的理论争议</w:t>
      </w:r>
    </w:p>
    <w:p w14:paraId="2791A944">
      <w:pPr>
        <w:bidi w:val="0"/>
        <w:ind w:firstLine="480" w:firstLineChars="200"/>
        <w:rPr>
          <w:rFonts w:hint="eastAsia" w:asciiTheme="minorAscii" w:eastAsiaTheme="minorEastAsia"/>
          <w:lang w:val="en-US" w:eastAsia="zh-CN"/>
        </w:rPr>
      </w:pPr>
      <w:r>
        <w:rPr>
          <w:rFonts w:hint="eastAsia" w:asciiTheme="minorAscii" w:eastAsiaTheme="minorEastAsia"/>
          <w:lang w:val="en-US" w:eastAsia="zh-CN"/>
        </w:rPr>
        <w:t>《民法典》第768条针对保理合同中应收账款的多重让与纠纷确立了“登记最先、通知次先、最后比例分配”的权利归属规则，这一方案能否适用于一般债权让与，学界形成了单轨制与双轨制的分歧。</w:t>
      </w:r>
    </w:p>
    <w:p w14:paraId="28872417">
      <w:pPr>
        <w:bidi w:val="0"/>
        <w:rPr>
          <w:rFonts w:hint="eastAsia"/>
          <w:lang w:val="en-US" w:eastAsia="zh-CN"/>
        </w:rPr>
      </w:pPr>
      <w:r>
        <w:rPr>
          <w:rFonts w:hint="eastAsia" w:asciiTheme="minorAscii" w:eastAsiaTheme="minorEastAsia"/>
          <w:lang w:val="en-US" w:eastAsia="zh-CN"/>
        </w:rPr>
        <w:t>单轨制主张《民法典》第768条的体系位置虽位于合同编的分编之中，但其本质是债权多重让与优先顺序的一般规范，在方法论上可以类推适用或直接适用于所有类型的债权让与。</w:t>
      </w:r>
      <w:r>
        <w:rPr>
          <w:rStyle w:val="12"/>
          <w:rFonts w:hint="eastAsia" w:ascii="宋体" w:hAnsi="宋体" w:eastAsia="宋体" w:cs="宋体"/>
          <w:b w:val="0"/>
          <w:bCs w:val="0"/>
          <w:szCs w:val="24"/>
          <w:lang w:val="en-US" w:eastAsia="zh-CN"/>
        </w:rPr>
        <w:footnoteReference w:id="39"/>
      </w:r>
      <w:r>
        <w:rPr>
          <w:rFonts w:hint="eastAsia" w:asciiTheme="minorAscii" w:eastAsiaTheme="minorEastAsia"/>
          <w:lang w:val="en-US" w:eastAsia="zh-CN"/>
        </w:rPr>
        <w:t>若拘泥于体例位置将导致双轨制缺陷，即保理与一般债权让与适用不同顺位规则，引发法律冲突。</w:t>
      </w:r>
      <w:r>
        <w:rPr>
          <w:rStyle w:val="12"/>
          <w:rFonts w:hint="eastAsia" w:ascii="宋体" w:hAnsi="宋体" w:eastAsia="宋体" w:cs="宋体"/>
          <w:b w:val="0"/>
          <w:bCs w:val="0"/>
          <w:szCs w:val="24"/>
          <w:lang w:val="en-US" w:eastAsia="zh-CN"/>
        </w:rPr>
        <w:footnoteReference w:id="40"/>
      </w:r>
      <w:r>
        <w:rPr>
          <w:rFonts w:hint="eastAsia" w:asciiTheme="minorAscii" w:eastAsiaTheme="minorEastAsia"/>
          <w:lang w:val="en-US" w:eastAsia="zh-CN"/>
        </w:rPr>
        <w:t>从学理上看，本质相同或相近的实物，法律上应作统一评价或相近评价，否则难免在价值判断上自相矛盾。</w:t>
      </w:r>
      <w:r>
        <w:rPr>
          <w:rFonts w:hint="eastAsia" w:asciiTheme="minorAscii" w:eastAsiaTheme="minorEastAsia"/>
          <w:vertAlign w:val="superscript"/>
          <w:lang w:val="en-US" w:eastAsia="zh-CN"/>
        </w:rPr>
        <w:footnoteReference w:id="41"/>
      </w:r>
      <w:r>
        <w:rPr>
          <w:rFonts w:hint="eastAsia" w:asciiTheme="minorAscii" w:eastAsiaTheme="minorEastAsia"/>
          <w:lang w:val="en-US" w:eastAsia="zh-CN"/>
        </w:rPr>
        <w:t>相关司法解释也反映出司法裁判者已意识到了负担行为的不同并非决定谁能取得债权的关键因素。</w:t>
      </w:r>
      <w:r>
        <w:rPr>
          <w:rStyle w:val="12"/>
          <w:rFonts w:hint="eastAsia" w:ascii="宋体" w:hAnsi="宋体" w:eastAsia="宋体" w:cs="宋体"/>
          <w:b w:val="0"/>
          <w:bCs w:val="0"/>
          <w:szCs w:val="24"/>
          <w:lang w:val="en-US" w:eastAsia="zh-CN"/>
        </w:rPr>
        <w:footnoteReference w:id="42"/>
      </w:r>
    </w:p>
    <w:p w14:paraId="419CACBF">
      <w:pPr>
        <w:bidi w:val="0"/>
        <w:ind w:firstLine="480"/>
        <w:rPr>
          <w:rFonts w:hint="default"/>
          <w:lang w:val="en-US" w:eastAsia="zh-CN"/>
        </w:rPr>
      </w:pPr>
      <w:r>
        <w:rPr>
          <w:rFonts w:hint="eastAsia" w:asciiTheme="minorAscii" w:eastAsiaTheme="minorEastAsia"/>
          <w:lang w:val="en-US" w:eastAsia="zh-CN"/>
        </w:rPr>
        <w:t>双轨制强调《民法典》第768条是保理合同的特别规定，其适用范围应严格限定于保理业务，不得扩展至普通债权让与，并对此提出诸多质疑。</w:t>
      </w:r>
      <w:r>
        <w:rPr>
          <w:rStyle w:val="12"/>
          <w:rFonts w:hint="eastAsia" w:ascii="宋体" w:hAnsi="宋体" w:eastAsia="宋体" w:cs="宋体"/>
          <w:b w:val="0"/>
          <w:bCs w:val="0"/>
          <w:szCs w:val="24"/>
          <w:lang w:val="en-US" w:eastAsia="zh-CN"/>
        </w:rPr>
        <w:footnoteReference w:id="43"/>
      </w:r>
      <w:r>
        <w:rPr>
          <w:rFonts w:hint="eastAsia" w:asciiTheme="minorAscii" w:eastAsiaTheme="minorEastAsia"/>
          <w:lang w:val="en-US" w:eastAsia="zh-CN"/>
        </w:rPr>
        <w:t>保理合同具有特殊的商事属性，与传统债权让与的交易习惯并不一样，径行适用于其他债权让与可能超出当事人预期。</w:t>
      </w:r>
      <w:r>
        <w:rPr>
          <w:rStyle w:val="12"/>
          <w:rFonts w:hint="eastAsia"/>
          <w:lang w:val="en-US" w:eastAsia="zh-CN"/>
        </w:rPr>
        <w:footnoteReference w:id="44"/>
      </w:r>
      <w:r>
        <w:rPr>
          <w:rFonts w:hint="eastAsia" w:asciiTheme="minorAscii" w:eastAsiaTheme="minorEastAsia"/>
          <w:lang w:val="en-US" w:eastAsia="zh-CN"/>
        </w:rPr>
        <w:t>此外，从立法沿革来看，《民法典》第768条在民法典编纂过程中曾被纳入合同编通则，</w:t>
      </w:r>
      <w:r>
        <w:rPr>
          <w:rStyle w:val="12"/>
          <w:rFonts w:hint="eastAsia" w:ascii="宋体" w:hAnsi="宋体" w:eastAsia="宋体" w:cs="宋体"/>
          <w:b w:val="0"/>
          <w:bCs w:val="0"/>
          <w:szCs w:val="24"/>
          <w:lang w:val="en-US" w:eastAsia="zh-CN"/>
        </w:rPr>
        <w:footnoteReference w:id="45"/>
      </w:r>
      <w:r>
        <w:rPr>
          <w:rFonts w:hint="eastAsia" w:asciiTheme="minorAscii" w:eastAsiaTheme="minorEastAsia"/>
          <w:lang w:val="en-US" w:eastAsia="zh-CN"/>
        </w:rPr>
        <w:t>后因争议被移至保理合同章，且条文明确限定于“订立多个保理合同”的情形，的确也可在一定程度上说明立法者限缩适用范围的意图。最高人民法院《关于适用〈中华人民共和国民法典〉有关担保制度的解释》（以下简称《担保制度解释》）第66条第1款在字面上扩大了第768条的适用范围，</w:t>
      </w:r>
      <w:r>
        <w:rPr>
          <w:rFonts w:hint="eastAsia" w:asciiTheme="minorAscii" w:eastAsiaTheme="minorEastAsia"/>
          <w:vertAlign w:val="superscript"/>
          <w:lang w:val="en-US" w:eastAsia="zh-CN"/>
        </w:rPr>
        <w:footnoteReference w:id="46"/>
      </w:r>
      <w:r>
        <w:rPr>
          <w:rFonts w:hint="eastAsia" w:asciiTheme="minorAscii" w:eastAsiaTheme="minorEastAsia"/>
          <w:lang w:val="en-US" w:eastAsia="zh-CN"/>
        </w:rPr>
        <w:t>不过在相关的释义书中表示该条款仅适用于保理、质押和债权让与同时存在两种或两种以上的场景，</w:t>
      </w:r>
      <w:r>
        <w:rPr>
          <w:rStyle w:val="12"/>
          <w:rFonts w:hint="eastAsia"/>
          <w:lang w:val="en-US" w:eastAsia="zh-CN"/>
        </w:rPr>
        <w:footnoteReference w:id="47"/>
      </w:r>
      <w:r>
        <w:rPr>
          <w:rFonts w:hint="eastAsia" w:asciiTheme="minorAscii" w:eastAsiaTheme="minorEastAsia"/>
          <w:lang w:val="en-US" w:eastAsia="zh-CN"/>
        </w:rPr>
        <w:t>在仅有债权让与的场景下可否适用仍为疑问。</w:t>
      </w:r>
    </w:p>
    <w:p w14:paraId="121EDD1D">
      <w:pPr>
        <w:bidi w:val="0"/>
        <w:outlineLvl w:val="3"/>
        <w:rPr>
          <w:rFonts w:hint="default"/>
          <w:lang w:val="en-US" w:eastAsia="zh-CN"/>
        </w:rPr>
      </w:pPr>
      <w:r>
        <w:rPr>
          <w:rFonts w:hint="eastAsia" w:asciiTheme="minorAscii" w:eastAsiaTheme="minorEastAsia"/>
          <w:lang w:val="en-US" w:eastAsia="zh-CN"/>
        </w:rPr>
        <w:t>2.对单轨制在解释和实践中的质疑</w:t>
      </w:r>
    </w:p>
    <w:p w14:paraId="028DE4B8">
      <w:pPr>
        <w:bidi w:val="0"/>
        <w:rPr>
          <w:rFonts w:hint="eastAsia"/>
          <w:lang w:val="en-US" w:eastAsia="zh-CN"/>
        </w:rPr>
      </w:pPr>
      <w:r>
        <w:rPr>
          <w:rFonts w:hint="eastAsia" w:asciiTheme="minorAscii" w:eastAsiaTheme="minorEastAsia"/>
          <w:lang w:val="en-US" w:eastAsia="zh-CN"/>
        </w:rPr>
        <w:t>《民法典》关于保理合同的规定开创性地将登记与通知顺序设计为归属的优先顺序。《合同编通则司法解释》第50条一定程度上承认了通知对受让人权利主张的意义，缓解了学界在一般债权让与中对通知手段的诸多质疑，因此若要施行单轨化，还需要着重考虑的问题是采登记制度合理性。</w:t>
      </w:r>
    </w:p>
    <w:p w14:paraId="55CA3809">
      <w:pPr>
        <w:bidi w:val="0"/>
        <w:ind w:firstLine="480" w:firstLineChars="200"/>
        <w:rPr>
          <w:rFonts w:hint="eastAsia"/>
          <w:lang w:val="en-US" w:eastAsia="zh-CN"/>
        </w:rPr>
      </w:pPr>
      <w:r>
        <w:rPr>
          <w:rFonts w:hint="eastAsia" w:asciiTheme="minorAscii" w:eastAsiaTheme="minorEastAsia"/>
          <w:lang w:val="en-US" w:eastAsia="zh-CN"/>
        </w:rPr>
        <w:t>围绕单轨制的首要问题是我国保理合同及应收账款登记制度能否支撑单轨制的教义学展开？《民法典》第768条中应收账款和保理人的表述在文义上限制了直接适用于一般债权让与的可能性。从债权让与的主体来看，保理债权的受让人限于保理人，开展商业保理一般均需要经过审批，且有严格的注册资本要求，民事债权受让人明显不具备这些特征。从债权让与的标的来看，让与标的限于“企业因销售商品、提供劳务等经营活动”产生的应收账款。《动产和权利担保统一登记办法》（以下简称《登记办法》）第3条明确将应收账款限定为金钱债权，并在第二条列举的登记类型中排除了非金钱债权。即使部分非金钱债权通过技术手段可实现合理识别，满足《登记办法》对财产可识别性的要求，仍被排除在登记范围之外，可见这一排除是立法者基于债权性质作出的政策选择，而非技术层面的合理识别问题，极大限缩了单轨制适用空间。</w:t>
      </w:r>
    </w:p>
    <w:p w14:paraId="6318A7CE">
      <w:pPr>
        <w:bidi w:val="0"/>
        <w:rPr>
          <w:rFonts w:hint="eastAsia"/>
          <w:lang w:val="en-US" w:eastAsia="zh-CN"/>
        </w:rPr>
      </w:pPr>
      <w:r>
        <w:rPr>
          <w:rFonts w:hint="eastAsia" w:asciiTheme="minorAscii" w:eastAsiaTheme="minorEastAsia"/>
          <w:lang w:val="en-US" w:eastAsia="zh-CN"/>
        </w:rPr>
        <w:t>动产和权利担保登记制度以保障担保功能实现为立法初衷，在适用范围上排除了债权让与。动产和权利担保登记的核心价值在于为第三人提供交易信息、为竞存权利确定优先顺位，</w:t>
      </w:r>
      <w:r>
        <w:rPr>
          <w:rStyle w:val="12"/>
          <w:rFonts w:hint="eastAsia" w:asciiTheme="minorAscii" w:eastAsiaTheme="minorEastAsia"/>
          <w:lang w:val="en-US" w:eastAsia="zh-CN"/>
        </w:rPr>
        <w:footnoteReference w:id="48"/>
      </w:r>
      <w:r>
        <w:rPr>
          <w:rFonts w:hint="eastAsia" w:asciiTheme="minorAscii" w:eastAsiaTheme="minorEastAsia"/>
          <w:lang w:val="en-US" w:eastAsia="zh-CN"/>
        </w:rPr>
        <w:t>而非确认权利归属。由此，债权让与能否纳入该登记体系，需以是否契合担保功能或延伸的融资功能为判断标准。从《民法典》保理制度的规定来看，并非所有保理均具有担保功能。</w:t>
      </w:r>
      <w:r>
        <w:rPr>
          <w:rStyle w:val="12"/>
          <w:rFonts w:hint="eastAsia"/>
          <w:lang w:val="en-US" w:eastAsia="zh-CN"/>
        </w:rPr>
        <w:footnoteReference w:id="49"/>
      </w:r>
      <w:r>
        <w:rPr>
          <w:rFonts w:hint="eastAsia" w:asciiTheme="minorAscii" w:eastAsiaTheme="minorEastAsia"/>
          <w:lang w:val="en-US" w:eastAsia="zh-CN"/>
        </w:rPr>
        <w:t>有追索权的应收账款让与因保理人可向原债权人追索，本质上构成债权让与担保，具备明确的担保功能，符合登记制度保障担保实现的核心目的，自然可直接适用该制度。</w:t>
      </w:r>
      <w:r>
        <w:rPr>
          <w:rStyle w:val="12"/>
          <w:rFonts w:hint="eastAsia" w:ascii="宋体" w:hAnsi="宋体" w:eastAsia="宋体" w:cs="宋体"/>
          <w:b w:val="0"/>
          <w:bCs w:val="0"/>
          <w:szCs w:val="24"/>
          <w:lang w:val="en-US" w:eastAsia="zh-CN"/>
        </w:rPr>
        <w:footnoteReference w:id="50"/>
      </w:r>
      <w:r>
        <w:rPr>
          <w:rFonts w:hint="eastAsia" w:asciiTheme="minorAscii" w:eastAsiaTheme="minorEastAsia"/>
          <w:lang w:val="en-US" w:eastAsia="zh-CN"/>
        </w:rPr>
        <w:t>无追索权的应收账款让与虽不直接体现担保属性，但因其服务于企业融资需求，保理人通过受让应收账款为原债权人提供周转资金，与担保交易的融资功能同质，故被纳入登记系统，本质上是“准用”动产和权利担保登记规则，而非制度原生适用范围。至于一般民事主体间的一般债权让与，既无担保功能，融资属性也并不明显，缺乏纳入权利担保登记体系的正当性，不应适用该制度。</w:t>
      </w:r>
    </w:p>
    <w:p w14:paraId="49F93375">
      <w:pPr>
        <w:bidi w:val="0"/>
        <w:rPr>
          <w:rFonts w:hint="eastAsia"/>
          <w:lang w:val="en-US" w:eastAsia="zh-CN"/>
        </w:rPr>
      </w:pPr>
      <w:r>
        <w:rPr>
          <w:rFonts w:hint="eastAsia" w:asciiTheme="minorAscii" w:eastAsiaTheme="minorEastAsia"/>
          <w:lang w:val="en-US" w:eastAsia="zh-CN"/>
        </w:rPr>
        <w:t>动产和权利担保登记采用声明登记制、单方申请与形式审查模式，无法为债权让与的权利归属真实性提供保障。依据《登记办法》第4条规定，声明登记制下登记申请人仅需提交记载当事人基本信息、担保财产描述等核心要素的声明书，无需提交基础交易合同，登记机构亦仅对材料形式完备性进行审查，不实质核查债权让与的真实性与合法性。登记信息的真实性完全依赖当事人自行保证。此种模式在债权让与登记中暴露出两个局限。其一，无法区分债权让与的法律性质。仅凭形式审查，登记机构难以辨别债权让与是终局性的债权转移还是让与担保，实践中只能对不同性质的债权让与一体登记，登记信息无法准确反映权利实际状态。其二，不具备权利归属与债权真实性的确认功能。登记行为仅表明债权上可能存在权利负担，既不验证债权让与合同的效力，也不核实债权本身是否真实存在，如应收账款对应的基础交易是否实际发生，更不能推定登记的受让人即为真实权利人。</w:t>
      </w:r>
      <w:r>
        <w:rPr>
          <w:rStyle w:val="12"/>
          <w:rFonts w:hint="eastAsia" w:ascii="宋体" w:hAnsi="宋体" w:eastAsia="宋体" w:cs="宋体"/>
          <w:b w:val="0"/>
          <w:bCs w:val="0"/>
          <w:szCs w:val="24"/>
          <w:lang w:val="en-US" w:eastAsia="zh-CN"/>
        </w:rPr>
        <w:footnoteReference w:id="51"/>
      </w:r>
      <w:r>
        <w:rPr>
          <w:rFonts w:hint="eastAsia" w:asciiTheme="minorAscii" w:eastAsiaTheme="minorEastAsia"/>
          <w:lang w:val="en-US" w:eastAsia="zh-CN"/>
        </w:rPr>
        <w:t>登记的核心功能限于警示而非确权。对于潜在交易相对人而言，若需确认权利归属及债权真实性，仍需通过查询基础合同、核实债务人意愿等额外途径自行查明。</w:t>
      </w:r>
      <w:r>
        <w:rPr>
          <w:rStyle w:val="12"/>
          <w:rFonts w:hint="eastAsia" w:asciiTheme="minorAscii" w:eastAsiaTheme="minorEastAsia"/>
          <w:lang w:val="en-US" w:eastAsia="zh-CN"/>
        </w:rPr>
        <w:footnoteReference w:id="52"/>
      </w:r>
    </w:p>
    <w:p w14:paraId="3D05882E">
      <w:pPr>
        <w:numPr>
          <w:ilvl w:val="-1"/>
          <w:numId w:val="0"/>
        </w:numPr>
        <w:bidi w:val="0"/>
        <w:ind w:left="0" w:leftChars="0" w:firstLine="480" w:firstLineChars="200"/>
        <w:outlineLvl w:val="9"/>
        <w:rPr>
          <w:rFonts w:hint="eastAsia"/>
          <w:lang w:val="en-US" w:eastAsia="zh-CN"/>
        </w:rPr>
      </w:pPr>
      <w:r>
        <w:rPr>
          <w:rFonts w:hint="eastAsia" w:asciiTheme="minorAscii" w:eastAsiaTheme="minorEastAsia"/>
          <w:lang w:val="en-US" w:eastAsia="zh-CN"/>
        </w:rPr>
        <w:t>动产和权利担保登记未围绕债权自身建立独立登记档案，限制了债权让与登记的适用</w:t>
      </w:r>
      <w:r>
        <w:rPr>
          <w:rFonts w:hint="default" w:asciiTheme="minorAscii" w:eastAsiaTheme="minorEastAsia"/>
          <w:lang w:val="en-US" w:eastAsia="zh-CN"/>
        </w:rPr>
        <w:t>空间</w:t>
      </w:r>
      <w:r>
        <w:rPr>
          <w:rFonts w:hint="eastAsia" w:asciiTheme="minorAscii" w:eastAsiaTheme="minorEastAsia"/>
          <w:lang w:val="en-US" w:eastAsia="zh-CN"/>
        </w:rPr>
        <w:t>。《登记办法》第9条要求应收账款质押登记首要记载出质人和质权人信息，第26条则明确查询需以出质人的法定注册名称（单位）或身份证件号码（个人）为依据，查询逻辑围绕“出质人”这一主体展开。与不动产登记制度相比，不动产以具有唯一编码的不动产单元为基本登记单位，自始建立包含自然状况、权属状况的完整档案，权利人信息依附于不动产单元而存在。</w:t>
      </w:r>
      <w:r>
        <w:rPr>
          <w:rStyle w:val="12"/>
          <w:rFonts w:hint="eastAsia" w:ascii="宋体" w:hAnsi="宋体" w:eastAsia="宋体" w:cs="宋体"/>
          <w:b w:val="0"/>
          <w:bCs w:val="0"/>
          <w:szCs w:val="24"/>
          <w:lang w:val="en-US" w:eastAsia="zh-CN"/>
        </w:rPr>
        <w:footnoteReference w:id="53"/>
      </w:r>
      <w:r>
        <w:rPr>
          <w:rFonts w:hint="eastAsia" w:asciiTheme="minorAscii" w:eastAsiaTheme="minorEastAsia"/>
          <w:lang w:val="en-US" w:eastAsia="zh-CN"/>
        </w:rPr>
        <w:t>而特殊动产登记制度虽同被认为采登记对抗主义，然在登记机构和登记方式上与动产有很大不同。</w:t>
      </w:r>
      <w:r>
        <w:rPr>
          <w:rStyle w:val="12"/>
          <w:rFonts w:hint="eastAsia"/>
          <w:lang w:val="en-US" w:eastAsia="zh-CN"/>
        </w:rPr>
        <w:footnoteReference w:id="54"/>
      </w:r>
      <w:r>
        <w:rPr>
          <w:rFonts w:hint="eastAsia" w:asciiTheme="minorAscii" w:eastAsiaTheme="minorEastAsia"/>
          <w:lang w:val="en-US" w:eastAsia="zh-CN"/>
        </w:rPr>
        <w:t>《机动车登记规定》明确要求机动车的初次登记，</w:t>
      </w:r>
      <w:r>
        <w:rPr>
          <w:rStyle w:val="12"/>
          <w:rFonts w:hint="eastAsia"/>
          <w:lang w:val="en-US" w:eastAsia="zh-CN"/>
        </w:rPr>
        <w:footnoteReference w:id="55"/>
      </w:r>
      <w:r>
        <w:rPr>
          <w:rFonts w:hint="eastAsia" w:asciiTheme="minorAscii" w:eastAsiaTheme="minorEastAsia"/>
          <w:lang w:val="en-US" w:eastAsia="zh-CN"/>
        </w:rPr>
        <w:t>并对机动车所有权人的身份来历和机动车来历等信息进行核查，</w:t>
      </w:r>
      <w:r>
        <w:rPr>
          <w:rStyle w:val="12"/>
          <w:rFonts w:hint="eastAsia"/>
          <w:lang w:val="en-US" w:eastAsia="zh-CN"/>
        </w:rPr>
        <w:footnoteReference w:id="56"/>
      </w:r>
      <w:r>
        <w:rPr>
          <w:rFonts w:hint="eastAsia" w:asciiTheme="minorAscii" w:eastAsiaTheme="minorEastAsia"/>
          <w:lang w:val="en-US" w:eastAsia="zh-CN"/>
        </w:rPr>
        <w:t>在机动车所有权发生变更</w:t>
      </w:r>
      <w:r>
        <w:rPr>
          <w:rStyle w:val="12"/>
          <w:rFonts w:hint="eastAsia"/>
          <w:lang w:val="en-US" w:eastAsia="zh-CN"/>
        </w:rPr>
        <w:footnoteReference w:id="57"/>
      </w:r>
      <w:r>
        <w:rPr>
          <w:rFonts w:hint="eastAsia" w:asciiTheme="minorAscii" w:eastAsiaTheme="minorEastAsia"/>
          <w:lang w:val="en-US" w:eastAsia="zh-CN"/>
        </w:rPr>
        <w:t>或对机动车设立抵押时</w:t>
      </w:r>
      <w:r>
        <w:rPr>
          <w:rStyle w:val="12"/>
          <w:rFonts w:hint="eastAsia"/>
          <w:lang w:val="en-US" w:eastAsia="zh-CN"/>
        </w:rPr>
        <w:footnoteReference w:id="58"/>
      </w:r>
      <w:r>
        <w:rPr>
          <w:rFonts w:hint="eastAsia" w:asciiTheme="minorAscii" w:eastAsiaTheme="minorEastAsia"/>
          <w:lang w:val="en-US" w:eastAsia="zh-CN"/>
        </w:rPr>
        <w:t>，也需要对相应事项进行登记。整体上看，机动车登记制度围绕着机动车展开，虽为动产登记，但更类似于不动产登记的设计，其登记簿具有的公示效力足以支撑登记对抗的需要。相比之下，债权让与登记存在显著信息缺失问题。在首次登记前，登记系统中并无该债权的任何基础信息，如债权金额、债务人、履行期限等。对于一般债权让与，因不涉及担保或融资需求，也不符合民事主体的交易习惯，债权人无主动登记的动力，债务人亦无激励配合登记，立法又不强制当事人进行登记，导致主动登记的概率极低，登记制度本应具备的信息公示功能在此场景下完全落空。</w:t>
      </w:r>
      <w:bookmarkEnd w:id="11"/>
      <w:bookmarkStart w:id="13" w:name="_Toc24431"/>
    </w:p>
    <w:p w14:paraId="676381A4">
      <w:pPr>
        <w:numPr>
          <w:ilvl w:val="-1"/>
          <w:numId w:val="0"/>
        </w:numPr>
        <w:bidi w:val="0"/>
        <w:ind w:left="480" w:leftChars="200" w:firstLine="0" w:firstLineChars="0"/>
        <w:outlineLvl w:val="2"/>
        <w:rPr>
          <w:rFonts w:hint="default"/>
          <w:lang w:val="en-US"/>
        </w:rPr>
      </w:pPr>
      <w:bookmarkStart w:id="14" w:name="_Toc1006943842"/>
      <w:r>
        <w:rPr>
          <w:rFonts w:hint="eastAsia"/>
          <w:lang w:val="en-US" w:eastAsia="zh-CN"/>
        </w:rPr>
        <w:t>（三）通知移转主义之可行性的证</w:t>
      </w:r>
      <w:bookmarkEnd w:id="13"/>
      <w:r>
        <w:rPr>
          <w:rFonts w:hint="eastAsia"/>
          <w:lang w:val="en-US" w:eastAsia="zh-CN"/>
        </w:rPr>
        <w:t>成</w:t>
      </w:r>
      <w:bookmarkEnd w:id="14"/>
    </w:p>
    <w:p w14:paraId="2F835533">
      <w:pPr>
        <w:bidi w:val="0"/>
        <w:outlineLvl w:val="3"/>
        <w:rPr>
          <w:rFonts w:hint="default"/>
          <w:lang w:val="en-US" w:eastAsia="zh-CN"/>
        </w:rPr>
      </w:pPr>
      <w:r>
        <w:rPr>
          <w:rFonts w:hint="eastAsia"/>
          <w:lang w:val="en-US" w:eastAsia="zh-CN"/>
        </w:rPr>
        <w:t>1.</w:t>
      </w:r>
      <w:r>
        <w:rPr>
          <w:rFonts w:hint="eastAsia" w:asciiTheme="minorAscii" w:eastAsiaTheme="minorEastAsia"/>
          <w:lang w:val="en-US" w:eastAsia="zh-CN"/>
        </w:rPr>
        <w:t>债权让与生效规则</w:t>
      </w:r>
      <w:r>
        <w:rPr>
          <w:rFonts w:hint="eastAsia"/>
          <w:lang w:val="en-US" w:eastAsia="zh-CN"/>
        </w:rPr>
        <w:t>主要</w:t>
      </w:r>
      <w:r>
        <w:rPr>
          <w:rFonts w:hint="eastAsia" w:asciiTheme="minorAscii" w:eastAsiaTheme="minorEastAsia"/>
          <w:lang w:val="en-US" w:eastAsia="zh-CN"/>
        </w:rPr>
        <w:t>学说的</w:t>
      </w:r>
      <w:r>
        <w:rPr>
          <w:rFonts w:hint="eastAsia"/>
          <w:lang w:val="en-US" w:eastAsia="zh-CN"/>
        </w:rPr>
        <w:t>介绍</w:t>
      </w:r>
    </w:p>
    <w:p w14:paraId="19490071">
      <w:pPr>
        <w:bidi w:val="0"/>
        <w:ind w:firstLine="480"/>
        <w:rPr>
          <w:rFonts w:hint="eastAsia" w:asciiTheme="minorAscii" w:eastAsiaTheme="minorEastAsia"/>
          <w:lang w:val="en-US" w:eastAsia="zh-CN"/>
        </w:rPr>
      </w:pPr>
      <w:r>
        <w:rPr>
          <w:rFonts w:hint="eastAsia" w:asciiTheme="minorAscii" w:eastAsiaTheme="minorEastAsia"/>
          <w:lang w:val="en-US" w:eastAsia="zh-CN"/>
        </w:rPr>
        <w:t>学界在实证法和比较法经验的基础上对债权让与制度产生了激烈地讨论，鉴于前文对单轨制的评述中已放弃对登记的选择，且《合同编通则司法解释》在起草过程中的争论集中在合意和通知的效力上，后文将主要就此展开讨论。</w:t>
      </w:r>
    </w:p>
    <w:p w14:paraId="11B992C1">
      <w:pPr>
        <w:spacing w:line="240" w:lineRule="auto"/>
        <w:rPr>
          <w:rFonts w:hint="eastAsia" w:asciiTheme="minorEastAsia" w:hAnsiTheme="minorEastAsia" w:eastAsiaTheme="minorEastAsia" w:cstheme="minorEastAsia"/>
          <w:lang w:val="en-US" w:eastAsia="zh-CN"/>
        </w:rPr>
      </w:pPr>
      <w:r>
        <w:rPr>
          <w:rFonts w:hint="eastAsia" w:asciiTheme="minorAscii" w:eastAsiaTheme="minorEastAsia"/>
          <w:lang w:val="en-US" w:eastAsia="zh-CN"/>
        </w:rPr>
        <w:t>债权取得方式可分成两种路线，一为通知移转主义，此种学说认为债权应当依据债权让与通知发生移转，</w:t>
      </w:r>
      <w:r>
        <w:rPr>
          <w:rStyle w:val="12"/>
        </w:rPr>
        <w:footnoteReference w:id="59"/>
      </w:r>
      <w:r>
        <w:rPr>
          <w:rFonts w:hint="eastAsia" w:asciiTheme="minorAscii" w:eastAsiaTheme="minorEastAsia"/>
          <w:lang w:val="en-US" w:eastAsia="zh-CN"/>
        </w:rPr>
        <w:t>债权让与协议与债权让与行为相区分，通知可作为协议的履行行为使受让人真正取得权利</w:t>
      </w:r>
      <w:r>
        <w:rPr>
          <w:rFonts w:hint="eastAsia"/>
          <w:lang w:val="en-US" w:eastAsia="zh-CN"/>
        </w:rPr>
        <w:t>，</w:t>
      </w:r>
      <w:r>
        <w:rPr>
          <w:rStyle w:val="12"/>
          <w:rFonts w:hint="eastAsia" w:asciiTheme="minorAscii" w:eastAsiaTheme="minorEastAsia"/>
          <w:lang w:val="en-US" w:eastAsia="zh-CN"/>
        </w:rPr>
        <w:footnoteReference w:id="60"/>
      </w:r>
      <w:r>
        <w:rPr>
          <w:rFonts w:hint="eastAsia"/>
          <w:lang w:val="en-US" w:eastAsia="zh-CN"/>
        </w:rPr>
        <w:t>且此种取得可对抗其他受让人。</w:t>
      </w:r>
      <w:r>
        <w:rPr>
          <w:rFonts w:hint="eastAsia" w:asciiTheme="minorAscii" w:eastAsiaTheme="minorEastAsia"/>
          <w:lang w:val="en-US" w:eastAsia="zh-CN"/>
        </w:rPr>
        <w:t>二为合意移转主义，</w:t>
      </w:r>
      <w:r>
        <w:rPr>
          <w:rFonts w:hint="eastAsia" w:asciiTheme="minorEastAsia" w:hAnsiTheme="minorEastAsia" w:eastAsiaTheme="minorEastAsia" w:cstheme="minorEastAsia"/>
          <w:lang w:val="en-US" w:eastAsia="zh-CN"/>
        </w:rPr>
        <w:t>是指债权发生移转唯一需要的生效要件是债权人与受让人之间的合意。当债权人与受让人就债权移转事项达成一致，债权即发生移转。债权移转无需债务人的同意。</w:t>
      </w:r>
      <w:r>
        <w:rPr>
          <w:rFonts w:hint="eastAsia" w:asciiTheme="minorEastAsia" w:hAnsiTheme="minorEastAsia" w:eastAsiaTheme="minorEastAsia" w:cstheme="minorEastAsia"/>
          <w:vertAlign w:val="superscript"/>
          <w:lang w:val="en-US" w:eastAsia="zh-CN"/>
        </w:rPr>
        <w:footnoteReference w:id="61"/>
      </w:r>
      <w:r>
        <w:rPr>
          <w:rFonts w:hint="eastAsia" w:asciiTheme="minorEastAsia" w:hAnsiTheme="minorEastAsia" w:eastAsiaTheme="minorEastAsia" w:cstheme="minorEastAsia"/>
          <w:lang w:val="en-US" w:eastAsia="zh-CN"/>
        </w:rPr>
        <w:t>转让通知是否到达债务人，仅发生是否能够对债务人产生拘束力问题，并不影响债权转让是否有效问题</w:t>
      </w:r>
      <w:r>
        <w:rPr>
          <w:rFonts w:hint="eastAsia" w:asciiTheme="minorEastAsia" w:hAnsiTheme="minorEastAsia" w:cstheme="minorEastAsia"/>
          <w:lang w:val="en-US" w:eastAsia="zh-CN"/>
        </w:rPr>
        <w:t>。</w:t>
      </w:r>
      <w:r>
        <w:rPr>
          <w:rFonts w:hint="eastAsia" w:eastAsia="宋体" w:asciiTheme="minorEastAsia" w:hAnsiTheme="minorEastAsia" w:cstheme="minorEastAsia"/>
          <w:sz w:val="18"/>
          <w:vertAlign w:val="superscript"/>
          <w:lang w:val="en-US" w:eastAsia="zh-CN"/>
        </w:rPr>
        <w:footnoteReference w:id="62"/>
      </w:r>
      <w:r>
        <w:rPr>
          <w:rFonts w:hint="eastAsia" w:asciiTheme="minorEastAsia" w:hAnsiTheme="minorEastAsia" w:cstheme="minorEastAsia"/>
          <w:lang w:val="en-US" w:eastAsia="zh-CN"/>
        </w:rPr>
        <w:t>此种学说在</w:t>
      </w:r>
      <w:r>
        <w:rPr>
          <w:rFonts w:hint="eastAsia" w:asciiTheme="minorAscii" w:eastAsiaTheme="minorEastAsia"/>
          <w:lang w:val="en-US" w:eastAsia="zh-CN"/>
        </w:rPr>
        <w:t>债权多重让与的情况下极易产生多个受让人同时存在的僵局，因此需要在合意移转的基础上另行确立对抗规则，以对抗力强弱调适其间的冲突。在对抗要件上又可分为两种观点，即合意对抗与通知对抗。德国学界通说采合意对抗规则，债权人与受让人达成债权让与的处分合意后，不仅债权将发生移转，且受让人无需任何公示要件就可以向除了债务人以外的任何第三人主张自己是债权人。</w:t>
      </w:r>
      <w:r>
        <w:rPr>
          <w:rFonts w:hint="eastAsia" w:asciiTheme="minorAscii" w:eastAsiaTheme="minorEastAsia"/>
          <w:vertAlign w:val="superscript"/>
          <w:lang w:val="en-US" w:eastAsia="zh-CN"/>
        </w:rPr>
        <w:footnoteReference w:id="63"/>
      </w:r>
      <w:r>
        <w:rPr>
          <w:rFonts w:hint="eastAsia" w:asciiTheme="minorAscii" w:eastAsiaTheme="minorEastAsia"/>
          <w:lang w:val="en-US" w:eastAsia="zh-CN"/>
        </w:rPr>
        <w:t>日本民法采通知对抗主义，债权让与的效力，因债权人与债务人之间的意思表示而发生，指名债权中未附确定期限的通知或承诺都只能对抗债务人，受让人要想在与其他受让人的债权归属纠纷中取得优势，应以附确定日期证书的形式进行。</w:t>
      </w:r>
      <w:r>
        <w:rPr>
          <w:rFonts w:hint="eastAsia" w:asciiTheme="minorAscii" w:eastAsiaTheme="minorEastAsia"/>
          <w:vertAlign w:val="superscript"/>
          <w:lang w:val="en-US" w:eastAsia="zh-CN"/>
        </w:rPr>
        <w:footnoteReference w:id="64"/>
      </w:r>
      <w:r>
        <w:rPr>
          <w:rFonts w:hint="eastAsia" w:asciiTheme="minorEastAsia" w:hAnsiTheme="minorEastAsia" w:eastAsiaTheme="minorEastAsia" w:cstheme="minorEastAsia"/>
          <w:lang w:val="en-US" w:eastAsia="zh-CN"/>
        </w:rPr>
        <w:t>通知作为对抗要件，实质是将债务人作为债权归属的情报中心，</w:t>
      </w:r>
      <w:r>
        <w:rPr>
          <w:rFonts w:hint="eastAsia" w:asciiTheme="minorEastAsia" w:hAnsiTheme="minorEastAsia" w:eastAsiaTheme="minorEastAsia" w:cstheme="minorEastAsia"/>
          <w:vertAlign w:val="superscript"/>
          <w:lang w:val="en-US" w:eastAsia="zh-CN"/>
        </w:rPr>
        <w:footnoteReference w:id="65"/>
      </w:r>
      <w:r>
        <w:rPr>
          <w:rFonts w:hint="eastAsia" w:asciiTheme="minorEastAsia" w:hAnsiTheme="minorEastAsia" w:eastAsiaTheme="minorEastAsia" w:cstheme="minorEastAsia"/>
          <w:lang w:val="en-US" w:eastAsia="zh-CN"/>
        </w:rPr>
        <w:t>第三人可通过询问债务人确认债权状态，债务人</w:t>
      </w:r>
      <w:r>
        <w:rPr>
          <w:rFonts w:hint="eastAsia" w:asciiTheme="minorEastAsia" w:hAnsiTheme="minorEastAsia" w:cstheme="minorEastAsia"/>
          <w:lang w:val="en-US" w:eastAsia="zh-CN"/>
        </w:rPr>
        <w:t>以其认知</w:t>
      </w:r>
      <w:r>
        <w:rPr>
          <w:rFonts w:hint="eastAsia" w:asciiTheme="minorEastAsia" w:hAnsiTheme="minorEastAsia" w:eastAsiaTheme="minorEastAsia" w:cstheme="minorEastAsia"/>
          <w:lang w:val="en-US" w:eastAsia="zh-CN"/>
        </w:rPr>
        <w:t>向债务人以外的第三人公示债权让与，进而对其生效。</w:t>
      </w:r>
    </w:p>
    <w:p w14:paraId="2AC0AA8F">
      <w:pPr>
        <w:bidi w:val="0"/>
        <w:ind w:firstLine="480" w:firstLineChars="200"/>
        <w:outlineLvl w:val="3"/>
        <w:rPr>
          <w:rFonts w:hint="default" w:asciiTheme="minorAscii" w:eastAsiaTheme="minorEastAsia"/>
          <w:lang w:val="en-US" w:eastAsia="zh-CN"/>
        </w:rPr>
      </w:pPr>
      <w:r>
        <w:rPr>
          <w:rFonts w:hint="eastAsia"/>
          <w:lang w:val="en-US" w:eastAsia="zh-CN"/>
        </w:rPr>
        <w:t>2.对合意移转主义及其对抗规则的质疑</w:t>
      </w:r>
    </w:p>
    <w:p w14:paraId="13259488">
      <w:pPr>
        <w:bidi w:val="0"/>
        <w:ind w:firstLine="480" w:firstLineChars="200"/>
        <w:rPr>
          <w:rFonts w:hint="eastAsia" w:asciiTheme="minorAscii" w:eastAsiaTheme="minorEastAsia"/>
          <w:lang w:val="en-US" w:eastAsia="zh-CN"/>
        </w:rPr>
      </w:pPr>
      <w:r>
        <w:rPr>
          <w:rFonts w:hint="eastAsia" w:asciiTheme="minorAscii" w:eastAsiaTheme="minorEastAsia"/>
          <w:lang w:val="en-US" w:eastAsia="zh-CN"/>
        </w:rPr>
        <w:t>如前所述，为解决债权多重让与的权利归属问题，在合意移转主义下不得不再另行确立对抗规则。然即使以此进行修补，两种对抗规则仍有各自弊端，以下分别论述。</w:t>
      </w:r>
    </w:p>
    <w:p w14:paraId="0AB4C29E">
      <w:pPr>
        <w:bidi w:val="0"/>
        <w:ind w:firstLine="480" w:firstLineChars="200"/>
        <w:rPr>
          <w:rFonts w:hint="eastAsia"/>
          <w:lang w:val="en-US" w:eastAsia="zh-CN"/>
        </w:rPr>
      </w:pPr>
      <w:r>
        <w:rPr>
          <w:rFonts w:hint="eastAsia" w:asciiTheme="minorAscii" w:eastAsiaTheme="minorEastAsia"/>
          <w:lang w:val="en-US" w:eastAsia="zh-CN"/>
        </w:rPr>
        <w:t>合意对抗规则主张，当事人之间债权让与合意的成立时间决定对抗力强度，合意达成越早，越可主张自己权利归属地位，其对抗第三人的效力越强。然合意的隐秘性并非仅存在于债权让与的负担行为，在债权处分行为本身中亦存在，无论是债权让与的合意形成还是权利变动，均缺乏对外彰显的客观形式。《民法典》第545条的规定非金钱债权的债权转让禁止特约不得对抗善意第三人，对于债权处分权能的限制尚不能在第三人不知晓的情况下便对其发生效力，若允许对债权的处分合意不顾及第三人之主观状态便具有绝对效力，在体系上难以自洽。合意的隐秘性在实践中带来的另一个困境是难以解决倒签合同的道德风险。多个受让人之间可能完全不知道彼此的存在，能够证明受让时间的材料主要来源于与出让人的往来，其证据证明力较弱，为此将不得不设计复杂的证明规则以使呈现的时间顺序尽量与真实顺序相同，立法被迫复杂化。</w:t>
      </w:r>
      <w:r>
        <w:rPr>
          <w:rStyle w:val="12"/>
          <w:rFonts w:hint="eastAsia" w:ascii="宋体" w:hAnsi="宋体" w:eastAsia="宋体" w:cs="宋体"/>
          <w:b w:val="0"/>
          <w:bCs w:val="0"/>
          <w:szCs w:val="24"/>
          <w:lang w:val="en-US" w:eastAsia="zh-CN"/>
        </w:rPr>
        <w:footnoteReference w:id="66"/>
      </w:r>
      <w:r>
        <w:rPr>
          <w:rFonts w:hint="eastAsia" w:asciiTheme="minorAscii" w:eastAsiaTheme="minorEastAsia"/>
          <w:lang w:val="en-US" w:eastAsia="zh-CN"/>
        </w:rPr>
        <w:t>如此进行制度设计，受让人需要承担严苛的举证责任，并不符合保护受让人的制度利益要求。</w:t>
      </w:r>
    </w:p>
    <w:p w14:paraId="311BD369">
      <w:pPr>
        <w:numPr>
          <w:ilvl w:val="-1"/>
          <w:numId w:val="0"/>
        </w:numPr>
        <w:bidi w:val="0"/>
        <w:ind w:left="0" w:leftChars="0" w:firstLine="480" w:firstLineChars="200"/>
        <w:outlineLvl w:val="9"/>
        <w:rPr>
          <w:rFonts w:hint="eastAsia"/>
          <w:lang w:val="en-US" w:eastAsia="zh-CN"/>
        </w:rPr>
      </w:pPr>
      <w:r>
        <w:rPr>
          <w:rFonts w:hint="eastAsia" w:asciiTheme="minorAscii" w:eastAsiaTheme="minorEastAsia"/>
          <w:lang w:val="en-US" w:eastAsia="zh-CN"/>
        </w:rPr>
        <w:t>通知对抗规则一定程度消除合同倒签的可能性，但新生了对抗范围的问题。通知对抗只从正面规定了可得对抗第三人，却没有从反面明确未通知时不得对抗的第三人范围。有观点认为仅因债权让与而受间接影响、关联并不紧密的主体，对债权让与欠缺对抗力的主张欠缺正当利益，债权让与中即使欠缺对抗要件，此类主体亦不得主张债权让与对其无效，其利益并不受对抗制度的保护。</w:t>
      </w:r>
      <w:r>
        <w:rPr>
          <w:rStyle w:val="12"/>
          <w:rFonts w:hint="eastAsia"/>
          <w:lang w:val="en-US" w:eastAsia="zh-CN"/>
        </w:rPr>
        <w:footnoteReference w:id="67"/>
      </w:r>
      <w:r>
        <w:rPr>
          <w:rFonts w:hint="eastAsia" w:asciiTheme="minorAscii" w:eastAsiaTheme="minorEastAsia"/>
          <w:lang w:val="en-US" w:eastAsia="zh-CN"/>
        </w:rPr>
        <w:t>若按照日本立法例的表述，不得对抗的范围过于宽泛，需要进行限缩解释。</w:t>
      </w:r>
      <w:r>
        <w:rPr>
          <w:rStyle w:val="12"/>
          <w:rFonts w:hint="eastAsia" w:ascii="宋体" w:hAnsi="宋体" w:eastAsia="宋体" w:cs="宋体"/>
          <w:b w:val="0"/>
          <w:bCs w:val="0"/>
          <w:szCs w:val="24"/>
          <w:lang w:val="en-US" w:eastAsia="zh-CN"/>
        </w:rPr>
        <w:footnoteReference w:id="68"/>
      </w:r>
      <w:r>
        <w:rPr>
          <w:rFonts w:hint="eastAsia" w:asciiTheme="minorAscii" w:eastAsiaTheme="minorEastAsia"/>
          <w:lang w:val="en-US" w:eastAsia="zh-CN"/>
        </w:rPr>
        <w:t>如果按照我国保理合同的相关规定，仅规定了多重受让人之间的优先顺序，则需要进行目的性扩张解释。同样的问题也被意大利民法学家所意识到，意大利民法典第1265条只是规定了受让人之间权利冲突的解决方案，并没有考虑债权多重让与可能引发的受让人与债权扣押人、破产债权人之间的权利冲突问题。</w:t>
      </w:r>
      <w:r>
        <w:rPr>
          <w:rStyle w:val="12"/>
          <w:rFonts w:hint="eastAsia" w:ascii="宋体" w:hAnsi="宋体" w:eastAsia="宋体" w:cs="宋体"/>
          <w:b w:val="0"/>
          <w:bCs w:val="0"/>
          <w:szCs w:val="24"/>
          <w:lang w:val="en-US" w:eastAsia="zh-CN"/>
        </w:rPr>
        <w:footnoteReference w:id="69"/>
      </w:r>
      <w:r>
        <w:rPr>
          <w:rFonts w:hint="eastAsia" w:asciiTheme="minorAscii" w:eastAsiaTheme="minorEastAsia"/>
          <w:lang w:val="en-US" w:eastAsia="zh-CN"/>
        </w:rPr>
        <w:t>通知对抗规则可起到对抗力最强的主体与债务人知晓的主体统一作用，在受让人以外的第三人对债权主张权利时，可通过向债务人确认债权是否已转让，的确在一定程度上缓解权利多重让与带来的纠纷。不过对抗规则仅能处理多个受让人之间的关系，每当出现受让人之外的主体就不得不进行逐一判断可否对抗，规则本身的适用空间极为狭窄。</w:t>
      </w:r>
    </w:p>
    <w:p w14:paraId="4795C269">
      <w:pPr>
        <w:bidi w:val="0"/>
        <w:outlineLvl w:val="3"/>
        <w:rPr>
          <w:rFonts w:hint="default" w:asciiTheme="minorAscii" w:eastAsiaTheme="minorEastAsia"/>
          <w:lang w:val="en-US" w:eastAsia="zh-CN"/>
        </w:rPr>
      </w:pPr>
      <w:r>
        <w:rPr>
          <w:rFonts w:hint="eastAsia"/>
          <w:lang w:val="en-US" w:eastAsia="zh-CN"/>
        </w:rPr>
        <w:t>3.债权让与通知公示力之证成</w:t>
      </w:r>
    </w:p>
    <w:p w14:paraId="66DD5E79">
      <w:pPr>
        <w:bidi w:val="0"/>
        <w:ind w:firstLine="480" w:firstLineChars="200"/>
        <w:rPr>
          <w:rFonts w:hint="eastAsia" w:asciiTheme="minorAscii" w:eastAsiaTheme="minorEastAsia"/>
          <w:lang w:val="en-US" w:eastAsia="zh-CN"/>
        </w:rPr>
      </w:pPr>
      <w:r>
        <w:rPr>
          <w:rFonts w:hint="eastAsia" w:asciiTheme="minorEastAsia" w:hAnsiTheme="minorEastAsia" w:cstheme="minorEastAsia"/>
          <w:lang w:val="en-US" w:eastAsia="zh-CN"/>
        </w:rPr>
        <w:t>《合同编通则司法解释》第50条规定若债务人明知接受履行的受让人不是最先通知的受让人，则最先通知受让人可以请求债务人继续履行。本条规定虽然未明确规定债务人未履行时债权的归属，这一规则从表面上看，不过是延续了债务人信赖利益保护理论，但细究其适用的场景便可发现暗含了债权归属规则。债务人在明知最先通知受让人身份而故意错误履行，其履行行为不具有清偿效力，本条规定中仅有最先通知的受让人可以主张继续履行债务，实质上承认了债权归属于最先通知的受让人。</w:t>
      </w:r>
      <w:r>
        <w:rPr>
          <w:rFonts w:hint="eastAsia" w:asciiTheme="minorEastAsia" w:hAnsiTheme="minorEastAsia" w:cstheme="minorEastAsia"/>
          <w:vertAlign w:val="superscript"/>
          <w:lang w:val="en-US" w:eastAsia="zh-CN"/>
        </w:rPr>
        <w:footnoteReference w:id="70"/>
      </w:r>
      <w:r>
        <w:rPr>
          <w:rFonts w:hint="eastAsia" w:asciiTheme="minorEastAsia" w:hAnsiTheme="minorEastAsia" w:cstheme="minorEastAsia"/>
          <w:lang w:val="en-US" w:eastAsia="zh-CN"/>
        </w:rPr>
        <w:t>这一观点在《关于适用〈中华人民共和国民法典〉合同编通则若干问题的解释（征求意见稿）》第51条曾被明确规定，</w:t>
      </w:r>
      <w:r>
        <w:rPr>
          <w:rFonts w:hint="eastAsia" w:asciiTheme="minorEastAsia" w:hAnsiTheme="minorEastAsia" w:cstheme="minorEastAsia"/>
          <w:vertAlign w:val="superscript"/>
          <w:lang w:val="en-US" w:eastAsia="zh-CN"/>
        </w:rPr>
        <w:footnoteReference w:id="71"/>
      </w:r>
      <w:r>
        <w:rPr>
          <w:rFonts w:hint="eastAsia" w:asciiTheme="minorEastAsia" w:hAnsiTheme="minorEastAsia" w:cstheme="minorEastAsia"/>
          <w:lang w:val="en-US" w:eastAsia="zh-CN"/>
        </w:rPr>
        <w:t>虽最终没有被司法解释明确采纳，但并不难从此条文中推论得出。</w:t>
      </w:r>
    </w:p>
    <w:p w14:paraId="0F9CFF62">
      <w:pPr>
        <w:bidi w:val="0"/>
        <w:rPr>
          <w:rFonts w:hint="eastAsia"/>
          <w:lang w:val="en-US" w:eastAsia="zh-CN"/>
        </w:rPr>
      </w:pPr>
      <w:r>
        <w:rPr>
          <w:rFonts w:hint="eastAsia"/>
          <w:lang w:val="en-US" w:eastAsia="zh-CN"/>
        </w:rPr>
        <w:t>不过，通知移转主义</w:t>
      </w:r>
      <w:r>
        <w:rPr>
          <w:rFonts w:hint="eastAsia" w:asciiTheme="minorAscii" w:eastAsiaTheme="minorEastAsia"/>
          <w:lang w:val="en-US" w:eastAsia="zh-CN"/>
        </w:rPr>
        <w:t>主张通知作为债权交付行为的外观，为何使</w:t>
      </w:r>
      <w:r>
        <w:rPr>
          <w:rFonts w:hint="eastAsia"/>
          <w:lang w:val="en-US" w:eastAsia="zh-CN"/>
        </w:rPr>
        <w:t>债权让与通知可为债权处分行为提供</w:t>
      </w:r>
      <w:r>
        <w:rPr>
          <w:rFonts w:hint="eastAsia" w:asciiTheme="minorAscii" w:eastAsiaTheme="minorEastAsia"/>
          <w:lang w:val="en-US" w:eastAsia="zh-CN"/>
        </w:rPr>
        <w:t>足够的公示效力是值得探讨的。物权的有体性特征使其并不完全需要通过登记制度来彰显权利的归属</w:t>
      </w:r>
      <w:r>
        <w:rPr>
          <w:rFonts w:hint="eastAsia"/>
          <w:lang w:val="en-US" w:eastAsia="zh-CN"/>
        </w:rPr>
        <w:t>，</w:t>
      </w:r>
      <w:r>
        <w:rPr>
          <w:rFonts w:hint="eastAsia" w:asciiTheme="minorAscii" w:eastAsiaTheme="minorEastAsia"/>
          <w:lang w:val="en-US" w:eastAsia="zh-CN"/>
        </w:rPr>
        <w:t>通说认为除了在有债权凭证或者是有价证券的情况下，债权缺少权利外观，无法像动产一样被交付，</w:t>
      </w:r>
      <w:r>
        <w:rPr>
          <w:rStyle w:val="12"/>
          <w:rFonts w:hint="eastAsia"/>
          <w:lang w:val="en-US" w:eastAsia="zh-CN"/>
        </w:rPr>
        <w:footnoteReference w:id="72"/>
      </w:r>
      <w:r>
        <w:rPr>
          <w:rFonts w:hint="eastAsia" w:asciiTheme="minorAscii" w:eastAsiaTheme="minorEastAsia"/>
          <w:lang w:val="en-US" w:eastAsia="zh-CN"/>
        </w:rPr>
        <w:t>由此引申到债权移转缺少公示性，只有登记能够解决债权移转中的公示问题，</w:t>
      </w:r>
      <w:r>
        <w:rPr>
          <w:rFonts w:hint="eastAsia" w:asciiTheme="minorAscii" w:eastAsiaTheme="minorEastAsia"/>
          <w:vertAlign w:val="superscript"/>
          <w:lang w:val="en-US" w:eastAsia="zh-CN"/>
        </w:rPr>
        <w:footnoteReference w:id="73"/>
      </w:r>
      <w:r>
        <w:rPr>
          <w:rFonts w:hint="eastAsia" w:asciiTheme="minorAscii" w:eastAsiaTheme="minorEastAsia"/>
          <w:lang w:val="en-US" w:eastAsia="zh-CN"/>
        </w:rPr>
        <w:t>也只有在这种制度下才具有对抗性。</w:t>
      </w:r>
    </w:p>
    <w:p w14:paraId="67F2E494">
      <w:pPr>
        <w:bidi w:val="0"/>
        <w:ind w:firstLine="480" w:firstLineChars="200"/>
        <w:rPr>
          <w:rFonts w:hint="eastAsia"/>
          <w:lang w:val="en-US" w:eastAsia="zh-CN"/>
        </w:rPr>
      </w:pPr>
      <w:r>
        <w:rPr>
          <w:rFonts w:hint="eastAsia" w:asciiTheme="minorAscii" w:eastAsiaTheme="minorEastAsia"/>
          <w:lang w:val="en-US" w:eastAsia="zh-CN"/>
        </w:rPr>
        <w:t>对于权利</w:t>
      </w:r>
      <w:r>
        <w:rPr>
          <w:rFonts w:hint="eastAsia"/>
          <w:lang w:val="en-US" w:eastAsia="zh-CN"/>
        </w:rPr>
        <w:t>变动所需的</w:t>
      </w:r>
      <w:r>
        <w:rPr>
          <w:rFonts w:hint="eastAsia" w:asciiTheme="minorAscii" w:eastAsiaTheme="minorEastAsia"/>
          <w:lang w:val="en-US" w:eastAsia="zh-CN"/>
        </w:rPr>
        <w:t>公示</w:t>
      </w:r>
      <w:r>
        <w:rPr>
          <w:rFonts w:hint="eastAsia"/>
          <w:lang w:val="en-US" w:eastAsia="zh-CN"/>
        </w:rPr>
        <w:t>应</w:t>
      </w:r>
      <w:r>
        <w:rPr>
          <w:rFonts w:hint="eastAsia" w:asciiTheme="minorAscii" w:eastAsiaTheme="minorEastAsia"/>
          <w:lang w:val="en-US" w:eastAsia="zh-CN"/>
        </w:rPr>
        <w:t>思考一个前置问题，公示是因什么而被需要的？变动物权与债权需要的公示</w:t>
      </w:r>
      <w:r>
        <w:rPr>
          <w:rFonts w:hint="eastAsia"/>
          <w:lang w:val="en-US" w:eastAsia="zh-CN"/>
        </w:rPr>
        <w:t>程度不同</w:t>
      </w:r>
      <w:r>
        <w:rPr>
          <w:rFonts w:hint="eastAsia" w:asciiTheme="minorAscii" w:eastAsiaTheme="minorEastAsia"/>
          <w:lang w:val="en-US" w:eastAsia="zh-CN"/>
        </w:rPr>
        <w:t>，</w:t>
      </w:r>
      <w:r>
        <w:rPr>
          <w:rFonts w:hint="eastAsia"/>
          <w:lang w:val="en-US" w:eastAsia="zh-CN"/>
        </w:rPr>
        <w:t>与</w:t>
      </w:r>
      <w:r>
        <w:rPr>
          <w:rFonts w:hint="eastAsia" w:asciiTheme="minorAscii" w:eastAsiaTheme="minorEastAsia"/>
          <w:lang w:val="en-US" w:eastAsia="zh-CN"/>
        </w:rPr>
        <w:t>物权和债权的本质特性相关。</w:t>
      </w:r>
      <w:r>
        <w:rPr>
          <w:rFonts w:hint="eastAsia"/>
          <w:lang w:val="en-US" w:eastAsia="zh-CN"/>
        </w:rPr>
        <w:t>物权变动所需的公示源于现实生活的需要，物权具有对世性，</w:t>
      </w:r>
      <w:r>
        <w:rPr>
          <w:rFonts w:hint="eastAsia" w:asciiTheme="minorAscii" w:eastAsiaTheme="minorEastAsia"/>
          <w:lang w:val="en-US" w:eastAsia="zh-CN"/>
        </w:rPr>
        <w:t>任何人均负有不得侵犯</w:t>
      </w:r>
      <w:r>
        <w:rPr>
          <w:rFonts w:hint="eastAsia"/>
          <w:lang w:val="en-US" w:eastAsia="zh-CN"/>
        </w:rPr>
        <w:t>他人物权</w:t>
      </w:r>
      <w:r>
        <w:rPr>
          <w:rFonts w:hint="eastAsia" w:asciiTheme="minorAscii" w:eastAsiaTheme="minorEastAsia"/>
          <w:lang w:val="en-US" w:eastAsia="zh-CN"/>
        </w:rPr>
        <w:t>的义务，</w:t>
      </w:r>
      <w:r>
        <w:rPr>
          <w:rFonts w:hint="eastAsia"/>
          <w:lang w:val="en-US" w:eastAsia="zh-CN"/>
        </w:rPr>
        <w:t>因此也需要通过对世程度的公示反映出特定物上存在他人的物权</w:t>
      </w:r>
      <w:r>
        <w:rPr>
          <w:rFonts w:hint="eastAsia" w:asciiTheme="minorAscii" w:eastAsiaTheme="minorEastAsia"/>
          <w:lang w:val="en-US" w:eastAsia="zh-CN"/>
        </w:rPr>
        <w:t>。</w:t>
      </w:r>
      <w:r>
        <w:rPr>
          <w:rStyle w:val="12"/>
          <w:rFonts w:hint="eastAsia" w:asciiTheme="minorAscii" w:eastAsiaTheme="minorEastAsia"/>
          <w:lang w:val="en-US" w:eastAsia="zh-CN"/>
        </w:rPr>
        <w:footnoteReference w:id="74"/>
      </w:r>
      <w:r>
        <w:rPr>
          <w:rFonts w:hint="eastAsia" w:asciiTheme="minorAscii" w:eastAsiaTheme="minorEastAsia"/>
          <w:lang w:val="en-US" w:eastAsia="zh-CN"/>
        </w:rPr>
        <w:t>债权仅具相对性，</w:t>
      </w:r>
      <w:r>
        <w:rPr>
          <w:rFonts w:hint="eastAsia"/>
          <w:lang w:val="en-US" w:eastAsia="zh-CN"/>
        </w:rPr>
        <w:t>其法律关系仅存于债权人与债务人之间，</w:t>
      </w:r>
      <w:r>
        <w:rPr>
          <w:rFonts w:hint="eastAsia" w:asciiTheme="minorAscii" w:eastAsiaTheme="minorEastAsia"/>
          <w:lang w:val="en-US" w:eastAsia="zh-CN"/>
        </w:rPr>
        <w:t>原则上并不要求他人负不得侵犯债权的义务，只有债务人需要知道自己是向谁负担义务，</w:t>
      </w:r>
      <w:r>
        <w:rPr>
          <w:rFonts w:hint="eastAsia"/>
          <w:lang w:val="en-US" w:eastAsia="zh-CN"/>
        </w:rPr>
        <w:t>只需要通知债务人即可，</w:t>
      </w:r>
      <w:r>
        <w:rPr>
          <w:rStyle w:val="12"/>
          <w:rFonts w:hint="eastAsia" w:asciiTheme="minorAscii" w:eastAsiaTheme="minorEastAsia"/>
          <w:lang w:val="en-US" w:eastAsia="zh-CN"/>
        </w:rPr>
        <w:footnoteReference w:id="75"/>
      </w:r>
      <w:r>
        <w:rPr>
          <w:rFonts w:hint="eastAsia" w:asciiTheme="minorAscii" w:eastAsiaTheme="minorEastAsia"/>
          <w:lang w:val="en-US" w:eastAsia="zh-CN"/>
        </w:rPr>
        <w:t>对世的公示性</w:t>
      </w:r>
      <w:r>
        <w:rPr>
          <w:rFonts w:hint="eastAsia"/>
          <w:lang w:val="en-US" w:eastAsia="zh-CN"/>
        </w:rPr>
        <w:t>并不必需。</w:t>
      </w:r>
      <w:r>
        <w:rPr>
          <w:rFonts w:hint="eastAsia" w:asciiTheme="minorAscii" w:eastAsiaTheme="minorEastAsia"/>
          <w:lang w:val="en-US" w:eastAsia="zh-CN"/>
        </w:rPr>
        <w:t>债权让与作为对债权归属的变更，同样需要通过法定方式向外部彰显权利变动的事实</w:t>
      </w:r>
      <w:r>
        <w:rPr>
          <w:rFonts w:hint="eastAsia"/>
          <w:lang w:val="en-US" w:eastAsia="zh-CN"/>
        </w:rPr>
        <w:t>，</w:t>
      </w:r>
      <w:r>
        <w:rPr>
          <w:rFonts w:hint="eastAsia" w:asciiTheme="minorAscii" w:eastAsiaTheme="minorEastAsia"/>
          <w:lang w:val="en-US" w:eastAsia="zh-CN"/>
        </w:rPr>
        <w:t>通知</w:t>
      </w:r>
      <w:r>
        <w:rPr>
          <w:rFonts w:hint="eastAsia"/>
          <w:lang w:val="en-US" w:eastAsia="zh-CN"/>
        </w:rPr>
        <w:t>债务人起到的公示作用已足。</w:t>
      </w:r>
      <w:r>
        <w:rPr>
          <w:rFonts w:hint="eastAsia" w:asciiTheme="minorAscii" w:eastAsiaTheme="minorEastAsia"/>
          <w:lang w:val="en-US" w:eastAsia="zh-CN"/>
        </w:rPr>
        <w:t>受让人并不需要能够直观地知道债权是否发生变动，</w:t>
      </w:r>
      <w:r>
        <w:rPr>
          <w:rFonts w:hint="eastAsia"/>
          <w:lang w:val="en-US" w:eastAsia="zh-CN"/>
        </w:rPr>
        <w:t>以</w:t>
      </w:r>
      <w:r>
        <w:rPr>
          <w:rFonts w:hint="eastAsia" w:asciiTheme="minorAscii" w:eastAsiaTheme="minorEastAsia"/>
          <w:lang w:val="en-US" w:eastAsia="zh-CN"/>
        </w:rPr>
        <w:t>债务人作为信息中心，从债务人处</w:t>
      </w:r>
      <w:r>
        <w:rPr>
          <w:rFonts w:hint="eastAsia"/>
          <w:lang w:val="en-US" w:eastAsia="zh-CN"/>
        </w:rPr>
        <w:t>明确债权是否存在以及债权的种类和数量，</w:t>
      </w:r>
      <w:r>
        <w:rPr>
          <w:rStyle w:val="12"/>
          <w:rFonts w:hint="eastAsia"/>
          <w:lang w:val="en-US" w:eastAsia="zh-CN"/>
        </w:rPr>
        <w:footnoteReference w:id="76"/>
      </w:r>
      <w:r>
        <w:rPr>
          <w:rFonts w:hint="eastAsia" w:asciiTheme="minorAscii" w:eastAsiaTheme="minorEastAsia"/>
          <w:lang w:val="en-US" w:eastAsia="zh-CN"/>
        </w:rPr>
        <w:t>依据通知顺序确认债权已流转至何处</w:t>
      </w:r>
      <w:r>
        <w:rPr>
          <w:rFonts w:hint="eastAsia"/>
          <w:lang w:val="en-US" w:eastAsia="zh-CN"/>
        </w:rPr>
        <w:t>。</w:t>
      </w:r>
      <w:r>
        <w:rPr>
          <w:rFonts w:hint="eastAsia" w:asciiTheme="minorAscii" w:eastAsiaTheme="minorEastAsia"/>
          <w:lang w:val="en-US" w:eastAsia="zh-CN"/>
        </w:rPr>
        <w:t>正如不动产登记为物权变动提供自始至终的记载一般，采取了通知移转主义，每次变动都必须让债务人得知，否则不发生债权让与效果，债务人成为了信息最为集中而完整之处。与合意对抗不同的是，虽然在该种观点下受让人同样可以向债务人询问得到信息，但该信息即使是真实的通知信息，也只能起到确定债务人清偿效力的问题，最先通知的受让人并不一定是债权的最先受让人，而在通知移转主义下二者是合一的。</w:t>
      </w:r>
    </w:p>
    <w:p w14:paraId="7140352F">
      <w:pPr>
        <w:bidi w:val="0"/>
        <w:rPr>
          <w:rFonts w:hint="eastAsia" w:asciiTheme="minorAscii" w:eastAsiaTheme="minorEastAsia"/>
          <w:lang w:val="en-US" w:eastAsia="zh-CN"/>
        </w:rPr>
      </w:pPr>
      <w:r>
        <w:rPr>
          <w:rFonts w:hint="eastAsia" w:asciiTheme="minorAscii" w:eastAsiaTheme="minorEastAsia"/>
          <w:lang w:val="en-US" w:eastAsia="zh-CN"/>
        </w:rPr>
        <w:t>至于使债务人成为信息中心是否在某种意义上加重其负担，违背了不得使债务人地位恶化原则的问题，本文认为并不违反。</w:t>
      </w:r>
      <w:r>
        <w:rPr>
          <w:rFonts w:hint="eastAsia"/>
          <w:lang w:val="en-US" w:eastAsia="zh-CN"/>
        </w:rPr>
        <w:t>有观点认为，当</w:t>
      </w:r>
      <w:r>
        <w:rPr>
          <w:rFonts w:hint="eastAsia" w:asciiTheme="minorAscii" w:eastAsiaTheme="minorEastAsia"/>
          <w:lang w:val="en-US" w:eastAsia="zh-CN"/>
        </w:rPr>
        <w:t>潜在受让人向债务人询问债权情况时，</w:t>
      </w:r>
      <w:r>
        <w:rPr>
          <w:rFonts w:hint="eastAsia"/>
          <w:lang w:val="en-US" w:eastAsia="zh-CN"/>
        </w:rPr>
        <w:t>债务人并不负如实告知的义务。</w:t>
      </w:r>
      <w:r>
        <w:rPr>
          <w:rStyle w:val="12"/>
          <w:rFonts w:hint="eastAsia"/>
          <w:lang w:val="en-US" w:eastAsia="zh-CN"/>
        </w:rPr>
        <w:footnoteReference w:id="77"/>
      </w:r>
      <w:r>
        <w:rPr>
          <w:rFonts w:hint="eastAsia"/>
          <w:lang w:val="en-US" w:eastAsia="zh-CN"/>
        </w:rPr>
        <w:t>然</w:t>
      </w:r>
      <w:r>
        <w:rPr>
          <w:rFonts w:hint="eastAsia" w:asciiTheme="minorAscii" w:eastAsiaTheme="minorEastAsia"/>
          <w:lang w:val="en-US" w:eastAsia="zh-CN"/>
        </w:rPr>
        <w:t>债务人隐瞒在先受让人的情况，则应认定与出让人通谋虚构债权，对受让人</w:t>
      </w:r>
      <w:r>
        <w:rPr>
          <w:rFonts w:hint="eastAsia"/>
          <w:lang w:val="en-US" w:eastAsia="zh-CN"/>
        </w:rPr>
        <w:t>应</w:t>
      </w:r>
      <w:r>
        <w:rPr>
          <w:rFonts w:hint="eastAsia" w:asciiTheme="minorAscii" w:eastAsiaTheme="minorEastAsia"/>
          <w:lang w:val="en-US" w:eastAsia="zh-CN"/>
        </w:rPr>
        <w:t>负表见责任</w:t>
      </w:r>
      <w:r>
        <w:rPr>
          <w:rFonts w:hint="eastAsia"/>
          <w:lang w:val="en-US" w:eastAsia="zh-CN"/>
        </w:rPr>
        <w:t>，</w:t>
      </w:r>
      <w:r>
        <w:rPr>
          <w:rFonts w:hint="eastAsia" w:asciiTheme="minorAscii" w:eastAsiaTheme="minorEastAsia"/>
          <w:vertAlign w:val="superscript"/>
          <w:lang w:val="en-US" w:eastAsia="zh-CN"/>
        </w:rPr>
        <w:footnoteReference w:id="78"/>
      </w:r>
      <w:r>
        <w:rPr>
          <w:rFonts w:hint="eastAsia"/>
          <w:lang w:val="en-US" w:eastAsia="zh-CN"/>
        </w:rPr>
        <w:t>因此，</w:t>
      </w:r>
      <w:r>
        <w:rPr>
          <w:rFonts w:hint="eastAsia" w:asciiTheme="minorAscii" w:eastAsiaTheme="minorEastAsia"/>
          <w:lang w:val="en-US" w:eastAsia="zh-CN"/>
        </w:rPr>
        <w:t>《</w:t>
      </w:r>
      <w:r>
        <w:rPr>
          <w:rFonts w:hint="eastAsia"/>
          <w:lang w:val="en-US" w:eastAsia="zh-CN"/>
        </w:rPr>
        <w:t>合同编通则司法解释</w:t>
      </w:r>
      <w:r>
        <w:rPr>
          <w:rFonts w:hint="eastAsia" w:asciiTheme="minorAscii" w:eastAsiaTheme="minorEastAsia"/>
          <w:lang w:val="en-US" w:eastAsia="zh-CN"/>
        </w:rPr>
        <w:t>》第49条</w:t>
      </w:r>
      <w:r>
        <w:rPr>
          <w:rFonts w:hint="eastAsia"/>
          <w:lang w:val="en-US" w:eastAsia="zh-CN"/>
        </w:rPr>
        <w:t>事实上</w:t>
      </w:r>
      <w:r>
        <w:rPr>
          <w:rFonts w:hint="eastAsia" w:asciiTheme="minorAscii" w:eastAsiaTheme="minorEastAsia"/>
          <w:lang w:val="en-US" w:eastAsia="zh-CN"/>
        </w:rPr>
        <w:t>规定</w:t>
      </w:r>
      <w:r>
        <w:rPr>
          <w:rFonts w:hint="eastAsia"/>
          <w:lang w:val="en-US" w:eastAsia="zh-CN"/>
        </w:rPr>
        <w:t>了</w:t>
      </w:r>
      <w:r>
        <w:rPr>
          <w:rFonts w:hint="eastAsia" w:asciiTheme="minorAscii" w:eastAsiaTheme="minorEastAsia"/>
          <w:lang w:val="en-US" w:eastAsia="zh-CN"/>
        </w:rPr>
        <w:t>债务人本身有义务</w:t>
      </w:r>
      <w:r>
        <w:rPr>
          <w:rFonts w:hint="eastAsia"/>
          <w:lang w:val="en-US" w:eastAsia="zh-CN"/>
        </w:rPr>
        <w:t>在受到询问时应当</w:t>
      </w:r>
      <w:r>
        <w:rPr>
          <w:rFonts w:hint="eastAsia" w:asciiTheme="minorAscii" w:eastAsiaTheme="minorEastAsia"/>
          <w:lang w:val="en-US" w:eastAsia="zh-CN"/>
        </w:rPr>
        <w:t>告知真实情况</w:t>
      </w:r>
      <w:r>
        <w:rPr>
          <w:rFonts w:hint="eastAsia"/>
          <w:lang w:val="en-US" w:eastAsia="zh-CN"/>
        </w:rPr>
        <w:t>，赋予其消极的告知义务</w:t>
      </w:r>
      <w:r>
        <w:rPr>
          <w:rFonts w:hint="eastAsia" w:asciiTheme="minorAscii" w:eastAsiaTheme="minorEastAsia"/>
          <w:lang w:val="en-US" w:eastAsia="zh-CN"/>
        </w:rPr>
        <w:t>。在民法上，债权没有专门的登记簿，因此受让人需先到债务人处，确认让与人确有债权、不存在其他优先权利人。债务人相当于</w:t>
      </w:r>
      <w:r>
        <w:rPr>
          <w:rFonts w:hint="eastAsia"/>
          <w:lang w:val="en-US" w:eastAsia="zh-CN"/>
        </w:rPr>
        <w:t>“</w:t>
      </w:r>
      <w:r>
        <w:rPr>
          <w:rFonts w:hint="eastAsia" w:asciiTheme="minorAscii" w:eastAsiaTheme="minorEastAsia"/>
          <w:lang w:val="en-US" w:eastAsia="zh-CN"/>
        </w:rPr>
        <w:t>登记所</w:t>
      </w:r>
      <w:r>
        <w:rPr>
          <w:rFonts w:hint="eastAsia"/>
          <w:lang w:val="en-US" w:eastAsia="zh-CN"/>
        </w:rPr>
        <w:t>”</w:t>
      </w:r>
      <w:r>
        <w:rPr>
          <w:rFonts w:hint="eastAsia" w:asciiTheme="minorAscii" w:eastAsiaTheme="minorEastAsia"/>
          <w:lang w:val="en-US" w:eastAsia="zh-CN"/>
        </w:rPr>
        <w:t>的角色。因此，当债权被让与时，需将此事告知债务人，在债务人处汇集信息。即使是最受学者主张的合意移转主义，亦强调债务人作为债权让与信息中心的重要性。与其</w:t>
      </w:r>
      <w:r>
        <w:rPr>
          <w:rFonts w:hint="eastAsia"/>
          <w:lang w:val="en-US" w:eastAsia="zh-CN"/>
        </w:rPr>
        <w:t>设计复杂的合同顺序证明规则，</w:t>
      </w:r>
      <w:r>
        <w:rPr>
          <w:rFonts w:hint="eastAsia" w:asciiTheme="minorAscii" w:eastAsiaTheme="minorEastAsia"/>
          <w:lang w:val="en-US" w:eastAsia="zh-CN"/>
        </w:rPr>
        <w:t>倒不如将通知设定为生效要件。</w:t>
      </w:r>
    </w:p>
    <w:p w14:paraId="1F9581E0">
      <w:pPr>
        <w:bidi w:val="0"/>
        <w:rPr>
          <w:rFonts w:hint="default" w:asciiTheme="minorAscii" w:eastAsiaTheme="minorEastAsia"/>
          <w:lang w:val="en-US" w:eastAsia="zh-CN"/>
        </w:rPr>
      </w:pPr>
      <w:r>
        <w:rPr>
          <w:rFonts w:hint="eastAsia"/>
          <w:lang w:val="en-US" w:eastAsia="zh-CN"/>
        </w:rPr>
        <w:t>4.通知移转主义对受让人利益的特别保护之处</w:t>
      </w:r>
    </w:p>
    <w:p w14:paraId="35668370">
      <w:pPr>
        <w:bidi w:val="0"/>
        <w:ind w:firstLine="480"/>
        <w:rPr>
          <w:rFonts w:hint="default" w:asciiTheme="minorAscii" w:eastAsiaTheme="minorEastAsia"/>
          <w:lang w:val="en-US" w:eastAsia="zh-CN"/>
        </w:rPr>
      </w:pPr>
      <w:r>
        <w:rPr>
          <w:rFonts w:hint="eastAsia" w:asciiTheme="minorAscii" w:eastAsiaTheme="minorEastAsia"/>
          <w:lang w:val="en-US" w:eastAsia="zh-CN"/>
        </w:rPr>
        <w:t>通知移转主义</w:t>
      </w:r>
      <w:r>
        <w:rPr>
          <w:rFonts w:hint="eastAsia"/>
          <w:lang w:val="en-US" w:eastAsia="zh-CN"/>
        </w:rPr>
        <w:t>在保护受让人利益方面亦有其他学说不及之处。</w:t>
      </w:r>
      <w:r>
        <w:rPr>
          <w:rFonts w:hint="eastAsia" w:asciiTheme="minorAscii" w:eastAsiaTheme="minorEastAsia"/>
          <w:lang w:val="en-US" w:eastAsia="zh-CN"/>
        </w:rPr>
        <w:t>债权让与合同中，出让人的主给付义务是让渡债权。按照合意移转主义，当双方达成合意时债权已然让与，债权是无体物</w:t>
      </w:r>
      <w:r>
        <w:rPr>
          <w:rFonts w:hint="eastAsia"/>
          <w:lang w:val="en-US" w:eastAsia="zh-CN"/>
        </w:rPr>
        <w:t>，</w:t>
      </w:r>
      <w:r>
        <w:rPr>
          <w:rFonts w:hint="eastAsia" w:asciiTheme="minorAscii" w:eastAsiaTheme="minorEastAsia"/>
          <w:lang w:val="en-US" w:eastAsia="zh-CN"/>
        </w:rPr>
        <w:t>不存在交付的问题</w:t>
      </w:r>
      <w:r>
        <w:rPr>
          <w:rFonts w:hint="eastAsia"/>
          <w:lang w:val="en-US" w:eastAsia="zh-CN"/>
        </w:rPr>
        <w:t>，</w:t>
      </w:r>
      <w:r>
        <w:rPr>
          <w:rFonts w:hint="eastAsia" w:asciiTheme="minorAscii" w:eastAsiaTheme="minorEastAsia"/>
          <w:lang w:val="en-US" w:eastAsia="zh-CN"/>
        </w:rPr>
        <w:t>无法通过交付控制债权移转的时间点，也就无法主张债权交付为对待给付义务。我国明确必须通知债务人后才对债务人发生效力，因此可能出现让与人迟迟不肯告知债务人，债权人已经取得债权却无法实现债权的情形。受让人的债权人身份只能向出让人主张，却不能向真正应该履行债务的人主张，这反而使受让人的地位处于不利。出让人虽负将证明债权的文件交付受让人，并告知受让人关于主张该债权所需必要信息的义务，但不论是通知还是移交相关债权凭证，在合意移转主义下充其量都只是作为从给付义务或附随义务存在于债权移转法律关系中，在出让人拒绝履行此类义务时，受让人不能援引双务合同抗辩权来拒绝履行支付对价的义务。若为解除合同，受让人必须另外举证出让人不履行从给付义务使其合同目的无法实现，而这显然高于主给付义务不履行导致根本违约的举证难度。</w:t>
      </w:r>
      <w:r>
        <w:rPr>
          <w:rFonts w:hint="eastAsia"/>
          <w:lang w:val="en-US" w:eastAsia="zh-CN"/>
        </w:rPr>
        <w:t>但在</w:t>
      </w:r>
      <w:r>
        <w:rPr>
          <w:rFonts w:hint="eastAsia" w:asciiTheme="minorAscii" w:eastAsiaTheme="minorEastAsia"/>
          <w:lang w:val="en-US" w:eastAsia="zh-CN"/>
        </w:rPr>
        <w:t>通知移转主义</w:t>
      </w:r>
      <w:r>
        <w:rPr>
          <w:rFonts w:hint="eastAsia"/>
          <w:lang w:val="en-US" w:eastAsia="zh-CN"/>
        </w:rPr>
        <w:t>之下</w:t>
      </w:r>
      <w:r>
        <w:rPr>
          <w:rFonts w:hint="eastAsia" w:asciiTheme="minorAscii" w:eastAsiaTheme="minorEastAsia"/>
          <w:lang w:val="en-US" w:eastAsia="zh-CN"/>
        </w:rPr>
        <w:t>，在通知行为完成时，同时发生了出让人移转债权和在受让人与债务人之间建立约束的效果。债权作为相对权的一种，其主要效果就在于取得了对债务人的相对性约束，否则难谓取得了债权。</w:t>
      </w:r>
      <w:r>
        <w:rPr>
          <w:rStyle w:val="12"/>
          <w:rFonts w:hint="eastAsia" w:ascii="宋体" w:hAnsi="宋体" w:eastAsia="宋体" w:cs="宋体"/>
          <w:b w:val="0"/>
          <w:bCs w:val="0"/>
          <w:szCs w:val="24"/>
          <w:lang w:val="en-US" w:eastAsia="zh-CN"/>
        </w:rPr>
        <w:footnoteReference w:id="79"/>
      </w:r>
      <w:r>
        <w:rPr>
          <w:rFonts w:hint="eastAsia" w:asciiTheme="minorAscii" w:eastAsiaTheme="minorEastAsia"/>
          <w:lang w:val="en-US" w:eastAsia="zh-CN"/>
        </w:rPr>
        <w:t>以通知作为债权移转的生效要件，</w:t>
      </w:r>
      <w:r>
        <w:rPr>
          <w:rFonts w:hint="eastAsia"/>
          <w:lang w:val="en-US" w:eastAsia="zh-CN"/>
        </w:rPr>
        <w:t>可</w:t>
      </w:r>
      <w:r>
        <w:rPr>
          <w:rFonts w:hint="eastAsia" w:asciiTheme="minorAscii" w:eastAsiaTheme="minorEastAsia"/>
          <w:lang w:val="en-US" w:eastAsia="zh-CN"/>
        </w:rPr>
        <w:t>将通知提升为主给付义务，若让与人不肯履行通知义务，受让人可以行使不安抗辩权拒绝履行对待义务或主张违约责任来弥补自己遭受的损失。</w:t>
      </w:r>
    </w:p>
    <w:p w14:paraId="6C9DB031">
      <w:pPr>
        <w:bidi w:val="0"/>
        <w:outlineLvl w:val="2"/>
        <w:rPr>
          <w:rFonts w:hint="default"/>
          <w:lang w:val="en-US" w:eastAsia="zh-CN"/>
        </w:rPr>
      </w:pPr>
      <w:bookmarkStart w:id="15" w:name="_Toc32597"/>
      <w:bookmarkStart w:id="16" w:name="_Toc1534014134"/>
      <w:r>
        <w:rPr>
          <w:rFonts w:hint="eastAsia"/>
          <w:lang w:val="en-US" w:eastAsia="zh-CN"/>
        </w:rPr>
        <w:t>（四）</w:t>
      </w:r>
      <w:r>
        <w:rPr>
          <w:rFonts w:hint="eastAsia" w:asciiTheme="minorAscii" w:eastAsiaTheme="minorEastAsia"/>
          <w:lang w:val="en-US" w:eastAsia="zh-CN"/>
        </w:rPr>
        <w:t>对通知移转主义</w:t>
      </w:r>
      <w:bookmarkEnd w:id="15"/>
      <w:r>
        <w:rPr>
          <w:rFonts w:hint="eastAsia"/>
          <w:lang w:val="en-US" w:eastAsia="zh-CN"/>
        </w:rPr>
        <w:t>实践质疑的回应</w:t>
      </w:r>
      <w:bookmarkEnd w:id="16"/>
    </w:p>
    <w:p w14:paraId="2934E057">
      <w:pPr>
        <w:bidi w:val="0"/>
        <w:ind w:firstLine="480"/>
        <w:outlineLvl w:val="9"/>
        <w:rPr>
          <w:rFonts w:hint="default"/>
          <w:lang w:val="en-US" w:eastAsia="zh-CN"/>
        </w:rPr>
      </w:pPr>
      <w:r>
        <w:rPr>
          <w:rFonts w:hint="eastAsia" w:asciiTheme="minorAscii" w:eastAsiaTheme="minorEastAsia"/>
          <w:lang w:val="en-US" w:eastAsia="zh-CN"/>
        </w:rPr>
        <w:t>即使是采合意移转主义的学者亦</w:t>
      </w:r>
      <w:r>
        <w:rPr>
          <w:rFonts w:hint="eastAsia"/>
          <w:lang w:val="en-US" w:eastAsia="zh-CN"/>
        </w:rPr>
        <w:t>认可</w:t>
      </w:r>
      <w:r>
        <w:rPr>
          <w:rFonts w:hint="eastAsia" w:asciiTheme="minorAscii" w:eastAsiaTheme="minorEastAsia"/>
          <w:lang w:val="en-US" w:eastAsia="zh-CN"/>
        </w:rPr>
        <w:t>通知移转在立法论上的价值，只是困于当时立法文本无法直接得出此结论。</w:t>
      </w:r>
      <w:r>
        <w:rPr>
          <w:rStyle w:val="12"/>
          <w:rFonts w:hint="eastAsia" w:ascii="宋体" w:hAnsi="宋体" w:eastAsia="宋体" w:cs="宋体"/>
          <w:b w:val="0"/>
          <w:bCs w:val="0"/>
          <w:szCs w:val="24"/>
          <w:lang w:val="en-US" w:eastAsia="zh-CN"/>
        </w:rPr>
        <w:footnoteReference w:id="80"/>
      </w:r>
      <w:r>
        <w:rPr>
          <w:rFonts w:hint="eastAsia" w:asciiTheme="minorAscii" w:eastAsiaTheme="minorEastAsia"/>
          <w:lang w:val="en-US" w:eastAsia="zh-CN"/>
        </w:rPr>
        <w:t>在制定和研讨《</w:t>
      </w:r>
      <w:r>
        <w:rPr>
          <w:rFonts w:hint="eastAsia"/>
          <w:lang w:val="en-US" w:eastAsia="zh-CN"/>
        </w:rPr>
        <w:t>合同编通则司法解释</w:t>
      </w:r>
      <w:r>
        <w:rPr>
          <w:rFonts w:hint="eastAsia" w:asciiTheme="minorAscii" w:eastAsiaTheme="minorEastAsia"/>
          <w:lang w:val="en-US" w:eastAsia="zh-CN"/>
        </w:rPr>
        <w:t>》的过程中，通知移转主义被</w:t>
      </w:r>
      <w:r>
        <w:rPr>
          <w:rFonts w:hint="eastAsia"/>
          <w:lang w:val="en-US" w:eastAsia="zh-CN"/>
        </w:rPr>
        <w:t>再度</w:t>
      </w:r>
      <w:r>
        <w:rPr>
          <w:rFonts w:hint="eastAsia" w:asciiTheme="minorAscii" w:eastAsiaTheme="minorEastAsia"/>
          <w:lang w:val="en-US" w:eastAsia="zh-CN"/>
        </w:rPr>
        <w:t>提起</w:t>
      </w:r>
      <w:r>
        <w:rPr>
          <w:rFonts w:hint="eastAsia"/>
          <w:lang w:val="en-US" w:eastAsia="zh-CN"/>
        </w:rPr>
        <w:t>并落实。在文义解释已无阻碍的情况下，还需对</w:t>
      </w:r>
      <w:r>
        <w:rPr>
          <w:rFonts w:hint="eastAsia" w:asciiTheme="minorAscii" w:eastAsiaTheme="minorEastAsia"/>
          <w:lang w:val="en-US" w:eastAsia="zh-CN"/>
        </w:rPr>
        <w:t>通知移转主义面临的主要</w:t>
      </w:r>
      <w:r>
        <w:rPr>
          <w:rFonts w:hint="eastAsia"/>
          <w:lang w:val="en-US" w:eastAsia="zh-CN"/>
        </w:rPr>
        <w:t>实践</w:t>
      </w:r>
      <w:r>
        <w:rPr>
          <w:rFonts w:hint="eastAsia" w:asciiTheme="minorAscii" w:eastAsiaTheme="minorEastAsia"/>
          <w:lang w:val="en-US" w:eastAsia="zh-CN"/>
        </w:rPr>
        <w:t>质疑进行回应。</w:t>
      </w:r>
    </w:p>
    <w:p w14:paraId="569EA74B">
      <w:pPr>
        <w:bidi w:val="0"/>
        <w:outlineLvl w:val="3"/>
        <w:rPr>
          <w:rFonts w:hint="default" w:asciiTheme="minorAscii" w:eastAsiaTheme="minorEastAsia"/>
          <w:lang w:val="en-US" w:eastAsia="zh-CN"/>
        </w:rPr>
      </w:pPr>
      <w:r>
        <w:rPr>
          <w:rFonts w:hint="eastAsia"/>
          <w:lang w:val="en-US" w:eastAsia="zh-CN"/>
        </w:rPr>
        <w:t>1.对串通让与质疑的回应</w:t>
      </w:r>
    </w:p>
    <w:p w14:paraId="67C2F134">
      <w:pPr>
        <w:bidi w:val="0"/>
        <w:outlineLvl w:val="9"/>
        <w:rPr>
          <w:rFonts w:hint="default"/>
          <w:lang w:val="en-US" w:eastAsia="zh-CN"/>
        </w:rPr>
      </w:pPr>
      <w:r>
        <w:rPr>
          <w:rFonts w:hint="eastAsia" w:asciiTheme="minorAscii" w:eastAsiaTheme="minorEastAsia"/>
          <w:lang w:val="en-US" w:eastAsia="zh-CN"/>
        </w:rPr>
        <w:t>对于通知移转主义的批评之一，是债权让与通知也可以造假，让与人可以把最后订立的债权让与合同当作最先订立的合同通知债务人。</w:t>
      </w:r>
      <w:r>
        <w:rPr>
          <w:rStyle w:val="12"/>
          <w:rFonts w:hint="eastAsia"/>
          <w:lang w:val="en-US" w:eastAsia="zh-CN"/>
        </w:rPr>
        <w:footnoteReference w:id="81"/>
      </w:r>
      <w:r>
        <w:rPr>
          <w:rFonts w:hint="eastAsia" w:asciiTheme="minorAscii" w:eastAsiaTheme="minorEastAsia"/>
          <w:lang w:val="en-US" w:eastAsia="zh-CN"/>
        </w:rPr>
        <w:t>回应这一批评应该从负担行为与处分行为区分的角度出发</w:t>
      </w:r>
      <w:r>
        <w:rPr>
          <w:rFonts w:hint="eastAsia"/>
          <w:lang w:val="en-US" w:eastAsia="zh-CN"/>
        </w:rPr>
        <w:t>，</w:t>
      </w:r>
      <w:r>
        <w:rPr>
          <w:rFonts w:hint="eastAsia" w:asciiTheme="minorAscii" w:eastAsiaTheme="minorEastAsia"/>
          <w:lang w:val="en-US" w:eastAsia="zh-CN"/>
        </w:rPr>
        <w:t>就债权让与合同而言，各受让人取得的只是请求让与人转交债权的请求权，</w:t>
      </w:r>
      <w:r>
        <w:rPr>
          <w:rFonts w:hint="eastAsia"/>
          <w:lang w:val="en-US" w:eastAsia="zh-CN"/>
        </w:rPr>
        <w:t>均具有平等的法律地位，而最先到达通知中记载的受让人也将因取得债权，即使其知晓在先订立的债权让与合同也不受到影响。</w:t>
      </w:r>
      <w:r>
        <w:rPr>
          <w:rFonts w:hint="eastAsia" w:asciiTheme="minorAscii" w:eastAsiaTheme="minorEastAsia"/>
          <w:lang w:val="en-US" w:eastAsia="zh-CN"/>
        </w:rPr>
        <w:t>通知债务人是让与人之履行行为，让与人愿意不顾让与合同订立时间的先后顺序，按照自己意愿确定最先通知的受让人，其应当承担违约责任</w:t>
      </w:r>
      <w:r>
        <w:rPr>
          <w:rFonts w:hint="eastAsia"/>
          <w:lang w:val="en-US" w:eastAsia="zh-CN"/>
        </w:rPr>
        <w:t>也是因为对同一标的</w:t>
      </w:r>
      <w:r>
        <w:rPr>
          <w:rFonts w:hint="eastAsia" w:asciiTheme="minorAscii" w:eastAsiaTheme="minorEastAsia"/>
          <w:lang w:val="en-US" w:eastAsia="zh-CN"/>
        </w:rPr>
        <w:t>进行了多次让与必然</w:t>
      </w:r>
      <w:r>
        <w:rPr>
          <w:rFonts w:hint="eastAsia"/>
          <w:lang w:val="en-US" w:eastAsia="zh-CN"/>
        </w:rPr>
        <w:t>会出现</w:t>
      </w:r>
      <w:r>
        <w:rPr>
          <w:rFonts w:hint="eastAsia" w:asciiTheme="minorAscii" w:eastAsiaTheme="minorEastAsia"/>
          <w:lang w:val="en-US" w:eastAsia="zh-CN"/>
        </w:rPr>
        <w:t>履行不能</w:t>
      </w:r>
      <w:r>
        <w:rPr>
          <w:rFonts w:hint="eastAsia"/>
          <w:lang w:val="en-US" w:eastAsia="zh-CN"/>
        </w:rPr>
        <w:t>的结果，而非</w:t>
      </w:r>
      <w:r>
        <w:rPr>
          <w:rFonts w:hint="eastAsia" w:asciiTheme="minorAscii" w:eastAsiaTheme="minorEastAsia"/>
          <w:lang w:val="en-US" w:eastAsia="zh-CN"/>
        </w:rPr>
        <w:t>未按合同订立先后顺序进行</w:t>
      </w:r>
      <w:r>
        <w:rPr>
          <w:rFonts w:hint="eastAsia"/>
          <w:lang w:val="en-US" w:eastAsia="zh-CN"/>
        </w:rPr>
        <w:t>通知</w:t>
      </w:r>
      <w:r>
        <w:rPr>
          <w:rFonts w:hint="eastAsia" w:asciiTheme="minorAscii" w:eastAsiaTheme="minorEastAsia"/>
          <w:lang w:val="en-US" w:eastAsia="zh-CN"/>
        </w:rPr>
        <w:t>。</w:t>
      </w:r>
    </w:p>
    <w:p w14:paraId="0DB88ADE">
      <w:pPr>
        <w:bidi w:val="0"/>
        <w:outlineLvl w:val="3"/>
        <w:rPr>
          <w:rFonts w:hint="default" w:asciiTheme="minorAscii" w:eastAsiaTheme="minorEastAsia"/>
          <w:lang w:val="en-US" w:eastAsia="zh-CN"/>
        </w:rPr>
      </w:pPr>
      <w:r>
        <w:rPr>
          <w:rFonts w:hint="eastAsia"/>
          <w:lang w:val="en-US" w:eastAsia="zh-CN"/>
        </w:rPr>
        <w:t>2.对隐秘让与质疑的回应</w:t>
      </w:r>
    </w:p>
    <w:p w14:paraId="24390434">
      <w:pPr>
        <w:bidi w:val="0"/>
        <w:outlineLvl w:val="9"/>
        <w:rPr>
          <w:rFonts w:hint="eastAsia"/>
          <w:lang w:val="en-US" w:eastAsia="zh-CN"/>
        </w:rPr>
      </w:pPr>
      <w:r>
        <w:rPr>
          <w:rFonts w:hint="eastAsia" w:asciiTheme="minorAscii" w:eastAsiaTheme="minorEastAsia"/>
          <w:lang w:val="en-US" w:eastAsia="zh-CN"/>
        </w:rPr>
        <w:t>通知移转主义同样可以回应学界对于通知要件在</w:t>
      </w:r>
      <w:r>
        <w:rPr>
          <w:rFonts w:hint="eastAsia"/>
          <w:lang w:val="en-US" w:eastAsia="zh-CN"/>
        </w:rPr>
        <w:t>隐秘让与</w:t>
      </w:r>
      <w:r>
        <w:rPr>
          <w:rFonts w:hint="eastAsia" w:asciiTheme="minorAscii" w:eastAsiaTheme="minorEastAsia"/>
          <w:lang w:val="en-US" w:eastAsia="zh-CN"/>
        </w:rPr>
        <w:t>中适用的质疑。这种交易形态要求债权让与人和受让人将让与事项对债务人保密，债权仍然由出让人收取，而后依据内部关系交给受让人。不过在实践过程中区分合意移转主义与通知移转主义是否有实质上的差异是值得怀疑的。若采合意移转主义，认为债权在隐秘状态下归</w:t>
      </w:r>
      <w:r>
        <w:rPr>
          <w:rFonts w:hint="eastAsia"/>
          <w:lang w:val="en-US" w:eastAsia="zh-CN"/>
        </w:rPr>
        <w:t>受让人</w:t>
      </w:r>
      <w:r>
        <w:rPr>
          <w:rFonts w:hint="eastAsia" w:asciiTheme="minorAscii" w:eastAsiaTheme="minorEastAsia"/>
          <w:lang w:val="en-US" w:eastAsia="zh-CN"/>
        </w:rPr>
        <w:t>所有，因为出让人未履行通知之附随义务，在出让人无力偿还应收账款对价时，</w:t>
      </w:r>
      <w:r>
        <w:rPr>
          <w:rFonts w:hint="eastAsia"/>
          <w:lang w:val="en-US" w:eastAsia="zh-CN"/>
        </w:rPr>
        <w:t>受让人</w:t>
      </w:r>
      <w:r>
        <w:rPr>
          <w:rFonts w:hint="eastAsia" w:asciiTheme="minorAscii" w:eastAsiaTheme="minorEastAsia"/>
          <w:lang w:val="en-US" w:eastAsia="zh-CN"/>
        </w:rPr>
        <w:t>也无法直接向债务人追偿，只是空有债权人地位，需要出让人向债务人收取款项然后再偿还受让人，实际上与</w:t>
      </w:r>
      <w:r>
        <w:rPr>
          <w:rFonts w:hint="eastAsia"/>
          <w:lang w:val="en-US" w:eastAsia="zh-CN"/>
        </w:rPr>
        <w:t>尚未取得债权</w:t>
      </w:r>
      <w:r>
        <w:rPr>
          <w:rFonts w:hint="eastAsia" w:asciiTheme="minorAscii" w:eastAsiaTheme="minorEastAsia"/>
          <w:lang w:val="en-US" w:eastAsia="zh-CN"/>
        </w:rPr>
        <w:t>并无差异。正如我们质疑不具完全对世性的物权</w:t>
      </w:r>
      <w:r>
        <w:rPr>
          <w:rFonts w:hint="eastAsia"/>
          <w:lang w:val="en-US" w:eastAsia="zh-CN"/>
        </w:rPr>
        <w:t>是不是</w:t>
      </w:r>
      <w:r>
        <w:rPr>
          <w:rFonts w:hint="eastAsia" w:asciiTheme="minorAscii" w:eastAsiaTheme="minorEastAsia"/>
          <w:lang w:val="en-US" w:eastAsia="zh-CN"/>
        </w:rPr>
        <w:t>真正的物权一样，无法请求债务人的债权人还是债权人吗？有观点认为此时受让人取得的是一种效力不齐备债权，债务人享有对其抗辩权，可以对抗受让人的清偿请求。</w:t>
      </w:r>
      <w:r>
        <w:rPr>
          <w:rStyle w:val="12"/>
          <w:rFonts w:hint="eastAsia" w:ascii="宋体" w:hAnsi="宋体" w:eastAsia="宋体" w:cs="宋体"/>
          <w:b w:val="0"/>
          <w:bCs w:val="0"/>
          <w:szCs w:val="24"/>
          <w:lang w:val="en-US" w:eastAsia="zh-CN"/>
        </w:rPr>
        <w:footnoteReference w:id="82"/>
      </w:r>
      <w:r>
        <w:rPr>
          <w:rFonts w:hint="eastAsia" w:asciiTheme="minorAscii" w:eastAsiaTheme="minorEastAsia"/>
          <w:lang w:val="en-US" w:eastAsia="zh-CN"/>
        </w:rPr>
        <w:t>然《民法典》第</w:t>
      </w:r>
      <w:r>
        <w:rPr>
          <w:rFonts w:hint="eastAsia"/>
          <w:lang w:val="en-US" w:eastAsia="zh-CN"/>
        </w:rPr>
        <w:t>546</w:t>
      </w:r>
      <w:r>
        <w:rPr>
          <w:rFonts w:hint="eastAsia" w:asciiTheme="minorAscii" w:eastAsiaTheme="minorEastAsia"/>
          <w:lang w:val="en-US" w:eastAsia="zh-CN"/>
        </w:rPr>
        <w:t>条表明的是债务人可不承认受让人的债权人地位，其行使的并非抗辩权，而是诉讼上的抗辩</w:t>
      </w:r>
      <w:r>
        <w:rPr>
          <w:rFonts w:hint="eastAsia"/>
          <w:lang w:val="en-US" w:eastAsia="zh-CN"/>
        </w:rPr>
        <w:t>。</w:t>
      </w:r>
      <w:r>
        <w:rPr>
          <w:rFonts w:hint="eastAsia" w:asciiTheme="minorAscii" w:eastAsiaTheme="minorEastAsia"/>
          <w:lang w:val="en-US" w:eastAsia="zh-CN"/>
        </w:rPr>
        <w:t>如果在债权人指令债务人向第三人履行金钱债务，但第三人并没有取得要求债务人支付金钱的权利的情况下，法院将认为债权人并没有让与债权的意思，</w:t>
      </w:r>
      <w:r>
        <w:rPr>
          <w:rStyle w:val="12"/>
          <w:rFonts w:hint="eastAsia"/>
          <w:lang w:val="en-US" w:eastAsia="zh-CN"/>
        </w:rPr>
        <w:footnoteReference w:id="83"/>
      </w:r>
      <w:r>
        <w:rPr>
          <w:rFonts w:hint="eastAsia" w:asciiTheme="minorAscii" w:eastAsiaTheme="minorEastAsia"/>
          <w:lang w:val="en-US" w:eastAsia="zh-CN"/>
        </w:rPr>
        <w:t>因为在这种情况下，即使债务人有向第三人履行的义务，但由于第三人无法直接向其发出指令，更像是向第三人履行而非债权让与。出让人对于隐秘性的需求无外乎不希望外界得知其面临融资的困难，而</w:t>
      </w:r>
      <w:r>
        <w:rPr>
          <w:rFonts w:hint="eastAsia"/>
          <w:lang w:val="en-US" w:eastAsia="zh-CN"/>
        </w:rPr>
        <w:t>受让人</w:t>
      </w:r>
      <w:r>
        <w:rPr>
          <w:rFonts w:hint="eastAsia" w:asciiTheme="minorAscii" w:eastAsiaTheme="minorEastAsia"/>
          <w:lang w:val="en-US" w:eastAsia="zh-CN"/>
        </w:rPr>
        <w:t>则是利用出让人的隐秘性需求来提高</w:t>
      </w:r>
      <w:r>
        <w:rPr>
          <w:rFonts w:hint="eastAsia"/>
          <w:lang w:val="en-US" w:eastAsia="zh-CN"/>
        </w:rPr>
        <w:t>融资</w:t>
      </w:r>
      <w:r>
        <w:rPr>
          <w:rFonts w:hint="eastAsia" w:asciiTheme="minorAscii" w:eastAsiaTheme="minorEastAsia"/>
          <w:lang w:val="en-US" w:eastAsia="zh-CN"/>
        </w:rPr>
        <w:t>费用，实际上并不强调债权的归属。因此，对于所谓的隐秘让</w:t>
      </w:r>
      <w:r>
        <w:rPr>
          <w:rFonts w:hint="eastAsia"/>
          <w:lang w:val="en-US" w:eastAsia="zh-CN"/>
        </w:rPr>
        <w:t>与业务</w:t>
      </w:r>
      <w:r>
        <w:rPr>
          <w:rFonts w:hint="eastAsia" w:asciiTheme="minorAscii" w:eastAsiaTheme="minorEastAsia"/>
          <w:lang w:val="en-US" w:eastAsia="zh-CN"/>
        </w:rPr>
        <w:t>形态，既然</w:t>
      </w:r>
      <w:r>
        <w:rPr>
          <w:rFonts w:hint="eastAsia"/>
          <w:lang w:val="en-US" w:eastAsia="zh-CN"/>
        </w:rPr>
        <w:t>受让人</w:t>
      </w:r>
      <w:r>
        <w:rPr>
          <w:rFonts w:hint="eastAsia" w:asciiTheme="minorAscii" w:eastAsiaTheme="minorEastAsia"/>
          <w:lang w:val="en-US" w:eastAsia="zh-CN"/>
        </w:rPr>
        <w:t>并未取得债权仍愿意进行此种商事交易，只有一种解释就是</w:t>
      </w:r>
      <w:r>
        <w:rPr>
          <w:rFonts w:hint="eastAsia"/>
          <w:lang w:val="en-US" w:eastAsia="zh-CN"/>
        </w:rPr>
        <w:t>受让人</w:t>
      </w:r>
      <w:r>
        <w:rPr>
          <w:rFonts w:hint="eastAsia" w:asciiTheme="minorAscii" w:eastAsiaTheme="minorEastAsia"/>
          <w:lang w:val="en-US" w:eastAsia="zh-CN"/>
        </w:rPr>
        <w:t>本身并不在乎债权是否</w:t>
      </w:r>
      <w:r>
        <w:rPr>
          <w:rFonts w:hint="eastAsia"/>
          <w:lang w:val="en-US" w:eastAsia="zh-CN"/>
        </w:rPr>
        <w:t>移转</w:t>
      </w:r>
      <w:r>
        <w:rPr>
          <w:rFonts w:hint="eastAsia" w:asciiTheme="minorAscii" w:eastAsiaTheme="minorEastAsia"/>
          <w:lang w:val="en-US" w:eastAsia="zh-CN"/>
        </w:rPr>
        <w:t>，只是一种纯粹的信用借贷关系。</w:t>
      </w:r>
      <w:r>
        <w:rPr>
          <w:rStyle w:val="12"/>
          <w:rFonts w:hint="eastAsia" w:ascii="宋体" w:hAnsi="宋体" w:eastAsia="宋体" w:cs="宋体"/>
          <w:b w:val="0"/>
          <w:bCs w:val="0"/>
          <w:szCs w:val="24"/>
          <w:lang w:val="en-US" w:eastAsia="zh-CN"/>
        </w:rPr>
        <w:footnoteReference w:id="84"/>
      </w:r>
    </w:p>
    <w:p w14:paraId="6924738C">
      <w:pPr>
        <w:numPr>
          <w:ilvl w:val="-1"/>
          <w:numId w:val="0"/>
        </w:numPr>
        <w:ind w:firstLine="480" w:firstLineChars="0"/>
        <w:outlineLvl w:val="3"/>
        <w:rPr>
          <w:rFonts w:hint="default" w:asciiTheme="minorAscii" w:eastAsiaTheme="minorEastAsia"/>
          <w:lang w:val="en-US" w:eastAsia="zh-CN"/>
        </w:rPr>
      </w:pPr>
      <w:r>
        <w:rPr>
          <w:rFonts w:hint="eastAsia"/>
          <w:lang w:val="en-US" w:eastAsia="zh-CN"/>
        </w:rPr>
        <w:t>3.对未来债权让与质疑的回应</w:t>
      </w:r>
    </w:p>
    <w:p w14:paraId="282FC567">
      <w:pPr>
        <w:numPr>
          <w:ilvl w:val="-1"/>
          <w:numId w:val="0"/>
        </w:numPr>
        <w:ind w:firstLine="480" w:firstLineChars="0"/>
        <w:outlineLvl w:val="9"/>
        <w:rPr>
          <w:rFonts w:hint="default" w:asciiTheme="minorAscii" w:eastAsiaTheme="minorEastAsia"/>
          <w:lang w:val="en-US" w:eastAsia="zh-CN"/>
        </w:rPr>
      </w:pPr>
      <w:r>
        <w:rPr>
          <w:rFonts w:hint="eastAsia" w:asciiTheme="minorAscii" w:eastAsiaTheme="minorEastAsia"/>
          <w:lang w:val="en-US" w:eastAsia="zh-CN"/>
        </w:rPr>
        <w:t>在未来债权的让与上，有观点认为，在未来债权让与合同订立时，尚无债务人，缺乏通知对象，采通知移转主义将使受让人无法取得债权</w:t>
      </w:r>
      <w:r>
        <w:rPr>
          <w:rFonts w:hint="eastAsia"/>
          <w:lang w:val="en-US" w:eastAsia="zh-CN"/>
        </w:rPr>
        <w:t>。</w:t>
      </w:r>
      <w:r>
        <w:rPr>
          <w:rFonts w:hint="eastAsia" w:asciiTheme="minorAscii" w:eastAsiaTheme="minorEastAsia"/>
          <w:lang w:val="en-US" w:eastAsia="zh-CN"/>
        </w:rPr>
        <w:t>未来债权可分为有基础法律关系的未来债权和无基础法律关系的未来债权。有基础关系的未来债权指产生债权的基础法律关系已存在，仅需特定事实即可使债权发生的情形，如期限届至、条件成就或继续性合同的履行。此类未来债权</w:t>
      </w:r>
      <w:r>
        <w:rPr>
          <w:rFonts w:hint="eastAsia"/>
          <w:lang w:val="en-US" w:eastAsia="zh-CN"/>
        </w:rPr>
        <w:t>的</w:t>
      </w:r>
      <w:r>
        <w:rPr>
          <w:rFonts w:hint="eastAsia" w:asciiTheme="minorAscii" w:eastAsiaTheme="minorEastAsia"/>
          <w:lang w:val="en-US" w:eastAsia="zh-CN"/>
        </w:rPr>
        <w:t>基础法律关系已为债权的产生提供了稳定框架，债务人往往在让与合意达成时已确定。债权的存在是债权让与发生效力的要件，未来债权在当下并不存在，因此不得发生移转。如今允许将来债权的处分，主要是基于经济发展的需要而做出的实质价值考量</w:t>
      </w:r>
      <w:r>
        <w:rPr>
          <w:rFonts w:hint="eastAsia"/>
          <w:lang w:val="en-US" w:eastAsia="zh-CN"/>
        </w:rPr>
        <w:t>，</w:t>
      </w:r>
      <w:r>
        <w:rPr>
          <w:rStyle w:val="12"/>
          <w:rFonts w:hint="eastAsia" w:ascii="宋体" w:hAnsi="宋体" w:eastAsia="宋体" w:cs="宋体"/>
          <w:b w:val="0"/>
          <w:bCs w:val="0"/>
          <w:szCs w:val="24"/>
          <w:lang w:val="en-US" w:eastAsia="zh-CN"/>
        </w:rPr>
        <w:footnoteReference w:id="85"/>
      </w:r>
      <w:r>
        <w:rPr>
          <w:rFonts w:hint="eastAsia" w:asciiTheme="minorAscii" w:eastAsiaTheme="minorEastAsia"/>
          <w:lang w:val="en-US" w:eastAsia="zh-CN"/>
        </w:rPr>
        <w:t>仍应注意区分处分合意的生效与债权真正移转的时点</w:t>
      </w:r>
      <w:r>
        <w:rPr>
          <w:rFonts w:hint="eastAsia"/>
          <w:lang w:val="en-US" w:eastAsia="zh-CN"/>
        </w:rPr>
        <w:t>。</w:t>
      </w:r>
      <w:r>
        <w:rPr>
          <w:rFonts w:hint="eastAsia" w:asciiTheme="minorAscii" w:eastAsiaTheme="minorEastAsia"/>
          <w:lang w:val="en-US" w:eastAsia="zh-CN"/>
        </w:rPr>
        <w:t>对于</w:t>
      </w:r>
      <w:r>
        <w:rPr>
          <w:rFonts w:hint="eastAsia"/>
          <w:lang w:val="en-US" w:eastAsia="zh-CN"/>
        </w:rPr>
        <w:t>未来</w:t>
      </w:r>
      <w:r>
        <w:rPr>
          <w:rFonts w:hint="eastAsia" w:asciiTheme="minorAscii" w:eastAsiaTheme="minorEastAsia"/>
          <w:lang w:val="en-US" w:eastAsia="zh-CN"/>
        </w:rPr>
        <w:t>债权而言，然受让人通过</w:t>
      </w:r>
      <w:r>
        <w:rPr>
          <w:rFonts w:hint="eastAsia"/>
          <w:lang w:val="en-US" w:eastAsia="zh-CN"/>
        </w:rPr>
        <w:t>让与</w:t>
      </w:r>
      <w:r>
        <w:rPr>
          <w:rFonts w:hint="eastAsia" w:asciiTheme="minorAscii" w:eastAsiaTheme="minorEastAsia"/>
          <w:lang w:val="en-US" w:eastAsia="zh-CN"/>
        </w:rPr>
        <w:t>人之处分行为取得的实为期待权。</w:t>
      </w:r>
      <w:r>
        <w:rPr>
          <w:rStyle w:val="12"/>
          <w:rFonts w:hint="eastAsia" w:asciiTheme="minorAscii" w:eastAsiaTheme="minorEastAsia"/>
          <w:lang w:val="en-US" w:eastAsia="zh-CN"/>
        </w:rPr>
        <w:footnoteReference w:id="86"/>
      </w:r>
      <w:r>
        <w:rPr>
          <w:rFonts w:hint="eastAsia" w:asciiTheme="minorAscii" w:eastAsiaTheme="minorEastAsia"/>
          <w:lang w:val="en-US" w:eastAsia="zh-CN"/>
        </w:rPr>
        <w:t>处分行为构成要件在达成转让的合意时就已经达成。但是发生权利取得效果的时点是债权产生时。</w:t>
      </w:r>
      <w:r>
        <w:rPr>
          <w:rStyle w:val="12"/>
          <w:rFonts w:hint="eastAsia" w:ascii="宋体" w:hAnsi="宋体" w:eastAsia="宋体" w:cs="宋体"/>
          <w:b w:val="0"/>
          <w:bCs w:val="0"/>
          <w:szCs w:val="24"/>
          <w:lang w:val="en-US" w:eastAsia="zh-CN"/>
        </w:rPr>
        <w:footnoteReference w:id="87"/>
      </w:r>
      <w:r>
        <w:rPr>
          <w:rFonts w:hint="eastAsia" w:asciiTheme="minorAscii" w:eastAsiaTheme="minorEastAsia"/>
          <w:lang w:val="en-US" w:eastAsia="zh-CN"/>
        </w:rPr>
        <w:t>出让人通过让与合意交付给受让人的，并非已成形的完整债权，而仅是一种未来债权人地位，</w:t>
      </w:r>
      <w:r>
        <w:rPr>
          <w:rFonts w:hint="eastAsia" w:asciiTheme="minorAscii" w:eastAsiaTheme="minorEastAsia"/>
          <w:vertAlign w:val="superscript"/>
          <w:lang w:val="en-US" w:eastAsia="zh-CN"/>
        </w:rPr>
        <w:footnoteReference w:id="88"/>
      </w:r>
      <w:r>
        <w:rPr>
          <w:rFonts w:hint="eastAsia" w:asciiTheme="minorAscii" w:eastAsiaTheme="minorEastAsia"/>
          <w:lang w:val="en-US" w:eastAsia="zh-CN"/>
        </w:rPr>
        <w:t>属于权利取得的先期阶段，应当归入期待权，</w:t>
      </w:r>
      <w:r>
        <w:rPr>
          <w:rFonts w:hint="eastAsia" w:asciiTheme="minorAscii" w:eastAsiaTheme="minorEastAsia"/>
          <w:vertAlign w:val="superscript"/>
          <w:lang w:val="en-US" w:eastAsia="zh-CN"/>
        </w:rPr>
        <w:footnoteReference w:id="89"/>
      </w:r>
      <w:r>
        <w:rPr>
          <w:rFonts w:hint="eastAsia" w:asciiTheme="minorAscii" w:eastAsiaTheme="minorEastAsia"/>
          <w:lang w:val="en-US" w:eastAsia="zh-CN"/>
        </w:rPr>
        <w:t>而非现实的债权权能。当转让的债权成为现存权利时，债权才发生移转。</w:t>
      </w:r>
      <w:r>
        <w:rPr>
          <w:rStyle w:val="12"/>
          <w:rFonts w:hint="eastAsia" w:ascii="宋体" w:hAnsi="宋体" w:eastAsia="宋体" w:cs="宋体"/>
          <w:b w:val="0"/>
          <w:bCs w:val="0"/>
          <w:szCs w:val="24"/>
          <w:lang w:val="en-US" w:eastAsia="zh-CN"/>
        </w:rPr>
        <w:footnoteReference w:id="90"/>
      </w:r>
      <w:r>
        <w:rPr>
          <w:rFonts w:hint="eastAsia" w:asciiTheme="minorAscii" w:eastAsiaTheme="minorEastAsia"/>
          <w:lang w:val="en-US" w:eastAsia="zh-CN"/>
        </w:rPr>
        <w:t>受让人虽不能即时取得债权，但已获得针对未来债权产生后的受让资格。而债权的最终移转，仍需以通知到达已确定的债务人为前提。这个过程中，债务人自始存在，未来债权人地位的让与和后续通知的衔接，不存在债务人缺位的问题</w:t>
      </w:r>
      <w:r>
        <w:rPr>
          <w:rFonts w:hint="eastAsia"/>
          <w:lang w:val="en-US" w:eastAsia="zh-CN"/>
        </w:rPr>
        <w:t>，也</w:t>
      </w:r>
      <w:r>
        <w:rPr>
          <w:rFonts w:hint="eastAsia" w:asciiTheme="minorAscii" w:eastAsiaTheme="minorEastAsia"/>
          <w:lang w:val="en-US" w:eastAsia="zh-CN"/>
        </w:rPr>
        <w:t>与通说认为有基础关系的将来债权处分可发生直接取得效力的观点相吻合。</w:t>
      </w:r>
      <w:r>
        <w:rPr>
          <w:rStyle w:val="12"/>
          <w:rFonts w:hint="eastAsia" w:ascii="宋体" w:hAnsi="宋体" w:eastAsia="宋体" w:cs="宋体"/>
          <w:b w:val="0"/>
          <w:bCs w:val="0"/>
          <w:szCs w:val="24"/>
          <w:lang w:val="en-US" w:eastAsia="zh-CN"/>
        </w:rPr>
        <w:footnoteReference w:id="91"/>
      </w:r>
      <w:r>
        <w:rPr>
          <w:rFonts w:hint="eastAsia" w:asciiTheme="minorAscii" w:eastAsiaTheme="minorEastAsia"/>
          <w:lang w:val="en-US" w:eastAsia="zh-CN"/>
        </w:rPr>
        <w:t>无基础关系的未来债权，是指产生债权的基础法律关系尚未成立，仅存在债权可能产生的盖然性的情形，例如高速公路等基础设施</w:t>
      </w:r>
      <w:r>
        <w:rPr>
          <w:rFonts w:hint="eastAsia"/>
          <w:lang w:val="en-US" w:eastAsia="zh-CN"/>
        </w:rPr>
        <w:t>的</w:t>
      </w:r>
      <w:r>
        <w:rPr>
          <w:rFonts w:hint="eastAsia" w:asciiTheme="minorAscii" w:eastAsiaTheme="minorEastAsia"/>
          <w:lang w:val="en-US" w:eastAsia="zh-CN"/>
        </w:rPr>
        <w:t>收费权。此类债权的债务人在让与合意达成时通常处于不确定状态，受让人取得的是当基础法律关系产生、债务人具体出现时，针对该债权的间接受让权。当债务人因基础法律关系成立而确定后，出让人向该新出现的债务人发出债权让与通知，通知到达时债权即发生移转。这一过程中，债务人出现、债权让与通知、债权发生移转相衔接，所谓缺少债务人的问题因未来债权人地位的先行让与而消解，债权先因基础关系成立归属于出让人，由将来债权转化为现实债权，再</w:t>
      </w:r>
      <w:r>
        <w:rPr>
          <w:rFonts w:hint="eastAsia"/>
          <w:lang w:val="en-US" w:eastAsia="zh-CN"/>
        </w:rPr>
        <w:t>经</w:t>
      </w:r>
      <w:r>
        <w:rPr>
          <w:rFonts w:hint="eastAsia" w:asciiTheme="minorAscii" w:eastAsiaTheme="minorEastAsia"/>
          <w:lang w:val="en-US" w:eastAsia="zh-CN"/>
        </w:rPr>
        <w:t>通知债务人完成向受让人的移转</w:t>
      </w:r>
      <w:r>
        <w:rPr>
          <w:rFonts w:hint="eastAsia"/>
          <w:lang w:val="en-US" w:eastAsia="zh-CN"/>
        </w:rPr>
        <w:t>，</w:t>
      </w:r>
      <w:r>
        <w:rPr>
          <w:rStyle w:val="12"/>
          <w:rFonts w:hint="eastAsia" w:ascii="宋体" w:hAnsi="宋体" w:eastAsia="宋体" w:cs="宋体"/>
          <w:b w:val="0"/>
          <w:bCs w:val="0"/>
          <w:szCs w:val="24"/>
          <w:lang w:val="en-US" w:eastAsia="zh-CN"/>
        </w:rPr>
        <w:footnoteReference w:id="92"/>
      </w:r>
      <w:r>
        <w:rPr>
          <w:rFonts w:hint="eastAsia"/>
          <w:lang w:val="en-US" w:eastAsia="zh-CN"/>
        </w:rPr>
        <w:t>与</w:t>
      </w:r>
      <w:r>
        <w:rPr>
          <w:rFonts w:hint="eastAsia" w:asciiTheme="minorAscii" w:eastAsiaTheme="minorEastAsia"/>
          <w:lang w:val="en-US" w:eastAsia="zh-CN"/>
        </w:rPr>
        <w:t>纯粹将来债权让与</w:t>
      </w:r>
      <w:r>
        <w:rPr>
          <w:rFonts w:hint="eastAsia"/>
          <w:lang w:val="en-US" w:eastAsia="zh-CN"/>
        </w:rPr>
        <w:t>采</w:t>
      </w:r>
      <w:r>
        <w:rPr>
          <w:rFonts w:hint="eastAsia" w:asciiTheme="minorAscii" w:eastAsiaTheme="minorEastAsia"/>
          <w:lang w:val="en-US" w:eastAsia="zh-CN"/>
        </w:rPr>
        <w:t>间接取得模式</w:t>
      </w:r>
      <w:r>
        <w:rPr>
          <w:rFonts w:hint="eastAsia"/>
          <w:lang w:val="en-US" w:eastAsia="zh-CN"/>
        </w:rPr>
        <w:t>的主流观点一致</w:t>
      </w:r>
      <w:r>
        <w:rPr>
          <w:rFonts w:hint="eastAsia" w:asciiTheme="minorAscii" w:eastAsiaTheme="minorEastAsia"/>
          <w:lang w:val="en-US" w:eastAsia="zh-CN"/>
        </w:rPr>
        <w:t>。</w:t>
      </w:r>
    </w:p>
    <w:p w14:paraId="13E63D8A">
      <w:pPr>
        <w:numPr>
          <w:ilvl w:val="0"/>
          <w:numId w:val="0"/>
        </w:numPr>
        <w:ind w:firstLine="480" w:firstLineChars="200"/>
        <w:outlineLvl w:val="1"/>
        <w:rPr>
          <w:rFonts w:hint="default" w:asciiTheme="minorEastAsia" w:hAnsiTheme="minorEastAsia" w:cstheme="minorEastAsia"/>
          <w:lang w:val="en-US" w:eastAsia="zh-CN"/>
        </w:rPr>
      </w:pPr>
      <w:bookmarkStart w:id="17" w:name="_Toc12555"/>
      <w:bookmarkStart w:id="18" w:name="_Toc1634367903"/>
      <w:r>
        <w:rPr>
          <w:rFonts w:hint="eastAsia"/>
          <w:lang w:val="en-US" w:eastAsia="zh-CN"/>
        </w:rPr>
        <w:t>四、</w:t>
      </w:r>
      <w:r>
        <w:rPr>
          <w:rFonts w:hint="eastAsia" w:asciiTheme="minorEastAsia" w:hAnsiTheme="minorEastAsia" w:cstheme="minorEastAsia"/>
          <w:lang w:val="en-US" w:eastAsia="zh-CN"/>
        </w:rPr>
        <w:t>《合同编通则司法解释》第50条的场景化阐释</w:t>
      </w:r>
      <w:bookmarkEnd w:id="17"/>
      <w:bookmarkEnd w:id="18"/>
    </w:p>
    <w:p w14:paraId="75129EAA">
      <w:pPr>
        <w:numPr>
          <w:ilvl w:val="0"/>
          <w:numId w:val="0"/>
        </w:numPr>
        <w:ind w:firstLine="480" w:firstLineChars="200"/>
        <w:outlineLvl w:val="9"/>
        <w:rPr>
          <w:rFonts w:hint="eastAsia" w:asciiTheme="minorEastAsia" w:hAnsiTheme="minorEastAsia" w:cstheme="minorEastAsia"/>
          <w:lang w:val="en-US" w:eastAsia="zh-CN"/>
        </w:rPr>
      </w:pPr>
      <w:r>
        <w:rPr>
          <w:rFonts w:hint="eastAsia" w:asciiTheme="minorEastAsia" w:hAnsiTheme="minorEastAsia" w:cstheme="minorEastAsia"/>
          <w:lang w:val="en-US" w:eastAsia="zh-CN"/>
        </w:rPr>
        <w:t>《合同编通则司法解释》第50条作为债权多重让与的最新规定，基于文义中债务人与接受履行受让人主观状态之区分，可对《合同编通则司法解释》第50条第1款第2句细分出四种场景，于具体场景中结合通知移转主义进行阐释。</w:t>
      </w:r>
      <w:r>
        <w:rPr>
          <w:rStyle w:val="12"/>
          <w:rFonts w:hint="eastAsia" w:asciiTheme="minorEastAsia" w:hAnsiTheme="minorEastAsia" w:cstheme="minorEastAsia"/>
          <w:lang w:val="en-US" w:eastAsia="zh-CN"/>
        </w:rPr>
        <w:footnoteReference w:id="93"/>
      </w:r>
    </w:p>
    <w:p w14:paraId="0F621FCC">
      <w:pPr>
        <w:numPr>
          <w:ilvl w:val="0"/>
          <w:numId w:val="0"/>
        </w:numPr>
        <w:ind w:firstLine="480" w:firstLineChars="200"/>
        <w:outlineLvl w:val="2"/>
        <w:rPr>
          <w:rFonts w:hint="eastAsia" w:asciiTheme="minorEastAsia" w:hAnsiTheme="minorEastAsia" w:cstheme="minorEastAsia"/>
          <w:lang w:val="en-US" w:eastAsia="zh-CN"/>
        </w:rPr>
      </w:pPr>
      <w:bookmarkStart w:id="19" w:name="_Toc358016944"/>
      <w:bookmarkStart w:id="20" w:name="_Toc28369"/>
      <w:r>
        <w:rPr>
          <w:rFonts w:hint="eastAsia" w:asciiTheme="minorEastAsia" w:hAnsiTheme="minorEastAsia" w:cstheme="minorEastAsia"/>
          <w:lang w:val="en-US" w:eastAsia="zh-CN"/>
        </w:rPr>
        <w:t>（一）债务人与接受履行受让人均明知最先通知受让人</w:t>
      </w:r>
      <w:bookmarkEnd w:id="19"/>
      <w:bookmarkEnd w:id="20"/>
    </w:p>
    <w:p w14:paraId="61C9E9FA">
      <w:pPr>
        <w:numPr>
          <w:ilvl w:val="0"/>
          <w:numId w:val="0"/>
        </w:numPr>
        <w:ind w:firstLine="480" w:firstLineChars="200"/>
        <w:outlineLvl w:val="9"/>
        <w:rPr>
          <w:rFonts w:hint="eastAsia" w:asciiTheme="minorEastAsia" w:hAnsiTheme="minorEastAsia" w:cstheme="minorEastAsia"/>
          <w:lang w:val="en-US" w:eastAsia="zh-CN"/>
        </w:rPr>
      </w:pPr>
      <w:r>
        <w:rPr>
          <w:rFonts w:hint="eastAsia" w:asciiTheme="minorEastAsia" w:hAnsiTheme="minorEastAsia" w:cstheme="minorEastAsia"/>
          <w:lang w:val="en-US" w:eastAsia="zh-CN"/>
        </w:rPr>
        <w:t>《合同编通则司法解释》第50条第1款第2句第1分句规定：“债务人明知接受履行的受让人不是最先通知的受让人，最先通知的受让人请求债务人继续履行债务或者依据债权转让协议请求让与人承担违约责任的，人民法院应予支持。”按照通知移转主义，最先通知的受让人基于通知已取得债权，其有权依据请求债务人继续履行债务。问题在于，最先通知的受让人能否请求让与人承担违约责任？从条文表述来看，似乎只要债务人向非最先通知的受让人履行，出让人即需承担违约责任，但这反而与通知移转主义的逻辑存在冲突。依据通知移转主义，让与人的主给付义务是完成债权转让通知，一旦通知到达债务人，债权即发生移转，让与人的主给付义务已履行完毕。让与人是否承担违约责任，不应取决于债务人的履行行为，而应考察其是否全面履行了通知义务。被让与的债权能否实现的风险负担问题由基础关系决定，让与人原则上不对此担保。</w:t>
      </w:r>
      <w:r>
        <w:rPr>
          <w:rStyle w:val="12"/>
          <w:rFonts w:hint="eastAsia" w:asciiTheme="minorEastAsia" w:hAnsiTheme="minorEastAsia" w:cstheme="minorEastAsia"/>
          <w:lang w:val="en-US" w:eastAsia="zh-CN"/>
        </w:rPr>
        <w:footnoteReference w:id="94"/>
      </w:r>
      <w:r>
        <w:rPr>
          <w:rFonts w:hint="eastAsia" w:asciiTheme="minorEastAsia" w:hAnsiTheme="minorEastAsia" w:cstheme="minorEastAsia"/>
          <w:lang w:val="en-US" w:eastAsia="zh-CN"/>
        </w:rPr>
        <w:t>债务人明知最先通知的受让人却故意错误履行，属于债务人自身的过错行为，和让与人的通知义务履行无关，此时让与人不应承担违约责任，否则将导致让与人是否承担违约责任的问题被债务人的履行行为所左右。因此合理的解释应当是债务人的故意错误履行不产生清偿效力，</w:t>
      </w:r>
      <w:r>
        <w:rPr>
          <w:rStyle w:val="12"/>
          <w:rFonts w:hint="eastAsia" w:asciiTheme="minorEastAsia" w:hAnsiTheme="minorEastAsia" w:cstheme="minorEastAsia"/>
          <w:lang w:val="en-US" w:eastAsia="zh-CN"/>
        </w:rPr>
        <w:footnoteReference w:id="95"/>
      </w:r>
      <w:r>
        <w:rPr>
          <w:rFonts w:hint="eastAsia" w:asciiTheme="minorEastAsia" w:hAnsiTheme="minorEastAsia" w:cstheme="minorEastAsia"/>
          <w:lang w:val="en-US" w:eastAsia="zh-CN"/>
        </w:rPr>
        <w:t>其仍需向最先通知的受让人履行债务。此外，结合该款最后一分句可知，若接受履行的受让人明知存在在先通知却仍受领给付，对于最先通知受让人的返还请求权，法院予以支持。对此有观点认为这是对善意的接受履行受让人的特殊保护规则。</w:t>
      </w:r>
      <w:r>
        <w:rPr>
          <w:rStyle w:val="12"/>
          <w:rFonts w:hint="eastAsia" w:asciiTheme="minorEastAsia" w:hAnsiTheme="minorEastAsia" w:cstheme="minorEastAsia"/>
          <w:lang w:val="en-US" w:eastAsia="zh-CN"/>
        </w:rPr>
        <w:footnoteReference w:id="96"/>
      </w:r>
      <w:r>
        <w:rPr>
          <w:rFonts w:hint="eastAsia" w:asciiTheme="minorEastAsia" w:hAnsiTheme="minorEastAsia" w:cstheme="minorEastAsia"/>
          <w:lang w:val="en-US" w:eastAsia="zh-CN"/>
        </w:rPr>
        <w:t>事实上，最先通知的受让人虽然成为新债权人，但此债之关系仅存于其与债务人之间，不论接受履行的受让人之主观状态，最先通知受让人对其应无返还请求权才合法理，因此相较于认为是对善意受让人的优待，或许视其为对恶意受让人的特别惩罚规则更为贴切。</w:t>
      </w:r>
    </w:p>
    <w:p w14:paraId="3DA649A3">
      <w:pPr>
        <w:numPr>
          <w:ilvl w:val="0"/>
          <w:numId w:val="0"/>
        </w:numPr>
        <w:ind w:firstLine="480" w:firstLineChars="200"/>
        <w:outlineLvl w:val="2"/>
        <w:rPr>
          <w:rFonts w:hint="eastAsia" w:asciiTheme="minorEastAsia" w:hAnsiTheme="minorEastAsia" w:cstheme="minorEastAsia"/>
          <w:lang w:val="en-US" w:eastAsia="zh-CN"/>
        </w:rPr>
      </w:pPr>
      <w:bookmarkStart w:id="21" w:name="_Toc24608"/>
      <w:bookmarkStart w:id="22" w:name="_Toc2089082561"/>
      <w:r>
        <w:rPr>
          <w:rFonts w:hint="eastAsia" w:asciiTheme="minorEastAsia" w:hAnsiTheme="minorEastAsia" w:cstheme="minorEastAsia"/>
          <w:lang w:val="en-US" w:eastAsia="zh-CN"/>
        </w:rPr>
        <w:t>（二）债务人明知最先通知受让人但接受履行受让人不知</w:t>
      </w:r>
      <w:bookmarkEnd w:id="21"/>
      <w:bookmarkEnd w:id="22"/>
    </w:p>
    <w:p w14:paraId="08ACDC0A">
      <w:pPr>
        <w:numPr>
          <w:ilvl w:val="0"/>
          <w:numId w:val="0"/>
        </w:numPr>
        <w:ind w:firstLine="480" w:firstLineChars="200"/>
        <w:outlineLvl w:val="9"/>
        <w:rPr>
          <w:rFonts w:hint="eastAsia" w:asciiTheme="minorEastAsia" w:hAnsiTheme="minorEastAsia" w:cstheme="minorEastAsia"/>
          <w:lang w:val="en-US" w:eastAsia="zh-CN"/>
        </w:rPr>
      </w:pPr>
      <w:r>
        <w:rPr>
          <w:rFonts w:hint="eastAsia" w:asciiTheme="minorEastAsia" w:hAnsiTheme="minorEastAsia" w:cstheme="minorEastAsia"/>
          <w:lang w:val="en-US" w:eastAsia="zh-CN"/>
        </w:rPr>
        <w:t>最先通知的受让人依据通知移转主义享有债权，有权请求债务人继续履行债务，但依据《合同编通则司法解释》第50条第1款第2句第2分句但书的反面解释，其不能请求接受履行的受让人返还履行利益。需要明确的是，接受履行的受让人能够保有履行利益，并非基于善意取得债权。若认定其善意取得债权，则最先通知的受让人将丧失债权，无权再请求债务人履行，这与允许最先通知受让人请求债务人继续履行的文义直接冲突，且会导致债权移转的效力被债务人的履行行</w:t>
      </w:r>
      <w:r>
        <w:rPr>
          <w:rFonts w:hint="eastAsia" w:asciiTheme="minorEastAsia" w:hAnsiTheme="minorEastAsia" w:cstheme="minorEastAsia"/>
          <w:highlight w:val="none"/>
          <w:lang w:val="en-US" w:eastAsia="zh-CN"/>
        </w:rPr>
        <w:t>为所决定，违背通知移转主义以通知为生效要件的核心逻辑。此外，有观点认为此时若受让人未将债权受领利益返还给最先通知受让人将构成不当得利，债务人亦可对其主张返还所得利益。</w:t>
      </w:r>
      <w:r>
        <w:rPr>
          <w:rStyle w:val="12"/>
          <w:rFonts w:hint="eastAsia" w:asciiTheme="minorEastAsia" w:hAnsiTheme="minorEastAsia" w:cstheme="minorEastAsia"/>
          <w:highlight w:val="none"/>
          <w:lang w:val="en-US" w:eastAsia="zh-CN"/>
        </w:rPr>
        <w:footnoteReference w:id="97"/>
      </w:r>
      <w:r>
        <w:rPr>
          <w:rFonts w:hint="eastAsia" w:asciiTheme="minorEastAsia" w:hAnsiTheme="minorEastAsia" w:cstheme="minorEastAsia"/>
          <w:highlight w:val="none"/>
          <w:lang w:val="en-US" w:eastAsia="zh-CN"/>
        </w:rPr>
        <w:t>然</w:t>
      </w:r>
      <w:r>
        <w:rPr>
          <w:rFonts w:hint="eastAsia" w:asciiTheme="minorEastAsia" w:hAnsiTheme="minorEastAsia" w:cstheme="minorEastAsia"/>
          <w:lang w:val="en-US" w:eastAsia="zh-CN"/>
        </w:rPr>
        <w:t>债务人明知最先通知的受让人却仍向他人履行，应属于明知无给付义务的清偿，相当于通过给付行为而自愿放弃债务不存在的抗辩与自我保护，其后再请求返还有违禁反言的法理，法律不再对其提供保护。</w:t>
      </w:r>
      <w:r>
        <w:rPr>
          <w:rStyle w:val="12"/>
          <w:rFonts w:hint="eastAsia" w:asciiTheme="minorEastAsia" w:hAnsiTheme="minorEastAsia" w:cstheme="minorEastAsia"/>
          <w:lang w:val="en-US" w:eastAsia="zh-CN"/>
        </w:rPr>
        <w:footnoteReference w:id="98"/>
      </w:r>
      <w:r>
        <w:rPr>
          <w:rFonts w:hint="eastAsia" w:asciiTheme="minorEastAsia" w:hAnsiTheme="minorEastAsia" w:cstheme="minorEastAsia"/>
          <w:lang w:val="en-US" w:eastAsia="zh-CN"/>
        </w:rPr>
        <w:t>为使善意受让人接受履行后能够安心地作出其他交易决策，应允许其拒绝返还履行利益，</w:t>
      </w:r>
      <w:r>
        <w:rPr>
          <w:rStyle w:val="12"/>
          <w:rFonts w:hint="eastAsia" w:asciiTheme="minorEastAsia" w:hAnsiTheme="minorEastAsia" w:cstheme="minorEastAsia"/>
          <w:lang w:val="en-US" w:eastAsia="zh-CN"/>
        </w:rPr>
        <w:footnoteReference w:id="99"/>
      </w:r>
      <w:r>
        <w:rPr>
          <w:rFonts w:hint="eastAsia" w:asciiTheme="minorEastAsia" w:hAnsiTheme="minorEastAsia" w:cstheme="minorEastAsia"/>
          <w:lang w:val="en-US" w:eastAsia="zh-CN"/>
        </w:rPr>
        <w:t>以此表征对于不同主观状态之受让人的差异对待。</w:t>
      </w:r>
    </w:p>
    <w:p w14:paraId="2C7D2BBD">
      <w:pPr>
        <w:numPr>
          <w:ilvl w:val="0"/>
          <w:numId w:val="0"/>
        </w:numPr>
        <w:ind w:firstLine="480" w:firstLineChars="200"/>
        <w:outlineLvl w:val="2"/>
        <w:rPr>
          <w:rFonts w:hint="default" w:asciiTheme="minorEastAsia" w:hAnsiTheme="minorEastAsia" w:cstheme="minorEastAsia"/>
          <w:lang w:val="en-US" w:eastAsia="zh-CN"/>
        </w:rPr>
      </w:pPr>
      <w:bookmarkStart w:id="23" w:name="_Toc10500"/>
      <w:bookmarkStart w:id="24" w:name="_Toc2000457924"/>
      <w:r>
        <w:rPr>
          <w:rFonts w:hint="eastAsia" w:asciiTheme="minorEastAsia" w:hAnsiTheme="minorEastAsia" w:cstheme="minorEastAsia"/>
          <w:lang w:val="en-US" w:eastAsia="zh-CN"/>
        </w:rPr>
        <w:t>（三）债务人不知最先通知受让人但接受履行受让人明知</w:t>
      </w:r>
      <w:bookmarkEnd w:id="23"/>
      <w:bookmarkEnd w:id="24"/>
    </w:p>
    <w:p w14:paraId="19BD81B2">
      <w:pPr>
        <w:numPr>
          <w:ilvl w:val="0"/>
          <w:numId w:val="0"/>
        </w:numPr>
        <w:ind w:firstLine="480" w:firstLineChars="200"/>
        <w:outlineLvl w:val="9"/>
        <w:rPr>
          <w:rFonts w:hint="eastAsia" w:asciiTheme="minorEastAsia" w:hAnsiTheme="minorEastAsia" w:cstheme="minorEastAsia"/>
          <w:lang w:val="en-US" w:eastAsia="zh-CN"/>
        </w:rPr>
      </w:pPr>
      <w:r>
        <w:rPr>
          <w:rFonts w:hint="eastAsia" w:asciiTheme="minorEastAsia" w:hAnsiTheme="minorEastAsia" w:cstheme="minorEastAsia"/>
          <w:lang w:val="en-US" w:eastAsia="zh-CN"/>
        </w:rPr>
        <w:t>当数个通知顺序不明或同时通知时，基于保护债务人的考虑，应认可债务人根据自己判断向任一受让人履行即为有效清偿，</w:t>
      </w:r>
      <w:r>
        <w:rPr>
          <w:rStyle w:val="12"/>
          <w:rFonts w:hint="eastAsia" w:asciiTheme="minorEastAsia" w:hAnsiTheme="minorEastAsia" w:cstheme="minorEastAsia"/>
          <w:lang w:val="en-US" w:eastAsia="zh-CN"/>
        </w:rPr>
        <w:footnoteReference w:id="100"/>
      </w:r>
      <w:r>
        <w:rPr>
          <w:rFonts w:hint="eastAsia" w:asciiTheme="minorEastAsia" w:hAnsiTheme="minorEastAsia" w:cstheme="minorEastAsia"/>
          <w:lang w:val="en-US" w:eastAsia="zh-CN"/>
        </w:rPr>
        <w:t>以此保护债务人之主观善意。债务人是否不知的判断，应依据《合同编通则司法解释》第50条第2款的规定，结合通知的方式、送达时间等客观因素综合认定，而不能仅依据债务人的陈述。</w:t>
      </w:r>
      <w:r>
        <w:rPr>
          <w:rStyle w:val="12"/>
          <w:rFonts w:hint="eastAsia" w:asciiTheme="minorEastAsia" w:hAnsiTheme="minorEastAsia" w:cstheme="minorEastAsia"/>
          <w:lang w:val="en-US" w:eastAsia="zh-CN"/>
        </w:rPr>
        <w:footnoteReference w:id="101"/>
      </w:r>
      <w:r>
        <w:rPr>
          <w:rFonts w:hint="eastAsia" w:asciiTheme="minorEastAsia" w:hAnsiTheme="minorEastAsia" w:cstheme="minorEastAsia"/>
          <w:lang w:val="en-US" w:eastAsia="zh-CN"/>
        </w:rPr>
        <w:t>最先通知的受让人可向出让人主张违约责任，此时的违约责任并非因多重转让直接导致，而是源于让与人通知义务的履行瑕疵。让与人未以合理方式通知债务人，导致债务人无法知晓最先通知的受让人身份，如连续发出多重通知且时间间隔过短导致债务人混淆最先到达的通知。同时，接受履行的受让人明知存在在先通知却仍受领给付，构成不当得利，最先通知的受让人可请求其返还履行利益。这一解释既保护了债务人的善意履行行为，又未忽视让与人的义务瑕疵与恶意受让人的过错。</w:t>
      </w:r>
    </w:p>
    <w:p w14:paraId="04506B34">
      <w:pPr>
        <w:numPr>
          <w:ilvl w:val="-1"/>
          <w:numId w:val="0"/>
        </w:numPr>
        <w:ind w:left="480" w:leftChars="200" w:firstLine="0" w:firstLineChars="0"/>
        <w:outlineLvl w:val="2"/>
        <w:rPr>
          <w:rFonts w:hint="eastAsia" w:asciiTheme="minorEastAsia" w:hAnsiTheme="minorEastAsia" w:cstheme="minorEastAsia"/>
          <w:lang w:val="en-US" w:eastAsia="zh-CN"/>
        </w:rPr>
      </w:pPr>
      <w:bookmarkStart w:id="25" w:name="_Toc692351236"/>
      <w:bookmarkStart w:id="26" w:name="_Toc25042"/>
      <w:r>
        <w:rPr>
          <w:rFonts w:hint="eastAsia" w:asciiTheme="minorEastAsia" w:hAnsiTheme="minorEastAsia" w:cstheme="minorEastAsia"/>
          <w:lang w:val="en-US" w:eastAsia="zh-CN"/>
        </w:rPr>
        <w:t>（四）债务人与接受履行的受让人均不知最先通知的受让人</w:t>
      </w:r>
      <w:bookmarkEnd w:id="25"/>
      <w:bookmarkEnd w:id="26"/>
    </w:p>
    <w:p w14:paraId="78F034F0">
      <w:pPr>
        <w:numPr>
          <w:ilvl w:val="0"/>
          <w:numId w:val="0"/>
        </w:numPr>
        <w:ind w:leftChars="0" w:firstLine="480" w:firstLineChars="200"/>
        <w:rPr>
          <w:rFonts w:hint="eastAsia" w:asciiTheme="minorEastAsia" w:hAnsiTheme="minorEastAsia" w:cstheme="minorEastAsia"/>
          <w:lang w:val="en-US" w:eastAsia="zh-CN"/>
        </w:rPr>
      </w:pPr>
      <w:r>
        <w:rPr>
          <w:rFonts w:hint="eastAsia" w:asciiTheme="minorEastAsia" w:hAnsiTheme="minorEastAsia" w:cstheme="minorEastAsia"/>
          <w:lang w:val="en-US" w:eastAsia="zh-CN"/>
        </w:rPr>
        <w:t>接受履行的受让人在此种场景下可善意取得债权。债务人作为债权让与的信息中心，其表达的信息构成重要的权利公示基础。接受履行的受让人在订立债权转让合同时，从债务人处了解到债权尚未转让的信息且在受领履行时不知存在先前通知，符合善意取得制度对于权利外观和主观善意的要求。此时债权因善意受让人的受领履行而发生移转，债务人的履行行为产生债务清偿效力。最先通知的受让人因未形成足以对抗善意受让人的权利外观，其债权移转的效力被善意取得所阻断，故既不能请求债务人继续履行，也不能请求接受履行的受让人返还利益，仅能依据债权转让协议向让与人主张违约责任。</w:t>
      </w:r>
    </w:p>
    <w:p w14:paraId="600EE8CE">
      <w:pPr>
        <w:numPr>
          <w:ilvl w:val="0"/>
          <w:numId w:val="2"/>
        </w:numPr>
        <w:ind w:leftChars="0" w:firstLine="480" w:firstLineChars="200"/>
        <w:outlineLvl w:val="1"/>
        <w:rPr>
          <w:rFonts w:hint="eastAsia" w:asciiTheme="minorEastAsia" w:hAnsiTheme="minorEastAsia" w:cstheme="minorEastAsia"/>
          <w:lang w:val="en-US" w:eastAsia="zh-CN"/>
        </w:rPr>
      </w:pPr>
      <w:bookmarkStart w:id="27" w:name="_Toc1280824006"/>
      <w:r>
        <w:rPr>
          <w:rFonts w:hint="eastAsia" w:asciiTheme="minorEastAsia" w:hAnsiTheme="minorEastAsia" w:cstheme="minorEastAsia"/>
          <w:lang w:val="en-US" w:eastAsia="zh-CN"/>
        </w:rPr>
        <w:t>结语</w:t>
      </w:r>
      <w:bookmarkEnd w:id="27"/>
    </w:p>
    <w:p w14:paraId="5B651C9D">
      <w:pPr>
        <w:numPr>
          <w:ilvl w:val="-1"/>
          <w:numId w:val="0"/>
        </w:numPr>
        <w:ind w:leftChars="0" w:firstLine="480" w:firstLineChars="200"/>
        <w:rPr>
          <w:rFonts w:hint="default"/>
          <w:lang w:val="en-US" w:eastAsia="zh-CN"/>
        </w:rPr>
      </w:pPr>
      <w:r>
        <w:rPr>
          <w:rFonts w:hint="default"/>
          <w:lang w:val="en-US" w:eastAsia="zh-CN"/>
        </w:rPr>
        <w:t>债权作为财产权的一种，</w:t>
      </w:r>
      <w:r>
        <w:rPr>
          <w:rFonts w:hint="eastAsia"/>
          <w:lang w:val="en-US" w:eastAsia="zh-CN"/>
        </w:rPr>
        <w:t>和物权与股权一样</w:t>
      </w:r>
      <w:r>
        <w:rPr>
          <w:rFonts w:hint="default"/>
          <w:lang w:val="en-US" w:eastAsia="zh-CN"/>
        </w:rPr>
        <w:t>同样面临</w:t>
      </w:r>
      <w:r>
        <w:rPr>
          <w:rFonts w:hint="eastAsia"/>
          <w:lang w:val="en-US" w:eastAsia="zh-CN"/>
        </w:rPr>
        <w:t>着权利让与生效规则模糊不清</w:t>
      </w:r>
      <w:r>
        <w:rPr>
          <w:rFonts w:hint="default"/>
          <w:lang w:val="en-US" w:eastAsia="zh-CN"/>
        </w:rPr>
        <w:t>的困境</w:t>
      </w:r>
      <w:r>
        <w:rPr>
          <w:rFonts w:hint="eastAsia"/>
          <w:lang w:val="en-US" w:eastAsia="zh-CN"/>
        </w:rPr>
        <w:t>。然财产权让与生效规则的</w:t>
      </w:r>
      <w:r>
        <w:rPr>
          <w:rFonts w:hint="default"/>
          <w:lang w:val="en-US" w:eastAsia="zh-CN"/>
        </w:rPr>
        <w:t>明确在很大程度上是定分止争的关键</w:t>
      </w:r>
      <w:r>
        <w:rPr>
          <w:rFonts w:hint="eastAsia"/>
          <w:lang w:val="en-US" w:eastAsia="zh-CN"/>
        </w:rPr>
        <w:t>。财</w:t>
      </w:r>
      <w:r>
        <w:rPr>
          <w:rFonts w:hint="default"/>
          <w:lang w:val="en-US" w:eastAsia="zh-CN"/>
        </w:rPr>
        <w:t>产权</w:t>
      </w:r>
      <w:r>
        <w:rPr>
          <w:rFonts w:hint="eastAsia"/>
          <w:lang w:val="en-US" w:eastAsia="zh-CN"/>
        </w:rPr>
        <w:t>让与生效</w:t>
      </w:r>
      <w:r>
        <w:rPr>
          <w:rFonts w:hint="default"/>
          <w:lang w:val="en-US" w:eastAsia="zh-CN"/>
        </w:rPr>
        <w:t>规则与归属规则实为一体</w:t>
      </w:r>
      <w:r>
        <w:rPr>
          <w:rFonts w:hint="eastAsia"/>
          <w:lang w:val="en-US" w:eastAsia="zh-CN"/>
        </w:rPr>
        <w:t>，</w:t>
      </w:r>
      <w:r>
        <w:rPr>
          <w:rFonts w:hint="default"/>
          <w:lang w:val="en-US" w:eastAsia="zh-CN"/>
        </w:rPr>
        <w:t>确立了当事人之间发生财产权变动的要件也就明晰了财产权的归属</w:t>
      </w:r>
      <w:r>
        <w:rPr>
          <w:rFonts w:hint="eastAsia"/>
          <w:lang w:val="en-US" w:eastAsia="zh-CN"/>
        </w:rPr>
        <w:t>。在债权让与制度的问题上，既往的思路一直是从债务人清偿效力出发，至少能在让与人、债务人、受让人的三方关系中稳定一方，不过这无法对权利归属规则给出最终答案。要处理好债权多重让与乃至其他财产权多重让与的问题，非直面权利让与生效规则不可。在债权多重让与中确立通知移转主义，既是债权让与制度利益的要求，亦不超出我国《民法典》及其相关规范的文义，应为处理这一纠纷的妥当之举。</w:t>
      </w:r>
    </w:p>
    <w:sectPr>
      <w:footnotePr>
        <w:numFmt w:val="decimal"/>
        <w:numRestart w:val="eachPage"/>
      </w:footnotePr>
      <w:pgSz w:w="11906" w:h="16838"/>
      <w:pgMar w:top="1474" w:right="1701" w:bottom="1474" w:left="1701" w:header="1020" w:footer="1020" w:gutter="0"/>
      <w:cols w:space="0" w:num="1"/>
      <w:rtlGutter w:val="0"/>
      <w:docGrid w:type="lines" w:linePitch="408"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研究生学报" w:date="2026-04-08T10:21:10Z" w:initials="z">
    <w:p w14:paraId="7258B6A5">
      <w:pPr>
        <w:pStyle w:val="4"/>
        <w:rPr>
          <w:rFonts w:hint="default" w:eastAsiaTheme="minorEastAsia"/>
          <w:lang w:val="en-US" w:eastAsia="zh-CN"/>
        </w:rPr>
      </w:pPr>
      <w:r>
        <w:rPr>
          <w:rFonts w:hint="eastAsia"/>
          <w:lang w:val="en-US" w:eastAsia="zh-CN"/>
        </w:rPr>
        <w:t>（1）</w:t>
      </w:r>
      <w:r>
        <w:rPr>
          <w:rFonts w:hint="default" w:eastAsiaTheme="minorEastAsia"/>
          <w:lang w:val="en-US" w:eastAsia="zh-CN"/>
        </w:rPr>
        <w:t>形式上:</w:t>
      </w:r>
    </w:p>
    <w:p w14:paraId="6248BC82">
      <w:pPr>
        <w:pStyle w:val="4"/>
        <w:rPr>
          <w:rFonts w:hint="default" w:eastAsiaTheme="minorEastAsia"/>
          <w:lang w:val="en-US" w:eastAsia="zh-CN"/>
        </w:rPr>
      </w:pPr>
      <w:r>
        <w:rPr>
          <w:rFonts w:hint="eastAsia"/>
          <w:lang w:val="en-US" w:eastAsia="zh-CN"/>
        </w:rPr>
        <w:t>①</w:t>
      </w:r>
      <w:r>
        <w:rPr>
          <w:rFonts w:hint="default" w:eastAsiaTheme="minorEastAsia"/>
          <w:lang w:val="en-US" w:eastAsia="zh-CN"/>
        </w:rPr>
        <w:t>请关注“中国政法大学研究生学报”公众号，通过对话菜单找到、下载《中国政法大学研究生学报格式注释规范》，对稿件格式进行调整。</w:t>
      </w:r>
    </w:p>
    <w:p w14:paraId="4AE9D5D8">
      <w:pPr>
        <w:pStyle w:val="4"/>
        <w:rPr>
          <w:rFonts w:hint="default" w:eastAsiaTheme="minorEastAsia"/>
          <w:lang w:val="en-US" w:eastAsia="zh-CN"/>
        </w:rPr>
      </w:pPr>
      <w:r>
        <w:rPr>
          <w:rFonts w:hint="eastAsia"/>
          <w:lang w:val="en-US" w:eastAsia="zh-CN"/>
        </w:rPr>
        <w:t>②</w:t>
      </w:r>
      <w:r>
        <w:rPr>
          <w:rFonts w:hint="default" w:eastAsiaTheme="minorEastAsia"/>
          <w:lang w:val="en-US" w:eastAsia="zh-CN"/>
        </w:rPr>
        <w:t>当前，主办单位对我刊及《法大法律评论》提出量化式发展要求。如条件允许，请在本文中就《中国政法大学研究生学报》《法大法律评论》2024年之后的刊文加以引用。引用为1处即可，理想情况下可在“两刊”各引1处。如实无相关文献则不予强求。在此，我们对您的支持和助力表示由衷感谢。</w:t>
      </w:r>
    </w:p>
    <w:p w14:paraId="47A10233">
      <w:pPr>
        <w:pStyle w:val="4"/>
        <w:numPr>
          <w:numId w:val="0"/>
        </w:numPr>
        <w:ind w:leftChars="200"/>
        <w:rPr>
          <w:rFonts w:hint="eastAsia"/>
          <w:lang w:val="en-US" w:eastAsia="zh-CN"/>
        </w:rPr>
      </w:pPr>
      <w:r>
        <w:rPr>
          <w:rFonts w:hint="eastAsia"/>
          <w:lang w:val="en-US" w:eastAsia="zh-CN"/>
        </w:rPr>
        <w:t>（2）实质上：</w:t>
      </w:r>
    </w:p>
    <w:p w14:paraId="09DE6BA7">
      <w:pPr>
        <w:pStyle w:val="4"/>
        <w:numPr>
          <w:ilvl w:val="0"/>
          <w:numId w:val="0"/>
        </w:numPr>
        <w:rPr>
          <w:rFonts w:hint="eastAsia"/>
          <w:lang w:val="en-US" w:eastAsia="zh-CN"/>
        </w:rPr>
      </w:pPr>
      <w:r>
        <w:rPr>
          <w:rFonts w:hint="eastAsia"/>
          <w:lang w:val="en-US" w:eastAsia="zh-CN"/>
        </w:rPr>
        <w:t>①内容问题：文章文献占有和论证扎实，但头重脚轻，第三部分字数多，需适当删减并拆分。</w:t>
      </w:r>
    </w:p>
    <w:p w14:paraId="6CDE3A52">
      <w:pPr>
        <w:pStyle w:val="4"/>
        <w:numPr>
          <w:ilvl w:val="0"/>
          <w:numId w:val="0"/>
        </w:numPr>
      </w:pPr>
      <w:r>
        <w:rPr>
          <w:rFonts w:hint="eastAsia"/>
          <w:lang w:val="en-US" w:eastAsia="zh-CN"/>
        </w:rPr>
        <w:t>②冗余问题：文中讲对抗规则和优先规则部分属公共知识，无需大篇幅论述，可简单定义。</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CDE3A5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04">
    <w:p>
      <w:pPr>
        <w:spacing w:line="240" w:lineRule="auto"/>
        <w:ind w:firstLine="480"/>
      </w:pPr>
      <w:r>
        <w:separator/>
      </w:r>
    </w:p>
  </w:footnote>
  <w:footnote w:type="continuationSeparator" w:id="205">
    <w:p>
      <w:pPr>
        <w:spacing w:line="240" w:lineRule="auto"/>
        <w:ind w:firstLine="480"/>
      </w:pPr>
      <w:r>
        <w:continuationSeparator/>
      </w:r>
    </w:p>
  </w:footnote>
  <w:footnote w:id="0">
    <w:p w14:paraId="5609D553">
      <w:pPr>
        <w:pStyle w:val="6"/>
        <w:snapToGrid/>
        <w:spacing w:line="240" w:lineRule="exact"/>
      </w:pPr>
      <w:r>
        <w:rPr>
          <w:rStyle w:val="12"/>
          <w:rFonts w:ascii="Times New Roman" w:hAnsi="Times New Roman" w:eastAsia="宋体"/>
        </w:rPr>
        <w:footnoteRef/>
      </w:r>
      <w:r>
        <w:t xml:space="preserve"> </w:t>
      </w:r>
      <w:r>
        <w:rPr>
          <w:rFonts w:hint="default"/>
          <w:lang w:val="en-US" w:eastAsia="zh-CN"/>
        </w:rPr>
        <w:t>参见</w:t>
      </w:r>
      <w:r>
        <w:rPr>
          <w:rFonts w:hint="default"/>
        </w:rPr>
        <w:t>韩世远:《合同法总论》</w:t>
      </w:r>
      <w:r>
        <w:rPr>
          <w:rFonts w:hint="default"/>
          <w:lang w:eastAsia="zh-CN"/>
        </w:rPr>
        <w:t>，</w:t>
      </w:r>
      <w:r>
        <w:rPr>
          <w:rFonts w:hint="default"/>
        </w:rPr>
        <w:t>法律出版社2018年版，第623页。</w:t>
      </w:r>
    </w:p>
  </w:footnote>
  <w:footnote w:id="1">
    <w:p w14:paraId="3AD78DA2">
      <w:pPr>
        <w:pStyle w:val="6"/>
        <w:snapToGrid/>
        <w:spacing w:line="240" w:lineRule="exact"/>
      </w:pPr>
      <w:r>
        <w:rPr>
          <w:rStyle w:val="12"/>
          <w:rFonts w:ascii="Times New Roman" w:hAnsi="Times New Roman" w:eastAsia="宋体"/>
        </w:rPr>
        <w:footnoteRef/>
      </w:r>
      <w:r>
        <w:t xml:space="preserve"> </w:t>
      </w:r>
      <w:r>
        <w:rPr>
          <w:rFonts w:hint="default"/>
          <w:lang w:val="en-US" w:eastAsia="zh-CN"/>
        </w:rPr>
        <w:t>参见申卫星：《试论合同权利转让的条件》，载《法律科学》1999年第5期，第100页。裴丽萍：《论债权让与的若干基本问题》，载《中国法学》1995年第6期，第76页。张说：《债的移转及其要件》，载《法学研究》1990年第3期，第96页。</w:t>
      </w:r>
    </w:p>
  </w:footnote>
  <w:footnote w:id="2">
    <w:p w14:paraId="5352BF03">
      <w:pPr>
        <w:pStyle w:val="6"/>
        <w:snapToGrid/>
        <w:spacing w:line="240" w:lineRule="exact"/>
        <w:rPr>
          <w:rFonts w:hint="default"/>
          <w:lang w:val="en-US" w:eastAsia="zh-CN"/>
        </w:rPr>
      </w:pPr>
      <w:r>
        <w:rPr>
          <w:rStyle w:val="12"/>
          <w:rFonts w:ascii="Times New Roman" w:hAnsi="Times New Roman" w:eastAsia="宋体"/>
        </w:rPr>
        <w:footnoteRef/>
      </w:r>
      <w:r>
        <w:t xml:space="preserve"> </w:t>
      </w:r>
      <w:r>
        <w:rPr>
          <w:rFonts w:hint="default"/>
          <w:lang w:val="en-US" w:eastAsia="zh-CN"/>
        </w:rPr>
        <w:t>关于各类学说的观点见后文对应部分详述。</w:t>
      </w:r>
    </w:p>
  </w:footnote>
  <w:footnote w:id="3">
    <w:p w14:paraId="0A8FA32F">
      <w:pPr>
        <w:pStyle w:val="6"/>
        <w:snapToGrid/>
        <w:spacing w:line="240" w:lineRule="exact"/>
        <w:rPr>
          <w:rFonts w:hint="default"/>
          <w:lang w:val="en-US"/>
        </w:rPr>
      </w:pPr>
      <w:r>
        <w:rPr>
          <w:rStyle w:val="12"/>
          <w:rFonts w:ascii="Times New Roman" w:hAnsi="Times New Roman" w:eastAsia="宋体"/>
        </w:rPr>
        <w:footnoteRef/>
      </w:r>
      <w:r>
        <w:t xml:space="preserve"> </w:t>
      </w:r>
      <w:r>
        <w:rPr>
          <w:rFonts w:hint="default"/>
          <w:lang w:val="en-US" w:eastAsia="zh-CN"/>
        </w:rPr>
        <w:t>北京市第三中级人民法院(2016)京03民终2737号民事判决书。</w:t>
      </w:r>
    </w:p>
  </w:footnote>
  <w:footnote w:id="4">
    <w:p w14:paraId="2B6729DA">
      <w:pPr>
        <w:pStyle w:val="6"/>
        <w:snapToGrid/>
        <w:spacing w:line="240" w:lineRule="exact"/>
        <w:rPr>
          <w:rFonts w:hint="default"/>
          <w:lang w:val="en-US"/>
        </w:rPr>
      </w:pPr>
      <w:r>
        <w:rPr>
          <w:rStyle w:val="12"/>
          <w:rFonts w:ascii="Times New Roman" w:hAnsi="Times New Roman" w:eastAsia="宋体"/>
        </w:rPr>
        <w:footnoteRef/>
      </w:r>
      <w:r>
        <w:t xml:space="preserve"> </w:t>
      </w:r>
      <w:r>
        <w:rPr>
          <w:rFonts w:hint="default"/>
          <w:lang w:val="en-US" w:eastAsia="zh-CN"/>
        </w:rPr>
        <w:t>甘肃省白银市中级人民法院(2014)白中民二初字第28号民事判决书。</w:t>
      </w:r>
    </w:p>
  </w:footnote>
  <w:footnote w:id="5">
    <w:p w14:paraId="7F4C9133">
      <w:pPr>
        <w:pStyle w:val="6"/>
        <w:snapToGrid/>
        <w:spacing w:line="240" w:lineRule="exact"/>
      </w:pPr>
      <w:r>
        <w:rPr>
          <w:rStyle w:val="12"/>
          <w:rFonts w:ascii="Times New Roman" w:hAnsi="Times New Roman" w:eastAsia="宋体"/>
        </w:rPr>
        <w:footnoteRef/>
      </w:r>
      <w:r>
        <w:t xml:space="preserve"> </w:t>
      </w:r>
      <w:r>
        <w:rPr>
          <w:lang w:val="en-US" w:eastAsia="zh-CN"/>
        </w:rPr>
        <w:t>龙俊：《论债权的多重转让</w:t>
      </w:r>
      <w:r>
        <w:rPr>
          <w:rFonts w:hint="eastAsia"/>
          <w:lang w:val="en-US" w:eastAsia="zh-CN"/>
        </w:rPr>
        <w:t>——</w:t>
      </w:r>
      <w:r>
        <w:rPr>
          <w:lang w:val="en-US" w:eastAsia="zh-CN"/>
        </w:rPr>
        <w:t>以〈民法典合同编通则司法解释〉第50条的解释论为中心》，载《比较法研究》2024年第5期，第121页。</w:t>
      </w:r>
    </w:p>
  </w:footnote>
  <w:footnote w:id="6">
    <w:p w14:paraId="1143B3F7">
      <w:pPr>
        <w:pStyle w:val="6"/>
        <w:spacing w:line="240" w:lineRule="exact"/>
        <w:rPr>
          <w:rFonts w:hint="default"/>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在部分情况下，出让人还可能对债权让与的隐秘性提出要求，因为在债权人与债务人存在双向业务来往时，若让债务人知晓债权人融资可能会造成资金链断裂的印象，影响后续业务开展，因此出让人可能要求保理人对发生的交易进行保密，这种业务形态被称为隐秘保理，但并非让与人的普遍需求。</w:t>
      </w:r>
    </w:p>
  </w:footnote>
  <w:footnote w:id="7">
    <w:p w14:paraId="26407BEE">
      <w:pPr>
        <w:pStyle w:val="6"/>
        <w:spacing w:line="240" w:lineRule="exact"/>
        <w:rPr>
          <w:rFonts w:hint="default"/>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韩世远：《合同法总论》，法律出版社2018年版，第333页。</w:t>
      </w:r>
    </w:p>
  </w:footnote>
  <w:footnote w:id="8">
    <w:p w14:paraId="74F4418D">
      <w:pPr>
        <w:pStyle w:val="6"/>
        <w:spacing w:line="240" w:lineRule="exact"/>
        <w:rPr>
          <w:rFonts w:hint="default"/>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最高人民法院(2016)最高法执监155号裁定书。</w:t>
      </w:r>
    </w:p>
  </w:footnote>
  <w:footnote w:id="9">
    <w:p w14:paraId="47EC2096">
      <w:pPr>
        <w:pStyle w:val="6"/>
        <w:spacing w:line="240" w:lineRule="exact"/>
        <w:rPr>
          <w:rFonts w:hint="default"/>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Vgl. MunchKomm-Ganter</w:t>
      </w:r>
      <w:r>
        <w:rPr>
          <w:rFonts w:hint="default"/>
          <w:lang w:val="en-US" w:eastAsia="zh-CN"/>
        </w:rPr>
        <w:t>，</w:t>
      </w:r>
      <w:r>
        <w:rPr>
          <w:lang w:val="en-US" w:eastAsia="zh-CN"/>
        </w:rPr>
        <w:t xml:space="preserve"> § 47 InsO Rn. 212 f.</w:t>
      </w:r>
      <w:r>
        <w:rPr>
          <w:rFonts w:hint="default"/>
          <w:lang w:val="en-US" w:eastAsia="zh-CN"/>
        </w:rPr>
        <w:t>转引自许德风：《论破产债权的取回》，载《法学》2012年第6期，第32页。</w:t>
      </w:r>
    </w:p>
  </w:footnote>
  <w:footnote w:id="10">
    <w:p w14:paraId="2E928DFA">
      <w:pPr>
        <w:pStyle w:val="6"/>
        <w:spacing w:line="240" w:lineRule="exac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泰州市高港区三泰农村小额贷款有限公司与泰州市农业开发区联行农村小额贷款有限公司、江苏璞瑞电池有限公司破产债权确认纠纷案，(2019)苏12民终1821号民事判决书。</w:t>
      </w:r>
    </w:p>
  </w:footnote>
  <w:footnote w:id="11">
    <w:p w14:paraId="0990B0C7">
      <w:pPr>
        <w:pStyle w:val="6"/>
        <w:snapToGrid/>
        <w:spacing w:line="240" w:lineRule="exact"/>
      </w:pPr>
      <w:r>
        <w:rPr>
          <w:rStyle w:val="12"/>
          <w:rFonts w:ascii="Times New Roman" w:hAnsi="Times New Roman" w:eastAsia="宋体"/>
        </w:rPr>
        <w:footnoteRef/>
      </w:r>
      <w:r>
        <w:t xml:space="preserve"> </w:t>
      </w:r>
      <w:r>
        <w:rPr>
          <w:rFonts w:hint="default"/>
          <w:lang w:val="en-US" w:eastAsia="zh-CN"/>
        </w:rPr>
        <w:t>李宇教授于文中对让与人、受让人、债务人、重复受让人、潜在受让人、普通债权人等多方主体与债权让与制度的利益关涉逐一分析，详见李宇：《债权让与的优先顺序与公示制度》，载《法学研究》2012年第6期，第98-100页。</w:t>
      </w:r>
    </w:p>
  </w:footnote>
  <w:footnote w:id="12">
    <w:p w14:paraId="739109FB">
      <w:pPr>
        <w:pStyle w:val="6"/>
        <w:widowControl/>
        <w:snapToGrid/>
        <w:spacing w:line="240" w:lineRule="exact"/>
        <w:jc w:val="left"/>
        <w:rPr>
          <w:rFonts w:hint="default"/>
          <w:lang w:val="en-US" w:eastAsia="zh-CN"/>
        </w:rPr>
      </w:pPr>
      <w:r>
        <w:rPr>
          <w:rStyle w:val="12"/>
          <w:rFonts w:ascii="Times New Roman" w:hAnsi="Times New Roman" w:eastAsia="宋体" w:cs="Times New Roman"/>
          <w:kern w:val="2"/>
          <w:szCs w:val="24"/>
          <w:lang w:val="en-US" w:eastAsia="zh-CN" w:bidi="ar-SA"/>
        </w:rPr>
        <w:footnoteRef/>
      </w:r>
      <w:r>
        <w:rPr>
          <w:lang w:val="en-US" w:eastAsia="zh-CN"/>
        </w:rPr>
        <w:t xml:space="preserve"> </w:t>
      </w:r>
      <w:r>
        <w:rPr>
          <w:rFonts w:hint="default"/>
          <w:lang w:val="en-US" w:eastAsia="zh-CN"/>
        </w:rPr>
        <w:t>梁上上：《制度利益衡量的逻辑》，载《中国法学》2012年第4期，第77页。</w:t>
      </w:r>
    </w:p>
  </w:footnote>
  <w:footnote w:id="13">
    <w:p w14:paraId="7BBFB272">
      <w:pPr>
        <w:pStyle w:val="6"/>
        <w:widowControl/>
        <w:snapToGrid/>
        <w:spacing w:line="240" w:lineRule="exact"/>
        <w:jc w:val="lef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李宇：《债权让与的优先顺序与公示制度》，载《法学研究》2012年第6期，第105页。</w:t>
      </w:r>
    </w:p>
  </w:footnote>
  <w:footnote w:id="14">
    <w:p w14:paraId="12A313C2">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 w:val="24"/>
          <w:szCs w:val="18"/>
        </w:rPr>
        <w:footnoteRef/>
      </w:r>
      <w:r>
        <w:rPr>
          <w:rFonts w:hint="default"/>
        </w:rPr>
        <w:t xml:space="preserve"> </w:t>
      </w:r>
      <w:r>
        <w:rPr>
          <w:rFonts w:hint="default"/>
          <w:lang w:val="en-US" w:eastAsia="zh-CN"/>
        </w:rPr>
        <w:t>参见</w:t>
      </w:r>
      <w:r>
        <w:rPr>
          <w:rFonts w:hint="default"/>
        </w:rPr>
        <w:t>龙卫球主编：《最高人民法院民法典合同编通则司法解释理解与适用》，中国法治出版社2024年版</w:t>
      </w:r>
      <w:r>
        <w:rPr>
          <w:rFonts w:hint="default"/>
          <w:lang w:eastAsia="zh-CN"/>
        </w:rPr>
        <w:t>，</w:t>
      </w:r>
      <w:r>
        <w:rPr>
          <w:rFonts w:hint="default"/>
          <w:lang w:val="en-US" w:eastAsia="zh-CN"/>
        </w:rPr>
        <w:t>第514-515页。李永锋、李昊：《债权让与中的优先规则与债务人保护》，载《法学研究》2007年第1期，第42页。</w:t>
      </w:r>
    </w:p>
  </w:footnote>
  <w:footnote w:id="15">
    <w:p w14:paraId="72E2FE91">
      <w:pPr>
        <w:pStyle w:val="6"/>
        <w:snapToGrid/>
        <w:spacing w:line="240" w:lineRule="exact"/>
      </w:pPr>
      <w:r>
        <w:rPr>
          <w:rStyle w:val="12"/>
          <w:rFonts w:ascii="Times New Roman" w:hAnsi="Times New Roman" w:eastAsia="宋体"/>
          <w:sz w:val="24"/>
        </w:rPr>
        <w:footnoteRef/>
      </w:r>
      <w:r>
        <w:t xml:space="preserve"> </w:t>
      </w:r>
      <w:r>
        <w:rPr>
          <w:rFonts w:hint="default"/>
          <w:lang w:val="en-US" w:eastAsia="zh-CN"/>
        </w:rPr>
        <w:t>参见</w:t>
      </w:r>
      <w:r>
        <w:rPr>
          <w:rFonts w:hint="default"/>
        </w:rPr>
        <w:t>黄薇主编：《中华人民共和国民法典合同编释义》，法律出版社2020年版</w:t>
      </w:r>
      <w:r>
        <w:rPr>
          <w:rFonts w:hint="default"/>
          <w:lang w:eastAsia="zh-CN"/>
        </w:rPr>
        <w:t>，</w:t>
      </w:r>
      <w:r>
        <w:rPr>
          <w:rFonts w:hint="default"/>
          <w:lang w:val="en-US" w:eastAsia="zh-CN"/>
        </w:rPr>
        <w:t>第191页</w:t>
      </w:r>
      <w:r>
        <w:rPr>
          <w:rFonts w:hint="default"/>
        </w:rPr>
        <w:t>。</w:t>
      </w:r>
    </w:p>
  </w:footnote>
  <w:footnote w:id="16">
    <w:p w14:paraId="2C87FBCE">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 w:val="24"/>
          <w:szCs w:val="18"/>
        </w:rPr>
        <w:footnoteRef/>
      </w:r>
      <w:r>
        <w:rPr>
          <w:rFonts w:hint="default"/>
        </w:rPr>
        <w:t xml:space="preserve"> </w:t>
      </w:r>
      <w:r>
        <w:rPr>
          <w:rFonts w:hint="default"/>
          <w:lang w:val="en-US" w:eastAsia="zh-CN"/>
        </w:rPr>
        <w:t>参见方新军：《合同法第80条的解释论问题</w:t>
      </w:r>
      <w:r>
        <w:rPr>
          <w:rFonts w:hint="eastAsia"/>
          <w:lang w:val="en-US" w:eastAsia="zh-CN"/>
        </w:rPr>
        <w:t>——</w:t>
      </w:r>
      <w:r>
        <w:rPr>
          <w:rFonts w:hint="default"/>
          <w:lang w:val="en-US" w:eastAsia="zh-CN"/>
        </w:rPr>
        <w:t>债权让与通知的主体、方式及法律效力》，载《苏州大学学报（哲学社会科学版）》2013年第4期，第95页。</w:t>
      </w:r>
    </w:p>
  </w:footnote>
  <w:footnote w:id="17">
    <w:p w14:paraId="22867C33">
      <w:pPr>
        <w:pStyle w:val="6"/>
        <w:snapToGrid/>
        <w:spacing w:line="240" w:lineRule="exact"/>
      </w:pPr>
      <w:r>
        <w:rPr>
          <w:rStyle w:val="12"/>
          <w:rFonts w:ascii="Times New Roman" w:hAnsi="Times New Roman" w:eastAsia="宋体"/>
          <w:sz w:val="24"/>
        </w:rPr>
        <w:footnoteRef/>
      </w:r>
      <w:r>
        <w:t xml:space="preserve"> </w:t>
      </w:r>
      <w:r>
        <w:rPr>
          <w:rFonts w:hint="default"/>
          <w:lang w:val="en-US" w:eastAsia="zh-CN"/>
        </w:rPr>
        <w:t>参见</w:t>
      </w:r>
      <w:r>
        <w:rPr>
          <w:rFonts w:hint="default"/>
        </w:rPr>
        <w:t>黄薇主编：《中华人民共和国民法典合同编释义》，法律出版社2020年版</w:t>
      </w:r>
      <w:r>
        <w:rPr>
          <w:rFonts w:hint="default"/>
          <w:lang w:eastAsia="zh-CN"/>
        </w:rPr>
        <w:t>，</w:t>
      </w:r>
      <w:r>
        <w:rPr>
          <w:rFonts w:hint="default"/>
          <w:lang w:val="en-US" w:eastAsia="zh-CN"/>
        </w:rPr>
        <w:t>第617页</w:t>
      </w:r>
      <w:r>
        <w:rPr>
          <w:rFonts w:hint="default"/>
        </w:rPr>
        <w:t>。</w:t>
      </w:r>
    </w:p>
  </w:footnote>
  <w:footnote w:id="18">
    <w:p w14:paraId="49109E2A">
      <w:pPr>
        <w:pStyle w:val="6"/>
        <w:keepNext w:val="0"/>
        <w:keepLines w:val="0"/>
        <w:pageBreakBefore w:val="0"/>
        <w:widowControl/>
        <w:kinsoku/>
        <w:wordWrap/>
        <w:overflowPunct/>
        <w:topLinePunct w:val="0"/>
        <w:bidi w:val="0"/>
        <w:snapToGrid/>
        <w:spacing w:line="240" w:lineRule="exact"/>
        <w:ind w:left="0" w:leftChars="0" w:firstLineChars="0"/>
        <w:jc w:val="left"/>
        <w:textAlignment w:val="auto"/>
        <w:rPr>
          <w:rFonts w:hint="default"/>
          <w:lang w:val="en-US" w:eastAsia="zh-CN"/>
        </w:rPr>
      </w:pPr>
      <w:r>
        <w:rPr>
          <w:rStyle w:val="12"/>
          <w:rFonts w:hint="eastAsia" w:ascii="Times New Roman" w:hAnsi="Times New Roman" w:eastAsia="宋体" w:cs="宋体"/>
          <w:kern w:val="2"/>
          <w:sz w:val="24"/>
          <w:szCs w:val="24"/>
          <w:lang w:val="en-US" w:eastAsia="zh-CN" w:bidi="ar-SA"/>
        </w:rPr>
        <w:footnoteRef/>
      </w:r>
      <w:r>
        <w:rPr>
          <w:rFonts w:hint="default"/>
          <w:lang w:val="en-US" w:eastAsia="zh-CN"/>
        </w:rPr>
        <w:t xml:space="preserve"> 参见龙俊：《论债权的多重转让</w:t>
      </w:r>
      <w:r>
        <w:rPr>
          <w:rFonts w:hint="eastAsia"/>
          <w:lang w:val="en-US" w:eastAsia="zh-CN"/>
        </w:rPr>
        <w:t>——</w:t>
      </w:r>
      <w:r>
        <w:rPr>
          <w:rFonts w:hint="default"/>
          <w:lang w:val="en-US" w:eastAsia="zh-CN"/>
        </w:rPr>
        <w:t>以〈民法典合同编通则司法解释〉第50条的解释论为中心》，载《比较法研究》2024年第5期，第120页。</w:t>
      </w:r>
    </w:p>
  </w:footnote>
  <w:footnote w:id="19">
    <w:p w14:paraId="213A6499">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参见梁上上：《异质利益衡量的公度性难题及其求解</w:t>
      </w:r>
      <w:r>
        <w:rPr>
          <w:rFonts w:hint="eastAsia"/>
          <w:lang w:val="en-US" w:eastAsia="zh-CN"/>
        </w:rPr>
        <w:t>——</w:t>
      </w:r>
      <w:r>
        <w:rPr>
          <w:rFonts w:hint="default"/>
          <w:lang w:val="en-US" w:eastAsia="zh-CN"/>
        </w:rPr>
        <w:t>以法律适用为场域展开》，载《政法论坛》2014年第4期，第13页。</w:t>
      </w:r>
    </w:p>
  </w:footnote>
  <w:footnote w:id="20">
    <w:p w14:paraId="6C95FE09">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w:t>
      </w:r>
      <w:r>
        <w:rPr>
          <w:rFonts w:hint="default"/>
        </w:rPr>
        <w:t>崔建远：《物权法》，中国人民大学出版</w:t>
      </w:r>
      <w:r>
        <w:rPr>
          <w:rFonts w:hint="default"/>
          <w:lang w:eastAsia="zh-CN"/>
        </w:rPr>
        <w:t>社2021年</w:t>
      </w:r>
      <w:r>
        <w:rPr>
          <w:rFonts w:hint="default"/>
        </w:rPr>
        <w:t>版</w:t>
      </w:r>
      <w:r>
        <w:rPr>
          <w:rFonts w:hint="default"/>
          <w:lang w:eastAsia="zh-CN"/>
        </w:rPr>
        <w:t>，</w:t>
      </w:r>
      <w:r>
        <w:rPr>
          <w:rFonts w:hint="default"/>
          <w:lang w:val="en-US" w:eastAsia="zh-CN"/>
        </w:rPr>
        <w:t>第59页</w:t>
      </w:r>
      <w:r>
        <w:rPr>
          <w:rFonts w:hint="default"/>
        </w:rPr>
        <w:t>。</w:t>
      </w:r>
    </w:p>
  </w:footnote>
  <w:footnote w:id="21">
    <w:p w14:paraId="2BC65B27">
      <w:pPr>
        <w:pStyle w:val="6"/>
        <w:snapToGrid/>
        <w:spacing w:line="240" w:lineRule="exact"/>
        <w:rPr>
          <w:rFonts w:hint="default"/>
          <w:lang w:val="en-US" w:eastAsia="zh-CN"/>
        </w:rPr>
      </w:pPr>
      <w:r>
        <w:rPr>
          <w:rStyle w:val="12"/>
          <w:rFonts w:ascii="Times New Roman" w:hAnsi="Times New Roman" w:eastAsia="宋体"/>
        </w:rPr>
        <w:footnoteRef/>
      </w:r>
      <w:r>
        <w:t xml:space="preserve"> </w:t>
      </w:r>
      <w:r>
        <w:rPr>
          <w:rFonts w:hint="default"/>
          <w:lang w:val="en-US" w:eastAsia="zh-CN"/>
        </w:rPr>
        <w:t>参见王洪亮：《债法总论》，北京大学出版社2025年版，第740页。</w:t>
      </w:r>
    </w:p>
  </w:footnote>
  <w:footnote w:id="22">
    <w:p w14:paraId="1AB22839">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w:t>
      </w:r>
      <w:r>
        <w:rPr>
          <w:rFonts w:hint="default"/>
        </w:rPr>
        <w:t>[日]我妻荣</w:t>
      </w:r>
      <w:r>
        <w:rPr>
          <w:rFonts w:hint="default"/>
          <w:lang w:eastAsia="zh-CN"/>
        </w:rPr>
        <w:t>：</w:t>
      </w:r>
      <w:r>
        <w:rPr>
          <w:rFonts w:hint="default"/>
        </w:rPr>
        <w:t>《债权在近代法中的优越地位》</w:t>
      </w:r>
      <w:r>
        <w:rPr>
          <w:rFonts w:hint="default"/>
          <w:lang w:eastAsia="zh-CN"/>
        </w:rPr>
        <w:t>，</w:t>
      </w:r>
      <w:r>
        <w:rPr>
          <w:rFonts w:hint="default"/>
        </w:rPr>
        <w:t>王书江等译</w:t>
      </w:r>
      <w:r>
        <w:rPr>
          <w:rFonts w:hint="default"/>
          <w:lang w:eastAsia="zh-CN"/>
        </w:rPr>
        <w:t>，</w:t>
      </w:r>
      <w:r>
        <w:rPr>
          <w:rFonts w:hint="default"/>
        </w:rPr>
        <w:t>中国大百科全书出版社1999年版</w:t>
      </w:r>
      <w:r>
        <w:rPr>
          <w:rFonts w:hint="default"/>
          <w:lang w:eastAsia="zh-CN"/>
        </w:rPr>
        <w:t>，</w:t>
      </w:r>
      <w:r>
        <w:rPr>
          <w:rFonts w:hint="default"/>
        </w:rPr>
        <w:t>第23页。</w:t>
      </w:r>
    </w:p>
  </w:footnote>
  <w:footnote w:id="23">
    <w:p w14:paraId="2E1B844A">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参见刘家安：《民法物权》，中国政法大学出版社2023年版，第88页。</w:t>
      </w:r>
    </w:p>
  </w:footnote>
  <w:footnote w:id="24">
    <w:p w14:paraId="7096F0AC">
      <w:pPr>
        <w:pStyle w:val="6"/>
        <w:snapToGrid/>
        <w:spacing w:line="240" w:lineRule="exact"/>
      </w:pPr>
      <w:r>
        <w:rPr>
          <w:rStyle w:val="12"/>
          <w:rFonts w:ascii="Times New Roman" w:hAnsi="Times New Roman" w:eastAsia="宋体"/>
        </w:rPr>
        <w:footnoteRef/>
      </w:r>
      <w:r>
        <w:t xml:space="preserve"> </w:t>
      </w:r>
      <w:r>
        <w:rPr>
          <w:rFonts w:hint="default"/>
          <w:lang w:val="en-US" w:eastAsia="zh-CN"/>
        </w:rPr>
        <w:t>参见</w:t>
      </w:r>
      <w:r>
        <w:rPr>
          <w:rFonts w:hint="default"/>
        </w:rPr>
        <w:t>徐涤宇:</w:t>
      </w:r>
      <w:r>
        <w:rPr>
          <w:rFonts w:hint="default"/>
          <w:lang w:eastAsia="zh-CN"/>
        </w:rPr>
        <w:t>《</w:t>
      </w:r>
      <w:r>
        <w:rPr>
          <w:rFonts w:hint="default"/>
        </w:rPr>
        <w:t>债权让与制度中的利益衡量和逻辑贯彻</w:t>
      </w:r>
      <w:r>
        <w:rPr>
          <w:rFonts w:hint="default"/>
          <w:lang w:eastAsia="zh-CN"/>
        </w:rPr>
        <w:t>》</w:t>
      </w:r>
      <w:r>
        <w:rPr>
          <w:rFonts w:hint="default"/>
        </w:rPr>
        <w:t>，载《中外法学》2003年第3期</w:t>
      </w:r>
      <w:r>
        <w:rPr>
          <w:rFonts w:hint="default"/>
          <w:lang w:eastAsia="zh-CN"/>
        </w:rPr>
        <w:t>，</w:t>
      </w:r>
      <w:r>
        <w:rPr>
          <w:rFonts w:hint="default"/>
          <w:lang w:val="en-US" w:eastAsia="zh-CN"/>
        </w:rPr>
        <w:t>第309页</w:t>
      </w:r>
      <w:r>
        <w:rPr>
          <w:rFonts w:hint="default"/>
        </w:rPr>
        <w:t>。</w:t>
      </w:r>
    </w:p>
  </w:footnote>
  <w:footnote w:id="25">
    <w:p w14:paraId="07037C37">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参见史尚宽：《债法总论》，中国政法大学出版社2000年版，第709-710页。</w:t>
      </w:r>
    </w:p>
  </w:footnote>
  <w:footnote w:id="26">
    <w:p w14:paraId="17E1A3C1">
      <w:pPr>
        <w:pStyle w:val="6"/>
        <w:spacing w:line="240" w:lineRule="exact"/>
        <w:rPr>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李晓飞、程娜：《保理合同中应收账款多重转让下优先顺位的确立》，《首都师范大学学报（社会科学版）》2024年专辑</w:t>
      </w:r>
      <w:r>
        <w:rPr>
          <w:rFonts w:hint="eastAsia"/>
          <w:lang w:val="en-US" w:eastAsia="zh-CN"/>
        </w:rPr>
        <w:t>，第118页</w:t>
      </w:r>
      <w:r>
        <w:rPr>
          <w:lang w:val="en-US" w:eastAsia="zh-CN"/>
        </w:rPr>
        <w:t>。</w:t>
      </w:r>
      <w:r>
        <w:rPr>
          <w:rFonts w:hint="eastAsia"/>
          <w:lang w:val="en-US" w:eastAsia="zh-CN"/>
        </w:rPr>
        <w:t>潘运华：《债权二重让与中的权利归属》，载《法学家》2018年第5期，第121-124页。</w:t>
      </w:r>
    </w:p>
  </w:footnote>
  <w:footnote w:id="27">
    <w:p w14:paraId="44AA04FB">
      <w:pPr>
        <w:pStyle w:val="6"/>
        <w:spacing w:line="240" w:lineRule="exact"/>
        <w:rPr>
          <w:rFonts w:hint="default"/>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w:t>
      </w:r>
      <w:r>
        <w:rPr>
          <w:lang w:val="en-US" w:eastAsia="zh-CN"/>
        </w:rPr>
        <w:fldChar w:fldCharType="begin"/>
      </w:r>
      <w:r>
        <w:rPr>
          <w:lang w:val="en-US" w:eastAsia="zh-CN"/>
        </w:rPr>
        <w:instrText xml:space="preserve"> HYPERLINK "https://zh.zlib007.ru/author/%EF%BC%88%E5%BE%B7%EF%BC%89%E6%B5%B7%E5%9B%A0%C2%B7%E5%85%8B%E8%8C%A8" \o "找到作者的所有书籍" </w:instrText>
      </w:r>
      <w:r>
        <w:rPr>
          <w:lang w:val="en-US" w:eastAsia="zh-CN"/>
        </w:rPr>
        <w:fldChar w:fldCharType="separate"/>
      </w:r>
      <w:r>
        <w:rPr>
          <w:rFonts w:hint="default"/>
          <w:lang w:val="en-US" w:eastAsia="zh-CN"/>
        </w:rPr>
        <w:t>（德）海因</w:t>
      </w:r>
      <w:r>
        <w:rPr>
          <w:rFonts w:hint="eastAsia"/>
          <w:lang w:val="en-US" w:eastAsia="zh-CN"/>
        </w:rPr>
        <w:t>·</w:t>
      </w:r>
      <w:r>
        <w:rPr>
          <w:rFonts w:hint="default"/>
          <w:lang w:val="en-US" w:eastAsia="zh-CN"/>
        </w:rPr>
        <w:t>克茨</w:t>
      </w:r>
      <w:r>
        <w:rPr>
          <w:rFonts w:hint="default"/>
          <w:lang w:val="en-US" w:eastAsia="zh-CN"/>
        </w:rPr>
        <w:fldChar w:fldCharType="end"/>
      </w:r>
      <w:r>
        <w:rPr>
          <w:rFonts w:hint="eastAsia"/>
          <w:lang w:val="en-US" w:eastAsia="zh-CN"/>
        </w:rPr>
        <w:t>：《德国合同法》，中国人民大学出版社2022版，第385页。[德]海因・克茨：《欧洲合同法（第2版）》，李琳、张飞虎译，北京大学出版社2024版，第480页。李宇：《债权让与的优先顺序与公示制度》，载《法学研究》2012年第6期，第98-100页。朱晓喆、冯洁语：《</w:t>
      </w:r>
      <w:r>
        <w:rPr>
          <w:rFonts w:hint="default"/>
          <w:lang w:val="en-US" w:eastAsia="zh-CN"/>
        </w:rPr>
        <w:t>保理合同中应收账款多重转让的优先顺序</w:t>
      </w:r>
      <w:r>
        <w:rPr>
          <w:rFonts w:hint="eastAsia"/>
          <w:lang w:val="en-US" w:eastAsia="zh-CN"/>
        </w:rPr>
        <w:t>——</w:t>
      </w:r>
      <w:r>
        <w:rPr>
          <w:rFonts w:hint="default"/>
          <w:lang w:val="en-US" w:eastAsia="zh-CN"/>
        </w:rPr>
        <w:t>以</w:t>
      </w:r>
      <w:r>
        <w:rPr>
          <w:rFonts w:hint="eastAsia"/>
          <w:lang w:val="en-US" w:eastAsia="zh-CN"/>
        </w:rPr>
        <w:t>&lt;</w:t>
      </w:r>
      <w:r>
        <w:rPr>
          <w:rFonts w:hint="default"/>
          <w:lang w:val="en-US" w:eastAsia="zh-CN"/>
        </w:rPr>
        <w:t>民法典</w:t>
      </w:r>
      <w:r>
        <w:rPr>
          <w:rFonts w:hint="eastAsia"/>
          <w:lang w:val="en-US" w:eastAsia="zh-CN"/>
        </w:rPr>
        <w:t>&gt;</w:t>
      </w:r>
      <w:r>
        <w:rPr>
          <w:rFonts w:hint="default"/>
          <w:lang w:val="en-US" w:eastAsia="zh-CN"/>
        </w:rPr>
        <w:t>第768条为中心</w:t>
      </w:r>
      <w:r>
        <w:rPr>
          <w:rFonts w:hint="eastAsia"/>
          <w:lang w:val="en-US" w:eastAsia="zh-CN"/>
        </w:rPr>
        <w:t>》，载《法学评论》2022年第1期，第175页。徐涤宇：《&lt;合同法&gt;第80条（债权让与通知）评注》，载《法学家》2019年第1期，第177页。申建平：《债权双重让与优先论》，载《比较法研究》2007年第3期，第60页。李永锋、李昊：《债权让与中的优先规则与债务人保护》，载《法学研究》2007 年第1期，第42页。</w:t>
      </w:r>
    </w:p>
  </w:footnote>
  <w:footnote w:id="28">
    <w:p w14:paraId="199F59ED">
      <w:pPr>
        <w:pStyle w:val="6"/>
        <w:spacing w:line="240" w:lineRule="exact"/>
        <w:rPr>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w:t>
      </w:r>
      <w:r>
        <w:rPr>
          <w:rFonts w:hint="eastAsia"/>
          <w:lang w:val="en-US" w:eastAsia="zh-CN"/>
        </w:rPr>
        <w:t>史尚宽：《物权法论》，中国政法大学出版社2000年版，第30页。</w:t>
      </w:r>
    </w:p>
  </w:footnote>
  <w:footnote w:id="29">
    <w:p w14:paraId="1F082CB9">
      <w:pPr>
        <w:pStyle w:val="6"/>
        <w:spacing w:line="240" w:lineRule="exact"/>
        <w:rPr>
          <w:rFonts w:hint="default"/>
          <w:lang w:val="en-US" w:eastAsia="zh-CN"/>
        </w:rPr>
      </w:pPr>
      <w:r>
        <w:rPr>
          <w:rStyle w:val="12"/>
          <w:rFonts w:ascii="Times New Roman" w:hAnsi="Times New Roman" w:eastAsia="宋体" w:cs="Times New Roman"/>
          <w:kern w:val="2"/>
          <w:szCs w:val="24"/>
          <w:lang w:val="en-US" w:eastAsia="zh-CN" w:bidi="ar-SA"/>
        </w:rPr>
        <w:footnoteRef/>
      </w:r>
      <w:r>
        <w:rPr>
          <w:lang w:val="en-US" w:eastAsia="zh-CN"/>
        </w:rPr>
        <w:t xml:space="preserve"> </w:t>
      </w:r>
      <w:r>
        <w:rPr>
          <w:rFonts w:hint="eastAsia"/>
          <w:lang w:val="en-US" w:eastAsia="zh-CN"/>
        </w:rPr>
        <w:t>刘家安：《民法物权》，中国政法大学出版社2023年版，第123页。</w:t>
      </w:r>
    </w:p>
  </w:footnote>
  <w:footnote w:id="30">
    <w:p w14:paraId="7DDF643D">
      <w:pPr>
        <w:pStyle w:val="6"/>
        <w:spacing w:line="240" w:lineRule="exact"/>
        <w:rPr>
          <w:lang w:val="en-US" w:eastAsia="zh-CN"/>
        </w:rPr>
      </w:pPr>
      <w:r>
        <w:rPr>
          <w:rStyle w:val="12"/>
          <w:rFonts w:ascii="Times New Roman" w:hAnsi="Times New Roman" w:eastAsia="宋体" w:cs="Times New Roman"/>
          <w:kern w:val="2"/>
          <w:szCs w:val="24"/>
          <w:lang w:val="en-US" w:eastAsia="zh-CN" w:bidi="ar-SA"/>
        </w:rPr>
        <w:footnoteRef/>
      </w:r>
      <w:r>
        <w:rPr>
          <w:lang w:val="en-US" w:eastAsia="zh-CN"/>
        </w:rPr>
        <w:t xml:space="preserve"> 蔡睿：《虚假债权转让中债务人的表见责任</w:t>
      </w:r>
      <w:r>
        <w:rPr>
          <w:rFonts w:hint="eastAsia"/>
          <w:lang w:val="en-US" w:eastAsia="zh-CN"/>
        </w:rPr>
        <w:t>——</w:t>
      </w:r>
      <w:r>
        <w:rPr>
          <w:lang w:val="en-US" w:eastAsia="zh-CN"/>
        </w:rPr>
        <w:t>〈中华人民共和国民法典〉第763条的解释论展开》，载《政治与法律》2023年第6期</w:t>
      </w:r>
      <w:r>
        <w:rPr>
          <w:rFonts w:hint="eastAsia"/>
          <w:lang w:val="en-US" w:eastAsia="zh-CN"/>
        </w:rPr>
        <w:t>，第156页。前例中特殊动产之所有权变动虽仍需交付，但以占有改定进行观念交付，因此仍作为意思主义权利变动模式之例。</w:t>
      </w:r>
    </w:p>
  </w:footnote>
  <w:footnote w:id="31">
    <w:p w14:paraId="755D2FF0">
      <w:pPr>
        <w:pStyle w:val="6"/>
        <w:spacing w:line="240" w:lineRule="exact"/>
        <w:rPr>
          <w:rFonts w:hint="default"/>
          <w:lang w:val="en-US" w:eastAsia="zh-CN"/>
        </w:rPr>
      </w:pPr>
      <w:r>
        <w:rPr>
          <w:rStyle w:val="12"/>
          <w:rFonts w:ascii="Times New Roman" w:hAnsi="Times New Roman" w:eastAsia="宋体" w:cs="Times New Roman"/>
          <w:kern w:val="2"/>
          <w:szCs w:val="24"/>
          <w:lang w:val="en-US" w:eastAsia="zh-CN" w:bidi="ar-SA"/>
        </w:rPr>
        <w:footnoteRef/>
      </w:r>
      <w:r>
        <w:rPr>
          <w:lang w:val="en-US" w:eastAsia="zh-CN"/>
        </w:rPr>
        <w:t xml:space="preserve"> </w:t>
      </w:r>
      <w:r>
        <w:rPr>
          <w:rFonts w:hint="eastAsia"/>
          <w:lang w:val="en-US" w:eastAsia="zh-CN"/>
        </w:rPr>
        <w:t>有观点认为物权的优先效力之内涵有“宽”“严”的区分，例如，在二重买卖场合，先取得动产占有或不动产登记的买受人优先于其他买受人取得标的物所有权，此类应属“宽”的优先效力。至于物权与物权之间存在着先后顺序的现象，例如，同一标的物上并存着数个抵押权场合，先登记的抵押权的效力优先，这是真正意义上的物权的优先效力。本文在“严”的意义上提取出优先规则的定义。相关论述参见崔建远：《物权法》（第五版），中国人民大学出版社2021年版，第39页。</w:t>
      </w:r>
    </w:p>
  </w:footnote>
  <w:footnote w:id="32">
    <w:p w14:paraId="43AA54F5">
      <w:pPr>
        <w:pStyle w:val="6"/>
        <w:snapToGrid w:val="0"/>
        <w:spacing w:line="240" w:lineRule="exact"/>
        <w:rPr>
          <w:rFonts w:hint="eastAsia"/>
          <w:lang w:eastAsia="zh-CN"/>
        </w:rPr>
      </w:pPr>
      <w:r>
        <w:rPr>
          <w:rStyle w:val="12"/>
        </w:rPr>
        <w:footnoteRef/>
      </w:r>
      <w:r>
        <w:t xml:space="preserve"> </w:t>
      </w:r>
      <w:r>
        <w:rPr>
          <w:rFonts w:hint="eastAsia"/>
          <w:lang w:val="en-US" w:eastAsia="zh-CN"/>
        </w:rPr>
        <w:t>冀放：《多重买卖实际履行顺序研究——评我国相关司法解释之规定》，载《法学杂志》2018年第12期，第124页以下。吴香香：《〈民法典〉第598条（出卖人主给付义务）评注》，载《法学家》2020年第4期，第187-188页；</w:t>
      </w:r>
      <w:r>
        <w:rPr>
          <w:rFonts w:hint="eastAsia"/>
        </w:rPr>
        <w:t>孙毅:</w:t>
      </w:r>
      <w:r>
        <w:rPr>
          <w:rFonts w:hint="eastAsia"/>
          <w:lang w:eastAsia="zh-CN"/>
        </w:rPr>
        <w:t>《</w:t>
      </w:r>
      <w:r>
        <w:rPr>
          <w:rFonts w:hint="eastAsia"/>
        </w:rPr>
        <w:t>我国多重买卖规则的检讨与重构</w:t>
      </w:r>
      <w:r>
        <w:rPr>
          <w:rFonts w:hint="eastAsia"/>
          <w:lang w:eastAsia="zh-CN"/>
        </w:rPr>
        <w:t>》</w:t>
      </w:r>
      <w:r>
        <w:rPr>
          <w:rFonts w:hint="eastAsia"/>
        </w:rPr>
        <w:t>,</w:t>
      </w:r>
      <w:r>
        <w:rPr>
          <w:rFonts w:hint="eastAsia"/>
          <w:lang w:val="en-US" w:eastAsia="zh-CN"/>
        </w:rPr>
        <w:t>载</w:t>
      </w:r>
      <w:r>
        <w:rPr>
          <w:rFonts w:hint="eastAsia"/>
        </w:rPr>
        <w:t>《法学家》2014年第6期,第114页</w:t>
      </w:r>
      <w:r>
        <w:rPr>
          <w:rFonts w:hint="eastAsia"/>
          <w:lang w:eastAsia="zh-CN"/>
        </w:rPr>
        <w:t>；</w:t>
      </w:r>
      <w:r>
        <w:rPr>
          <w:rFonts w:hint="eastAsia"/>
        </w:rPr>
        <w:t>冉克平</w:t>
      </w:r>
      <w:r>
        <w:rPr>
          <w:rFonts w:hint="eastAsia"/>
          <w:lang w:eastAsia="zh-CN"/>
        </w:rPr>
        <w:t>《</w:t>
      </w:r>
      <w:r>
        <w:rPr>
          <w:rFonts w:hint="eastAsia"/>
        </w:rPr>
        <w:t>论机动车等特殊动产物权的变动</w:t>
      </w:r>
      <w:r>
        <w:rPr>
          <w:rFonts w:hint="eastAsia"/>
          <w:lang w:eastAsia="zh-CN"/>
        </w:rPr>
        <w:t>》</w:t>
      </w:r>
      <w:r>
        <w:rPr>
          <w:rFonts w:hint="eastAsia"/>
        </w:rPr>
        <w:t>,</w:t>
      </w:r>
      <w:r>
        <w:rPr>
          <w:rFonts w:hint="eastAsia"/>
          <w:lang w:val="en-US" w:eastAsia="zh-CN"/>
        </w:rPr>
        <w:t>载</w:t>
      </w:r>
      <w:r>
        <w:rPr>
          <w:rFonts w:hint="eastAsia"/>
        </w:rPr>
        <w:t>《法学评论》2015年第4期</w:t>
      </w:r>
      <w:r>
        <w:rPr>
          <w:rFonts w:hint="eastAsia"/>
          <w:lang w:eastAsia="zh-CN"/>
        </w:rPr>
        <w:t>，</w:t>
      </w:r>
      <w:r>
        <w:rPr>
          <w:rFonts w:hint="eastAsia"/>
        </w:rPr>
        <w:t>第153页。</w:t>
      </w:r>
    </w:p>
  </w:footnote>
  <w:footnote w:id="33">
    <w:p w14:paraId="58EAE06A">
      <w:pPr>
        <w:pStyle w:val="6"/>
        <w:spacing w:line="240" w:lineRule="exact"/>
        <w:rPr>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[美]范斯沃思著，葛云松、丁春艳译：《美国合同法》，中国政法大学出版社2004年版</w:t>
      </w:r>
      <w:r>
        <w:rPr>
          <w:rFonts w:hint="eastAsia"/>
          <w:lang w:val="en-US" w:eastAsia="zh-CN"/>
        </w:rPr>
        <w:t>，第702页</w:t>
      </w:r>
      <w:r>
        <w:rPr>
          <w:lang w:val="en-US" w:eastAsia="zh-CN"/>
        </w:rPr>
        <w:t>。</w:t>
      </w:r>
    </w:p>
  </w:footnote>
  <w:footnote w:id="34">
    <w:p w14:paraId="319794C7">
      <w:pPr>
        <w:pStyle w:val="6"/>
        <w:spacing w:line="240" w:lineRule="exact"/>
        <w:rPr>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w:t>
      </w:r>
      <w:r>
        <w:rPr>
          <w:rFonts w:hint="eastAsia"/>
          <w:lang w:val="en-US" w:eastAsia="zh-CN"/>
        </w:rPr>
        <w:t>李宇：《保理法的再体系化》，载《法学研究》2022年第6期，第95页。</w:t>
      </w:r>
    </w:p>
  </w:footnote>
  <w:footnote w:id="35">
    <w:p w14:paraId="2C6E29C0">
      <w:pPr>
        <w:pStyle w:val="6"/>
        <w:widowControl w:val="0"/>
        <w:snapToGrid w:val="0"/>
        <w:spacing w:line="240" w:lineRule="exact"/>
        <w:jc w:val="left"/>
        <w:rPr>
          <w:lang w:val="en-US" w:eastAsia="zh-CN"/>
        </w:rPr>
      </w:pPr>
      <w:r>
        <w:rPr>
          <w:rStyle w:val="12"/>
          <w:rFonts w:asciiTheme="minorAscii" w:hAnsiTheme="minorAscii" w:eastAsiaTheme="minorEastAsia" w:cstheme="minorBidi"/>
          <w:kern w:val="2"/>
          <w:sz w:val="24"/>
          <w:szCs w:val="24"/>
          <w:lang w:val="en-US" w:eastAsia="zh-CN" w:bidi="ar-SA"/>
        </w:rPr>
        <w:footnoteRef/>
      </w:r>
      <w:r>
        <w:rPr>
          <w:lang w:val="en-US" w:eastAsia="zh-CN"/>
        </w:rPr>
        <w:t xml:space="preserve"> 中田裕康著『債権総論 第四版』(株式会社岩波書店，2020 年) </w:t>
      </w:r>
      <w:r>
        <w:rPr>
          <w:rFonts w:hint="eastAsia"/>
          <w:lang w:val="en-US" w:eastAsia="zh-CN"/>
        </w:rPr>
        <w:t>645</w:t>
      </w:r>
      <w:r>
        <w:rPr>
          <w:lang w:val="en-US" w:eastAsia="zh-CN"/>
        </w:rPr>
        <w:t>頁参照。</w:t>
      </w:r>
    </w:p>
  </w:footnote>
  <w:footnote w:id="36">
    <w:p w14:paraId="4211E8E5">
      <w:pPr>
        <w:pStyle w:val="6"/>
        <w:spacing w:line="240" w:lineRule="exact"/>
        <w:rPr>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w:t>
      </w:r>
      <w:r>
        <w:rPr>
          <w:rFonts w:hint="eastAsia"/>
          <w:lang w:val="en-US" w:eastAsia="zh-CN"/>
        </w:rPr>
        <w:t>（日）我妻荣著，王燚译：《新订债权总论》，中国法制出版社2008年版，第483页。</w:t>
      </w:r>
    </w:p>
  </w:footnote>
  <w:footnote w:id="37">
    <w:p w14:paraId="7243F67A">
      <w:pPr>
        <w:pStyle w:val="6"/>
        <w:spacing w:line="240" w:lineRule="exact"/>
        <w:rPr>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w:t>
      </w:r>
      <w:r>
        <w:rPr>
          <w:rFonts w:hint="eastAsia"/>
          <w:lang w:val="en-US" w:eastAsia="zh-CN"/>
        </w:rPr>
        <w:t>解亘、冯洁语、尚连杰著：《板书体债法总论》，北京大学出版社2024年版，第332页。</w:t>
      </w:r>
    </w:p>
  </w:footnote>
  <w:footnote w:id="38">
    <w:p w14:paraId="7676442E">
      <w:pPr>
        <w:pStyle w:val="6"/>
        <w:spacing w:line="240" w:lineRule="exact"/>
        <w:rPr>
          <w:rFonts w:hint="default"/>
          <w:lang w:val="en-US" w:eastAsia="zh-CN"/>
        </w:rPr>
      </w:pPr>
      <w:r>
        <w:rPr>
          <w:rStyle w:val="12"/>
          <w:rFonts w:asciiTheme="minorAscii" w:hAnsiTheme="minorAscii" w:eastAsiaTheme="minorEastAsia" w:cstheme="minorBidi"/>
          <w:kern w:val="2"/>
          <w:szCs w:val="24"/>
          <w:lang w:val="en-US" w:eastAsia="zh-CN" w:bidi="ar-SA"/>
        </w:rPr>
        <w:footnoteRef/>
      </w:r>
      <w:r>
        <w:rPr>
          <w:lang w:val="en-US" w:eastAsia="zh-CN"/>
        </w:rPr>
        <w:t xml:space="preserve"> </w:t>
      </w:r>
      <w:r>
        <w:rPr>
          <w:rFonts w:hint="eastAsia"/>
          <w:lang w:val="en-US" w:eastAsia="zh-CN"/>
        </w:rPr>
        <w:t>“对抗”的表述可分为“对债务人及其他第三人的对抗”和“对债务人以外的第三人的对抗”两种，本文仅就后一种进行探讨。参见（日）我妻荣著，王燚译：《新订债权总论》，中国法制出版社2008年版，第468页。</w:t>
      </w:r>
    </w:p>
  </w:footnote>
  <w:footnote w:id="39">
    <w:p w14:paraId="6ADE6003">
      <w:pPr>
        <w:pStyle w:val="6"/>
        <w:widowControl/>
        <w:snapToGrid/>
        <w:spacing w:line="240" w:lineRule="exact"/>
        <w:ind w:firstLineChars="0"/>
        <w:jc w:val="left"/>
        <w:rPr>
          <w:rFonts w:hint="default"/>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参见朱晓喆、冯洁语：《保理合同中应收账款多重转让的优先顺序</w:t>
      </w:r>
      <w:r>
        <w:rPr>
          <w:rFonts w:hint="eastAsia"/>
          <w:lang w:val="en-US" w:eastAsia="zh-CN"/>
        </w:rPr>
        <w:t>——</w:t>
      </w:r>
      <w:r>
        <w:rPr>
          <w:rFonts w:hint="default"/>
          <w:lang w:val="en-US" w:eastAsia="zh-CN"/>
        </w:rPr>
        <w:t>以〈民法典〉第768条为中心》，载《法学评论》2022年第1期，第175页。</w:t>
      </w:r>
    </w:p>
  </w:footnote>
  <w:footnote w:id="40">
    <w:p w14:paraId="584AF69C">
      <w:pPr>
        <w:pStyle w:val="6"/>
        <w:widowControl/>
        <w:snapToGrid/>
        <w:spacing w:line="240" w:lineRule="exact"/>
        <w:ind w:firstLineChars="0"/>
        <w:jc w:val="lef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参见李宇：《保理法的再体系化》，载《法学研究》2022年第6期，106页。</w:t>
      </w:r>
    </w:p>
  </w:footnote>
  <w:footnote w:id="41">
    <w:p w14:paraId="71DDD945">
      <w:pPr>
        <w:pStyle w:val="6"/>
        <w:widowControl/>
        <w:snapToGrid/>
        <w:spacing w:line="240" w:lineRule="exact"/>
        <w:ind w:firstLineChars="0"/>
        <w:jc w:val="left"/>
        <w:rPr>
          <w:rFonts w:hint="default"/>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参见李宇：《民法典中债权让与和债权质押规范的统合》，载《法学研究》2019年第1期，第57页。</w:t>
      </w:r>
    </w:p>
  </w:footnote>
  <w:footnote w:id="42">
    <w:p w14:paraId="48223A43">
      <w:pPr>
        <w:pStyle w:val="6"/>
        <w:widowControl/>
        <w:snapToGrid/>
        <w:spacing w:line="240" w:lineRule="exact"/>
        <w:ind w:firstLineChars="0"/>
        <w:jc w:val="lef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参见</w:t>
      </w:r>
      <w:r>
        <w:rPr>
          <w:lang w:val="en-US" w:eastAsia="zh-CN"/>
        </w:rPr>
        <w:t>解亘、冯洁语、尚连杰著：《板书体债法总论》，北京大学出版社2024年版</w:t>
      </w:r>
      <w:r>
        <w:rPr>
          <w:rFonts w:hint="default"/>
          <w:lang w:val="en-US" w:eastAsia="zh-CN"/>
        </w:rPr>
        <w:t>，第329页</w:t>
      </w:r>
      <w:r>
        <w:rPr>
          <w:lang w:val="en-US" w:eastAsia="zh-CN"/>
        </w:rPr>
        <w:t>。</w:t>
      </w:r>
    </w:p>
  </w:footnote>
  <w:footnote w:id="43">
    <w:p w14:paraId="3514B298">
      <w:pPr>
        <w:pStyle w:val="6"/>
        <w:widowControl/>
        <w:snapToGrid/>
        <w:spacing w:line="240" w:lineRule="exact"/>
        <w:ind w:firstLineChars="0"/>
        <w:jc w:val="lef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参见方新军：《债权多重让与的体系解释》，载《法学研究》2023年第4期，第208页</w:t>
      </w:r>
    </w:p>
  </w:footnote>
  <w:footnote w:id="44">
    <w:p w14:paraId="620C2C1D">
      <w:pPr>
        <w:pStyle w:val="6"/>
        <w:widowControl/>
        <w:snapToGrid/>
        <w:spacing w:line="240" w:lineRule="exact"/>
        <w:ind w:firstLineChars="0"/>
        <w:jc w:val="lef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参见</w:t>
      </w:r>
      <w:r>
        <w:rPr>
          <w:lang w:val="en-US" w:eastAsia="zh-CN"/>
        </w:rPr>
        <w:t>李晓飞、程娜：《保理合同中应收账款多重转让下优先顺位的确立》，</w:t>
      </w:r>
      <w:r>
        <w:rPr>
          <w:rFonts w:hint="default"/>
          <w:lang w:val="en-US" w:eastAsia="zh-CN"/>
        </w:rPr>
        <w:t>载</w:t>
      </w:r>
      <w:r>
        <w:rPr>
          <w:lang w:val="en-US" w:eastAsia="zh-CN"/>
        </w:rPr>
        <w:t>《首都师范大学学报（社会科学版）》2024年专辑</w:t>
      </w:r>
      <w:r>
        <w:rPr>
          <w:rFonts w:hint="default"/>
          <w:lang w:val="en-US" w:eastAsia="zh-CN"/>
        </w:rPr>
        <w:t>，第119页</w:t>
      </w:r>
      <w:r>
        <w:rPr>
          <w:lang w:val="en-US" w:eastAsia="zh-CN"/>
        </w:rPr>
        <w:t>。</w:t>
      </w:r>
    </w:p>
  </w:footnote>
  <w:footnote w:id="45">
    <w:p w14:paraId="0BB91227">
      <w:pPr>
        <w:pStyle w:val="6"/>
        <w:widowControl/>
        <w:snapToGrid/>
        <w:spacing w:line="240" w:lineRule="exact"/>
        <w:ind w:firstLineChars="0"/>
        <w:jc w:val="left"/>
        <w:rPr>
          <w:rFonts w:hint="default"/>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民法典合同编（草案一次审议稿）》第336条：债权人将同一债权转让给数人，债权转让可以登记的，最先登记的受让人优先于其他受让人；债权转让未登记或者无法登记的，债务人最先收到的债权转让通知中载明的受让人优先于其他受让人。</w:t>
      </w:r>
    </w:p>
  </w:footnote>
  <w:footnote w:id="46">
    <w:p w14:paraId="092856B5">
      <w:pPr>
        <w:pStyle w:val="6"/>
        <w:widowControl/>
        <w:snapToGrid/>
        <w:spacing w:line="240" w:lineRule="exact"/>
        <w:ind w:firstLineChars="0"/>
        <w:jc w:val="lef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《关于适用〈中华人民共和国民法典〉有关担保制度的解释》第66条第1款：“同一应收账款同时存在保理、应收账款质押和债权转让，当事人主张参照民法典第768条的规定确定优先顺序的，人民法院应予支持。”</w:t>
      </w:r>
    </w:p>
  </w:footnote>
  <w:footnote w:id="47">
    <w:p w14:paraId="321DDCBB">
      <w:pPr>
        <w:pStyle w:val="6"/>
        <w:widowControl/>
        <w:snapToGrid/>
        <w:spacing w:line="240" w:lineRule="exact"/>
        <w:ind w:firstLineChars="0"/>
        <w:jc w:val="left"/>
        <w:rPr>
          <w:lang w:val="en-US" w:eastAsia="zh-CN"/>
        </w:rPr>
      </w:pPr>
      <w:r>
        <w:rPr>
          <w:rStyle w:val="12"/>
          <w:rFonts w:ascii="Times New Roman" w:hAnsi="Times New Roman" w:eastAsia="宋体" w:cstheme="minorBidi"/>
          <w:kern w:val="2"/>
          <w:szCs w:val="24"/>
          <w:lang w:val="en-US" w:eastAsia="zh-CN" w:bidi="ar-SA"/>
        </w:rPr>
        <w:footnoteRef/>
      </w:r>
      <w:r>
        <w:rPr>
          <w:lang w:val="en-US" w:eastAsia="zh-CN"/>
        </w:rPr>
        <w:t xml:space="preserve"> </w:t>
      </w:r>
      <w:r>
        <w:rPr>
          <w:rFonts w:hint="default"/>
          <w:lang w:val="en-US" w:eastAsia="zh-CN"/>
        </w:rPr>
        <w:t>参见</w:t>
      </w:r>
      <w:r>
        <w:rPr>
          <w:lang w:val="en-US" w:eastAsia="zh-CN"/>
        </w:rPr>
        <w:t>最高人民法院民事审判第二庭著：《最高人民法院民法典担保制度司法解释理解与适用》，人民法院出版社2021年版</w:t>
      </w:r>
      <w:r>
        <w:rPr>
          <w:rFonts w:hint="default"/>
          <w:lang w:val="en-US" w:eastAsia="zh-CN"/>
        </w:rPr>
        <w:t>，第556页</w:t>
      </w:r>
      <w:r>
        <w:rPr>
          <w:lang w:val="en-US" w:eastAsia="zh-CN"/>
        </w:rPr>
        <w:t>。</w:t>
      </w:r>
    </w:p>
  </w:footnote>
  <w:footnote w:id="48">
    <w:p w14:paraId="6F43B88E">
      <w:pPr>
        <w:pStyle w:val="6"/>
        <w:snapToGrid/>
        <w:spacing w:line="240" w:lineRule="exact"/>
      </w:pPr>
      <w:r>
        <w:rPr>
          <w:rStyle w:val="12"/>
          <w:rFonts w:ascii="Times New Roman" w:hAnsi="Times New Roman" w:eastAsia="宋体"/>
        </w:rPr>
        <w:footnoteRef/>
      </w:r>
      <w:r>
        <w:t xml:space="preserve"> </w:t>
      </w:r>
      <w:r>
        <w:rPr>
          <w:rFonts w:hint="default"/>
          <w:lang w:val="en-US" w:eastAsia="zh-CN"/>
        </w:rPr>
        <w:t>参见</w:t>
      </w:r>
      <w:r>
        <w:rPr>
          <w:lang w:val="en-US" w:eastAsia="zh-CN"/>
        </w:rPr>
        <w:t>高圣平：《民法典担保制度体系研究》，中国人民大学出版社2023年版</w:t>
      </w:r>
      <w:r>
        <w:rPr>
          <w:rFonts w:hint="default"/>
          <w:lang w:val="en-US" w:eastAsia="zh-CN"/>
        </w:rPr>
        <w:t>，第352-355页</w:t>
      </w:r>
      <w:r>
        <w:rPr>
          <w:lang w:val="en-US" w:eastAsia="zh-CN"/>
        </w:rPr>
        <w:t>。</w:t>
      </w:r>
    </w:p>
  </w:footnote>
  <w:footnote w:id="49">
    <w:p w14:paraId="68E8E90D">
      <w:pPr>
        <w:pStyle w:val="6"/>
        <w:snapToGrid/>
        <w:spacing w:line="240" w:lineRule="exact"/>
      </w:pPr>
      <w:r>
        <w:rPr>
          <w:rStyle w:val="12"/>
          <w:rFonts w:ascii="Times New Roman" w:hAnsi="Times New Roman" w:eastAsia="宋体"/>
        </w:rPr>
        <w:footnoteRef/>
      </w:r>
      <w:r>
        <w:t xml:space="preserve"> </w:t>
      </w:r>
      <w:r>
        <w:rPr>
          <w:lang w:val="en-US" w:eastAsia="zh-CN"/>
        </w:rPr>
        <w:t>吴光荣：《担保法精讲：体系解说与实务解答》，中国民主法制出版社2023年版</w:t>
      </w:r>
      <w:r>
        <w:rPr>
          <w:rFonts w:hint="default"/>
          <w:lang w:val="en-US" w:eastAsia="zh-CN"/>
        </w:rPr>
        <w:t>，第540页</w:t>
      </w:r>
      <w:r>
        <w:rPr>
          <w:lang w:val="en-US" w:eastAsia="zh-CN"/>
        </w:rPr>
        <w:t>。</w:t>
      </w:r>
    </w:p>
  </w:footnote>
  <w:footnote w:id="50">
    <w:p w14:paraId="72491C87">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参见庄加园：《应收账款转让的功能主义担保内核：在先登记原则》，载《中外法学》2024年第6期，第1472页。</w:t>
      </w:r>
    </w:p>
  </w:footnote>
  <w:footnote w:id="51">
    <w:p w14:paraId="751B94C0">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参见高圣平：《〈民法典〉视野下统一动产和权利担保登记制度的构造》，载《浙江工商大学学报》2020年第5期，第40页。</w:t>
      </w:r>
    </w:p>
  </w:footnote>
  <w:footnote w:id="52">
    <w:p w14:paraId="31B3830E">
      <w:pPr>
        <w:pStyle w:val="6"/>
        <w:snapToGrid/>
        <w:spacing w:line="240" w:lineRule="exact"/>
      </w:pPr>
      <w:r>
        <w:rPr>
          <w:rStyle w:val="12"/>
          <w:rFonts w:ascii="Times New Roman" w:hAnsi="Times New Roman" w:eastAsia="宋体"/>
        </w:rPr>
        <w:footnoteRef/>
      </w:r>
      <w:r>
        <w:t xml:space="preserve"> </w:t>
      </w:r>
      <w:r>
        <w:rPr>
          <w:rFonts w:hint="default"/>
        </w:rPr>
        <w:t>参见谢在全:《担保物权制度的成长与蜕变》，《法学家》2019年第1期</w:t>
      </w:r>
      <w:r>
        <w:rPr>
          <w:rFonts w:hint="default"/>
          <w:lang w:eastAsia="zh-CN"/>
        </w:rPr>
        <w:t>，</w:t>
      </w:r>
      <w:r>
        <w:rPr>
          <w:rFonts w:hint="default"/>
          <w:lang w:val="en-US" w:eastAsia="zh-CN"/>
        </w:rPr>
        <w:t>第45页</w:t>
      </w:r>
      <w:r>
        <w:rPr>
          <w:rFonts w:hint="default"/>
        </w:rPr>
        <w:t>。</w:t>
      </w:r>
    </w:p>
  </w:footnote>
  <w:footnote w:id="53">
    <w:p w14:paraId="356096F6">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《不动产登记暂行条例》第8条。</w:t>
      </w:r>
    </w:p>
  </w:footnote>
  <w:footnote w:id="54">
    <w:p w14:paraId="09BDA717">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w:t>
      </w:r>
      <w:r>
        <w:rPr>
          <w:rFonts w:hint="default"/>
        </w:rPr>
        <w:t>刘智慧：《〈民法典〉</w:t>
      </w:r>
      <w:r>
        <w:rPr>
          <w:rFonts w:hint="default"/>
          <w:lang w:eastAsia="zh-CN"/>
        </w:rPr>
        <w:t>“</w:t>
      </w:r>
      <w:r>
        <w:rPr>
          <w:rFonts w:hint="default"/>
        </w:rPr>
        <w:t>正常经营买受人规则</w:t>
      </w:r>
      <w:r>
        <w:rPr>
          <w:rFonts w:hint="default"/>
          <w:lang w:eastAsia="zh-CN"/>
        </w:rPr>
        <w:t>”</w:t>
      </w:r>
      <w:r>
        <w:rPr>
          <w:rFonts w:hint="default"/>
        </w:rPr>
        <w:t>适用解构》，</w:t>
      </w:r>
      <w:r>
        <w:rPr>
          <w:rFonts w:hint="default"/>
          <w:lang w:val="en-US" w:eastAsia="zh-CN"/>
        </w:rPr>
        <w:t>载</w:t>
      </w:r>
      <w:r>
        <w:rPr>
          <w:rFonts w:hint="default"/>
        </w:rPr>
        <w:t>《中国政法大学学报》2022年第3期</w:t>
      </w:r>
      <w:r>
        <w:rPr>
          <w:rFonts w:hint="default"/>
          <w:lang w:eastAsia="zh-CN"/>
        </w:rPr>
        <w:t>，</w:t>
      </w:r>
      <w:r>
        <w:rPr>
          <w:rFonts w:hint="default"/>
          <w:lang w:val="en-US" w:eastAsia="zh-CN"/>
        </w:rPr>
        <w:t>第139页</w:t>
      </w:r>
      <w:r>
        <w:rPr>
          <w:rFonts w:hint="default"/>
        </w:rPr>
        <w:t>。</w:t>
      </w:r>
    </w:p>
  </w:footnote>
  <w:footnote w:id="55">
    <w:p w14:paraId="4A3F2F68">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Cs w:val="18"/>
        </w:rPr>
        <w:footnoteRef/>
      </w:r>
      <w:r>
        <w:rPr>
          <w:rFonts w:hint="default"/>
        </w:rPr>
        <w:t xml:space="preserve"> </w:t>
      </w:r>
      <w:r>
        <w:rPr>
          <w:rFonts w:hint="default"/>
          <w:lang w:eastAsia="zh-CN"/>
        </w:rPr>
        <w:t>《</w:t>
      </w:r>
      <w:r>
        <w:rPr>
          <w:rFonts w:hint="default"/>
          <w:lang w:val="en-US" w:eastAsia="zh-CN"/>
        </w:rPr>
        <w:t>机动车登记规定</w:t>
      </w:r>
      <w:r>
        <w:rPr>
          <w:rFonts w:hint="default"/>
          <w:lang w:eastAsia="zh-CN"/>
        </w:rPr>
        <w:t>》</w:t>
      </w:r>
      <w:r>
        <w:rPr>
          <w:rFonts w:hint="default"/>
          <w:lang w:val="en-US" w:eastAsia="zh-CN"/>
        </w:rPr>
        <w:t>第10条。</w:t>
      </w:r>
    </w:p>
  </w:footnote>
  <w:footnote w:id="56">
    <w:p w14:paraId="35638A1D">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Cs w:val="18"/>
        </w:rPr>
        <w:footnoteRef/>
      </w:r>
      <w:r>
        <w:rPr>
          <w:rFonts w:hint="default"/>
        </w:rPr>
        <w:t xml:space="preserve"> </w:t>
      </w:r>
      <w:r>
        <w:rPr>
          <w:rFonts w:hint="default"/>
          <w:lang w:eastAsia="zh-CN"/>
        </w:rPr>
        <w:t>《</w:t>
      </w:r>
      <w:r>
        <w:rPr>
          <w:rFonts w:hint="default"/>
          <w:lang w:val="en-US" w:eastAsia="zh-CN"/>
        </w:rPr>
        <w:t>机动车登记规定</w:t>
      </w:r>
      <w:r>
        <w:rPr>
          <w:rFonts w:hint="default"/>
          <w:lang w:eastAsia="zh-CN"/>
        </w:rPr>
        <w:t>》</w:t>
      </w:r>
      <w:r>
        <w:rPr>
          <w:rFonts w:hint="default"/>
          <w:lang w:val="en-US" w:eastAsia="zh-CN"/>
        </w:rPr>
        <w:t>第12条。</w:t>
      </w:r>
    </w:p>
  </w:footnote>
  <w:footnote w:id="57">
    <w:p w14:paraId="17C36212">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rPr>
      </w:pPr>
      <w:r>
        <w:rPr>
          <w:rStyle w:val="12"/>
          <w:rFonts w:hint="eastAsia" w:ascii="Times New Roman" w:hAnsi="Times New Roman" w:eastAsia="宋体" w:cs="宋体"/>
          <w:szCs w:val="18"/>
        </w:rPr>
        <w:footnoteRef/>
      </w:r>
      <w:r>
        <w:rPr>
          <w:rFonts w:hint="default"/>
        </w:rPr>
        <w:t xml:space="preserve"> </w:t>
      </w:r>
      <w:r>
        <w:rPr>
          <w:rFonts w:hint="default"/>
          <w:lang w:eastAsia="zh-CN"/>
        </w:rPr>
        <w:t>《</w:t>
      </w:r>
      <w:r>
        <w:rPr>
          <w:rFonts w:hint="default"/>
          <w:lang w:val="en-US" w:eastAsia="zh-CN"/>
        </w:rPr>
        <w:t>机动车登记规定</w:t>
      </w:r>
      <w:r>
        <w:rPr>
          <w:rFonts w:hint="default"/>
          <w:lang w:eastAsia="zh-CN"/>
        </w:rPr>
        <w:t>》</w:t>
      </w:r>
      <w:r>
        <w:rPr>
          <w:rFonts w:hint="default"/>
          <w:lang w:val="en-US" w:eastAsia="zh-CN"/>
        </w:rPr>
        <w:t>第25条。</w:t>
      </w:r>
    </w:p>
  </w:footnote>
  <w:footnote w:id="58">
    <w:p w14:paraId="37F988DB">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《机动车登记规定》第31条。</w:t>
      </w:r>
    </w:p>
  </w:footnote>
  <w:footnote w:id="59">
    <w:p w14:paraId="413DBA7E">
      <w:pPr>
        <w:pStyle w:val="6"/>
        <w:keepNext w:val="0"/>
        <w:keepLines w:val="0"/>
        <w:pageBreakBefore w:val="0"/>
        <w:widowControl/>
        <w:kinsoku/>
        <w:wordWrap/>
        <w:overflowPunct/>
        <w:topLinePunct w:val="0"/>
        <w:bidi w:val="0"/>
        <w:snapToGrid/>
        <w:spacing w:line="240" w:lineRule="exact"/>
        <w:ind w:firstLine="0" w:firstLineChars="0"/>
        <w:textAlignment w:val="auto"/>
        <w:rPr>
          <w:rFonts w:hint="default"/>
        </w:rPr>
      </w:pPr>
      <w:r>
        <w:rPr>
          <w:rStyle w:val="12"/>
          <w:rFonts w:hint="eastAsia" w:ascii="Times New Roman" w:hAnsi="Times New Roman" w:eastAsia="宋体" w:cs="宋体"/>
        </w:rPr>
        <w:footnoteRef/>
      </w:r>
      <w:r>
        <w:rPr>
          <w:rFonts w:hint="default"/>
        </w:rPr>
        <w:t xml:space="preserve"> </w:t>
      </w:r>
      <w:r>
        <w:rPr>
          <w:rFonts w:hint="default"/>
          <w:lang w:val="en-US" w:eastAsia="zh-CN"/>
        </w:rPr>
        <w:t>参见尹飞：《论债权让与中债权移转的依据》，载《法学家》2015年第4期，第83页。申建平：《债权让与通知论》，载《求是学刊》2005年第4期，第83页。</w:t>
      </w:r>
    </w:p>
  </w:footnote>
  <w:footnote w:id="60">
    <w:p w14:paraId="21C0A588">
      <w:pPr>
        <w:pStyle w:val="6"/>
        <w:snapToGrid/>
        <w:spacing w:line="240" w:lineRule="exact"/>
        <w:rPr>
          <w:rFonts w:hint="default"/>
        </w:rPr>
      </w:pPr>
      <w:r>
        <w:rPr>
          <w:rStyle w:val="12"/>
          <w:rFonts w:hint="eastAsia" w:ascii="Times New Roman" w:hAnsi="Times New Roman" w:eastAsia="宋体" w:cs="宋体"/>
        </w:rPr>
        <w:footnoteRef/>
      </w:r>
      <w:r>
        <w:rPr>
          <w:rFonts w:hint="default"/>
        </w:rPr>
        <w:t xml:space="preserve"> </w:t>
      </w:r>
      <w:r>
        <w:rPr>
          <w:rFonts w:hint="default"/>
          <w:lang w:val="en-US" w:eastAsia="zh-CN"/>
        </w:rPr>
        <w:t>参见张学忠：《通知：债权移转的生效要件</w:t>
      </w:r>
      <w:r>
        <w:rPr>
          <w:rFonts w:hint="eastAsia"/>
          <w:lang w:val="en-US" w:eastAsia="zh-CN"/>
        </w:rPr>
        <w:t>——</w:t>
      </w:r>
      <w:r>
        <w:rPr>
          <w:rFonts w:hint="default"/>
          <w:lang w:val="en-US" w:eastAsia="zh-CN"/>
        </w:rPr>
        <w:t>对传统立法与理论的反思》，载《法学》2005年第7期，99页。</w:t>
      </w:r>
    </w:p>
  </w:footnote>
  <w:footnote w:id="61">
    <w:p w14:paraId="7F588A91">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Fonts w:hint="default"/>
        </w:rPr>
        <w:footnoteRef/>
      </w:r>
      <w:r>
        <w:rPr>
          <w:rFonts w:hint="default"/>
        </w:rPr>
        <w:t xml:space="preserve"> </w:t>
      </w:r>
      <w:r>
        <w:rPr>
          <w:rFonts w:hint="default"/>
          <w:lang w:val="en-US" w:eastAsia="zh-CN"/>
        </w:rPr>
        <w:t>参见庄加园：《〈合同法〉第79条（债权让与）评注》，载《法学家》2017年第3期，第162页。</w:t>
      </w:r>
    </w:p>
  </w:footnote>
  <w:footnote w:id="62">
    <w:p w14:paraId="4C71DF04">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Fonts w:hint="default"/>
        </w:rPr>
        <w:footnoteRef/>
      </w:r>
      <w:r>
        <w:rPr>
          <w:rFonts w:hint="default"/>
        </w:rPr>
        <w:t xml:space="preserve"> </w:t>
      </w:r>
      <w:r>
        <w:rPr>
          <w:rFonts w:hint="default"/>
          <w:lang w:val="en-US" w:eastAsia="zh-CN"/>
        </w:rPr>
        <w:t>北京市第三中级人民法院（2016）京03民终2737号民事判决书。</w:t>
      </w:r>
    </w:p>
  </w:footnote>
  <w:footnote w:id="63">
    <w:p w14:paraId="0F50CC2B">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参见[德] 海因・克茨著：《欧洲合同法》，李琳、张飞虎译，北京大学出版社2024年版，第380页。</w:t>
      </w:r>
    </w:p>
  </w:footnote>
  <w:footnote w:id="64">
    <w:p w14:paraId="3A6A6DC4">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Fonts w:hint="default"/>
        </w:rPr>
        <w:footnoteRef/>
      </w:r>
      <w:r>
        <w:rPr>
          <w:rFonts w:hint="default"/>
        </w:rPr>
        <w:t xml:space="preserve"> </w:t>
      </w:r>
      <w:r>
        <w:rPr>
          <w:rFonts w:hint="default"/>
          <w:lang w:val="en-US" w:eastAsia="zh-CN"/>
        </w:rPr>
        <w:t>参见本城武雄・山崎寛編『債権法総論（現代社会と民法Ⅲ）』（嵯峨野書院，1990年）227頁参照。</w:t>
      </w:r>
    </w:p>
  </w:footnote>
  <w:footnote w:id="65">
    <w:p w14:paraId="67D1D482">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Fonts w:hint="default"/>
        </w:rPr>
        <w:footnoteRef/>
      </w:r>
      <w:r>
        <w:rPr>
          <w:rFonts w:hint="default"/>
        </w:rPr>
        <w:t xml:space="preserve"> </w:t>
      </w:r>
      <w:r>
        <w:rPr>
          <w:rFonts w:hint="default"/>
          <w:lang w:val="en-US" w:eastAsia="zh-CN"/>
        </w:rPr>
        <w:t>参见内田貴著『民法Ⅲ[第2版]債権総論・担保物権』（東京大学出版会，2004年）223頁参照。</w:t>
      </w:r>
    </w:p>
  </w:footnote>
  <w:footnote w:id="66">
    <w:p w14:paraId="25A654D6">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关于举证责任方案可参见崔建远：《关于债权让与的争论及其评论》，载《广东社会科学》2024年第1期，第237页。龙俊：《债之保全和转让规则的发展与创新》，载《中国法律评论》2023年第6期，第42页。</w:t>
      </w:r>
    </w:p>
  </w:footnote>
  <w:footnote w:id="67">
    <w:p w14:paraId="47F77B63">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参见本城武雄、山崎寛編『債権法総論（現代社会と民法Ⅲ）』（嵯峨野書院，1990年）238頁参照。</w:t>
      </w:r>
    </w:p>
  </w:footnote>
  <w:footnote w:id="68">
    <w:p w14:paraId="4658D8EF">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参见（日）我妻荣著，王燚译：《新订债权总论》，中国法制出版社2008年版，第479页。</w:t>
      </w:r>
    </w:p>
  </w:footnote>
  <w:footnote w:id="69">
    <w:p w14:paraId="28FB55CB">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参见Rosalba Alessi e Vincenzo Mannino， La Circolazione del Credito （CEDAM， Padova 2008） 430 ss., 473, 524, 570.转引自方新军：《债权多重让与的体系解释》，载《法学研究》2023第04期，第217-218页。</w:t>
      </w:r>
    </w:p>
  </w:footnote>
  <w:footnote w:id="70">
    <w:p w14:paraId="5F2B594E">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w:t>
      </w:r>
      <w:r>
        <w:rPr>
          <w:rFonts w:hint="default"/>
        </w:rPr>
        <w:t>最高人民法院民事审判第二庭、研究室</w:t>
      </w:r>
      <w:r>
        <w:rPr>
          <w:rFonts w:hint="default"/>
          <w:lang w:eastAsia="zh-CN"/>
        </w:rPr>
        <w:t>：《</w:t>
      </w:r>
      <w:r>
        <w:rPr>
          <w:rFonts w:hint="default"/>
        </w:rPr>
        <w:t>最高人民法院民法典合同编通则司法解释理解与适用</w:t>
      </w:r>
      <w:r>
        <w:rPr>
          <w:rFonts w:hint="default"/>
          <w:lang w:eastAsia="zh-CN"/>
        </w:rPr>
        <w:t>》，</w:t>
      </w:r>
      <w:r>
        <w:rPr>
          <w:rFonts w:hint="default"/>
          <w:lang w:val="en-US" w:eastAsia="zh-CN"/>
        </w:rPr>
        <w:t>人民法院出版社2023年版，第551页。</w:t>
      </w:r>
    </w:p>
  </w:footnote>
  <w:footnote w:id="71">
    <w:p w14:paraId="0F9A6063">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关于适用〈中华人民共和国民法典〉合同编通则若干问题的解释（征求意见稿）》第51条：“债权人将同一债权转让给两个以上受让人，且债务人均未履行，最先到达债务人的转让通知中载明的受让人请求债务人履行的，人民法院依法予以支持。”</w:t>
      </w:r>
    </w:p>
  </w:footnote>
  <w:footnote w:id="72">
    <w:p w14:paraId="5B45A325">
      <w:pPr>
        <w:pStyle w:val="6"/>
        <w:spacing w:line="240" w:lineRule="exact"/>
        <w:rPr>
          <w:rFonts w:hint="default"/>
          <w:lang w:val="en-US" w:eastAsia="zh-CN"/>
        </w:rPr>
      </w:pPr>
      <w:r>
        <w:rPr>
          <w:rStyle w:val="12"/>
          <w:rFonts w:hint="eastAsia" w:ascii="Times New Roman" w:hAnsi="Times New Roman" w:eastAsia="宋体" w:cs="宋体"/>
          <w:kern w:val="2"/>
          <w:szCs w:val="24"/>
          <w:lang w:val="en-US" w:eastAsia="zh-CN" w:bidi="ar-SA"/>
        </w:rPr>
        <w:footnoteRef/>
      </w:r>
      <w:r>
        <w:rPr>
          <w:rFonts w:hint="default"/>
          <w:lang w:val="en-US" w:eastAsia="zh-CN"/>
        </w:rPr>
        <w:t xml:space="preserve"> 参见[美]范斯沃思著，葛云松、丁春艳译：《美国合同法》，中国政法大学出版社2004年版，第719页。</w:t>
      </w:r>
    </w:p>
  </w:footnote>
  <w:footnote w:id="73">
    <w:p w14:paraId="03201154">
      <w:pPr>
        <w:pStyle w:val="6"/>
        <w:spacing w:line="240" w:lineRule="exact"/>
        <w:rPr>
          <w:rFonts w:hint="default"/>
          <w:lang w:val="en-US" w:eastAsia="zh-CN"/>
        </w:rPr>
      </w:pPr>
      <w:r>
        <w:rPr>
          <w:rStyle w:val="12"/>
          <w:rFonts w:hint="eastAsia" w:ascii="Times New Roman" w:hAnsi="Times New Roman" w:eastAsia="宋体" w:cs="宋体"/>
          <w:kern w:val="2"/>
          <w:szCs w:val="24"/>
          <w:lang w:val="en-US" w:eastAsia="zh-CN" w:bidi="ar-SA"/>
        </w:rPr>
        <w:footnoteRef/>
      </w:r>
      <w:r>
        <w:rPr>
          <w:rFonts w:hint="default"/>
          <w:lang w:val="en-US" w:eastAsia="zh-CN"/>
        </w:rPr>
        <w:t xml:space="preserve"> 参见龙俊：《债之保全和转让规则的发展与创新》，载《中国法律评论》2023年第6期，第42页。</w:t>
      </w:r>
    </w:p>
  </w:footnote>
  <w:footnote w:id="74">
    <w:p w14:paraId="7B7B14E4">
      <w:pPr>
        <w:pStyle w:val="6"/>
        <w:snapToGrid/>
        <w:spacing w:line="240" w:lineRule="exact"/>
        <w:rPr>
          <w:rFonts w:hint="default"/>
          <w:lang w:val="en-US" w:eastAsia="zh-CN"/>
        </w:rPr>
      </w:pPr>
      <w:r>
        <w:rPr>
          <w:rStyle w:val="12"/>
          <w:rFonts w:ascii="Times New Roman" w:hAnsi="Times New Roman" w:eastAsia="宋体"/>
        </w:rPr>
        <w:footnoteRef/>
      </w:r>
      <w:r>
        <w:t xml:space="preserve"> </w:t>
      </w:r>
      <w:r>
        <w:rPr>
          <w:rFonts w:hint="default"/>
          <w:lang w:val="en-US" w:eastAsia="zh-CN"/>
        </w:rPr>
        <w:t>参见梁慧星主编，孙宪忠著：《德国当代物权法》，法律出版社1997年版，第82-83页。</w:t>
      </w:r>
    </w:p>
  </w:footnote>
  <w:footnote w:id="75">
    <w:p w14:paraId="699D6355">
      <w:pPr>
        <w:pStyle w:val="6"/>
        <w:snapToGrid/>
        <w:spacing w:line="240" w:lineRule="exact"/>
        <w:rPr>
          <w:rFonts w:hint="default"/>
        </w:rPr>
      </w:pPr>
      <w:r>
        <w:rPr>
          <w:rStyle w:val="12"/>
          <w:rFonts w:hint="eastAsia" w:ascii="Times New Roman" w:hAnsi="Times New Roman" w:eastAsia="宋体" w:cs="宋体"/>
        </w:rPr>
        <w:footnoteRef/>
      </w:r>
      <w:r>
        <w:rPr>
          <w:rFonts w:hint="default"/>
        </w:rPr>
        <w:t xml:space="preserve"> </w:t>
      </w:r>
      <w:r>
        <w:rPr>
          <w:rFonts w:hint="default"/>
          <w:lang w:val="en-US" w:eastAsia="zh-CN"/>
        </w:rPr>
        <w:t>参见尹飞：《论债权让与中债权移转的依据》，载《法学家》2015年第4期，第85页。</w:t>
      </w:r>
    </w:p>
  </w:footnote>
  <w:footnote w:id="76">
    <w:p w14:paraId="57031BEF">
      <w:pPr>
        <w:pStyle w:val="6"/>
        <w:snapToGrid/>
        <w:spacing w:line="240" w:lineRule="exact"/>
      </w:pPr>
      <w:r>
        <w:rPr>
          <w:rStyle w:val="12"/>
          <w:rFonts w:ascii="Times New Roman" w:hAnsi="Times New Roman" w:eastAsia="宋体"/>
        </w:rPr>
        <w:footnoteRef/>
      </w:r>
      <w:r>
        <w:t xml:space="preserve"> </w:t>
      </w:r>
      <w:r>
        <w:rPr>
          <w:rFonts w:hint="default"/>
          <w:lang w:val="en-US" w:eastAsia="zh-CN"/>
        </w:rPr>
        <w:t>参见</w:t>
      </w:r>
      <w:r>
        <w:t>詹诗渊：《债权让与担保制度研究》，中国社会科学出版社2025年版</w:t>
      </w:r>
      <w:r>
        <w:rPr>
          <w:rFonts w:hint="default"/>
          <w:lang w:eastAsia="zh-CN"/>
        </w:rPr>
        <w:t>，</w:t>
      </w:r>
      <w:r>
        <w:rPr>
          <w:rFonts w:hint="default"/>
          <w:lang w:val="en-US" w:eastAsia="zh-CN"/>
        </w:rPr>
        <w:t>第103页</w:t>
      </w:r>
      <w:r>
        <w:t>。</w:t>
      </w:r>
    </w:p>
  </w:footnote>
  <w:footnote w:id="77">
    <w:p w14:paraId="0DE815A8">
      <w:pPr>
        <w:pStyle w:val="6"/>
        <w:snapToGrid/>
        <w:spacing w:line="240" w:lineRule="exact"/>
      </w:pPr>
      <w:r>
        <w:rPr>
          <w:rStyle w:val="12"/>
          <w:rFonts w:ascii="Times New Roman" w:hAnsi="Times New Roman" w:eastAsia="宋体"/>
        </w:rPr>
        <w:footnoteRef/>
      </w:r>
      <w:r>
        <w:t xml:space="preserve"> 詹诗渊：《债权让与担保制度研究》，中国社会科学出版社2025年版</w:t>
      </w:r>
      <w:r>
        <w:rPr>
          <w:rFonts w:hint="default"/>
          <w:lang w:eastAsia="zh-CN"/>
        </w:rPr>
        <w:t>，</w:t>
      </w:r>
      <w:r>
        <w:rPr>
          <w:rFonts w:hint="default"/>
          <w:lang w:val="en-US" w:eastAsia="zh-CN"/>
        </w:rPr>
        <w:t>第181页</w:t>
      </w:r>
      <w:r>
        <w:t>。</w:t>
      </w:r>
    </w:p>
  </w:footnote>
  <w:footnote w:id="78">
    <w:p w14:paraId="19829F08">
      <w:pPr>
        <w:pStyle w:val="6"/>
        <w:spacing w:line="240" w:lineRule="exact"/>
        <w:rPr>
          <w:rFonts w:hint="default"/>
          <w:lang w:val="en-US" w:eastAsia="zh-CN"/>
        </w:rPr>
      </w:pPr>
      <w:r>
        <w:rPr>
          <w:rStyle w:val="12"/>
          <w:rFonts w:hint="eastAsia" w:ascii="Times New Roman" w:hAnsi="Times New Roman" w:eastAsia="宋体" w:cs="宋体"/>
          <w:kern w:val="2"/>
          <w:szCs w:val="24"/>
          <w:lang w:val="en-US" w:eastAsia="zh-CN" w:bidi="ar-SA"/>
        </w:rPr>
        <w:footnoteRef/>
      </w:r>
      <w:r>
        <w:rPr>
          <w:rFonts w:hint="default"/>
          <w:lang w:val="en-US" w:eastAsia="zh-CN"/>
        </w:rPr>
        <w:t xml:space="preserve"> 参见最高人民法院民事审判第二庭、研究室编：《最高人民法院民法典合同编通则司法解释理解与适用》，人民法院出版社2023年版，第534页。</w:t>
      </w:r>
    </w:p>
  </w:footnote>
  <w:footnote w:id="79">
    <w:p w14:paraId="542279A1">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参见申建平：《债权让与通知论》，载《求是学刊》2005年第4期，第83页。</w:t>
      </w:r>
    </w:p>
  </w:footnote>
  <w:footnote w:id="80">
    <w:p w14:paraId="7BED926F">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参见方新军：《〈合同法〉第80条的解释论问题</w:t>
      </w:r>
      <w:r>
        <w:rPr>
          <w:rFonts w:hint="eastAsia"/>
          <w:lang w:val="en-US" w:eastAsia="zh-CN"/>
        </w:rPr>
        <w:t>——</w:t>
      </w:r>
      <w:r>
        <w:rPr>
          <w:rFonts w:hint="default"/>
          <w:lang w:val="en-US" w:eastAsia="zh-CN"/>
        </w:rPr>
        <w:t>债权让与通知的主体、方式及法律效力》，载《苏州大学学报（哲学社会科学版）》2013年第4期，第101页。</w:t>
      </w:r>
    </w:p>
  </w:footnote>
  <w:footnote w:id="81">
    <w:p w14:paraId="6547126B">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参见崔建远：《关于债权让与的争论及其评论》，载《广东社会科学》2024年第1期，第236页。</w:t>
      </w:r>
    </w:p>
  </w:footnote>
  <w:footnote w:id="82">
    <w:p w14:paraId="2B271056">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参见崔建远：《关于债权让与的争论及其评论》，载《广东社会科学》2024年第1期，第236页。</w:t>
      </w:r>
    </w:p>
  </w:footnote>
  <w:footnote w:id="83">
    <w:p w14:paraId="7A65D98A">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val="en-US" w:eastAsia="zh-CN"/>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参见[美] 范斯沃思著，葛云松、丁春艳译：《美国合同法》，中国政法大学出版社2004年版，第705页。</w:t>
      </w:r>
    </w:p>
  </w:footnote>
  <w:footnote w:id="84">
    <w:p w14:paraId="4DC6556C">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参见龙俊：《论债权的多重转让</w:t>
      </w:r>
      <w:r>
        <w:rPr>
          <w:rFonts w:hint="eastAsia"/>
          <w:lang w:val="en-US" w:eastAsia="zh-CN"/>
        </w:rPr>
        <w:t>——</w:t>
      </w:r>
      <w:r>
        <w:rPr>
          <w:rFonts w:hint="default"/>
          <w:lang w:val="en-US" w:eastAsia="zh-CN"/>
        </w:rPr>
        <w:t>以〈民法典合同编通则司法解释〉第50条的解释论为中心》，载《比较法研究》2024年第5期，第119页。</w:t>
      </w:r>
    </w:p>
  </w:footnote>
  <w:footnote w:id="85">
    <w:p w14:paraId="193C0E53">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参见解亘、冯洁语、尚连杰著：《板书体债法总论》，北京大学出版社2024年版，第323页。</w:t>
      </w:r>
    </w:p>
  </w:footnote>
  <w:footnote w:id="86">
    <w:p w14:paraId="672CBBC1">
      <w:pPr>
        <w:pStyle w:val="6"/>
        <w:snapToGrid/>
        <w:spacing w:line="240" w:lineRule="exact"/>
        <w:rPr>
          <w:rFonts w:hint="default"/>
          <w:lang w:val="en-US" w:eastAsia="zh-CN"/>
        </w:rPr>
      </w:pPr>
      <w:r>
        <w:rPr>
          <w:rStyle w:val="12"/>
          <w:rFonts w:ascii="Times New Roman" w:hAnsi="Times New Roman" w:eastAsia="宋体"/>
        </w:rPr>
        <w:footnoteRef/>
      </w:r>
      <w:r>
        <w:t xml:space="preserve"> </w:t>
      </w:r>
      <w:r>
        <w:rPr>
          <w:rFonts w:hint="default"/>
        </w:rPr>
        <w:t>於保不二雄[財產管理権論序説」(有信堂，1954年)281頁以下参照</w:t>
      </w:r>
      <w:r>
        <w:rPr>
          <w:rFonts w:hint="default"/>
          <w:lang w:eastAsia="zh-CN"/>
        </w:rPr>
        <w:t>，</w:t>
      </w:r>
      <w:r>
        <w:rPr>
          <w:rFonts w:hint="default"/>
          <w:lang w:val="en-US" w:eastAsia="zh-CN"/>
        </w:rPr>
        <w:t>转引自詹诗渊：《债权让与担保制度研究》，中国社会科学出版社2025年版，第。</w:t>
      </w:r>
    </w:p>
  </w:footnote>
  <w:footnote w:id="87">
    <w:p w14:paraId="3A8E721B">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参见解亘、冯洁语、尚连杰著：《板书体债法总论》，北京大学出版社2024年版，第332页。</w:t>
      </w:r>
    </w:p>
  </w:footnote>
  <w:footnote w:id="88">
    <w:p w14:paraId="6C35C25D">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参见中田裕康著『債権総論 第四版』（株式会社岩波書店，2020年）689頁参照。</w:t>
      </w:r>
    </w:p>
  </w:footnote>
  <w:footnote w:id="89">
    <w:p w14:paraId="2697BF25">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lang w:eastAsia="zh-CN"/>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参见申卫星：《所有权保留买卖买受人期待权之本质》，载《法学研究》2003年第2期，第55页。</w:t>
      </w:r>
    </w:p>
  </w:footnote>
  <w:footnote w:id="90">
    <w:p w14:paraId="33768185">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w:t>
      </w:r>
      <w:r>
        <w:rPr>
          <w:rFonts w:hint="default"/>
        </w:rPr>
        <w:t>黄薇主编：《中华人民共和国民法典合同编释义》，法律出版社2020年版</w:t>
      </w:r>
      <w:r>
        <w:rPr>
          <w:rFonts w:hint="default"/>
          <w:lang w:eastAsia="zh-CN"/>
        </w:rPr>
        <w:t>，</w:t>
      </w:r>
      <w:r>
        <w:rPr>
          <w:rFonts w:hint="default"/>
          <w:lang w:val="en-US" w:eastAsia="zh-CN"/>
        </w:rPr>
        <w:t>第192页</w:t>
      </w:r>
      <w:r>
        <w:rPr>
          <w:rFonts w:hint="default"/>
        </w:rPr>
        <w:t>。</w:t>
      </w:r>
    </w:p>
  </w:footnote>
  <w:footnote w:id="91">
    <w:p w14:paraId="156B0965">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参见朱晓喆：《资产证券化中的权利转让与“将来债权”让与</w:t>
      </w:r>
      <w:r>
        <w:rPr>
          <w:rFonts w:hint="eastAsia"/>
          <w:lang w:val="en-US" w:eastAsia="zh-CN"/>
        </w:rPr>
        <w:t>——</w:t>
      </w:r>
      <w:r>
        <w:rPr>
          <w:rFonts w:hint="default"/>
          <w:lang w:val="en-US" w:eastAsia="zh-CN"/>
        </w:rPr>
        <w:t>评“平安凯迪资产支持专项计划”执行异议案》，载《财经法学》2019年第4期，第155页。吴昊：《论纯粹将来债权现时处分模式的解释可能》，载《南大法学》2025年第4期，第49页。</w:t>
      </w:r>
    </w:p>
  </w:footnote>
  <w:footnote w:id="92">
    <w:p w14:paraId="6DA98EF1">
      <w:pPr>
        <w:pStyle w:val="6"/>
        <w:keepNext w:val="0"/>
        <w:keepLines w:val="0"/>
        <w:pageBreakBefore w:val="0"/>
        <w:widowControl/>
        <w:kinsoku/>
        <w:wordWrap/>
        <w:overflowPunct/>
        <w:topLinePunct w:val="0"/>
        <w:bidi w:val="0"/>
        <w:adjustRightInd/>
        <w:snapToGrid/>
        <w:spacing w:line="240" w:lineRule="exact"/>
        <w:ind w:firstLine="0" w:firstLineChars="0"/>
        <w:jc w:val="left"/>
        <w:textAlignment w:val="auto"/>
        <w:rPr>
          <w:rFonts w:hint="default"/>
        </w:rPr>
      </w:pPr>
      <w:r>
        <w:rPr>
          <w:rStyle w:val="12"/>
          <w:rFonts w:hint="eastAsia" w:ascii="Times New Roman" w:hAnsi="Times New Roman" w:eastAsia="宋体" w:cs="宋体"/>
          <w:szCs w:val="18"/>
        </w:rPr>
        <w:footnoteRef/>
      </w:r>
      <w:r>
        <w:rPr>
          <w:rFonts w:hint="default"/>
        </w:rPr>
        <w:t xml:space="preserve"> </w:t>
      </w:r>
      <w:r>
        <w:rPr>
          <w:rFonts w:hint="default"/>
          <w:lang w:val="en-US" w:eastAsia="zh-CN"/>
        </w:rPr>
        <w:t>参见赵申豪：《〈民法典〉将来债权转让的规范基础与解释论构造》，载《政法论坛》2023年第1期，第152页。</w:t>
      </w:r>
    </w:p>
  </w:footnote>
  <w:footnote w:id="93">
    <w:p w14:paraId="251111CF">
      <w:pPr>
        <w:pStyle w:val="6"/>
        <w:snapToGrid w:val="0"/>
        <w:spacing w:line="240" w:lineRule="exact"/>
        <w:rPr>
          <w:rFonts w:hint="default"/>
          <w:lang w:val="en-US" w:eastAsia="zh-CN"/>
        </w:rPr>
      </w:pPr>
      <w:r>
        <w:rPr>
          <w:rStyle w:val="12"/>
        </w:rPr>
        <w:footnoteRef/>
      </w:r>
      <w:r>
        <w:t xml:space="preserve"> </w:t>
      </w:r>
      <w:r>
        <w:rPr>
          <w:rFonts w:hint="eastAsia"/>
          <w:lang w:val="en-US" w:eastAsia="zh-CN"/>
        </w:rPr>
        <w:t>司法解释起草者认为鉴于债权让与生效规则还有争议，因此本款只对债务人已履行的的情况作出规定，对最先通知受让人进行救济。如此表述似乎在债务人未履行的情况下还需要另行制定规则，但在采通知移转主义的情况下，若债务人尚未履行，最先通知受让人尚未遭受到损害，无需对此特别规定。从规则制定上也将更加简明。起草者观点参见最高人民法院民事审判第二庭、研究室编著：《最高人民法院民法典合同编通则司法解释理解与适用》，人民法院出版社2023年版，第549页。</w:t>
      </w:r>
    </w:p>
  </w:footnote>
  <w:footnote w:id="94">
    <w:p w14:paraId="73409C55">
      <w:pPr>
        <w:pStyle w:val="6"/>
        <w:snapToGrid w:val="0"/>
        <w:spacing w:line="240" w:lineRule="exact"/>
        <w:rPr>
          <w:rFonts w:hint="default"/>
          <w:lang w:val="en-US" w:eastAsia="zh-CN"/>
        </w:rPr>
      </w:pPr>
      <w:r>
        <w:rPr>
          <w:rStyle w:val="12"/>
        </w:rPr>
        <w:footnoteRef/>
      </w:r>
      <w:r>
        <w:t xml:space="preserve"> </w:t>
      </w:r>
      <w:r>
        <w:rPr>
          <w:rFonts w:hint="eastAsia"/>
          <w:lang w:val="en-US" w:eastAsia="zh-CN"/>
        </w:rPr>
        <w:t>参见王洪亮：《债法总论》，北京大学出版社2025年版，第762页。</w:t>
      </w:r>
    </w:p>
  </w:footnote>
  <w:footnote w:id="95">
    <w:p w14:paraId="44C7E98B">
      <w:pPr>
        <w:pStyle w:val="6"/>
        <w:snapToGrid w:val="0"/>
        <w:spacing w:line="240" w:lineRule="exact"/>
        <w:rPr>
          <w:rFonts w:hint="default"/>
          <w:lang w:val="en-US"/>
        </w:rPr>
      </w:pPr>
      <w:r>
        <w:rPr>
          <w:rStyle w:val="12"/>
        </w:rPr>
        <w:footnoteRef/>
      </w:r>
      <w:r>
        <w:t xml:space="preserve"> </w:t>
      </w:r>
      <w:r>
        <w:rPr>
          <w:lang w:val="en-US" w:eastAsia="zh-CN"/>
        </w:rPr>
        <w:t>参见最高人民法院民事审判第二庭、</w:t>
      </w:r>
      <w:r>
        <w:rPr>
          <w:rFonts w:hint="eastAsia"/>
          <w:lang w:val="en-US" w:eastAsia="zh-CN"/>
        </w:rPr>
        <w:t>研究室编著</w:t>
      </w:r>
      <w:r>
        <w:rPr>
          <w:rFonts w:hint="default"/>
          <w:lang w:val="en-US" w:eastAsia="zh-CN"/>
        </w:rPr>
        <w:t>：《</w:t>
      </w:r>
      <w:r>
        <w:rPr>
          <w:rFonts w:hint="eastAsia"/>
          <w:lang w:val="en-US" w:eastAsia="zh-CN"/>
        </w:rPr>
        <w:t>最高人民法院民法典合同编通则司法解释理解与适用</w:t>
      </w:r>
      <w:r>
        <w:rPr>
          <w:rFonts w:hint="default"/>
          <w:lang w:val="en-US" w:eastAsia="zh-CN"/>
        </w:rPr>
        <w:t>》，</w:t>
      </w:r>
      <w:r>
        <w:rPr>
          <w:rFonts w:hint="eastAsia"/>
          <w:lang w:val="en-US" w:eastAsia="zh-CN"/>
        </w:rPr>
        <w:t>人民法院出版社2023年版</w:t>
      </w:r>
      <w:r>
        <w:rPr>
          <w:rFonts w:hint="default"/>
          <w:lang w:val="en-US" w:eastAsia="zh-CN"/>
        </w:rPr>
        <w:t>，</w:t>
      </w:r>
      <w:r>
        <w:rPr>
          <w:rFonts w:hint="eastAsia"/>
          <w:lang w:val="en-US" w:eastAsia="zh-CN"/>
        </w:rPr>
        <w:t>第552-553页.</w:t>
      </w:r>
    </w:p>
  </w:footnote>
  <w:footnote w:id="96">
    <w:p w14:paraId="0F058076">
      <w:pPr>
        <w:pStyle w:val="6"/>
        <w:snapToGrid w:val="0"/>
        <w:spacing w:line="240" w:lineRule="exact"/>
      </w:pPr>
      <w:r>
        <w:rPr>
          <w:rStyle w:val="12"/>
        </w:rPr>
        <w:footnoteRef/>
      </w:r>
      <w:r>
        <w:t xml:space="preserve"> </w:t>
      </w:r>
      <w:r>
        <w:rPr>
          <w:lang w:val="en-US" w:eastAsia="zh-CN"/>
        </w:rPr>
        <w:t>参见蔡睿:《论债权多重转让的一般确权规则</w:t>
      </w:r>
      <w:r>
        <w:rPr>
          <w:rFonts w:hint="eastAsia"/>
          <w:lang w:val="en-US" w:eastAsia="zh-CN"/>
        </w:rPr>
        <w:t>——</w:t>
      </w:r>
      <w:r>
        <w:rPr>
          <w:lang w:val="en-US" w:eastAsia="zh-CN"/>
        </w:rPr>
        <w:t>兼评&lt;民法典合同编通则解释》第50条》</w:t>
      </w:r>
      <w:r>
        <w:rPr>
          <w:rFonts w:hint="eastAsia"/>
          <w:lang w:val="en-US" w:eastAsia="zh-CN"/>
        </w:rPr>
        <w:t>，</w:t>
      </w:r>
      <w:r>
        <w:rPr>
          <w:lang w:val="en-US" w:eastAsia="zh-CN"/>
        </w:rPr>
        <w:t>载《清华法学》2024年</w:t>
      </w:r>
      <w:r>
        <w:rPr>
          <w:rFonts w:hint="eastAsia"/>
          <w:lang w:val="en-US" w:eastAsia="zh-CN"/>
        </w:rPr>
        <w:t>第2期，第185页。</w:t>
      </w:r>
    </w:p>
  </w:footnote>
  <w:footnote w:id="97">
    <w:p w14:paraId="382906A3">
      <w:pPr>
        <w:pStyle w:val="6"/>
        <w:snapToGrid w:val="0"/>
        <w:spacing w:line="240" w:lineRule="exact"/>
      </w:pPr>
      <w:r>
        <w:rPr>
          <w:rStyle w:val="12"/>
        </w:rPr>
        <w:footnoteRef/>
      </w:r>
      <w:r>
        <w:t xml:space="preserve"> </w:t>
      </w:r>
      <w:r>
        <w:rPr>
          <w:rFonts w:hint="eastAsia"/>
          <w:lang w:val="en-US" w:eastAsia="zh-CN"/>
        </w:rPr>
        <w:t>参见</w:t>
      </w:r>
      <w:r>
        <w:rPr>
          <w:lang w:val="en-US" w:eastAsia="zh-CN"/>
        </w:rPr>
        <w:t>杨立新：《债权多重转让的概念与规则</w:t>
      </w:r>
      <w:r>
        <w:rPr>
          <w:rFonts w:hint="eastAsia"/>
          <w:lang w:val="en-US" w:eastAsia="zh-CN"/>
        </w:rPr>
        <w:t>——</w:t>
      </w:r>
      <w:r>
        <w:rPr>
          <w:lang w:val="en-US" w:eastAsia="zh-CN"/>
        </w:rPr>
        <w:t>〈合同编通则解释〉第50条规定的价值与完善》，载《当代法学》2025年第1期</w:t>
      </w:r>
      <w:r>
        <w:rPr>
          <w:rFonts w:hint="eastAsia"/>
          <w:lang w:val="en-US" w:eastAsia="zh-CN"/>
        </w:rPr>
        <w:t>，第24页</w:t>
      </w:r>
      <w:r>
        <w:rPr>
          <w:lang w:val="en-US" w:eastAsia="zh-CN"/>
        </w:rPr>
        <w:t>。</w:t>
      </w:r>
    </w:p>
  </w:footnote>
  <w:footnote w:id="98">
    <w:p w14:paraId="60DEE2EB">
      <w:pPr>
        <w:pStyle w:val="6"/>
        <w:snapToGrid w:val="0"/>
        <w:spacing w:line="240" w:lineRule="exact"/>
        <w:rPr>
          <w:rFonts w:hint="default"/>
          <w:lang w:val="en-US"/>
        </w:rPr>
      </w:pPr>
      <w:r>
        <w:rPr>
          <w:rStyle w:val="12"/>
        </w:rPr>
        <w:footnoteRef/>
      </w:r>
      <w:r>
        <w:t xml:space="preserve"> </w:t>
      </w:r>
      <w:r>
        <w:rPr>
          <w:lang w:val="en-US" w:eastAsia="zh-CN"/>
        </w:rPr>
        <w:t>Vgl. Larenz/Canaris, Lehrbuch des Schuldrechts, 2. Band: Besonderer Teil, 2. Halbband, 13.</w:t>
      </w:r>
      <w:r>
        <w:rPr>
          <w:rFonts w:hint="eastAsia"/>
          <w:lang w:val="en-US" w:eastAsia="zh-CN"/>
        </w:rPr>
        <w:t>Aufl., 1994, S. 161.转引自陈素素：《论“明知无给付义务”抗辩的规范构造与适用界限》，载《南大法学》2026年第1期，第159页。</w:t>
      </w:r>
    </w:p>
  </w:footnote>
  <w:footnote w:id="99">
    <w:p w14:paraId="670097D6">
      <w:pPr>
        <w:pStyle w:val="6"/>
        <w:keepNext w:val="0"/>
        <w:keepLines w:val="0"/>
        <w:pageBreakBefore w:val="0"/>
        <w:widowControl/>
        <w:kinsoku/>
        <w:wordWrap/>
        <w:overflowPunct/>
        <w:topLinePunct w:val="0"/>
        <w:bidi w:val="0"/>
        <w:adjustRightInd/>
        <w:snapToGrid/>
        <w:spacing w:line="240" w:lineRule="exact"/>
        <w:ind w:left="0" w:leftChars="0" w:firstLine="0" w:firstLineChars="0"/>
        <w:textAlignment w:val="auto"/>
        <w:rPr>
          <w:rFonts w:hint="default"/>
        </w:rPr>
      </w:pPr>
      <w:r>
        <w:rPr>
          <w:rStyle w:val="12"/>
          <w:rFonts w:hint="eastAsia" w:ascii="Times New Roman" w:hAnsi="Times New Roman" w:eastAsia="宋体" w:cs="宋体"/>
        </w:rPr>
        <w:footnoteRef/>
      </w:r>
      <w:r>
        <w:rPr>
          <w:rFonts w:hint="default"/>
        </w:rPr>
        <w:t xml:space="preserve"> </w:t>
      </w:r>
      <w:r>
        <w:rPr>
          <w:rFonts w:hint="default"/>
          <w:lang w:val="en-US" w:eastAsia="zh-CN"/>
        </w:rPr>
        <w:t>参见贾玉慧：《债权转让规则的具体适用及相关问题研究</w:t>
      </w:r>
      <w:r>
        <w:rPr>
          <w:rFonts w:hint="eastAsia"/>
          <w:lang w:val="en-US" w:eastAsia="zh-CN"/>
        </w:rPr>
        <w:t>——</w:t>
      </w:r>
      <w:r>
        <w:rPr>
          <w:rFonts w:hint="default"/>
          <w:lang w:val="en-US" w:eastAsia="zh-CN"/>
        </w:rPr>
        <w:t>以〈民法典合同编通则司法解释〉第48-50条为中心》，载《中国应用法学》2024年第1期，第6</w:t>
      </w:r>
      <w:r>
        <w:rPr>
          <w:rFonts w:hint="eastAsia"/>
          <w:lang w:val="en-US" w:eastAsia="zh-CN"/>
        </w:rPr>
        <w:t>8</w:t>
      </w:r>
      <w:r>
        <w:rPr>
          <w:rFonts w:hint="default"/>
          <w:lang w:val="en-US" w:eastAsia="zh-CN"/>
        </w:rPr>
        <w:t>页。</w:t>
      </w:r>
    </w:p>
  </w:footnote>
  <w:footnote w:id="100">
    <w:p w14:paraId="10E8CD9F">
      <w:pPr>
        <w:pStyle w:val="6"/>
        <w:snapToGrid w:val="0"/>
        <w:spacing w:line="240" w:lineRule="exact"/>
      </w:pPr>
      <w:r>
        <w:rPr>
          <w:rStyle w:val="12"/>
        </w:rPr>
        <w:footnoteRef/>
      </w:r>
      <w:r>
        <w:t xml:space="preserve"> </w:t>
      </w:r>
      <w:r>
        <w:rPr>
          <w:rFonts w:hint="eastAsia"/>
          <w:lang w:val="en-US" w:eastAsia="zh-CN"/>
        </w:rPr>
        <w:t>参见</w:t>
      </w:r>
      <w:r>
        <w:rPr>
          <w:lang w:val="en-US" w:eastAsia="zh-CN"/>
        </w:rPr>
        <w:t>朱晓喆、冯洁语：《保理合同中应收账款多重转让的优先顺序——以〈民法典〉第768条为中心》，载《法学评论》2022年第1期。</w:t>
      </w:r>
    </w:p>
  </w:footnote>
  <w:footnote w:id="101">
    <w:p w14:paraId="3795E2A4">
      <w:pPr>
        <w:pStyle w:val="6"/>
        <w:snapToGrid w:val="0"/>
        <w:spacing w:line="240" w:lineRule="exact"/>
      </w:pPr>
      <w:r>
        <w:rPr>
          <w:rStyle w:val="12"/>
        </w:rPr>
        <w:footnoteRef/>
      </w:r>
      <w:r>
        <w:t xml:space="preserve"> </w:t>
      </w:r>
      <w:r>
        <w:rPr>
          <w:rFonts w:hint="eastAsia"/>
          <w:lang w:val="en-US" w:eastAsia="zh-CN"/>
        </w:rPr>
        <w:t>参见</w:t>
      </w:r>
      <w:r>
        <w:rPr>
          <w:lang w:val="en-US" w:eastAsia="zh-CN"/>
        </w:rPr>
        <w:t>杨立新：《债权多重转让的概念与规则</w:t>
      </w:r>
      <w:r>
        <w:rPr>
          <w:rFonts w:hint="eastAsia"/>
          <w:lang w:val="en-US" w:eastAsia="zh-CN"/>
        </w:rPr>
        <w:t>——</w:t>
      </w:r>
      <w:r>
        <w:rPr>
          <w:lang w:val="en-US" w:eastAsia="zh-CN"/>
        </w:rPr>
        <w:t>〈合同编通则解释〉第50条规定的价值与完善》，载《当代法学》2025年第1期。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3A4A7"/>
    <w:multiLevelType w:val="singleLevel"/>
    <w:tmpl w:val="BFF3A4A7"/>
    <w:lvl w:ilvl="0" w:tentative="0">
      <w:start w:val="5"/>
      <w:numFmt w:val="chineseCounting"/>
      <w:suff w:val="nothing"/>
      <w:lvlText w:val="%1、"/>
      <w:lvlJc w:val="left"/>
      <w:rPr>
        <w:rFonts w:hint="eastAsia"/>
      </w:rPr>
    </w:lvl>
  </w:abstractNum>
  <w:abstractNum w:abstractNumId="1">
    <w:nsid w:val="EFF63A6A"/>
    <w:multiLevelType w:val="singleLevel"/>
    <w:tmpl w:val="EFF63A6A"/>
    <w:lvl w:ilvl="0" w:tentative="0">
      <w:start w:val="1"/>
      <w:numFmt w:val="chineseCounting"/>
      <w:suff w:val="nothing"/>
      <w:lvlText w:val="%1、"/>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研究生学报">
    <w15:presenceInfo w15:providerId="None" w15:userId="研究生学报"/>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04"/>
    <w:footnote w:id="20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7224A"/>
    <w:rsid w:val="00F77B4B"/>
    <w:rsid w:val="03D5173A"/>
    <w:rsid w:val="04AF72D6"/>
    <w:rsid w:val="05984674"/>
    <w:rsid w:val="084C6282"/>
    <w:rsid w:val="10C82F57"/>
    <w:rsid w:val="14EF3F6B"/>
    <w:rsid w:val="16A0178E"/>
    <w:rsid w:val="17FDE6EE"/>
    <w:rsid w:val="17FF0AC5"/>
    <w:rsid w:val="180F5175"/>
    <w:rsid w:val="18950688"/>
    <w:rsid w:val="1A1F33A7"/>
    <w:rsid w:val="1CC813F9"/>
    <w:rsid w:val="1D766092"/>
    <w:rsid w:val="1EA731C1"/>
    <w:rsid w:val="1EEE0ACD"/>
    <w:rsid w:val="1EFA7794"/>
    <w:rsid w:val="22980E28"/>
    <w:rsid w:val="233A0BA3"/>
    <w:rsid w:val="286D4741"/>
    <w:rsid w:val="28B74D1E"/>
    <w:rsid w:val="29EB6BBF"/>
    <w:rsid w:val="2C7A55AB"/>
    <w:rsid w:val="2DF72431"/>
    <w:rsid w:val="2E7FCEF0"/>
    <w:rsid w:val="2F9432ED"/>
    <w:rsid w:val="376BC4F2"/>
    <w:rsid w:val="37B82B63"/>
    <w:rsid w:val="37FAF557"/>
    <w:rsid w:val="3BDB7DB9"/>
    <w:rsid w:val="3CBD1FF1"/>
    <w:rsid w:val="3CDD2FF7"/>
    <w:rsid w:val="3F3B003A"/>
    <w:rsid w:val="3FBFD80C"/>
    <w:rsid w:val="40C459F1"/>
    <w:rsid w:val="44775855"/>
    <w:rsid w:val="44F1105C"/>
    <w:rsid w:val="4D1F46E6"/>
    <w:rsid w:val="4DA335EF"/>
    <w:rsid w:val="4DD7224A"/>
    <w:rsid w:val="4EE56483"/>
    <w:rsid w:val="502A544D"/>
    <w:rsid w:val="531518C2"/>
    <w:rsid w:val="53E5CC95"/>
    <w:rsid w:val="5523003A"/>
    <w:rsid w:val="55EB15C7"/>
    <w:rsid w:val="5A91D5F7"/>
    <w:rsid w:val="5B137804"/>
    <w:rsid w:val="5CA8586F"/>
    <w:rsid w:val="5D9F5D2D"/>
    <w:rsid w:val="5DCBD1E9"/>
    <w:rsid w:val="60147199"/>
    <w:rsid w:val="635144E0"/>
    <w:rsid w:val="63BF9E09"/>
    <w:rsid w:val="65B3C04E"/>
    <w:rsid w:val="68AB2389"/>
    <w:rsid w:val="6ADD4BF2"/>
    <w:rsid w:val="6DC9620D"/>
    <w:rsid w:val="6DFF6581"/>
    <w:rsid w:val="6EF94940"/>
    <w:rsid w:val="6F6A240A"/>
    <w:rsid w:val="6FAFB88D"/>
    <w:rsid w:val="6FE336AF"/>
    <w:rsid w:val="6FECE8D6"/>
    <w:rsid w:val="6FFF3A6A"/>
    <w:rsid w:val="70F73101"/>
    <w:rsid w:val="73BFDEBC"/>
    <w:rsid w:val="74201E01"/>
    <w:rsid w:val="77AA746C"/>
    <w:rsid w:val="7B232754"/>
    <w:rsid w:val="7CE107C1"/>
    <w:rsid w:val="7DFB6B92"/>
    <w:rsid w:val="7E6F6FF9"/>
    <w:rsid w:val="7E794B42"/>
    <w:rsid w:val="7ED57607"/>
    <w:rsid w:val="7EFDBE9A"/>
    <w:rsid w:val="7EFFC3FE"/>
    <w:rsid w:val="7F0E36DB"/>
    <w:rsid w:val="7FDDAE0F"/>
    <w:rsid w:val="7FDF31EE"/>
    <w:rsid w:val="7FF71785"/>
    <w:rsid w:val="879F6EE9"/>
    <w:rsid w:val="8C9E98D4"/>
    <w:rsid w:val="95F806FC"/>
    <w:rsid w:val="97DF29CA"/>
    <w:rsid w:val="97F77F97"/>
    <w:rsid w:val="9F7DA16B"/>
    <w:rsid w:val="BF7F1274"/>
    <w:rsid w:val="CEF3AC6E"/>
    <w:rsid w:val="CFFFFCE3"/>
    <w:rsid w:val="D6C4BF36"/>
    <w:rsid w:val="DBFF7E3C"/>
    <w:rsid w:val="DFB7FD3C"/>
    <w:rsid w:val="DFFDB8FC"/>
    <w:rsid w:val="E9ED9DE0"/>
    <w:rsid w:val="EB79B54F"/>
    <w:rsid w:val="EB7A0B06"/>
    <w:rsid w:val="EBDF3D42"/>
    <w:rsid w:val="EBEEEB91"/>
    <w:rsid w:val="ECBE9B8F"/>
    <w:rsid w:val="ECE7AA54"/>
    <w:rsid w:val="EDFF3E24"/>
    <w:rsid w:val="EE39FFD0"/>
    <w:rsid w:val="EEB5CE15"/>
    <w:rsid w:val="EFDBC011"/>
    <w:rsid w:val="F2CFA5A8"/>
    <w:rsid w:val="F5EFF4D0"/>
    <w:rsid w:val="F6BD31CD"/>
    <w:rsid w:val="F7AE97EB"/>
    <w:rsid w:val="F7F78972"/>
    <w:rsid w:val="F8BE0988"/>
    <w:rsid w:val="FB7E1DD1"/>
    <w:rsid w:val="FBD79E60"/>
    <w:rsid w:val="FFEFE866"/>
    <w:rsid w:val="FFF28C1C"/>
    <w:rsid w:val="FFFF21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ind w:left="0" w:leftChars="0" w:firstLine="720"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3"/>
    <w:next w:val="1"/>
    <w:qFormat/>
    <w:uiPriority w:val="0"/>
    <w:pPr>
      <w:spacing w:before="480" w:beforeAutospacing="0" w:after="480" w:afterAutospacing="0"/>
      <w:jc w:val="center"/>
    </w:pPr>
    <w:rPr>
      <w:rFonts w:hint="eastAsia" w:ascii="宋体" w:hAnsi="宋体" w:eastAsia="宋体" w:cs="宋体"/>
      <w:bCs/>
      <w:kern w:val="44"/>
      <w:sz w:val="36"/>
      <w:szCs w:val="48"/>
      <w:lang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4">
    <w:name w:val="annotation text"/>
    <w:basedOn w:val="1"/>
    <w:qFormat/>
    <w:uiPriority w:val="0"/>
    <w:pPr>
      <w:widowControl w:val="0"/>
      <w:jc w:val="left"/>
    </w:pPr>
    <w:rPr>
      <w:rFonts w:asciiTheme="minorHAnsi" w:hAnsiTheme="minorHAnsi" w:eastAsiaTheme="minorEastAsia" w:cstheme="minorBidi"/>
      <w:kern w:val="2"/>
      <w:sz w:val="21"/>
      <w:szCs w:val="24"/>
      <w:lang w:val="en-US" w:eastAsia="zh-CN" w:bidi="ar-SA"/>
    </w:rPr>
  </w:style>
  <w:style w:type="paragraph" w:styleId="5">
    <w:name w:val="toc 3"/>
    <w:basedOn w:val="1"/>
    <w:next w:val="1"/>
    <w:uiPriority w:val="0"/>
    <w:pPr>
      <w:ind w:left="840" w:leftChars="400"/>
    </w:pPr>
  </w:style>
  <w:style w:type="paragraph" w:styleId="6">
    <w:name w:val="footnote text"/>
    <w:basedOn w:val="1"/>
    <w:qFormat/>
    <w:uiPriority w:val="0"/>
    <w:pPr>
      <w:widowControl w:val="0"/>
      <w:snapToGrid w:val="0"/>
      <w:spacing w:line="240" w:lineRule="auto"/>
      <w:ind w:firstLine="0" w:firstLineChars="0"/>
      <w:jc w:val="left"/>
    </w:pPr>
    <w:rPr>
      <w:sz w:val="18"/>
    </w:rPr>
  </w:style>
  <w:style w:type="paragraph" w:styleId="7">
    <w:name w:val="toc 2"/>
    <w:basedOn w:val="1"/>
    <w:next w:val="1"/>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footnote reference"/>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19072</Words>
  <Characters>19155</Characters>
  <Lines>0</Lines>
  <Paragraphs>0</Paragraphs>
  <TotalTime>0</TotalTime>
  <ScaleCrop>false</ScaleCrop>
  <LinksUpToDate>false</LinksUpToDate>
  <CharactersWithSpaces>19219</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2026-01-02T18:16:00Z</dcterms:created>
  <dc:creator>刘明杰</dc:creator>
  <cp:lastModifiedBy>研究生学报</cp:lastModifiedBy>
  <dcterms:modified xsi:type="dcterms:W3CDTF">2026-04-08T10:37:13Z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CE3FC9EDC9E9038D9674D369FD997741_43</vt:lpwstr>
  </property>
  <property fmtid="{D5CDD505-2E9C-101B-9397-08002B2CF9AE}" pid="4" name="KSOTemplateDocerSaveRecord">
    <vt:lpwstr>eyJoZGlkIjoiYjg0NDMxYjliNDk0MmU2ODYxYWEwZmZlMzhiMTkzOWEiLCJ1c2VySWQiOiI1ODQ2MDA4MzkifQ==</vt:lpwstr>
  </property>
</Properties>
</file>