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0DFED">
      <w:pPr>
        <w:jc w:val="center"/>
        <w:rPr>
          <w:rFonts w:hint="eastAsia"/>
          <w:b/>
          <w:bCs/>
          <w:sz w:val="44"/>
          <w:szCs w:val="44"/>
        </w:rPr>
      </w:pPr>
      <w:bookmarkStart w:id="2" w:name="_GoBack"/>
      <w:bookmarkEnd w:id="2"/>
      <w:r>
        <w:rPr>
          <w:rFonts w:hint="eastAsia"/>
          <w:b/>
          <w:bCs/>
          <w:sz w:val="44"/>
          <w:szCs w:val="44"/>
        </w:rPr>
        <w:t>药品管理领域中行刑反向衔接的实现路径</w:t>
      </w:r>
      <w:r>
        <w:rPr>
          <w:rStyle w:val="9"/>
          <w:rFonts w:hint="eastAsia"/>
          <w:b/>
          <w:bCs/>
          <w:sz w:val="44"/>
          <w:szCs w:val="44"/>
        </w:rPr>
        <w:footnoteReference w:id="0" w:customMarkFollows="1"/>
        <w:t xml:space="preserve"> </w:t>
      </w:r>
    </w:p>
    <w:p w14:paraId="00BC10D8">
      <w:pPr>
        <w:jc w:val="center"/>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原振南</w:t>
      </w:r>
    </w:p>
    <w:p w14:paraId="6510DF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eastAsia" w:ascii="仿宋" w:hAnsi="仿宋" w:eastAsia="仿宋" w:cs="仿宋"/>
          <w:b w:val="0"/>
          <w:bCs w:val="0"/>
          <w:sz w:val="24"/>
          <w:szCs w:val="24"/>
        </w:rPr>
      </w:pPr>
      <w:r>
        <w:rPr>
          <w:rFonts w:hint="eastAsia" w:ascii="仿宋" w:hAnsi="仿宋" w:eastAsia="仿宋" w:cs="仿宋"/>
          <w:b/>
          <w:bCs/>
          <w:sz w:val="24"/>
          <w:szCs w:val="24"/>
        </w:rPr>
        <w:t>摘  要：</w:t>
      </w:r>
      <w:r>
        <w:rPr>
          <w:rFonts w:hint="eastAsia" w:ascii="仿宋" w:hAnsi="仿宋" w:eastAsia="仿宋" w:cs="仿宋"/>
          <w:b w:val="0"/>
          <w:bCs w:val="0"/>
          <w:sz w:val="24"/>
          <w:szCs w:val="24"/>
        </w:rPr>
        <w:t>随着药品管理领域刑事不起诉案件数量的增加，行刑反向衔接</w:t>
      </w:r>
      <w:r>
        <w:rPr>
          <w:rFonts w:hint="eastAsia" w:ascii="仿宋" w:hAnsi="仿宋" w:eastAsia="仿宋" w:cs="仿宋"/>
          <w:b w:val="0"/>
          <w:bCs w:val="0"/>
          <w:sz w:val="24"/>
          <w:szCs w:val="24"/>
          <w:lang w:val="en-US" w:eastAsia="zh-CN"/>
        </w:rPr>
        <w:t>机制</w:t>
      </w:r>
      <w:r>
        <w:rPr>
          <w:rFonts w:hint="eastAsia" w:ascii="仿宋" w:hAnsi="仿宋" w:eastAsia="仿宋" w:cs="仿宋"/>
          <w:b w:val="0"/>
          <w:bCs w:val="0"/>
          <w:sz w:val="24"/>
          <w:szCs w:val="24"/>
        </w:rPr>
        <w:t>逐渐成为</w:t>
      </w:r>
      <w:r>
        <w:rPr>
          <w:rFonts w:hint="eastAsia" w:ascii="仿宋" w:hAnsi="仿宋" w:eastAsia="仿宋" w:cs="仿宋"/>
          <w:b w:val="0"/>
          <w:bCs w:val="0"/>
          <w:sz w:val="24"/>
          <w:szCs w:val="24"/>
          <w:lang w:val="en-US" w:eastAsia="zh-CN"/>
        </w:rPr>
        <w:t>我国人民</w:t>
      </w:r>
      <w:r>
        <w:rPr>
          <w:rFonts w:hint="eastAsia" w:ascii="仿宋" w:hAnsi="仿宋" w:eastAsia="仿宋" w:cs="仿宋"/>
          <w:b w:val="0"/>
          <w:bCs w:val="0"/>
          <w:sz w:val="24"/>
          <w:szCs w:val="24"/>
        </w:rPr>
        <w:t>用药安全</w:t>
      </w:r>
      <w:r>
        <w:rPr>
          <w:rFonts w:hint="eastAsia" w:ascii="仿宋" w:hAnsi="仿宋" w:eastAsia="仿宋" w:cs="仿宋"/>
          <w:b w:val="0"/>
          <w:bCs w:val="0"/>
          <w:sz w:val="24"/>
          <w:szCs w:val="24"/>
          <w:lang w:val="en-US" w:eastAsia="zh-CN"/>
        </w:rPr>
        <w:t>的重要保障</w:t>
      </w:r>
      <w:r>
        <w:rPr>
          <w:rFonts w:hint="eastAsia" w:ascii="仿宋" w:hAnsi="仿宋" w:eastAsia="仿宋" w:cs="仿宋"/>
          <w:b w:val="0"/>
          <w:bCs w:val="0"/>
          <w:sz w:val="24"/>
          <w:szCs w:val="24"/>
        </w:rPr>
        <w:t>。</w:t>
      </w:r>
      <w:r>
        <w:rPr>
          <w:rFonts w:hint="eastAsia" w:ascii="仿宋" w:hAnsi="仿宋" w:eastAsia="仿宋" w:cs="仿宋"/>
          <w:b w:val="0"/>
          <w:bCs w:val="0"/>
          <w:sz w:val="24"/>
          <w:szCs w:val="24"/>
          <w:lang w:val="en-US" w:eastAsia="zh-CN"/>
        </w:rPr>
        <w:t>现有</w:t>
      </w:r>
      <w:r>
        <w:rPr>
          <w:rFonts w:hint="eastAsia" w:ascii="仿宋" w:hAnsi="仿宋" w:eastAsia="仿宋" w:cs="仿宋"/>
          <w:b w:val="0"/>
          <w:bCs w:val="0"/>
          <w:sz w:val="24"/>
          <w:szCs w:val="24"/>
        </w:rPr>
        <w:t>研究多侧重</w:t>
      </w:r>
      <w:r>
        <w:rPr>
          <w:rFonts w:hint="eastAsia" w:ascii="仿宋" w:hAnsi="仿宋" w:eastAsia="仿宋" w:cs="仿宋"/>
          <w:b w:val="0"/>
          <w:bCs w:val="0"/>
          <w:sz w:val="24"/>
          <w:szCs w:val="24"/>
          <w:lang w:val="en-US" w:eastAsia="zh-CN"/>
        </w:rPr>
        <w:t>于</w:t>
      </w:r>
      <w:r>
        <w:rPr>
          <w:rFonts w:hint="eastAsia" w:ascii="仿宋" w:hAnsi="仿宋" w:eastAsia="仿宋" w:cs="仿宋"/>
          <w:b w:val="0"/>
          <w:bCs w:val="0"/>
          <w:sz w:val="24"/>
          <w:szCs w:val="24"/>
        </w:rPr>
        <w:t>衔接程序，对药品案件中行刑反向衔接的实体判断标准</w:t>
      </w:r>
      <w:r>
        <w:rPr>
          <w:rFonts w:hint="eastAsia" w:ascii="仿宋" w:hAnsi="仿宋" w:eastAsia="仿宋" w:cs="仿宋"/>
          <w:b w:val="0"/>
          <w:bCs w:val="0"/>
          <w:sz w:val="24"/>
          <w:szCs w:val="24"/>
          <w:lang w:val="en-US" w:eastAsia="zh-CN"/>
        </w:rPr>
        <w:t>以及现有问题</w:t>
      </w:r>
      <w:r>
        <w:rPr>
          <w:rFonts w:hint="eastAsia" w:ascii="仿宋" w:hAnsi="仿宋" w:eastAsia="仿宋" w:cs="仿宋"/>
          <w:b w:val="0"/>
          <w:bCs w:val="0"/>
          <w:sz w:val="24"/>
          <w:szCs w:val="24"/>
          <w:lang w:eastAsia="zh-CN"/>
        </w:rPr>
        <w:t>，</w:t>
      </w:r>
      <w:r>
        <w:rPr>
          <w:rFonts w:hint="eastAsia" w:ascii="仿宋" w:hAnsi="仿宋" w:eastAsia="仿宋" w:cs="仿宋"/>
          <w:b w:val="0"/>
          <w:bCs w:val="0"/>
          <w:sz w:val="24"/>
          <w:szCs w:val="24"/>
        </w:rPr>
        <w:t>缺乏</w:t>
      </w:r>
      <w:r>
        <w:rPr>
          <w:rFonts w:hint="eastAsia" w:ascii="仿宋" w:hAnsi="仿宋" w:eastAsia="仿宋" w:cs="仿宋"/>
          <w:b w:val="0"/>
          <w:bCs w:val="0"/>
          <w:sz w:val="24"/>
          <w:szCs w:val="24"/>
          <w:lang w:val="en-US" w:eastAsia="zh-CN"/>
        </w:rPr>
        <w:t>对实现过程的</w:t>
      </w:r>
      <w:r>
        <w:rPr>
          <w:rFonts w:hint="eastAsia" w:ascii="仿宋" w:hAnsi="仿宋" w:eastAsia="仿宋" w:cs="仿宋"/>
          <w:b w:val="0"/>
          <w:bCs w:val="0"/>
          <w:sz w:val="24"/>
          <w:szCs w:val="24"/>
        </w:rPr>
        <w:t>系统论证。本文</w:t>
      </w:r>
      <w:r>
        <w:rPr>
          <w:rFonts w:hint="eastAsia" w:ascii="仿宋" w:hAnsi="仿宋" w:eastAsia="仿宋" w:cs="仿宋"/>
          <w:b w:val="0"/>
          <w:bCs w:val="0"/>
          <w:sz w:val="24"/>
          <w:szCs w:val="24"/>
          <w:lang w:val="en-US" w:eastAsia="zh-CN"/>
        </w:rPr>
        <w:t>从</w:t>
      </w:r>
      <w:r>
        <w:rPr>
          <w:rFonts w:hint="eastAsia" w:ascii="仿宋" w:hAnsi="仿宋" w:eastAsia="仿宋" w:cs="仿宋"/>
          <w:b w:val="0"/>
          <w:bCs w:val="0"/>
          <w:sz w:val="24"/>
          <w:szCs w:val="24"/>
        </w:rPr>
        <w:t>药品管理的核心法益</w:t>
      </w:r>
      <w:r>
        <w:rPr>
          <w:rFonts w:hint="eastAsia" w:ascii="仿宋" w:hAnsi="仿宋" w:eastAsia="仿宋" w:cs="仿宋"/>
          <w:b w:val="0"/>
          <w:bCs w:val="0"/>
          <w:sz w:val="24"/>
          <w:szCs w:val="24"/>
          <w:lang w:val="en-US" w:eastAsia="zh-CN"/>
        </w:rPr>
        <w:t>用药安全出发</w:t>
      </w:r>
      <w:r>
        <w:rPr>
          <w:rFonts w:hint="eastAsia" w:ascii="仿宋" w:hAnsi="仿宋" w:eastAsia="仿宋" w:cs="仿宋"/>
          <w:b w:val="0"/>
          <w:bCs w:val="0"/>
          <w:sz w:val="24"/>
          <w:szCs w:val="24"/>
        </w:rPr>
        <w:t>，从目的论、手段论与效果论三个维度，论证</w:t>
      </w:r>
      <w:r>
        <w:rPr>
          <w:rFonts w:hint="eastAsia" w:ascii="仿宋" w:hAnsi="仿宋" w:eastAsia="仿宋" w:cs="仿宋"/>
          <w:b w:val="0"/>
          <w:bCs w:val="0"/>
          <w:sz w:val="24"/>
          <w:szCs w:val="24"/>
          <w:lang w:val="en-US" w:eastAsia="zh-CN"/>
        </w:rPr>
        <w:t>药品管理领域中</w:t>
      </w:r>
      <w:r>
        <w:rPr>
          <w:rFonts w:hint="eastAsia" w:ascii="仿宋" w:hAnsi="仿宋" w:eastAsia="仿宋" w:cs="仿宋"/>
          <w:b w:val="0"/>
          <w:bCs w:val="0"/>
          <w:sz w:val="24"/>
          <w:szCs w:val="24"/>
        </w:rPr>
        <w:t>行刑反向衔接</w:t>
      </w:r>
      <w:r>
        <w:rPr>
          <w:rFonts w:hint="eastAsia" w:ascii="仿宋" w:hAnsi="仿宋" w:eastAsia="仿宋" w:cs="仿宋"/>
          <w:b w:val="0"/>
          <w:bCs w:val="0"/>
          <w:sz w:val="24"/>
          <w:szCs w:val="24"/>
          <w:lang w:val="en-US" w:eastAsia="zh-CN"/>
        </w:rPr>
        <w:t>机制</w:t>
      </w:r>
      <w:r>
        <w:rPr>
          <w:rFonts w:hint="eastAsia" w:ascii="仿宋" w:hAnsi="仿宋" w:eastAsia="仿宋" w:cs="仿宋"/>
          <w:b w:val="0"/>
          <w:bCs w:val="0"/>
          <w:sz w:val="24"/>
          <w:szCs w:val="24"/>
        </w:rPr>
        <w:t>的正当性。在此基础上，围绕药品违法行为的</w:t>
      </w:r>
      <w:r>
        <w:rPr>
          <w:rFonts w:hint="eastAsia" w:ascii="仿宋" w:hAnsi="仿宋" w:eastAsia="仿宋" w:cs="仿宋"/>
          <w:b w:val="0"/>
          <w:bCs w:val="0"/>
          <w:sz w:val="24"/>
          <w:szCs w:val="24"/>
          <w:lang w:val="en-US" w:eastAsia="zh-CN"/>
        </w:rPr>
        <w:t>处罚</w:t>
      </w:r>
      <w:r>
        <w:rPr>
          <w:rFonts w:hint="eastAsia" w:ascii="仿宋" w:hAnsi="仿宋" w:eastAsia="仿宋" w:cs="仿宋"/>
          <w:b w:val="0"/>
          <w:bCs w:val="0"/>
          <w:sz w:val="24"/>
          <w:szCs w:val="24"/>
        </w:rPr>
        <w:t>路径，提出以实质法益侵害程度为标准的出罪判断思路，并通过“可处罚性”的二阶审查方法明确行政入行条件。针对实践中的证据与程序衔接问题，进一步从程序启动、证据承接及检察监督边界</w:t>
      </w:r>
      <w:r>
        <w:rPr>
          <w:rFonts w:hint="eastAsia" w:ascii="仿宋" w:hAnsi="仿宋" w:eastAsia="仿宋" w:cs="仿宋"/>
          <w:b w:val="0"/>
          <w:bCs w:val="0"/>
          <w:sz w:val="24"/>
          <w:szCs w:val="24"/>
          <w:lang w:val="en-US" w:eastAsia="zh-CN"/>
        </w:rPr>
        <w:t>的</w:t>
      </w:r>
      <w:r>
        <w:rPr>
          <w:rFonts w:hint="eastAsia" w:ascii="仿宋" w:hAnsi="仿宋" w:eastAsia="仿宋" w:cs="仿宋"/>
          <w:b w:val="0"/>
          <w:bCs w:val="0"/>
          <w:sz w:val="24"/>
          <w:szCs w:val="24"/>
        </w:rPr>
        <w:t>方面，完善行刑反向衔接的程序保障。</w:t>
      </w:r>
    </w:p>
    <w:p w14:paraId="0B9E9408">
      <w:pPr>
        <w:numPr>
          <w:ilvl w:val="0"/>
          <w:numId w:val="0"/>
        </w:numPr>
        <w:ind w:firstLine="482" w:firstLineChars="200"/>
        <w:jc w:val="both"/>
        <w:rPr>
          <w:rFonts w:hint="eastAsia" w:ascii="仿宋" w:hAnsi="仿宋" w:eastAsia="仿宋" w:cs="仿宋"/>
          <w:b w:val="0"/>
          <w:bCs w:val="0"/>
          <w:sz w:val="24"/>
          <w:szCs w:val="24"/>
          <w:lang w:val="en-US" w:eastAsia="zh-CN"/>
        </w:rPr>
      </w:pPr>
      <w:r>
        <w:rPr>
          <w:rFonts w:hint="eastAsia" w:ascii="仿宋" w:hAnsi="仿宋" w:eastAsia="仿宋" w:cs="仿宋"/>
          <w:b/>
          <w:bCs/>
          <w:sz w:val="24"/>
          <w:szCs w:val="24"/>
        </w:rPr>
        <w:t>关键词：</w:t>
      </w:r>
      <w:r>
        <w:rPr>
          <w:rFonts w:hint="eastAsia" w:ascii="仿宋" w:hAnsi="仿宋" w:eastAsia="仿宋" w:cs="仿宋"/>
          <w:b w:val="0"/>
          <w:bCs w:val="0"/>
          <w:sz w:val="24"/>
          <w:szCs w:val="24"/>
          <w:lang w:val="en-US" w:eastAsia="zh-CN"/>
        </w:rPr>
        <w:t>行刑反向衔接</w:t>
      </w:r>
      <w:r>
        <w:rPr>
          <w:rFonts w:hint="eastAsia" w:ascii="仿宋" w:hAnsi="仿宋" w:eastAsia="仿宋" w:cs="仿宋"/>
          <w:sz w:val="24"/>
          <w:szCs w:val="24"/>
        </w:rPr>
        <w:t>;</w:t>
      </w:r>
      <w:r>
        <w:rPr>
          <w:rFonts w:hint="eastAsia" w:ascii="仿宋" w:hAnsi="仿宋" w:eastAsia="仿宋" w:cs="仿宋"/>
          <w:b w:val="0"/>
          <w:bCs w:val="0"/>
          <w:sz w:val="24"/>
          <w:szCs w:val="24"/>
          <w:lang w:val="en-US" w:eastAsia="zh-CN"/>
        </w:rPr>
        <w:t>药品管理</w:t>
      </w:r>
      <w:r>
        <w:rPr>
          <w:rFonts w:hint="eastAsia" w:ascii="仿宋" w:hAnsi="仿宋" w:eastAsia="仿宋" w:cs="仿宋"/>
          <w:sz w:val="24"/>
          <w:szCs w:val="24"/>
        </w:rPr>
        <w:t>;</w:t>
      </w:r>
      <w:r>
        <w:rPr>
          <w:rFonts w:hint="eastAsia" w:ascii="仿宋" w:hAnsi="仿宋" w:eastAsia="仿宋" w:cs="仿宋"/>
          <w:b w:val="0"/>
          <w:bCs w:val="0"/>
          <w:sz w:val="24"/>
          <w:szCs w:val="24"/>
          <w:lang w:val="en-US" w:eastAsia="zh-CN"/>
        </w:rPr>
        <w:t>用药安全</w:t>
      </w:r>
      <w:r>
        <w:rPr>
          <w:rFonts w:hint="eastAsia" w:ascii="仿宋" w:hAnsi="仿宋" w:eastAsia="仿宋" w:cs="仿宋"/>
          <w:sz w:val="24"/>
          <w:szCs w:val="24"/>
        </w:rPr>
        <w:t>;</w:t>
      </w:r>
      <w:r>
        <w:rPr>
          <w:rFonts w:hint="eastAsia" w:ascii="仿宋" w:hAnsi="仿宋" w:eastAsia="仿宋" w:cs="仿宋"/>
          <w:b w:val="0"/>
          <w:bCs w:val="0"/>
          <w:sz w:val="24"/>
          <w:szCs w:val="24"/>
          <w:lang w:val="en-US" w:eastAsia="zh-CN"/>
        </w:rPr>
        <w:t>程序保障</w:t>
      </w:r>
    </w:p>
    <w:p w14:paraId="6BE02B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2" w:firstLineChars="200"/>
        <w:jc w:val="both"/>
        <w:textAlignment w:val="auto"/>
        <w:rPr>
          <w:rFonts w:hint="default" w:ascii="仿宋" w:hAnsi="仿宋" w:eastAsia="仿宋" w:cs="仿宋"/>
          <w:b w:val="0"/>
          <w:bCs w:val="0"/>
          <w:sz w:val="24"/>
          <w:szCs w:val="24"/>
          <w:lang w:val="en-US" w:eastAsia="zh-CN"/>
        </w:rPr>
      </w:pPr>
      <w:r>
        <w:rPr>
          <w:rFonts w:hint="eastAsia" w:ascii="仿宋" w:hAnsi="仿宋" w:eastAsia="仿宋" w:cs="仿宋"/>
          <w:b/>
          <w:bCs/>
          <w:sz w:val="24"/>
          <w:szCs w:val="24"/>
          <w:lang w:val="en-US" w:eastAsia="zh-CN"/>
        </w:rPr>
        <w:t>作者信息：</w:t>
      </w:r>
      <w:r>
        <w:rPr>
          <w:rFonts w:hint="eastAsia" w:ascii="仿宋" w:hAnsi="仿宋" w:eastAsia="仿宋" w:cs="仿宋"/>
          <w:b w:val="0"/>
          <w:bCs w:val="0"/>
          <w:sz w:val="24"/>
          <w:szCs w:val="24"/>
          <w:lang w:val="en-US" w:eastAsia="zh-CN"/>
        </w:rPr>
        <w:t>原振南，中国药科大学国际医药商学院2024级硕士研究生</w:t>
      </w:r>
    </w:p>
    <w:p w14:paraId="6368F78C">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一、问题的提出</w:t>
      </w:r>
    </w:p>
    <w:p w14:paraId="4EF24E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药品安全直接关系到人民群众的身体健康与生命安全，是国家重点关注的领域。习近平总书记强调了食品药品安全监管领域的“四个最严”，具体为，最严谨的标准、最严格的监管、最严厉的处罚、最严肃的问责。</w:t>
      </w:r>
      <w:r>
        <w:rPr>
          <w:rStyle w:val="9"/>
          <w:rFonts w:hint="eastAsia" w:ascii="仿宋" w:hAnsi="仿宋" w:eastAsia="仿宋" w:cs="仿宋"/>
          <w:sz w:val="24"/>
          <w:szCs w:val="24"/>
          <w:lang w:val="en-US" w:eastAsia="zh-CN"/>
        </w:rPr>
        <w:footnoteReference w:id="1"/>
      </w:r>
      <w:r>
        <w:rPr>
          <w:rFonts w:hint="eastAsia" w:ascii="仿宋" w:hAnsi="仿宋" w:eastAsia="仿宋" w:cs="仿宋"/>
          <w:sz w:val="24"/>
          <w:szCs w:val="24"/>
          <w:lang w:val="en-US" w:eastAsia="zh-CN"/>
        </w:rPr>
        <w:t>根据国家药品监督管理局公布的数据，2022年全国查处药品、药品包装材料案件共91680件，货币金额共计201775.90元。2023年全国查处药品、药品包装材料案件共89572件，货币金额共计481467.66 万元。2024年全国查处药品、药品包装材料案件共70885件，货币金额共计447567.94 万元。2024年，全国检察机关起诉药品犯罪案件2544件5563人。 根据全国检察机关统计，2024年1月至11月，共起诉涉药品犯罪案件5727人。2025年1月至9月，批准逮捕危害药品安全犯罪279件443人，起诉1354件2668人。可见近年来药品违法犯罪活动仍然较为活跃，惩治危害药品安全犯罪的工作形势依然严峻，是不容忽视的问题。2019年新修订的《药品管理法》以更为合理、科学的标准，重新定义了假药和劣药的范畴。</w:t>
      </w:r>
      <w:r>
        <w:rPr>
          <w:rStyle w:val="9"/>
          <w:rFonts w:hint="eastAsia" w:ascii="仿宋" w:hAnsi="仿宋" w:eastAsia="仿宋" w:cs="仿宋"/>
          <w:sz w:val="24"/>
          <w:szCs w:val="24"/>
          <w:lang w:val="en-US" w:eastAsia="zh-CN"/>
        </w:rPr>
        <w:footnoteReference w:id="2"/>
      </w:r>
      <w:r>
        <w:rPr>
          <w:rFonts w:hint="eastAsia" w:ascii="仿宋" w:hAnsi="仿宋" w:eastAsia="仿宋" w:cs="仿宋"/>
          <w:sz w:val="24"/>
          <w:szCs w:val="24"/>
          <w:lang w:val="en-US" w:eastAsia="zh-CN"/>
        </w:rPr>
        <w:t>刑法修正案（十一）》则修改了危害药品安全犯罪的罪状，新设妨害药品管理犯罪和药品监管渎职犯罪等，使得危害药品安全犯罪得到了范围更广，内容更详细的规制。</w:t>
      </w:r>
      <w:r>
        <w:rPr>
          <w:rStyle w:val="9"/>
          <w:rFonts w:hint="eastAsia" w:ascii="仿宋" w:hAnsi="仿宋" w:eastAsia="仿宋" w:cs="仿宋"/>
          <w:sz w:val="24"/>
          <w:szCs w:val="24"/>
          <w:lang w:val="en-US" w:eastAsia="zh-CN"/>
        </w:rPr>
        <w:footnoteReference w:id="3"/>
      </w:r>
      <w:r>
        <w:rPr>
          <w:rFonts w:hint="eastAsia" w:ascii="仿宋" w:hAnsi="仿宋" w:eastAsia="仿宋" w:cs="仿宋"/>
          <w:sz w:val="24"/>
          <w:szCs w:val="24"/>
          <w:lang w:val="en-US" w:eastAsia="zh-CN"/>
        </w:rPr>
        <w:t>《关于办理危害药品安全刑事案件若干问题的解释》系统地规定了药品犯罪的定罪量刑标准及法律适用的要求。在药品管理领域最典型的案件当属“陆勇案”</w:t>
      </w:r>
      <w:r>
        <w:rPr>
          <w:rStyle w:val="9"/>
          <w:rFonts w:hint="eastAsia" w:ascii="仿宋" w:hAnsi="仿宋" w:eastAsia="仿宋" w:cs="仿宋"/>
          <w:sz w:val="24"/>
          <w:szCs w:val="24"/>
          <w:lang w:val="en-US" w:eastAsia="zh-CN"/>
        </w:rPr>
        <w:footnoteReference w:id="4"/>
      </w:r>
      <w:r>
        <w:rPr>
          <w:rFonts w:hint="eastAsia" w:ascii="仿宋" w:hAnsi="仿宋" w:eastAsia="仿宋" w:cs="仿宋"/>
          <w:sz w:val="24"/>
          <w:szCs w:val="24"/>
          <w:lang w:val="en-US" w:eastAsia="zh-CN"/>
        </w:rPr>
        <w:t>，该案促使了《药品管理法》《刑法》等法律法规的修订。在该案件中，陆勇因涉嫌“妨害信用卡管理罪”和“销售假药罪”被某市公安局逮捕，随后该市检察院对陆勇提起公诉，但最终司法机关秉持着司法为民的价值观以及司法的人文关怀决定对陆勇依法作出不起诉决定。本案属于金额巨大，涉及人数众多的进口药品代购案。依照案发时《药品管理法》第48条的规定，凡依法应当取得批准而未经批准生产、进口，或者依法应当检验而未经验收即予销售的，均应认定为假药。由此，在我国境内销售未经批准进口的抗癌药品，依法属于销售假药的情形。该类行为已对行政法意义上的药品管理秩序造成侵害，依法应当承担相应的行政责任。然而该案件在未被追究刑事责任的情况下，理应退回药监部门追究行为人相应的行政责任，但当时并无司法机关无需追究刑事责任退回相应行政机关追究行政责任的相关强制程序，同时，该案的初始侦查机关并非药品监管部门，而是公安机关。从实践运行情况看，一方面，当时的制度中尚未建立由司法机关主动将“伪违刑”类案件强制退回行政机关的程序安排；另一方面，由于案件最初由公安机关立案侦查，且并不具备行政执法主体身份，客观上亦难以完成向行政程序的回转。在上述因素共同作用下，导致该案在后续行政责任认定过程中出现程序衔接不足的问题。</w:t>
      </w:r>
      <w:r>
        <w:rPr>
          <w:rStyle w:val="9"/>
          <w:rFonts w:hint="eastAsia" w:ascii="仿宋" w:hAnsi="仿宋" w:eastAsia="仿宋" w:cs="仿宋"/>
          <w:sz w:val="24"/>
          <w:szCs w:val="24"/>
          <w:lang w:val="en-US" w:eastAsia="zh-CN"/>
        </w:rPr>
        <w:footnoteReference w:id="5"/>
      </w:r>
      <w:r>
        <w:rPr>
          <w:rFonts w:hint="eastAsia" w:ascii="仿宋" w:hAnsi="仿宋" w:eastAsia="仿宋" w:cs="仿宋"/>
          <w:sz w:val="24"/>
          <w:szCs w:val="24"/>
          <w:lang w:val="en-US" w:eastAsia="zh-CN"/>
        </w:rPr>
        <w:t>当集体法益是个人法益的必要条件时，刑法就应保护该集体法益，因此在药品管理领域需要刑法的调整。</w:t>
      </w:r>
      <w:r>
        <w:rPr>
          <w:rStyle w:val="9"/>
          <w:rFonts w:hint="eastAsia" w:ascii="仿宋" w:hAnsi="仿宋" w:eastAsia="仿宋" w:cs="仿宋"/>
          <w:sz w:val="24"/>
          <w:szCs w:val="24"/>
          <w:lang w:val="en-US" w:eastAsia="zh-CN"/>
        </w:rPr>
        <w:footnoteReference w:id="6"/>
      </w:r>
      <w:r>
        <w:rPr>
          <w:rFonts w:hint="eastAsia" w:ascii="仿宋" w:hAnsi="仿宋" w:eastAsia="仿宋" w:cs="仿宋"/>
          <w:sz w:val="24"/>
          <w:szCs w:val="24"/>
          <w:lang w:val="en-US" w:eastAsia="zh-CN"/>
        </w:rPr>
        <w:t>但不能只靠刑法去调整。在药品管理领域，行政法调整的范围相对广泛且细化，几乎覆盖药品研发到上市的每个环节，可以快速且灵活的纠错。行政法的调整注重事前预防和事中处理，且行政监管是常态化的。相反，刑法的调整注重事后惩罚，并且其只惩罚达到犯罪程度的行为。刑法的谦抑性原则决定了并不是所有的药品犯罪都必须由刑法进行规制。刑法应恪守其最后保障法的属性，应由民事，行政领域相关法律法规优先调整。只有违法行为由其他法律无法规制且符合侵犯刑法所保护的法益时才有刑法进行调整。</w:t>
      </w:r>
      <w:r>
        <w:rPr>
          <w:rStyle w:val="9"/>
          <w:rFonts w:hint="eastAsia" w:ascii="仿宋" w:hAnsi="仿宋" w:eastAsia="仿宋" w:cs="仿宋"/>
          <w:sz w:val="24"/>
          <w:szCs w:val="24"/>
          <w:lang w:val="en-US" w:eastAsia="zh-CN"/>
        </w:rPr>
        <w:footnoteReference w:id="7"/>
      </w:r>
      <w:r>
        <w:rPr>
          <w:rFonts w:hint="eastAsia" w:ascii="仿宋" w:hAnsi="仿宋" w:eastAsia="仿宋" w:cs="仿宋"/>
          <w:sz w:val="24"/>
          <w:szCs w:val="24"/>
          <w:lang w:val="en-US" w:eastAsia="zh-CN"/>
        </w:rPr>
        <w:t>过度依赖刑罚的治理体系明显不适合当下轻罪渐成主要的药品犯罪结构，其既可能带来刑罚适用过度的风险，也容易对部分秩序性违法行为的规制产生遗漏。通过行刑反向衔接机制，协调运用不同类型的责任方式，有助于实现治理手段的系统配置，并在一定程度上缓解司法实践中的分歧。维护好法律的公正性和权威性。</w:t>
      </w:r>
      <w:r>
        <w:rPr>
          <w:rStyle w:val="9"/>
          <w:rFonts w:hint="eastAsia" w:ascii="仿宋" w:hAnsi="仿宋" w:eastAsia="仿宋" w:cs="仿宋"/>
          <w:sz w:val="24"/>
          <w:szCs w:val="24"/>
          <w:lang w:val="en-US" w:eastAsia="zh-CN"/>
        </w:rPr>
        <w:footnoteReference w:id="8"/>
      </w:r>
    </w:p>
    <w:p w14:paraId="2374F3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传统行刑二元模式中刑事处罚与行政处罚性质不同，自然也没有“可比性”在此种模式中存在行政处罚重于刑事处罚的“倒挂”现象与对同一行为同时进行刑事处罚与行政处罚的“一事二罚”行为，因此该模式弊端很大。</w:t>
      </w:r>
      <w:r>
        <w:rPr>
          <w:rStyle w:val="9"/>
          <w:rFonts w:hint="eastAsia" w:ascii="仿宋" w:hAnsi="仿宋" w:eastAsia="仿宋" w:cs="仿宋"/>
          <w:sz w:val="24"/>
          <w:szCs w:val="24"/>
          <w:lang w:val="en-US" w:eastAsia="zh-CN"/>
        </w:rPr>
        <w:footnoteReference w:id="9"/>
      </w:r>
      <w:r>
        <w:rPr>
          <w:rFonts w:hint="eastAsia" w:ascii="仿宋" w:hAnsi="仿宋" w:eastAsia="仿宋" w:cs="仿宋"/>
          <w:sz w:val="24"/>
          <w:szCs w:val="24"/>
          <w:lang w:val="en-US" w:eastAsia="zh-CN"/>
        </w:rPr>
        <w:t>我国行刑反向衔接制度的形成并非一蹴而就，而是经历了一段由政策倡导向程序规范逐步演进的过程。在2001年市场秩序整顿阶段，国务院在《关于整顿和规范市场经济秩序的决定》第13条中提出通过强化行政执法与刑事司法之间的协调配合，以提升对违法犯罪行为治理的能力。随着行政违法与刑事责任边界问题在实践中日益凸显，检察机关开始在制度层面对行刑反向衔接加以回应。《人民检察院行刑反向衔接工作指引》</w:t>
      </w:r>
      <w:r>
        <w:rPr>
          <w:rStyle w:val="9"/>
          <w:rFonts w:hint="eastAsia" w:ascii="仿宋" w:hAnsi="仿宋" w:eastAsia="仿宋" w:cs="仿宋"/>
          <w:sz w:val="24"/>
          <w:szCs w:val="24"/>
          <w:lang w:val="en-US" w:eastAsia="zh-CN"/>
        </w:rPr>
        <w:footnoteReference w:id="10"/>
      </w:r>
      <w:r>
        <w:rPr>
          <w:rFonts w:hint="eastAsia" w:ascii="仿宋" w:hAnsi="仿宋" w:eastAsia="仿宋" w:cs="仿宋"/>
          <w:sz w:val="24"/>
          <w:szCs w:val="24"/>
          <w:lang w:val="en-US" w:eastAsia="zh-CN"/>
        </w:rPr>
        <w:t>、《关于推进行刑双向衔接和行政违法行为监督构建检察监督与行政执法衔接制度的意见》等相关规范文件明确了案件由刑事程序转入行政程序的基本条件与操作路径，逐步构建起以检察监督为枢纽、行政执法机关协同参与的衔接机制，并在程序运行中强调依法裁量、责任相当与权责配置的平衡。在药品管理领域，《关于印发药品行政执法与刑事司法衔接工作办法的通知》</w:t>
      </w:r>
      <w:r>
        <w:rPr>
          <w:rStyle w:val="9"/>
          <w:rFonts w:hint="eastAsia" w:ascii="仿宋" w:hAnsi="仿宋" w:eastAsia="仿宋" w:cs="仿宋"/>
          <w:sz w:val="24"/>
          <w:szCs w:val="24"/>
          <w:lang w:val="en-US" w:eastAsia="zh-CN"/>
        </w:rPr>
        <w:footnoteReference w:id="11"/>
      </w:r>
      <w:r>
        <w:rPr>
          <w:rFonts w:hint="eastAsia" w:ascii="仿宋" w:hAnsi="仿宋" w:eastAsia="仿宋" w:cs="仿宋"/>
          <w:sz w:val="24"/>
          <w:szCs w:val="24"/>
          <w:lang w:val="en-US" w:eastAsia="zh-CN"/>
        </w:rPr>
        <w:t>、《药品管理法》</w:t>
      </w:r>
      <w:r>
        <w:rPr>
          <w:rStyle w:val="9"/>
          <w:rFonts w:hint="eastAsia" w:ascii="仿宋" w:hAnsi="仿宋" w:eastAsia="仿宋" w:cs="仿宋"/>
          <w:sz w:val="24"/>
          <w:szCs w:val="24"/>
          <w:lang w:val="en-US" w:eastAsia="zh-CN"/>
        </w:rPr>
        <w:footnoteReference w:id="12"/>
      </w:r>
      <w:r>
        <w:rPr>
          <w:rFonts w:hint="eastAsia" w:ascii="仿宋" w:hAnsi="仿宋" w:eastAsia="仿宋" w:cs="仿宋"/>
          <w:sz w:val="24"/>
          <w:szCs w:val="24"/>
          <w:lang w:val="en-US" w:eastAsia="zh-CN"/>
        </w:rPr>
        <w:t>等做出了具体且详细的规定。一方面，法律明确要求对依法不再追究刑事责任但仍具有行政违法属性的案件，及时转入药品监管部门处理；另一方面，相关规范同时对公安机关、人民检察院及人民法院在案件移送、证据交接以及处理结果反馈等环节中的职责作出衔接性安排，从而在不同执法司法主体之间形成相对完整的程序闭环。传统上行刑机关“各管一段”的模式，在面对药品领域违法犯罪这种高度专业化，细分情况复杂的情形时，难以全面打击。推动行刑反向衔接机制，可以化解不同法律间的矛盾，避免不同部门法之间可能出现的效力冲突问题，使得我国打击药品领域的违法犯罪治理体系更加严密。</w:t>
      </w:r>
      <w:r>
        <w:rPr>
          <w:rStyle w:val="9"/>
          <w:rFonts w:hint="eastAsia" w:ascii="仿宋" w:hAnsi="仿宋" w:eastAsia="仿宋" w:cs="仿宋"/>
          <w:sz w:val="24"/>
          <w:szCs w:val="24"/>
          <w:lang w:val="en-US" w:eastAsia="zh-CN"/>
        </w:rPr>
        <w:footnoteReference w:id="13"/>
      </w:r>
      <w:r>
        <w:rPr>
          <w:rFonts w:hint="eastAsia" w:ascii="仿宋" w:hAnsi="仿宋" w:eastAsia="仿宋" w:cs="仿宋"/>
          <w:sz w:val="24"/>
          <w:szCs w:val="24"/>
          <w:lang w:val="en-US" w:eastAsia="zh-CN"/>
        </w:rPr>
        <w:t>《药品管理法》第二条第二款在界定药品概念时，侧重于其在诊断、治疗以及预防人体疾病方面的功能属性。第三条进一步明确应以人民健康为中心。</w:t>
      </w:r>
      <w:r>
        <w:rPr>
          <w:rStyle w:val="9"/>
          <w:rFonts w:hint="eastAsia" w:ascii="仿宋" w:hAnsi="仿宋" w:eastAsia="仿宋" w:cs="仿宋"/>
          <w:sz w:val="24"/>
          <w:szCs w:val="24"/>
          <w:lang w:val="en-US" w:eastAsia="zh-CN"/>
        </w:rPr>
        <w:footnoteReference w:id="14"/>
      </w:r>
      <w:r>
        <w:rPr>
          <w:rFonts w:hint="eastAsia" w:ascii="仿宋" w:hAnsi="仿宋" w:eastAsia="仿宋" w:cs="仿宋"/>
          <w:sz w:val="24"/>
          <w:szCs w:val="24"/>
          <w:lang w:val="en-US" w:eastAsia="zh-CN"/>
        </w:rPr>
        <w:t>因而打击药品犯罪的目标是最大化地保护公共法益—公民生命健康，其保护要求法律制裁体系必须严密无缺，单一的刑事或行政手段均不足以形成全面的防护体系，这就体现了行刑反向衔接机制在打击药品领域违法犯罪的必要性。《药品管理法》和《关于印发药品行政执法与刑事司法衔接工作办法的通知》的相关规定使药品反向衔接的流程更加明确，覆盖了几乎所有情况的的药品违法案件，且明确了行刑反向衔接过程中各部门的职能，避免了工作衔接过程中对于违法行为漏处理的情况。无论行为人的行为最终被贴上“犯罪”还是“违法”的标签，最终都将承担与之其行为严重程度相匹配的法律责任，能够更有效地打击各种情况下的药品违法犯罪行为，更好地维护药品领域的秩序，保障人民的用药安全。</w:t>
      </w:r>
    </w:p>
    <w:p w14:paraId="499D2F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本文先从法理基础展开，从目的论维度指出用药安全是药品管理的核心旨趣，从手段论维度指出比例原则是药品管理的理念指引，从效果论的维度指出罪刑均衡与过罚相当的必然要求。然后从实体法中的行刑反向衔接的实体审查，从出罪判断到入行判断展开，最后展开讨论药品领域行刑反向衔接机制的程序保障。</w:t>
      </w:r>
    </w:p>
    <w:p w14:paraId="7362ABFB">
      <w:pPr>
        <w:numPr>
          <w:ilvl w:val="0"/>
          <w:numId w:val="0"/>
        </w:numPr>
        <w:ind w:leftChars="0"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二、药品管理领域中行刑反向衔接的法理基础</w:t>
      </w:r>
    </w:p>
    <w:p w14:paraId="1980D992">
      <w:pPr>
        <w:numPr>
          <w:ilvl w:val="0"/>
          <w:numId w:val="0"/>
        </w:numPr>
        <w:ind w:firstLine="560" w:firstLineChars="20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（一）目的论维度：用药安全是药品管理的核心旨趣</w:t>
      </w:r>
    </w:p>
    <w:p w14:paraId="3BA886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08" w:leftChars="0" w:firstLine="480" w:firstLineChars="200"/>
        <w:jc w:val="both"/>
        <w:textAlignment w:val="auto"/>
        <w:rPr>
          <w:rFonts w:hint="eastAsia" w:ascii="宋体" w:hAnsi="宋体" w:eastAsia="宋体" w:cs="宋体"/>
          <w:sz w:val="28"/>
          <w:szCs w:val="28"/>
          <w:lang w:val="en-US" w:eastAsia="zh-CN"/>
        </w:rPr>
      </w:pPr>
      <w:r>
        <w:rPr>
          <w:rFonts w:hint="eastAsia" w:ascii="仿宋" w:hAnsi="仿宋" w:eastAsia="仿宋" w:cs="仿宋"/>
          <w:sz w:val="24"/>
          <w:szCs w:val="24"/>
          <w:lang w:val="en-US" w:eastAsia="zh-CN"/>
        </w:rPr>
        <w:t>行刑反向衔接的目的并非仅仅为了追究刑事责任，也不仅仅是督促对行政违法行为的监管，而是为了实现以药品安全为基础的人民生命健康的法益保护。</w:t>
      </w:r>
      <w:r>
        <w:rPr>
          <w:rStyle w:val="9"/>
          <w:rFonts w:hint="eastAsia" w:ascii="仿宋" w:hAnsi="仿宋" w:eastAsia="仿宋" w:cs="仿宋"/>
          <w:sz w:val="24"/>
          <w:szCs w:val="24"/>
          <w:lang w:val="en-US" w:eastAsia="zh-CN"/>
        </w:rPr>
        <w:footnoteReference w:id="15"/>
      </w:r>
      <w:r>
        <w:rPr>
          <w:rFonts w:hint="eastAsia" w:ascii="仿宋" w:hAnsi="仿宋" w:eastAsia="仿宋" w:cs="仿宋"/>
          <w:sz w:val="24"/>
          <w:szCs w:val="24"/>
          <w:lang w:val="en-US" w:eastAsia="zh-CN"/>
        </w:rPr>
        <w:t>药品并非普通的商品，其安全性直接关乎公民的身体健康，生命法益以至于公共健康安全。《药品管理法》第1条从立法宗旨层面明确，将确保药品质量、维护公众用药安全与合法权益，并以保护和促进公众健康作为规范目标。同时第三条规定了药品管理应以人民健康为中心，保障“药品的安全、有效，可及”。基于此，药品管理领域的法律法规通过动态调整，通过设置严格的准入条件，多层次化的监管以及责任追究机制来维护药品安全。因此，无论是行政处罚还是刑事处罚，其出发点并非以惩罚为目的，其本质上都是要维护我国良好的药品管理秩序，保障我国公民的用药安全。正是由于在药品管理领域行政处罚和刑事处罚在目的论层面的高度一致性，使得行刑反向衔接在该领域具有了正当性的基础，该机制完善了我国药品安全治理体系。使得危害药品管理秩序的行为仅因未达到刑事入罪标准而不予追究任何责任这一情况不会出现。通过对责任配置结构的合理调整，使行政处罚得以在行为不符合刑事处罚的要件后继续追究行为人的相关责任，避免药品管理领域的“不刑不罚”，确保了药品安全得到完整性的保护。</w:t>
      </w:r>
    </w:p>
    <w:p w14:paraId="649E920D">
      <w:pPr>
        <w:numPr>
          <w:ilvl w:val="0"/>
          <w:numId w:val="0"/>
        </w:numPr>
        <w:ind w:firstLine="560" w:firstLineChars="20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（二）手段论维度：比例原则是药品管理的理念指引</w:t>
      </w:r>
    </w:p>
    <w:p w14:paraId="7F652C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08" w:leftChars="0"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药品管理领域，行刑反向衔接机制中行刑责任的合理配置不仅取决于治理目的，更依赖于规制手段是否符合比例原则的要求。在我国的行政法规中，比例原则系宪法层面比例原则在行政法领域的具体展开，其核心要求在于行政主体在采取限制相对人权益的措施时，应当对手段与目的之间的关系进行审慎权衡，选择对实现公共利益而言具有必要性且对个人权益损害最小的方式，同时对相对人的权益造成不利影响限制在最小限度之内的手段，且与所要达成行政目标所获得的利益之间合乎比例。 在药品犯罪领域中，行刑反向衔接本质上是对’出罪’与’入刑’这两个紧密相连的内容进行整体化的考量。而比例原则是刑法谦抑性原则与行政法过罚相当原则的共同上位原则，其核心的共同理念是限制，谨慎使用处罚权。</w:t>
      </w:r>
      <w:r>
        <w:rPr>
          <w:rStyle w:val="9"/>
          <w:rFonts w:hint="eastAsia" w:ascii="仿宋" w:hAnsi="仿宋" w:eastAsia="仿宋" w:cs="仿宋"/>
          <w:sz w:val="24"/>
          <w:szCs w:val="24"/>
          <w:lang w:val="en-US" w:eastAsia="zh-CN"/>
        </w:rPr>
        <w:footnoteReference w:id="16"/>
      </w:r>
      <w:r>
        <w:rPr>
          <w:rFonts w:hint="eastAsia" w:ascii="仿宋" w:hAnsi="仿宋" w:eastAsia="仿宋" w:cs="仿宋"/>
          <w:sz w:val="24"/>
          <w:szCs w:val="24"/>
          <w:lang w:val="en-US" w:eastAsia="zh-CN"/>
        </w:rPr>
        <w:t>就必要性原则而言，必要性原则要求在诸多达成法律目的的方式中选择对相对人权力损害最小的一种。避免以刑代罚。在药品管理领域，可将药品违法行为大致划分为三种类型：第一类是轻微违法行为，如未严格履行药品经营许可变更手续、标签标识存在瑕疵但未影响药品质量安全等。这类行为虽损害了药品监管秩序，但对用药安全造成的潜在风险有限，通常通过行政处罚即可实现纠偏与预防目的，在此种情况下行政处罚已可以达成既定法律目的，而刑法作为社会治理的最后手段并没有介入的必要。第二类是具有一定风险但尚未造成严重后果的违法行为，例如非法渠道购进药品、导致药品质量存在隐患但尚未造成损害后果，不足以损害人体健康的行为等。此类行为往往同时涉及刑事处罚与行政处罚，此种情况下体现了行刑反向衔接制度的必要性，因不符合犯罪要件未能进入刑事追诉程序的案件重新返给相应行政机关追究相应的行政责任。此种情况下慎重适用刑法，体现了必要性的原则。第三种则是足以危害人体健康，社会危害性较大，严重破坏药品管理秩序的行为，对于此类行为仅使用行政处罚调整显然无法达成相关法律目的，此时显然没有其他可以替代刑事处罚的方式，刑事处罚的使用具有不可替代性。就均衡性原则而言，需要慎重衡量手段所带来的负担与目的所带来的收益是否实现了均衡，需要避免高负担带来低收益这一失衡状态。</w:t>
      </w:r>
      <w:r>
        <w:rPr>
          <w:rStyle w:val="9"/>
          <w:rFonts w:hint="eastAsia" w:ascii="仿宋" w:hAnsi="仿宋" w:eastAsia="仿宋" w:cs="仿宋"/>
          <w:sz w:val="24"/>
          <w:szCs w:val="24"/>
          <w:lang w:val="en-US" w:eastAsia="zh-CN"/>
        </w:rPr>
        <w:footnoteReference w:id="17"/>
      </w:r>
      <w:r>
        <w:rPr>
          <w:rFonts w:hint="eastAsia" w:ascii="仿宋" w:hAnsi="仿宋" w:eastAsia="仿宋" w:cs="仿宋"/>
          <w:sz w:val="24"/>
          <w:szCs w:val="24"/>
          <w:lang w:val="en-US" w:eastAsia="zh-CN"/>
        </w:rPr>
        <w:t>考虑对一个药品违法犯罪行为的处罚要基本保证损益均衡，损益不均衡的状态不仅会对药品领域的执法带来不良影响，更会影响良好的营商环境。行刑反向衔接机制可以很好的实现这一原则，若责任配置缺乏中间层次，极易出现处罚失衡。一方面，刑法规制门槛之下的行为可能因“未入罪”而完全免于制裁，造成实质性不公；另一方面，部分边缘行为一旦入罪，又可能面临与其危害程度不相称的刑罚。通过行刑反向衔接，对《刑法》中规定的定罪免刑和免罪免刑的情形作出明确区分，将行政处罚嵌入刑事责任与无责任之间的制度区间，可以有效避免对于定罪免刑案件的完全’不刑不罚’，有助于构建制裁手段强度递进、层次分明、覆盖完全的责任体系，从而实现损益之间的相对均衡。</w:t>
      </w:r>
    </w:p>
    <w:p w14:paraId="4C6B0C72">
      <w:pPr>
        <w:numPr>
          <w:ilvl w:val="0"/>
          <w:numId w:val="0"/>
        </w:numPr>
        <w:ind w:firstLine="560" w:firstLineChars="200"/>
        <w:jc w:val="both"/>
        <w:rPr>
          <w:rFonts w:hint="eastAsia" w:ascii="楷体" w:hAnsi="楷体" w:eastAsia="楷体" w:cs="楷体"/>
          <w:b/>
          <w:bCs/>
          <w:sz w:val="28"/>
          <w:szCs w:val="28"/>
          <w:lang w:val="en-US" w:eastAsia="zh-CN"/>
        </w:rPr>
      </w:pPr>
      <w:r>
        <w:rPr>
          <w:rFonts w:hint="eastAsia" w:ascii="楷体" w:hAnsi="楷体" w:eastAsia="楷体" w:cs="楷体"/>
          <w:b w:val="0"/>
          <w:bCs w:val="0"/>
          <w:sz w:val="28"/>
          <w:szCs w:val="28"/>
          <w:lang w:val="en-US" w:eastAsia="zh-CN"/>
        </w:rPr>
        <w:t>（三）</w:t>
      </w:r>
      <w:r>
        <w:rPr>
          <w:rFonts w:hint="eastAsia" w:ascii="楷体" w:hAnsi="楷体" w:eastAsia="楷体" w:cs="楷体"/>
          <w:b/>
          <w:bCs/>
          <w:sz w:val="28"/>
          <w:szCs w:val="28"/>
          <w:lang w:val="en-US" w:eastAsia="zh-CN"/>
        </w:rPr>
        <w:t>效果论效果：罪刑均衡与过罚相当的必然要求</w:t>
      </w:r>
    </w:p>
    <w:p w14:paraId="057011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药品管理领域，无论是刑法还是行政法，都有一个基本的要求就是“罚当其罪”。行刑反向衔接机制需要以刑法中的“罪责相适应”原则与行政法中的“过罚相当”原则作为运行的基础，前者要求刑罚与犯罪行为的主观恶性与社会危害性相适应，后者要求行政处罚与行政违法行为的情节与危害性相适应。</w:t>
      </w:r>
      <w:r>
        <w:rPr>
          <w:rStyle w:val="9"/>
          <w:rFonts w:hint="eastAsia" w:ascii="仿宋" w:hAnsi="仿宋" w:eastAsia="仿宋" w:cs="仿宋"/>
          <w:sz w:val="24"/>
          <w:szCs w:val="24"/>
          <w:lang w:val="en-US" w:eastAsia="zh-CN"/>
        </w:rPr>
        <w:footnoteReference w:id="18"/>
      </w:r>
      <w:r>
        <w:rPr>
          <w:rFonts w:hint="eastAsia" w:ascii="仿宋" w:hAnsi="仿宋" w:eastAsia="仿宋" w:cs="仿宋"/>
          <w:sz w:val="24"/>
          <w:szCs w:val="24"/>
          <w:lang w:val="en-US" w:eastAsia="zh-CN"/>
        </w:rPr>
        <w:t>无论是“罪责相适应”原则还是“过罚相当”原则均为整个公法责任体系的基本要求，二者虽适用的领域不同，但其价值指向具有内在的一致性，即确保罚当其罪，保证司法公正。根据药品违法犯罪行为的实质违法性程度，来判断违法行为应该受到什么处罚。行刑反向衔接机制的规范价值并不在于其扩大处罚范围，而是在于提升了处罚的精准性与合理性。将刑法与行政法通过行刑反向衔接机制连接起来，对不同社会危害程度的药品违法行为进行精准区分，对其使用与其社会危害程度相适应的处罚方式，实现了犯罪行为收到的处罚与其社会危害性相匹配，尽可能避免“非罪即放”与“轻罪重罚”，从制度上实现了制裁与违法行为的危害行相匹配。</w:t>
      </w:r>
    </w:p>
    <w:p w14:paraId="461ABF39">
      <w:pPr>
        <w:numPr>
          <w:ilvl w:val="0"/>
          <w:numId w:val="0"/>
        </w:numPr>
        <w:ind w:leftChars="0"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三、药品管理领域中行刑反向衔接的实体审查</w:t>
      </w:r>
    </w:p>
    <w:p w14:paraId="23A4B1ED">
      <w:pPr>
        <w:numPr>
          <w:ilvl w:val="0"/>
          <w:numId w:val="0"/>
        </w:numPr>
        <w:ind w:firstLine="560" w:firstLineChars="20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（一）出罪判断：基于实质法益理念展开判断</w:t>
      </w:r>
    </w:p>
    <w:p w14:paraId="57FB4B81">
      <w:pPr>
        <w:ind w:firstLine="560" w:firstLineChars="200"/>
        <w:rPr>
          <w:rFonts w:hint="eastAsia" w:ascii="仿宋" w:hAnsi="仿宋" w:eastAsia="仿宋" w:cs="仿宋"/>
          <w:b w:val="0"/>
          <w:bCs w:val="0"/>
          <w:sz w:val="28"/>
          <w:szCs w:val="28"/>
        </w:rPr>
      </w:pPr>
      <w:r>
        <w:rPr>
          <w:rFonts w:hint="eastAsia" w:ascii="仿宋" w:hAnsi="仿宋" w:eastAsia="仿宋" w:cs="仿宋"/>
          <w:b w:val="0"/>
          <w:bCs w:val="0"/>
          <w:sz w:val="28"/>
          <w:szCs w:val="28"/>
          <w:lang w:val="en-US" w:eastAsia="zh-CN"/>
        </w:rPr>
        <w:t>1.</w:t>
      </w:r>
      <w:r>
        <w:rPr>
          <w:rFonts w:hint="eastAsia" w:ascii="仿宋" w:hAnsi="仿宋" w:eastAsia="仿宋" w:cs="仿宋"/>
          <w:b w:val="0"/>
          <w:bCs w:val="0"/>
          <w:sz w:val="28"/>
          <w:szCs w:val="28"/>
        </w:rPr>
        <w:t>“对依法不需要追究刑事责任”的判断</w:t>
      </w:r>
    </w:p>
    <w:p w14:paraId="3C1857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在药品管理领域，从犯罪构成的角度出发，</w:t>
      </w:r>
      <w:r>
        <w:rPr>
          <w:rFonts w:hint="eastAsia" w:ascii="仿宋" w:hAnsi="仿宋" w:eastAsia="仿宋" w:cs="仿宋"/>
          <w:sz w:val="24"/>
          <w:szCs w:val="24"/>
        </w:rPr>
        <w:t>“对依法不需要追究刑事责任”</w:t>
      </w:r>
      <w:r>
        <w:rPr>
          <w:rFonts w:hint="eastAsia" w:ascii="仿宋" w:hAnsi="仿宋" w:eastAsia="仿宋" w:cs="仿宋"/>
          <w:sz w:val="24"/>
          <w:szCs w:val="24"/>
          <w:lang w:val="en-US" w:eastAsia="zh-CN"/>
        </w:rPr>
        <w:t>是一种出罪事由，它阻却了刑罚对药品犯罪的适用，阻却了责任承担。可以认为所有的分则条文的解释都需要遵循总则的指导，因此可以充分利用</w:t>
      </w:r>
      <w:r>
        <w:rPr>
          <w:rFonts w:hint="eastAsia" w:ascii="仿宋" w:hAnsi="仿宋" w:eastAsia="仿宋" w:cs="仿宋"/>
          <w:sz w:val="24"/>
          <w:szCs w:val="24"/>
        </w:rPr>
        <w:t>“</w:t>
      </w:r>
      <w:r>
        <w:rPr>
          <w:rFonts w:hint="eastAsia" w:ascii="仿宋" w:hAnsi="仿宋" w:eastAsia="仿宋" w:cs="仿宋"/>
          <w:sz w:val="24"/>
          <w:szCs w:val="24"/>
          <w:lang w:val="en-US" w:eastAsia="zh-CN"/>
        </w:rPr>
        <w:t>但书</w:t>
      </w:r>
      <w:r>
        <w:rPr>
          <w:rFonts w:hint="eastAsia" w:ascii="仿宋" w:hAnsi="仿宋" w:eastAsia="仿宋" w:cs="仿宋"/>
          <w:sz w:val="24"/>
          <w:szCs w:val="24"/>
        </w:rPr>
        <w:t>”</w:t>
      </w:r>
      <w:r>
        <w:rPr>
          <w:rFonts w:hint="eastAsia" w:ascii="仿宋" w:hAnsi="仿宋" w:eastAsia="仿宋" w:cs="仿宋"/>
          <w:sz w:val="24"/>
          <w:szCs w:val="24"/>
          <w:lang w:val="en-US" w:eastAsia="zh-CN"/>
        </w:rPr>
        <w:t>进行出罪。</w:t>
      </w:r>
      <w:r>
        <w:rPr>
          <w:rStyle w:val="9"/>
          <w:rFonts w:hint="eastAsia" w:ascii="仿宋" w:hAnsi="仿宋" w:eastAsia="仿宋" w:cs="仿宋"/>
          <w:sz w:val="24"/>
          <w:szCs w:val="24"/>
          <w:lang w:val="en-US" w:eastAsia="zh-CN"/>
        </w:rPr>
        <w:footnoteReference w:id="19"/>
      </w:r>
      <w:r>
        <w:rPr>
          <w:rFonts w:hint="eastAsia" w:ascii="仿宋" w:hAnsi="仿宋" w:eastAsia="仿宋" w:cs="仿宋"/>
          <w:sz w:val="24"/>
          <w:szCs w:val="24"/>
          <w:lang w:val="en-US" w:eastAsia="zh-CN"/>
        </w:rPr>
        <w:t>对“依法不需要追究刑事责任”的判断，不能仅停留在形式层面，而应当回归刑法评价的根本标准，即是否对刑法所保护的法益存在侵害或现实的危险。</w:t>
      </w:r>
      <w:r>
        <w:rPr>
          <w:rStyle w:val="9"/>
          <w:rFonts w:hint="eastAsia" w:ascii="仿宋" w:hAnsi="仿宋" w:eastAsia="仿宋" w:cs="仿宋"/>
          <w:sz w:val="24"/>
          <w:szCs w:val="24"/>
          <w:lang w:val="en-US" w:eastAsia="zh-CN"/>
        </w:rPr>
        <w:footnoteReference w:id="20"/>
      </w:r>
      <w:r>
        <w:rPr>
          <w:rFonts w:hint="eastAsia" w:ascii="仿宋" w:hAnsi="仿宋" w:eastAsia="仿宋" w:cs="仿宋"/>
          <w:sz w:val="24"/>
          <w:szCs w:val="24"/>
          <w:lang w:val="en-US" w:eastAsia="zh-CN"/>
        </w:rPr>
        <w:t>某一行为是否具有社会危害性以及其危害程度的高低，构成区分犯罪行为与非犯罪行为的重要判断依据。药品犯罪领域刑事责任的追究，必须紧紧围绕行为是否对公民生命健康法益造成侵害或构成具体、现实的危险。需要从有无法益侵害的角度出发判断出罪与否。在现行刑法体系中，围绕药品安全设置了多项刑事罪名，重点涵盖假药、劣药以及妨害药品管理等违法行为。虽然以上内容在构成要件设计与立法技术上存在差异均，但均要求严重危害人体健康或足以危害人体健康。其规范目的并不在于仅仅维护药品管理秩序，而是同时对公民生命健康法益进行保护。因此，在对上述罪名进行出罪判断时，行为对公民生命健康法益是否构成侵害或产生现实危险，应当成为是否对该行为追究刑事责任的判断重心。不能仅依据药品是否符合形式标准作出判断，综合考察其对公民生命健康法益的实际影响程度。应当避免行为在没有危及公民的生命健康法益的情况下，草率动用刑事处罚对行为人进行制裁。如果没有危及公民的生命健康法益，就应当作出罪处理。</w:t>
      </w:r>
    </w:p>
    <w:p w14:paraId="260F6C72">
      <w:pPr>
        <w:numPr>
          <w:ilvl w:val="0"/>
          <w:numId w:val="0"/>
        </w:numPr>
        <w:ind w:firstLine="560" w:firstLineChars="200"/>
        <w:jc w:val="both"/>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2.“免予刑事处罚”的判断</w:t>
      </w:r>
    </w:p>
    <w:p w14:paraId="452504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宋体" w:hAnsi="宋体" w:eastAsia="宋体" w:cs="宋体"/>
          <w:sz w:val="28"/>
          <w:szCs w:val="28"/>
          <w:lang w:val="en-US" w:eastAsia="zh-CN"/>
        </w:rPr>
      </w:pPr>
      <w:r>
        <w:rPr>
          <w:rFonts w:hint="eastAsia" w:ascii="仿宋" w:hAnsi="仿宋" w:eastAsia="仿宋" w:cs="仿宋"/>
          <w:sz w:val="24"/>
          <w:szCs w:val="24"/>
          <w:lang w:val="en-US" w:eastAsia="zh-CN"/>
        </w:rPr>
        <w:t xml:space="preserve">  与“依法不需要追究刑事责任”侧重于犯罪成立与否不同，《刑法》第37条规定的“免予刑事处罚”</w:t>
      </w:r>
      <w:r>
        <w:rPr>
          <w:rStyle w:val="9"/>
          <w:rFonts w:hint="eastAsia" w:ascii="仿宋" w:hAnsi="仿宋" w:eastAsia="仿宋" w:cs="仿宋"/>
          <w:sz w:val="24"/>
          <w:szCs w:val="24"/>
          <w:lang w:val="en-US" w:eastAsia="zh-CN"/>
        </w:rPr>
        <w:footnoteReference w:id="21"/>
      </w:r>
      <w:r>
        <w:rPr>
          <w:rFonts w:hint="eastAsia" w:ascii="仿宋" w:hAnsi="仿宋" w:eastAsia="仿宋" w:cs="仿宋"/>
          <w:sz w:val="24"/>
          <w:szCs w:val="24"/>
          <w:lang w:val="en-US" w:eastAsia="zh-CN"/>
        </w:rPr>
        <w:t>，虽然不是刑事处罚，但也属于一种惩罚，在媒体高度发达的当今社会，逮捕，有罪判决等报道，实际上已经向社会传递了国家对行为人行为的否定评价。本条款以行为已经构成犯罪为前提，其规范的重点在于对刑罚适用的必要性进行判断。</w:t>
      </w:r>
      <w:r>
        <w:rPr>
          <w:rStyle w:val="9"/>
          <w:rFonts w:hint="eastAsia" w:ascii="仿宋" w:hAnsi="仿宋" w:eastAsia="仿宋" w:cs="仿宋"/>
          <w:sz w:val="24"/>
          <w:szCs w:val="24"/>
          <w:lang w:val="en-US" w:eastAsia="zh-CN"/>
        </w:rPr>
        <w:footnoteReference w:id="22"/>
      </w:r>
      <w:r>
        <w:rPr>
          <w:rFonts w:hint="eastAsia" w:ascii="仿宋" w:hAnsi="仿宋" w:eastAsia="仿宋" w:cs="仿宋"/>
          <w:sz w:val="24"/>
          <w:szCs w:val="24"/>
          <w:lang w:val="en-US" w:eastAsia="zh-CN"/>
        </w:rPr>
        <w:t>该条通过“犯罪情节轻微”“不需要判处刑罚”的表述，为在犯罪成立但刑罚介入缺乏现实必要性的情形下，保留制度的缓冲空间。该条款不仅是法院作出不起诉决定的依据而且是检察机关作出（酌定）不起诉决定的依据。</w:t>
      </w:r>
      <w:r>
        <w:rPr>
          <w:rFonts w:hint="eastAsia" w:ascii="仿宋" w:hAnsi="仿宋" w:eastAsia="仿宋" w:cs="仿宋"/>
          <w:sz w:val="24"/>
          <w:szCs w:val="24"/>
          <w:vertAlign w:val="superscript"/>
          <w:lang w:val="en-US" w:eastAsia="zh-CN"/>
        </w:rPr>
        <w:fldChar w:fldCharType="begin"/>
      </w:r>
      <w:r>
        <w:rPr>
          <w:rFonts w:hint="eastAsia" w:ascii="仿宋" w:hAnsi="仿宋" w:eastAsia="仿宋" w:cs="仿宋"/>
          <w:sz w:val="24"/>
          <w:szCs w:val="24"/>
          <w:vertAlign w:val="superscript"/>
          <w:lang w:val="en-US" w:eastAsia="zh-CN"/>
        </w:rPr>
        <w:instrText xml:space="preserve"> REF _Ref7895 \r \h </w:instrText>
      </w:r>
      <w:r>
        <w:rPr>
          <w:rFonts w:hint="eastAsia" w:ascii="仿宋" w:hAnsi="仿宋" w:eastAsia="仿宋" w:cs="仿宋"/>
          <w:sz w:val="24"/>
          <w:szCs w:val="24"/>
          <w:vertAlign w:val="superscript"/>
          <w:lang w:val="en-US" w:eastAsia="zh-CN"/>
        </w:rPr>
        <w:fldChar w:fldCharType="separate"/>
      </w:r>
      <w:r>
        <w:rPr>
          <w:rStyle w:val="9"/>
          <w:rFonts w:hint="eastAsia" w:ascii="仿宋" w:hAnsi="仿宋" w:eastAsia="仿宋" w:cs="仿宋"/>
          <w:sz w:val="24"/>
          <w:szCs w:val="24"/>
          <w:lang w:val="en-US" w:eastAsia="zh-CN"/>
        </w:rPr>
        <w:footnoteReference w:id="23"/>
      </w:r>
      <w:r>
        <w:rPr>
          <w:rFonts w:hint="eastAsia" w:ascii="仿宋" w:hAnsi="仿宋" w:eastAsia="仿宋" w:cs="仿宋"/>
          <w:sz w:val="24"/>
          <w:szCs w:val="24"/>
          <w:vertAlign w:val="superscript"/>
          <w:lang w:val="en-US" w:eastAsia="zh-CN"/>
        </w:rPr>
        <w:fldChar w:fldCharType="end"/>
      </w:r>
      <w:r>
        <w:rPr>
          <w:rFonts w:hint="eastAsia" w:ascii="仿宋" w:hAnsi="仿宋" w:eastAsia="仿宋" w:cs="仿宋"/>
          <w:sz w:val="24"/>
          <w:szCs w:val="24"/>
          <w:lang w:val="en-US" w:eastAsia="zh-CN"/>
        </w:rPr>
        <w:t>“免予刑事处罚”并非对犯罪评价的否定，而是对刑罚手段的节制。犯罪学上强调了对轻罪的行为人一律选择定罪处刑，会使轻罪行为人对其罪犯的标签的认同，从而使其更容易在回归社会后再次犯罪。</w:t>
      </w:r>
      <w:r>
        <w:rPr>
          <w:rStyle w:val="9"/>
          <w:rFonts w:hint="eastAsia" w:ascii="仿宋" w:hAnsi="仿宋" w:eastAsia="仿宋" w:cs="仿宋"/>
          <w:sz w:val="24"/>
          <w:szCs w:val="24"/>
          <w:lang w:val="en-US" w:eastAsia="zh-CN"/>
        </w:rPr>
        <w:footnoteReference w:id="24"/>
      </w:r>
      <w:r>
        <w:rPr>
          <w:rFonts w:hint="eastAsia" w:ascii="仿宋" w:hAnsi="仿宋" w:eastAsia="仿宋" w:cs="仿宋"/>
          <w:sz w:val="24"/>
          <w:szCs w:val="24"/>
          <w:lang w:val="en-US" w:eastAsia="zh-CN"/>
        </w:rPr>
        <w:t>其适用判断的关键，并不在于形式要件是否具备，而在于对行为社是对生命健康法益侵害程度的实质考察。即使某一药品违法行为在构成要件层面已经符合假药罪、劣药罪或妨害药品管理罪的规定，仍需要进一步判断其是否已经达到必须通过刑罚进行制裁的对生命健康法益侵害程度。对于法益侵害程度显著轻微、风险后果可控，且行为人主观恶性较低的案件，即便在构成犯罪的前提下，也可以对行为人进行定罪免罚。</w:t>
      </w:r>
    </w:p>
    <w:p w14:paraId="7DAE9E0F">
      <w:pPr>
        <w:widowControl w:val="0"/>
        <w:numPr>
          <w:ilvl w:val="0"/>
          <w:numId w:val="0"/>
        </w:numPr>
        <w:ind w:firstLine="560" w:firstLineChars="20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（二）入行判断：“可处罚性”的二阶审查方法</w:t>
      </w:r>
    </w:p>
    <w:p w14:paraId="1B7F8A81">
      <w:pPr>
        <w:widowControl w:val="0"/>
        <w:numPr>
          <w:ilvl w:val="0"/>
          <w:numId w:val="0"/>
        </w:numPr>
        <w:ind w:firstLine="560" w:firstLineChars="200"/>
        <w:jc w:val="both"/>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 应罚性要素：依法是否应当对被不起诉人进行行政处罚</w:t>
      </w:r>
    </w:p>
    <w:p w14:paraId="700D31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对于符合“出罪”标准的案件，还应对其独立审查其是否符合《药品管理法》等相关法规的行政法违法标准，避免“不刑不罚”。依据《行政处罚法》第27条第1款的规定，对于依法不予追究刑事责任或者免予刑事处罚的药品违法案件，是否移送药品监管部门实施行政处罚，关键在于对其“可罚性”的判断。</w:t>
      </w:r>
    </w:p>
    <w:p w14:paraId="386ED8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从正向入行的角度来看，是否可以对行为人实施行政处罚，关键在于当前是否存在明确的前置法依据，即行为人的行为在“出罪”后，是否满足适用行政处罚的条件。药品管理领域的行政处罚，通常依据《药品管理法》及相关法规。《药品管理法》明确规定了药品领域行为的违法及处罚标准。</w:t>
      </w:r>
      <w:r>
        <w:rPr>
          <w:rStyle w:val="9"/>
          <w:rFonts w:hint="eastAsia" w:ascii="仿宋" w:hAnsi="仿宋" w:eastAsia="仿宋" w:cs="仿宋"/>
          <w:sz w:val="24"/>
          <w:szCs w:val="24"/>
          <w:lang w:val="en-US" w:eastAsia="zh-CN"/>
        </w:rPr>
        <w:footnoteReference w:id="25"/>
      </w:r>
    </w:p>
    <w:p w14:paraId="0158FD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从反向排除的角度来看，根据《人民检察院行刑反向衔接工作指引》第10条的规定，可分为不满足形成处罚成立要件与法益恢复情形两种类型。不满足行政处罚成立要件包括，行为人的违法行为已超出行政处罚时效，违法行为人是不满十四周岁的未成年人，行为人实施违法行为时系精神病人等且实施违法行为时不能辨认或者不能控制自己行为。行为人有充分的证据证明其违法行为没有主观过错法律没有相关规定。具有相关法律法规规定不予行政处罚的其他情形。法益恢复情形指虽然存在一定违法行为，但通过事后补救或修正措施，已经实现了法益恢复或风险消除的情形，当事人的违法行为轻微且及时改正，没有造成损害，符合《药品管理法》及相关法规规定同时不符合以上行为的行为人可以被追究行政责任。</w:t>
      </w:r>
    </w:p>
    <w:p w14:paraId="10429A54">
      <w:pPr>
        <w:widowControl w:val="0"/>
        <w:numPr>
          <w:ilvl w:val="0"/>
          <w:numId w:val="0"/>
        </w:numPr>
        <w:ind w:firstLine="560" w:firstLineChars="200"/>
        <w:jc w:val="both"/>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2. 必要性要素：是否有必要对被不起诉人进行行政处罚</w:t>
      </w:r>
    </w:p>
    <w:p w14:paraId="4023728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8"/>
          <w:szCs w:val="28"/>
          <w:lang w:val="en-US" w:eastAsia="zh-CN"/>
        </w:rPr>
      </w:pPr>
      <w:r>
        <w:rPr>
          <w:rFonts w:hint="eastAsia"/>
          <w:lang w:val="en-US" w:eastAsia="zh-CN"/>
        </w:rPr>
        <w:t xml:space="preserve">  </w:t>
      </w:r>
      <w:r>
        <w:rPr>
          <w:rFonts w:hint="eastAsia"/>
          <w:sz w:val="28"/>
          <w:szCs w:val="28"/>
          <w:lang w:val="en-US" w:eastAsia="zh-CN"/>
        </w:rPr>
        <w:t xml:space="preserve"> </w:t>
      </w:r>
      <w:r>
        <w:rPr>
          <w:rFonts w:hint="eastAsia" w:ascii="仿宋" w:hAnsi="仿宋" w:eastAsia="仿宋" w:cs="仿宋"/>
          <w:sz w:val="24"/>
          <w:szCs w:val="24"/>
          <w:lang w:val="en-US" w:eastAsia="zh-CN"/>
        </w:rPr>
        <w:t>从制度设计上来看，《人民检察院行刑反向衔接工作指引》规定了若干可以不启动行政处罚的情形。行政执法与刑事司法均为社会行为的管理的手段，最终目的都是要维护良好的社会秩序。行政处罚与刑罚的共同本质是公权力对公民的一种处罚，具有类似的制裁目的。其核心标准均在于是否具有现实的预防价值。因此可将这些情形主要分为特殊预防必要性与一般预防必要性两种类型。特殊预防必要性类型主要涵盖三类主体：一是已满十四周岁但未满十八周岁的未成年人；二是尚未完全丧失或者控制自身行为能力的存在精神障碍的自然人。三是智力残疾人。以上行为人对违法行为的认知能力以及对自身行为的控制能力存在客观限制。通过行政处罚防止其再犯罪的意义不大。而违法行为是受他人胁迫或者诱骗实施的这一情况显然并非行为人有意实施，而是受到了外在影响，此种情形下通过行政处罚对其行为进行矫正预防其再次犯罪的现实意义不大。行为人已经受到训诫或责令具结悔过、赔礼道歉、赔偿损失的，在该种情形下，上述措施已对行为人的行为进行了矫正，前述措施已达成目的，继续使用行政处罚特殊预防的意义不大。而一般预防必要性类型包括了行为人的违法行为是初次且危害后果轻微并且及时改正。具体表现为行为人已主动消除违法后果，或者当事人之间已达成和解，亦或违法情节较轻并取得被害人谅解。在此情形下行为人的违法行为社会危害性较低且行为人主观上态度积极，有悔过意愿并且通过了积极的行为恢复了法益，使社会冲突得到实质性的化解。此时若再实施行政处罚在一般预防层面上的警示意义极为有限。因此没有实施行政处罚的必要性。</w:t>
      </w:r>
    </w:p>
    <w:p w14:paraId="611F1D58">
      <w:pPr>
        <w:widowControl w:val="0"/>
        <w:numPr>
          <w:ilvl w:val="0"/>
          <w:numId w:val="1"/>
        </w:numPr>
        <w:ind w:leftChars="0"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药品管理领域中行刑反向衔接的程序保障</w:t>
      </w:r>
    </w:p>
    <w:p w14:paraId="71E80A94">
      <w:pPr>
        <w:widowControl w:val="0"/>
        <w:numPr>
          <w:ilvl w:val="0"/>
          <w:numId w:val="0"/>
        </w:numPr>
        <w:ind w:firstLine="560" w:firstLineChars="200"/>
        <w:jc w:val="both"/>
        <w:rPr>
          <w:rFonts w:hint="eastAsia" w:ascii="楷体" w:hAnsi="楷体" w:eastAsia="楷体" w:cs="楷体"/>
          <w:b w:val="0"/>
          <w:bCs w:val="0"/>
          <w:sz w:val="28"/>
          <w:szCs w:val="28"/>
        </w:rPr>
      </w:pPr>
      <w:r>
        <w:rPr>
          <w:rFonts w:hint="eastAsia" w:ascii="楷体" w:hAnsi="楷体" w:eastAsia="楷体" w:cs="楷体"/>
          <w:b w:val="0"/>
          <w:bCs w:val="0"/>
          <w:sz w:val="28"/>
          <w:szCs w:val="28"/>
        </w:rPr>
        <w:t>（一）行刑反向衔接的程序启动</w:t>
      </w:r>
    </w:p>
    <w:p w14:paraId="1238EA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行刑反向衔接机制在药品管理领域的有效运行，依赖于行刑反向衔接机制程序启动机制的明确化。在公安侦查、检察审查起诉以及人民法院审判的三个阶段，均可能因案件实体条件的变化而触发行刑反向衔接机制。《药品管理法》第113条第2款从程序层面对行刑反向衔接中的案件移送作出了明确安排，即在依法不需要追究刑事责任或者免予刑事处罚，但仍应承担行政责任的情形下，公安机关、人民检察院以及人民法院应当将案件及时移送药品监督管理部门处理。</w:t>
      </w:r>
    </w:p>
    <w:p w14:paraId="4D3A7B09">
      <w:pPr>
        <w:widowControl w:val="0"/>
        <w:numPr>
          <w:ilvl w:val="0"/>
          <w:numId w:val="0"/>
        </w:numPr>
        <w:ind w:firstLine="560" w:firstLineChars="200"/>
        <w:jc w:val="both"/>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1.公安机关的行刑反向衔接的程序的启动</w:t>
      </w:r>
    </w:p>
    <w:p w14:paraId="476A0F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我国刑事立案标准较高，公安机关需要展开初期调查来判断是否存在犯罪事实。《公安机关办理刑事案件程序》第174条第1款规定，公安机关在发现犯罪线索后，应当及时进行审查；对于案件事实或者线索尚不明确的，经办案部门负责人批准，可以开展必要的调查核实。该条第二款进一步明确，在上述调查阶段，公安机关可以依法采取不限制被调查对象人身、财产权利的相关措施。由此可见公安机关只要认为是犯罪的，就可以开展初期调查。</w:t>
      </w:r>
      <w:r>
        <w:rPr>
          <w:rStyle w:val="9"/>
          <w:rFonts w:hint="eastAsia" w:ascii="仿宋" w:hAnsi="仿宋" w:eastAsia="仿宋" w:cs="仿宋"/>
          <w:sz w:val="24"/>
          <w:szCs w:val="24"/>
          <w:lang w:val="en-US" w:eastAsia="zh-CN"/>
        </w:rPr>
        <w:footnoteReference w:id="26"/>
      </w:r>
      <w:r>
        <w:rPr>
          <w:rFonts w:hint="eastAsia" w:ascii="仿宋" w:hAnsi="仿宋" w:eastAsia="仿宋" w:cs="仿宋"/>
          <w:sz w:val="24"/>
          <w:szCs w:val="24"/>
          <w:lang w:val="en-US" w:eastAsia="zh-CN"/>
        </w:rPr>
        <w:t>《行政执法机关移送涉嫌犯罪案件的规定》第13条对公安机关将案件移送同级行政执法机关的适用情形作出了原则性规定。在药品管理领域，《药品行政执法与刑事司法衔接工作办法》第16条进一步予以细化，明确公安机关在查明违法药品行为不构成犯罪，或者犯罪情节显著轻微、依法不需要追究刑事责任，但仍应承担行政责任的情形下，应当及时将案件及相关证据材料移送具有管辖权的药品监督管理部门处理。在此情形下行刑反向衔接程序的启动有效避免了因刑事程序退出而导致的监管真空，使药品违法行为在行政法的范围内得到评价与处理。</w:t>
      </w:r>
    </w:p>
    <w:p w14:paraId="0055C7B0">
      <w:pPr>
        <w:widowControl w:val="0"/>
        <w:numPr>
          <w:ilvl w:val="0"/>
          <w:numId w:val="0"/>
        </w:numPr>
        <w:ind w:firstLine="560" w:firstLineChars="200"/>
        <w:jc w:val="both"/>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2.人民检察院的行刑反向衔接程序的启动</w:t>
      </w:r>
    </w:p>
    <w:p w14:paraId="5BFE64A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人民检察院在对药品犯罪案件进行审查时，若认为案件不符合起诉条件，依法作出不起诉决定便可能触发行刑反向衔接机制。《刑事诉讼法》第117条第3款明确，在人民检察院对案件作出不起诉决定后，若被不起诉人依法仍需承担行政责任，人民检察院应当提出检察意见，并将案件移送有关主管机关处理。与此相衔接，《最高人民检察院关于推进行政执法与刑事司法衔接工作的规定》第8条进一步要求，人民检察院在作出不起诉决定的同时，应当对是否需要给予行政处罚进行审查；经审查认为有必要给予行政处罚的，须经检察长批准，向同级有关主管机关提出检察意见。在药品管理领域，上述主管机关具体表现为具有相应管辖权的药品监督管理部门。《药品行政执法与刑事司法衔接工作办法》第17条第1款对此作出专门规定，明确人民检察院在作出不起诉决定后，认为依法应当给予行政处罚的，应当将案件及相关证据材料一并移送药品监管部门，并同步提出检察意见。在此情形下行刑反向衔接程序的启动为刑事责任与行政责任的分流而衔接，避免因不起诉决定而使药品违法行为脱离法律的规制。</w:t>
      </w:r>
    </w:p>
    <w:p w14:paraId="4A0CB79D">
      <w:pPr>
        <w:widowControl w:val="0"/>
        <w:numPr>
          <w:ilvl w:val="0"/>
          <w:numId w:val="0"/>
        </w:numPr>
        <w:ind w:leftChars="200"/>
        <w:jc w:val="both"/>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3.人民法院的行刑反向衔接程序的启动</w:t>
      </w:r>
    </w:p>
    <w:p w14:paraId="000439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4"/>
          <w:szCs w:val="24"/>
          <w:lang w:val="en-US" w:eastAsia="zh-CN"/>
        </w:rPr>
      </w:pPr>
      <w:r>
        <w:rPr>
          <w:rFonts w:hint="eastAsia"/>
          <w:lang w:val="en-US" w:eastAsia="zh-CN"/>
        </w:rPr>
        <w:t xml:space="preserve">  </w:t>
      </w:r>
      <w:r>
        <w:rPr>
          <w:rFonts w:hint="eastAsia" w:ascii="仿宋" w:hAnsi="仿宋" w:eastAsia="仿宋" w:cs="仿宋"/>
          <w:sz w:val="24"/>
          <w:szCs w:val="24"/>
          <w:lang w:val="en-US" w:eastAsia="zh-CN"/>
        </w:rPr>
        <w:t>对于已经进入审判程序的药品案件，人民法院在审理过程中，可能因证据不足、事实不清等原因，依法作出无罪判决，免予刑事处罚的判决，但有可能要承担行政责任时，就可能触发行刑反向衔接机制。《药品行政执法与刑事司法衔接工作办法》第17条第2款规定，对于人民法院判决无罪或者免予刑事处罚的案件，如果案件事实符合行政处罚条件，应当将案件及相关证据材料移交药品监管部门处理，并可以提出司法建议。通过司法裁判确认刑事责任不成立或不予追究的同时，为行政机关依法行使监管职权保留空间。</w:t>
      </w:r>
      <w:r>
        <w:rPr>
          <w:rStyle w:val="9"/>
          <w:rFonts w:hint="eastAsia" w:ascii="仿宋" w:hAnsi="仿宋" w:eastAsia="仿宋" w:cs="仿宋"/>
          <w:sz w:val="24"/>
          <w:szCs w:val="24"/>
          <w:lang w:val="en-US" w:eastAsia="zh-CN"/>
        </w:rPr>
        <w:footnoteReference w:id="27"/>
      </w:r>
    </w:p>
    <w:p w14:paraId="631D0DCC">
      <w:pPr>
        <w:widowControl w:val="0"/>
        <w:numPr>
          <w:ilvl w:val="0"/>
          <w:numId w:val="0"/>
        </w:numPr>
        <w:ind w:leftChars="0" w:firstLine="560" w:firstLineChars="200"/>
        <w:jc w:val="both"/>
        <w:rPr>
          <w:rFonts w:hint="eastAsia" w:ascii="楷体" w:hAnsi="楷体" w:eastAsia="楷体" w:cs="楷体"/>
          <w:b w:val="0"/>
          <w:bCs w:val="0"/>
          <w:sz w:val="28"/>
          <w:szCs w:val="28"/>
        </w:rPr>
      </w:pP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lang w:val="en-US" w:eastAsia="zh-CN"/>
        </w:rPr>
        <w:t>二</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行刑反向衔接的证据移送</w:t>
      </w:r>
    </w:p>
    <w:p w14:paraId="754AA5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中华人民共和国行政处罚法》第27条第2款从法律制度层面强调了行政机关与司法机关之间的协同配合，并要求根据案件具体情况及时进行案件及证据材料的移送，从而为行刑反向衔接机制下证据的移送与转化提供了明确的法律依据。</w:t>
      </w:r>
      <w:r>
        <w:rPr>
          <w:rStyle w:val="9"/>
          <w:rFonts w:hint="eastAsia" w:ascii="仿宋" w:hAnsi="仿宋" w:eastAsia="仿宋" w:cs="仿宋"/>
          <w:sz w:val="24"/>
          <w:szCs w:val="24"/>
          <w:lang w:val="en-US" w:eastAsia="zh-CN"/>
        </w:rPr>
        <w:footnoteReference w:id="28"/>
      </w:r>
      <w:r>
        <w:rPr>
          <w:rFonts w:hint="eastAsia" w:ascii="仿宋" w:hAnsi="仿宋" w:eastAsia="仿宋" w:cs="仿宋"/>
          <w:sz w:val="24"/>
          <w:szCs w:val="24"/>
          <w:lang w:val="en-US" w:eastAsia="zh-CN"/>
        </w:rPr>
        <w:t>行刑反向衔接机制中，刑事司法与行政执法的证据目录不一致，刑事证据强调了合法性，客观性以及关联性要求排除一切合理怀疑，而行政证据此类要求明显低于刑事证据，要求达到证据确凿。</w:t>
      </w:r>
      <w:r>
        <w:rPr>
          <w:rStyle w:val="9"/>
          <w:rFonts w:hint="eastAsia" w:ascii="仿宋" w:hAnsi="仿宋" w:eastAsia="仿宋" w:cs="仿宋"/>
          <w:sz w:val="24"/>
          <w:szCs w:val="24"/>
          <w:lang w:val="en-US" w:eastAsia="zh-CN"/>
        </w:rPr>
        <w:footnoteReference w:id="29"/>
      </w:r>
      <w:r>
        <w:rPr>
          <w:rFonts w:hint="eastAsia" w:ascii="仿宋" w:hAnsi="仿宋" w:eastAsia="仿宋" w:cs="仿宋"/>
          <w:sz w:val="24"/>
          <w:szCs w:val="24"/>
          <w:lang w:val="en-US" w:eastAsia="zh-CN"/>
        </w:rPr>
        <w:t>虽当前证据移送范围缺乏必要性规定，从证据适用角度看，刑事诉讼程序中依法收集形成的证据材料，并不当然排除其在行政执法中的使用；在满足法定证据标准的前提下，行政机关仍可据此作出行政处罚的决定。故基本可以认为符合规定的刑事证据可以转移到行政执法中使用。</w:t>
      </w:r>
      <w:r>
        <w:rPr>
          <w:rStyle w:val="9"/>
          <w:rFonts w:hint="eastAsia" w:ascii="仿宋" w:hAnsi="仿宋" w:eastAsia="仿宋" w:cs="仿宋"/>
          <w:sz w:val="24"/>
          <w:szCs w:val="24"/>
          <w:lang w:val="en-US" w:eastAsia="zh-CN"/>
        </w:rPr>
        <w:footnoteReference w:id="30"/>
      </w:r>
      <w:r>
        <w:rPr>
          <w:rFonts w:hint="eastAsia" w:ascii="仿宋" w:hAnsi="仿宋" w:eastAsia="仿宋" w:cs="仿宋"/>
          <w:sz w:val="24"/>
          <w:szCs w:val="24"/>
          <w:lang w:val="en-US" w:eastAsia="zh-CN"/>
        </w:rPr>
        <w:t>但是言词类证据因具有主观性强，可重复取得等特征。在行政执法阶段，行政机关原则上应围绕行政证据类型重新取证，因其他客观原因无法重新收集相关证据且该言辞类证据系通过合法的刑事取证程序取得并有其他合法证据予以佐证的情况下，方可作为行政执法的证据直接使用。同时鉴定意见因属于不同的证据体系，证据能力受其他因素影响较大，不宜直接转化使用。</w:t>
      </w:r>
      <w:r>
        <w:rPr>
          <w:rStyle w:val="9"/>
          <w:rFonts w:hint="eastAsia" w:ascii="仿宋" w:hAnsi="仿宋" w:eastAsia="仿宋" w:cs="仿宋"/>
          <w:sz w:val="24"/>
          <w:szCs w:val="24"/>
          <w:lang w:val="en-US" w:eastAsia="zh-CN"/>
        </w:rPr>
        <w:footnoteReference w:id="31"/>
      </w:r>
      <w:r>
        <w:rPr>
          <w:rFonts w:hint="eastAsia" w:ascii="仿宋" w:hAnsi="仿宋" w:eastAsia="仿宋" w:cs="仿宋"/>
          <w:sz w:val="24"/>
          <w:szCs w:val="24"/>
          <w:lang w:val="en-US" w:eastAsia="zh-CN"/>
        </w:rPr>
        <w:t>对于可能需要行刑反向衔接的案件，司法机关可提前与行政机关对接，在在补充侦查、调取书证等环节强化强对应的行政违法证据。</w:t>
      </w:r>
      <w:r>
        <w:rPr>
          <w:rStyle w:val="9"/>
          <w:rFonts w:hint="eastAsia" w:ascii="仿宋" w:hAnsi="仿宋" w:eastAsia="仿宋" w:cs="仿宋"/>
          <w:sz w:val="24"/>
          <w:szCs w:val="24"/>
          <w:lang w:val="en-US" w:eastAsia="zh-CN"/>
        </w:rPr>
        <w:footnoteReference w:id="32"/>
      </w:r>
      <w:r>
        <w:rPr>
          <w:rFonts w:hint="eastAsia" w:ascii="仿宋" w:hAnsi="仿宋" w:eastAsia="仿宋" w:cs="仿宋"/>
          <w:sz w:val="24"/>
          <w:szCs w:val="24"/>
          <w:lang w:val="en-US" w:eastAsia="zh-CN"/>
        </w:rPr>
        <w:t>因此除了以上特殊情况，只要刑事证据能够实质性地证明行政执法所需认定的违法事实或责任要素，即可作为行政处罚的证据使用，无需重新进行形式上的证据“转化”或类别归并，以及重复检测或重新取证，从而避免行政执法资源的浪费。与食品领域类似，药品管理领域的刑事案件证据的收集，审查，认定标准也会更加严格，程序与内容上会更具稳定性。</w:t>
      </w:r>
      <w:r>
        <w:rPr>
          <w:rStyle w:val="9"/>
          <w:rFonts w:hint="eastAsia" w:ascii="仿宋" w:hAnsi="仿宋" w:eastAsia="仿宋" w:cs="仿宋"/>
          <w:sz w:val="24"/>
          <w:szCs w:val="24"/>
          <w:lang w:val="en-US" w:eastAsia="zh-CN"/>
        </w:rPr>
        <w:footnoteReference w:id="33"/>
      </w:r>
      <w:r>
        <w:rPr>
          <w:rFonts w:hint="eastAsia" w:ascii="仿宋" w:hAnsi="仿宋" w:eastAsia="仿宋" w:cs="仿宋"/>
          <w:sz w:val="24"/>
          <w:szCs w:val="24"/>
          <w:lang w:val="en-US" w:eastAsia="zh-CN"/>
        </w:rPr>
        <w:t>在涉药案件中，证据通常集中于以下几个方面：一是涉案药品的实物证据及其来源、流向情况；二是检验检测报告、鉴定意见等技术性证据；三是生产、经营、流通环节中的账册、合同、物流记录等书证；四是行为人及相关人员的供述、陈述材料。在行刑反向衔接过程中，上述证据往往已在刑事司法程序中完成了初步固定和审查。对于行政机关而言，其核心证明对象并不在于行为是否达到刑法意义上的法益侵害，社会危害程度，而在于是否违反了相关药品管理法规以及行为人是否应该承担相应的行政责任。因此，在证据移送时，应当重点关注证据能否证明以下事实：涉案药品是否违反法定质量标准或管理规范，行为人是否实施了药事管理法规规定禁止实施的的行为，是否是直接负责的主管人员和其他直接责任人员，是否法定符合从重处罚的要求，以及该行为与药品安全风险之间的关联程度。樊某、赵某某、罗某某涉嫌非法经营罪行刑反向衔接案</w:t>
      </w:r>
      <w:r>
        <w:rPr>
          <w:rStyle w:val="9"/>
          <w:rFonts w:hint="eastAsia" w:ascii="仿宋" w:hAnsi="仿宋" w:eastAsia="仿宋" w:cs="仿宋"/>
          <w:sz w:val="24"/>
          <w:szCs w:val="24"/>
          <w:lang w:val="en-US" w:eastAsia="zh-CN"/>
        </w:rPr>
        <w:footnoteReference w:id="34"/>
      </w:r>
      <w:r>
        <w:rPr>
          <w:rFonts w:hint="eastAsia" w:ascii="仿宋" w:hAnsi="仿宋" w:eastAsia="仿宋" w:cs="仿宋"/>
          <w:sz w:val="24"/>
          <w:szCs w:val="24"/>
          <w:lang w:val="en-US" w:eastAsia="zh-CN"/>
        </w:rPr>
        <w:t>与药品案例具有一定的相似性，可做参照。在本案中江阴市人民检察院明确移送证据标准，形成“主客观证据+统计表格”的证据移送模式，对聊天记录、境内外交易明细表等关键证据予以标注说明。涉案人员涉及的非法外汇高达232笔，检察机关与公安机关的办案人员现场协助外汇管理部门的需要进行逐笔精准核实，检察机关与公安机关的办案人员进行现场协助，对外汇管理部门提出的疑问进行当面解答。检察院促使涉案人员配合调查取证、如实供述违法事实。从本案中可见刑事程序中已经合法固定的证据被行政机关直接采信用于行政处罚，行政机关主要注重的是</w:t>
      </w:r>
      <w:r>
        <w:rPr>
          <w:rFonts w:hint="eastAsia" w:ascii="仿宋" w:hAnsi="仿宋" w:eastAsia="仿宋" w:cs="仿宋"/>
          <w:sz w:val="24"/>
          <w:szCs w:val="24"/>
        </w:rPr>
        <w:t>证据能力、证明对</w:t>
      </w:r>
      <w:r>
        <w:rPr>
          <w:rFonts w:hint="eastAsia" w:ascii="仿宋" w:hAnsi="仿宋" w:eastAsia="仿宋" w:cs="仿宋"/>
          <w:sz w:val="24"/>
          <w:szCs w:val="24"/>
          <w:lang w:val="en-US" w:eastAsia="zh-CN"/>
        </w:rPr>
        <w:t>象，以证实行政违法事实。</w:t>
      </w:r>
    </w:p>
    <w:p w14:paraId="66CB1ABC">
      <w:pPr>
        <w:numPr>
          <w:ilvl w:val="0"/>
          <w:numId w:val="0"/>
        </w:numPr>
        <w:ind w:leftChars="0" w:firstLine="560" w:firstLineChars="200"/>
        <w:rPr>
          <w:rFonts w:hint="eastAsia" w:ascii="楷体" w:hAnsi="楷体" w:eastAsia="楷体" w:cs="楷体"/>
          <w:b w:val="0"/>
          <w:bCs w:val="0"/>
          <w:sz w:val="28"/>
          <w:szCs w:val="28"/>
        </w:rPr>
      </w:pP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lang w:val="en-US" w:eastAsia="zh-CN"/>
        </w:rPr>
        <w:t>三</w:t>
      </w:r>
      <w:r>
        <w:rPr>
          <w:rFonts w:hint="eastAsia" w:ascii="楷体" w:hAnsi="楷体" w:eastAsia="楷体" w:cs="楷体"/>
          <w:b w:val="0"/>
          <w:bCs w:val="0"/>
          <w:sz w:val="28"/>
          <w:szCs w:val="28"/>
          <w:lang w:eastAsia="zh-CN"/>
        </w:rPr>
        <w:t>）</w:t>
      </w:r>
      <w:r>
        <w:rPr>
          <w:rFonts w:hint="eastAsia" w:ascii="楷体" w:hAnsi="楷体" w:eastAsia="楷体" w:cs="楷体"/>
          <w:b w:val="0"/>
          <w:bCs w:val="0"/>
          <w:sz w:val="28"/>
          <w:szCs w:val="28"/>
        </w:rPr>
        <w:t>行刑反向衔接的跟踪监督</w:t>
      </w:r>
    </w:p>
    <w:p w14:paraId="317978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4"/>
          <w:szCs w:val="24"/>
          <w:lang w:val="en-US" w:eastAsia="zh-CN"/>
        </w:rPr>
      </w:pPr>
      <w:r>
        <w:rPr>
          <w:rFonts w:hint="eastAsia"/>
          <w:lang w:val="en-US" w:eastAsia="zh-CN"/>
        </w:rPr>
        <w:t xml:space="preserve"> </w:t>
      </w:r>
      <w:r>
        <w:rPr>
          <w:rFonts w:hint="eastAsia" w:ascii="仿宋" w:hAnsi="仿宋" w:eastAsia="仿宋" w:cs="仿宋"/>
          <w:sz w:val="24"/>
          <w:szCs w:val="24"/>
          <w:lang w:val="en-US" w:eastAsia="zh-CN"/>
        </w:rPr>
        <w:t xml:space="preserve"> 行刑反向衔接机制效能的实现需要检察机关对行政执法结果的持续跟踪与必要监督。检察机关在行刑反向衔接机制中发挥的监督作用能有效促使行政机关依法行政，行政人员依法履职。在2024年1月至11月期间，在检察机关作出不起诉决定的但需进行行政处罚案件中，由检察机关向相关行政机关明确提出检查意见，行政机关采纳率较高，在85%以上。</w:t>
      </w:r>
      <w:r>
        <w:rPr>
          <w:rStyle w:val="9"/>
          <w:rFonts w:hint="eastAsia" w:ascii="仿宋" w:hAnsi="仿宋" w:eastAsia="仿宋" w:cs="仿宋"/>
          <w:sz w:val="24"/>
          <w:szCs w:val="24"/>
          <w:lang w:val="en-US" w:eastAsia="zh-CN"/>
        </w:rPr>
        <w:footnoteReference w:id="35"/>
      </w:r>
      <w:r>
        <w:rPr>
          <w:rFonts w:hint="eastAsia" w:ascii="仿宋" w:hAnsi="仿宋" w:eastAsia="仿宋" w:cs="仿宋"/>
          <w:sz w:val="24"/>
          <w:szCs w:val="24"/>
          <w:lang w:val="en-US" w:eastAsia="zh-CN"/>
        </w:rPr>
        <w:t>《人民检察院行刑反向衔接工作指引》第22条明确要求，人民检察院在行刑反向衔接过程中，对相关行政主管机关存在的违法情形，应当依法予以督促并促成纠正。在药品管理领域，由于违法行为直接关系到人民的身体健康，人民检察院的跟踪监督更具有现实必要性和制度正当性，检查机关应重点关注行政机关行政处罚决定做出与否以及其法律适用情况。药品行政执法与刑事司法衔接工作办法》第17条对人民检察院在行刑反向衔接中向相关药品监管部门移送案件的情形作出了专门规定，相关药监部门应在收到检察意见书之日起2个月内向人民检察院报告。根据《人民检察院行刑反向衔接工作指引》第22条的规定，检察机关需要做出检查监督的情形主要有三种，相关主管机关收到《检察意见书》后出现未予答复、未依法启动行政立案程序，或者在缺乏正当理由的情况下未作出行政处罚决定的情形。以上三种情形实质上构成对其行政义务的消极不作为。行刑反向衔接机制的顺利运行的一大前提是行政机关对移交的案件线索进行实质性审查，如果药品监管部门对检察意见不予回复，将导致案件无法向下一步进展，从而使得药品违法行为处于事实上的“监管真空”。在此情况下，检察机关的跟踪监督并非对行政裁量结果的干预，而是围绕程序义务履行情况进行监督。通过催告、制发纠正违法通知书、直接介入调查等方式，</w:t>
      </w:r>
      <w:r>
        <w:rPr>
          <w:rStyle w:val="9"/>
          <w:rFonts w:hint="eastAsia" w:ascii="仿宋" w:hAnsi="仿宋" w:eastAsia="仿宋" w:cs="仿宋"/>
          <w:sz w:val="24"/>
          <w:szCs w:val="24"/>
          <w:lang w:val="en-US" w:eastAsia="zh-CN"/>
        </w:rPr>
        <w:footnoteReference w:id="36"/>
      </w:r>
      <w:r>
        <w:rPr>
          <w:rFonts w:hint="eastAsia" w:ascii="仿宋" w:hAnsi="仿宋" w:eastAsia="仿宋" w:cs="仿宋"/>
          <w:sz w:val="24"/>
          <w:szCs w:val="24"/>
          <w:lang w:val="en-US" w:eastAsia="zh-CN"/>
        </w:rPr>
        <w:t>督促药品监管部门依法作出明确回复，这样既有助于厘清案件的处理走向，也有助于确保行刑反向衔接机制在程序层面真正运转。行政机关若具有不予行政立案、无正当理由不予行政处罚的行为，人民检察院关应及时通定期跟踪、发出书面督促函等方式，督促具有行政处罚权的相关行政机关及时立案调查并作出行政处罚。如果药监部门在事实清楚、违法成立的情况下，无正当理由作出不予处罚决定，将导致药品安全难以得到有效保障。因此行政机关无正当理由仍未处理或处理不当，人民检察院应通过制发检察建议等方式确保监督刚性。例如紫金县一起药品反向衔接案件中一被赋予行政处罚权的街道办事处经检察院督促后仍拖立案，后被剥夺处罚权，经紫金县人民检察院持续监督移交给区卫生健康委员会处理。</w:t>
      </w:r>
      <w:r>
        <w:rPr>
          <w:rStyle w:val="9"/>
          <w:rFonts w:hint="eastAsia" w:ascii="仿宋" w:hAnsi="仿宋" w:eastAsia="仿宋" w:cs="仿宋"/>
          <w:sz w:val="24"/>
          <w:szCs w:val="24"/>
          <w:lang w:val="en-US" w:eastAsia="zh-CN"/>
        </w:rPr>
        <w:footnoteReference w:id="37"/>
      </w:r>
    </w:p>
    <w:p w14:paraId="7E82EDA4">
      <w:pPr>
        <w:widowControl w:val="0"/>
        <w:numPr>
          <w:ilvl w:val="0"/>
          <w:numId w:val="0"/>
        </w:numPr>
        <w:ind w:leftChars="0"/>
        <w:jc w:val="both"/>
        <w:rPr>
          <w:rFonts w:hint="eastAsia" w:ascii="宋体" w:hAnsi="宋体" w:eastAsia="宋体" w:cs="宋体"/>
          <w:lang w:val="en-US" w:eastAsia="zh-CN"/>
        </w:rPr>
      </w:pPr>
      <w:bookmarkStart w:id="0" w:name="_Ref7761"/>
      <w:r>
        <w:rPr>
          <w:rFonts w:hint="eastAsia" w:ascii="宋体" w:hAnsi="宋体" w:eastAsia="宋体" w:cs="宋体"/>
          <w:lang w:val="en-US" w:eastAsia="zh-CN"/>
        </w:rPr>
        <w:t xml:space="preserve"> </w:t>
      </w:r>
      <w:bookmarkEnd w:id="0"/>
    </w:p>
    <w:p w14:paraId="2E602CBA">
      <w:pPr>
        <w:widowControl w:val="0"/>
        <w:numPr>
          <w:ilvl w:val="0"/>
          <w:numId w:val="0"/>
        </w:numPr>
        <w:ind w:leftChars="0"/>
        <w:jc w:val="both"/>
        <w:rPr>
          <w:rFonts w:hint="eastAsia" w:ascii="宋体" w:hAnsi="宋体" w:eastAsia="宋体" w:cs="宋体"/>
          <w:lang w:val="en-US" w:eastAsia="zh-CN"/>
        </w:rPr>
      </w:pPr>
    </w:p>
    <w:p w14:paraId="3C2A31D5">
      <w:pPr>
        <w:widowControl w:val="0"/>
        <w:numPr>
          <w:ilvl w:val="0"/>
          <w:numId w:val="0"/>
        </w:numPr>
        <w:ind w:leftChars="0"/>
        <w:jc w:val="both"/>
        <w:rPr>
          <w:rFonts w:hint="eastAsia" w:ascii="宋体" w:hAnsi="宋体" w:eastAsia="宋体" w:cs="宋体"/>
          <w:lang w:val="en-US" w:eastAsia="zh-CN"/>
        </w:rPr>
      </w:pPr>
    </w:p>
    <w:p w14:paraId="3E74B8DB">
      <w:pPr>
        <w:widowControl w:val="0"/>
        <w:numPr>
          <w:ilvl w:val="0"/>
          <w:numId w:val="0"/>
        </w:numPr>
        <w:ind w:leftChars="0"/>
        <w:jc w:val="both"/>
        <w:rPr>
          <w:rFonts w:hint="eastAsia" w:ascii="宋体" w:hAnsi="宋体" w:eastAsia="宋体" w:cs="宋体"/>
          <w:lang w:val="en-US" w:eastAsia="zh-CN"/>
        </w:rPr>
      </w:pPr>
    </w:p>
    <w:p w14:paraId="294D617E">
      <w:pPr>
        <w:widowControl w:val="0"/>
        <w:numPr>
          <w:ilvl w:val="0"/>
          <w:numId w:val="0"/>
        </w:numPr>
        <w:ind w:leftChars="0"/>
        <w:jc w:val="both"/>
        <w:rPr>
          <w:rFonts w:hint="eastAsia" w:ascii="宋体" w:hAnsi="宋体" w:eastAsia="宋体" w:cs="宋体"/>
          <w:lang w:val="en-US" w:eastAsia="zh-CN"/>
        </w:rPr>
      </w:pPr>
      <w:bookmarkStart w:id="1" w:name="_Ref8049"/>
      <w:r>
        <w:rPr>
          <w:rFonts w:hint="eastAsia" w:ascii="宋体" w:hAnsi="宋体" w:eastAsia="宋体" w:cs="宋体"/>
          <w:lang w:val="en-US" w:eastAsia="zh-CN"/>
        </w:rPr>
        <w:t xml:space="preserve"> </w:t>
      </w:r>
      <w:bookmarkEnd w:id="1"/>
    </w:p>
    <w:p w14:paraId="4BDE5758">
      <w:pPr>
        <w:widowControl w:val="0"/>
        <w:numPr>
          <w:ilvl w:val="0"/>
          <w:numId w:val="0"/>
        </w:numPr>
        <w:jc w:val="both"/>
        <w:rPr>
          <w:rFonts w:hint="default"/>
          <w:lang w:val="en-US" w:eastAsia="zh-CN"/>
        </w:rPr>
      </w:pPr>
    </w:p>
    <w:p w14:paraId="046FE9D2">
      <w:pPr>
        <w:widowControl w:val="0"/>
        <w:numPr>
          <w:ilvl w:val="0"/>
          <w:numId w:val="0"/>
        </w:numPr>
        <w:jc w:val="both"/>
        <w:rPr>
          <w:rFonts w:hint="default"/>
          <w:lang w:val="en-US" w:eastAsia="zh-CN"/>
        </w:rPr>
      </w:pPr>
    </w:p>
    <w:p w14:paraId="0F16584F">
      <w:pPr>
        <w:widowControl w:val="0"/>
        <w:numPr>
          <w:ilvl w:val="0"/>
          <w:numId w:val="0"/>
        </w:numPr>
        <w:jc w:val="both"/>
        <w:rPr>
          <w:rFonts w:hint="default"/>
          <w:lang w:val="en-US" w:eastAsia="zh-CN"/>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2010609060101010101"/>
    <w:charset w:val="86"/>
    <w:family w:val="auto"/>
    <w:pitch w:val="default"/>
    <w:sig w:usb0="00000000" w:usb1="00000000" w:usb2="00000016" w:usb3="00000000" w:csb0="00040001"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6">
    <w:p>
      <w:r>
        <w:separator/>
      </w:r>
    </w:p>
  </w:footnote>
  <w:footnote w:type="continuationSeparator" w:id="77">
    <w:p>
      <w:r>
        <w:continuationSeparator/>
      </w:r>
    </w:p>
  </w:footnote>
  <w:footnote w:id="0">
    <w:p w14:paraId="699CCDE7">
      <w:pPr>
        <w:pStyle w:val="6"/>
        <w:snapToGrid w:val="0"/>
      </w:pPr>
    </w:p>
  </w:footnote>
  <w:footnote w:id="1">
    <w:p w14:paraId="5E35168B">
      <w:pPr>
        <w:pStyle w:val="6"/>
        <w:snapToGrid w:val="0"/>
      </w:pPr>
      <w:r>
        <w:rPr>
          <w:rStyle w:val="9"/>
        </w:rPr>
        <w:footnoteRef/>
      </w:r>
      <w:r>
        <w:t xml:space="preserve"> </w:t>
      </w:r>
      <w:r>
        <w:rPr>
          <w:rFonts w:hint="eastAsia"/>
          <w:lang w:eastAsia="zh-CN"/>
        </w:rPr>
        <w:t>《</w:t>
      </w:r>
      <w:r>
        <w:rPr>
          <w:rFonts w:hint="eastAsia"/>
        </w:rPr>
        <w:t>习近平在中共中央政治局第二十三次集体学习时强调牢固树立切实落实安全发展理念确保广大人民群众生命财产安全</w:t>
      </w:r>
      <w:r>
        <w:rPr>
          <w:rFonts w:hint="eastAsia"/>
          <w:lang w:eastAsia="zh-CN"/>
        </w:rPr>
        <w:t>》，载</w:t>
      </w:r>
      <w:r>
        <w:rPr>
          <w:rFonts w:hint="eastAsia"/>
        </w:rPr>
        <w:t>《人民日报》2015年5月31日</w:t>
      </w:r>
      <w:r>
        <w:rPr>
          <w:rFonts w:hint="eastAsia"/>
          <w:lang w:eastAsia="zh-CN"/>
        </w:rPr>
        <w:t>，</w:t>
      </w:r>
      <w:r>
        <w:rPr>
          <w:rFonts w:hint="eastAsia"/>
        </w:rPr>
        <w:t>第1版。</w:t>
      </w:r>
    </w:p>
  </w:footnote>
  <w:footnote w:id="2">
    <w:p w14:paraId="66A32FC6">
      <w:pPr>
        <w:pStyle w:val="6"/>
        <w:snapToGrid w:val="0"/>
      </w:pPr>
      <w:r>
        <w:rPr>
          <w:rStyle w:val="9"/>
        </w:rPr>
        <w:footnoteRef/>
      </w:r>
      <w:r>
        <w:t xml:space="preserve"> </w:t>
      </w:r>
      <w:r>
        <w:rPr>
          <w:rFonts w:hint="eastAsia"/>
        </w:rPr>
        <w:t>梁云,邵蓉：《新修订&lt;药品管理法&gt;中假劣药相关条款的主要变化及对执法影响研究》，载《中国药房》2020年第17期</w:t>
      </w:r>
    </w:p>
  </w:footnote>
  <w:footnote w:id="3">
    <w:p w14:paraId="59B4166A">
      <w:pPr>
        <w:pStyle w:val="6"/>
        <w:snapToGrid w:val="0"/>
      </w:pPr>
      <w:r>
        <w:rPr>
          <w:rStyle w:val="9"/>
        </w:rPr>
        <w:footnoteRef/>
      </w:r>
      <w:r>
        <w:t xml:space="preserve"> </w:t>
      </w:r>
      <w:r>
        <w:rPr>
          <w:rFonts w:hint="eastAsia"/>
        </w:rPr>
        <w:t>陈涛，孙利东：《危害药品安全犯罪侦查:问题与进路》，载《中国人民公安大学学报(社会科学版)》2022年第2期</w:t>
      </w:r>
    </w:p>
  </w:footnote>
  <w:footnote w:id="4">
    <w:p w14:paraId="1FB1F032">
      <w:pPr>
        <w:pStyle w:val="6"/>
        <w:snapToGrid w:val="0"/>
        <w:rPr>
          <w:rFonts w:hint="default" w:eastAsiaTheme="minorEastAsia"/>
          <w:lang w:val="en-US" w:eastAsia="zh-CN"/>
        </w:rPr>
      </w:pPr>
      <w:r>
        <w:rPr>
          <w:rStyle w:val="9"/>
        </w:rPr>
        <w:footnoteRef/>
      </w:r>
      <w:r>
        <w:t xml:space="preserve"> </w:t>
      </w:r>
      <w:r>
        <w:rPr>
          <w:rFonts w:hint="eastAsia"/>
          <w:lang w:val="en-US" w:eastAsia="zh-CN"/>
        </w:rPr>
        <w:t>参见湖南省沅江市人民检察院不起诉决定书，沅检公刑不诉〔2015〕1号</w:t>
      </w:r>
    </w:p>
  </w:footnote>
  <w:footnote w:id="5">
    <w:p w14:paraId="6E110B9E">
      <w:pPr>
        <w:pStyle w:val="6"/>
        <w:snapToGrid w:val="0"/>
      </w:pPr>
      <w:r>
        <w:rPr>
          <w:rStyle w:val="9"/>
        </w:rPr>
        <w:footnoteRef/>
      </w:r>
      <w:r>
        <w:t xml:space="preserve"> </w:t>
      </w:r>
      <w:r>
        <w:rPr>
          <w:rFonts w:hint="eastAsia"/>
        </w:rPr>
        <w:t>陶田甜,王雨杉,邵蓉：《利益相关者视角下的陆勇案辨析》，载《医学与社会》2020年第4期</w:t>
      </w:r>
    </w:p>
  </w:footnote>
  <w:footnote w:id="6">
    <w:p w14:paraId="1F5DF89B">
      <w:pPr>
        <w:pStyle w:val="6"/>
        <w:snapToGrid w:val="0"/>
      </w:pPr>
      <w:r>
        <w:rPr>
          <w:rStyle w:val="9"/>
        </w:rPr>
        <w:footnoteRef/>
      </w:r>
      <w:r>
        <w:t xml:space="preserve"> </w:t>
      </w:r>
      <w:r>
        <w:rPr>
          <w:rFonts w:hint="eastAsia"/>
        </w:rPr>
        <w:t>张明楷：《集体法益的刑法保护》，载《法学评论》2023年第1期</w:t>
      </w:r>
    </w:p>
  </w:footnote>
  <w:footnote w:id="7">
    <w:p w14:paraId="69F2F4B6">
      <w:pPr>
        <w:pStyle w:val="6"/>
        <w:snapToGrid w:val="0"/>
      </w:pPr>
      <w:r>
        <w:rPr>
          <w:rStyle w:val="9"/>
        </w:rPr>
        <w:footnoteRef/>
      </w:r>
      <w:r>
        <w:t xml:space="preserve"> </w:t>
      </w:r>
      <w:r>
        <w:rPr>
          <w:rFonts w:hint="eastAsia"/>
        </w:rPr>
        <w:t>宗绍昊：《妨害药品管理罪“足以”要件的认定:公共健康安全法益与比例原则的融合》载《大连海事大学学报(社会科学版)》2025年第3期</w:t>
      </w:r>
    </w:p>
  </w:footnote>
  <w:footnote w:id="8">
    <w:p w14:paraId="63360C43">
      <w:pPr>
        <w:pStyle w:val="6"/>
        <w:snapToGrid w:val="0"/>
      </w:pPr>
      <w:r>
        <w:rPr>
          <w:rStyle w:val="9"/>
        </w:rPr>
        <w:footnoteRef/>
      </w:r>
      <w:r>
        <w:t xml:space="preserve"> </w:t>
      </w:r>
      <w:r>
        <w:rPr>
          <w:rFonts w:hint="eastAsia"/>
        </w:rPr>
        <w:t>刘艳红：《实质法益保护理念下行政犯行刑反向衔接机制的展开》</w:t>
      </w:r>
      <w:r>
        <w:rPr>
          <w:rFonts w:hint="eastAsia"/>
          <w:lang w:eastAsia="zh-CN"/>
        </w:rPr>
        <w:t>，</w:t>
      </w:r>
      <w:r>
        <w:rPr>
          <w:rFonts w:hint="eastAsia"/>
        </w:rPr>
        <w:t>载《中国法学》2025年第2期</w:t>
      </w:r>
    </w:p>
  </w:footnote>
  <w:footnote w:id="9">
    <w:p w14:paraId="4027774B">
      <w:pPr>
        <w:pStyle w:val="6"/>
        <w:snapToGrid w:val="0"/>
      </w:pPr>
      <w:r>
        <w:rPr>
          <w:rStyle w:val="9"/>
        </w:rPr>
        <w:footnoteRef/>
      </w:r>
      <w:r>
        <w:t xml:space="preserve"> </w:t>
      </w:r>
      <w:r>
        <w:rPr>
          <w:rFonts w:hint="eastAsia"/>
        </w:rPr>
        <w:t>李勇：《行刑一体制裁论视野下行刑双向衔接》，载《中国法律评论》2025年第2期</w:t>
      </w:r>
    </w:p>
  </w:footnote>
  <w:footnote w:id="10">
    <w:p w14:paraId="281C43C6">
      <w:pPr>
        <w:pStyle w:val="6"/>
        <w:snapToGrid w:val="0"/>
        <w:rPr>
          <w:rFonts w:hint="eastAsia"/>
          <w:lang w:eastAsia="zh-CN"/>
        </w:rPr>
      </w:pPr>
      <w:r>
        <w:rPr>
          <w:rStyle w:val="9"/>
        </w:rPr>
        <w:footnoteRef/>
      </w:r>
      <w:r>
        <w:t xml:space="preserve"> </w:t>
      </w:r>
      <w:r>
        <w:rPr>
          <w:rFonts w:hint="eastAsia"/>
        </w:rPr>
        <w:t>《人民检察院行刑反向衔接工作指引》第二条规定，行刑反向衔接是指人民检察院对决定不起诉的案件，经审查认为需要给予被不起诉人行政处罚的，及时提出检察意见，移送有关行政主管机关</w:t>
      </w:r>
      <w:r>
        <w:rPr>
          <w:rFonts w:hint="eastAsia"/>
          <w:lang w:eastAsia="zh-CN"/>
        </w:rPr>
        <w:t>。</w:t>
      </w:r>
    </w:p>
  </w:footnote>
  <w:footnote w:id="11">
    <w:p w14:paraId="74FEC5E6">
      <w:pPr>
        <w:pStyle w:val="6"/>
        <w:snapToGrid w:val="0"/>
        <w:rPr>
          <w:rFonts w:hint="eastAsia"/>
        </w:rPr>
      </w:pPr>
      <w:r>
        <w:rPr>
          <w:rStyle w:val="9"/>
        </w:rPr>
        <w:footnoteRef/>
      </w:r>
      <w:r>
        <w:t xml:space="preserve"> </w:t>
      </w:r>
      <w:r>
        <w:rPr>
          <w:rFonts w:hint="eastAsia"/>
        </w:rPr>
        <w:t>《关于印发药品行政执法与刑事司法衔接工作办法的通知》第16条要求公安机关对发现的药品违法行为，无需追究刑事责任但依法应当予以行政处罚的，应当将案件及相关证据材料移交药品监管部门。</w:t>
      </w:r>
      <w:r>
        <w:rPr>
          <w:rFonts w:hint="eastAsia"/>
          <w:lang w:val="en-US" w:eastAsia="zh-CN"/>
        </w:rPr>
        <w:t>第17条要求人民检察院对无需做出起诉决定的但依法应当给予行政处罚的案件，应当将案件及相关证据材料移交药品监管部门处理，并提出检察意见。</w:t>
      </w:r>
    </w:p>
  </w:footnote>
  <w:footnote w:id="12">
    <w:p w14:paraId="44018ED9">
      <w:pPr>
        <w:pStyle w:val="6"/>
        <w:snapToGrid w:val="0"/>
      </w:pPr>
      <w:r>
        <w:rPr>
          <w:rStyle w:val="9"/>
        </w:rPr>
        <w:footnoteRef/>
      </w:r>
      <w:r>
        <w:t xml:space="preserve"> </w:t>
      </w:r>
      <w:r>
        <w:rPr>
          <w:rFonts w:hint="eastAsia"/>
          <w:lang w:val="en-US" w:eastAsia="zh-CN"/>
        </w:rPr>
        <w:t>《药品管理法》第113条第2款规定，对依法不需要追究刑事责任或者免予刑事处罚，但应当追究行政责任的，公安机关、人民检察院、人民法院应当及时将案件移送药品监督管理部门。</w:t>
      </w:r>
    </w:p>
  </w:footnote>
  <w:footnote w:id="13">
    <w:p w14:paraId="1E476F27">
      <w:pPr>
        <w:pStyle w:val="6"/>
        <w:snapToGrid w:val="0"/>
      </w:pPr>
      <w:r>
        <w:rPr>
          <w:rStyle w:val="9"/>
        </w:rPr>
        <w:footnoteRef/>
      </w:r>
      <w:r>
        <w:t xml:space="preserve"> </w:t>
      </w:r>
      <w:r>
        <w:rPr>
          <w:rFonts w:hint="eastAsia"/>
        </w:rPr>
        <w:t>郑杨杨：《帮助信息网络犯罪活动罪行刑反向衔接的困境检讨与因应对策》，载《重庆科技大学学报(社会科学版)》2026年第3期</w:t>
      </w:r>
    </w:p>
  </w:footnote>
  <w:footnote w:id="14">
    <w:p w14:paraId="006CBFDA">
      <w:pPr>
        <w:pStyle w:val="6"/>
        <w:snapToGrid w:val="0"/>
        <w:rPr>
          <w:rFonts w:hint="eastAsia"/>
        </w:rPr>
      </w:pPr>
      <w:r>
        <w:rPr>
          <w:rStyle w:val="9"/>
        </w:rPr>
        <w:footnoteRef/>
      </w:r>
      <w:r>
        <w:t xml:space="preserve"> </w:t>
      </w:r>
      <w:r>
        <w:rPr>
          <w:rFonts w:hint="eastAsia"/>
        </w:rPr>
        <w:t>郭婷：《生产、销售、提供假药罪中假药的认定问题-以保护法益为实质导向》，载《医学与法学》2024年第6期</w:t>
      </w:r>
    </w:p>
    <w:p w14:paraId="01397E45">
      <w:pPr>
        <w:pStyle w:val="6"/>
        <w:snapToGrid w:val="0"/>
      </w:pPr>
    </w:p>
  </w:footnote>
  <w:footnote w:id="15">
    <w:p w14:paraId="2CCF5BDD">
      <w:pPr>
        <w:pStyle w:val="6"/>
        <w:snapToGrid w:val="0"/>
      </w:pPr>
      <w:r>
        <w:rPr>
          <w:rStyle w:val="9"/>
        </w:rPr>
        <w:footnoteRef/>
      </w:r>
      <w:r>
        <w:t xml:space="preserve"> </w:t>
      </w:r>
      <w:r>
        <w:rPr>
          <w:rFonts w:hint="eastAsia"/>
        </w:rPr>
        <w:t>刘家佶,刘启刚：《“治罪与治理”协同视域下我国食品安全行刑衔接机制深化与探索》，载《食品科学》2025年第3期</w:t>
      </w:r>
    </w:p>
  </w:footnote>
  <w:footnote w:id="16">
    <w:p w14:paraId="20C11707">
      <w:pPr>
        <w:pStyle w:val="6"/>
        <w:snapToGrid w:val="0"/>
      </w:pPr>
      <w:r>
        <w:rPr>
          <w:rStyle w:val="9"/>
        </w:rPr>
        <w:footnoteRef/>
      </w:r>
      <w:r>
        <w:t xml:space="preserve"> </w:t>
      </w:r>
      <w:r>
        <w:rPr>
          <w:rFonts w:hint="eastAsia"/>
        </w:rPr>
        <w:t>张德权：《比例原则视角下环境犯罪行刑反向衔接实体机制的展开》，载《求是学刊》2025年第6期</w:t>
      </w:r>
    </w:p>
  </w:footnote>
  <w:footnote w:id="17">
    <w:p w14:paraId="5B5E5E82">
      <w:pPr>
        <w:pStyle w:val="6"/>
        <w:snapToGrid w:val="0"/>
      </w:pPr>
      <w:r>
        <w:rPr>
          <w:rStyle w:val="9"/>
        </w:rPr>
        <w:footnoteRef/>
      </w:r>
      <w:r>
        <w:t xml:space="preserve"> </w:t>
      </w:r>
      <w:r>
        <w:rPr>
          <w:rFonts w:hint="eastAsia"/>
        </w:rPr>
        <w:t>夏中航：《突发公共卫生事件应对法上比例原则的证立与实现》，载《锦州医科大学学报(社会科学版)》2025年第4期</w:t>
      </w:r>
    </w:p>
  </w:footnote>
  <w:footnote w:id="18">
    <w:p w14:paraId="05A23CAB">
      <w:pPr>
        <w:pStyle w:val="6"/>
        <w:snapToGrid w:val="0"/>
      </w:pPr>
      <w:r>
        <w:rPr>
          <w:rStyle w:val="9"/>
        </w:rPr>
        <w:footnoteRef/>
      </w:r>
      <w:r>
        <w:t xml:space="preserve"> </w:t>
      </w:r>
      <w:r>
        <w:rPr>
          <w:rFonts w:hint="eastAsia"/>
        </w:rPr>
        <w:t>黄阳,余源玲：《行刑反向衔接视野下药品领域“过罚相当”原则的实现路径研究以“邓某某妨害药品管理案”为分析样本》，载《四川警察学院学报》2025年第6期</w:t>
      </w:r>
    </w:p>
  </w:footnote>
  <w:footnote w:id="19">
    <w:p w14:paraId="1E7630C0">
      <w:pPr>
        <w:pStyle w:val="6"/>
        <w:snapToGrid w:val="0"/>
      </w:pPr>
      <w:r>
        <w:rPr>
          <w:rStyle w:val="9"/>
        </w:rPr>
        <w:footnoteRef/>
      </w:r>
      <w:r>
        <w:t xml:space="preserve"> </w:t>
      </w:r>
      <w:r>
        <w:rPr>
          <w:rFonts w:hint="eastAsia"/>
        </w:rPr>
        <w:t>姜文智,刘艳红：《习近平法治思想中的慎刑观及其人权保障功能》，载《人权研究》2025年第4期</w:t>
      </w:r>
    </w:p>
  </w:footnote>
  <w:footnote w:id="20">
    <w:p w14:paraId="062B309E">
      <w:pPr>
        <w:pStyle w:val="6"/>
        <w:snapToGrid w:val="0"/>
      </w:pPr>
      <w:r>
        <w:rPr>
          <w:rStyle w:val="9"/>
        </w:rPr>
        <w:footnoteRef/>
      </w:r>
      <w:r>
        <w:t xml:space="preserve"> </w:t>
      </w:r>
      <w:r>
        <w:rPr>
          <w:rFonts w:hint="eastAsia"/>
        </w:rPr>
        <w:t>刘艳红：《入出罪走向出罪:刑法犯罪概念的功能转换》，载《政法论坛》2025年第5期</w:t>
      </w:r>
    </w:p>
  </w:footnote>
  <w:footnote w:id="21">
    <w:p w14:paraId="53B1FFE2">
      <w:pPr>
        <w:pStyle w:val="6"/>
        <w:snapToGrid w:val="0"/>
      </w:pPr>
      <w:r>
        <w:rPr>
          <w:rStyle w:val="9"/>
        </w:rPr>
        <w:footnoteRef/>
      </w:r>
      <w:r>
        <w:t xml:space="preserve"> </w:t>
      </w:r>
      <w:r>
        <w:rPr>
          <w:rFonts w:hint="eastAsia"/>
        </w:rPr>
        <w:t>《刑法》第37条</w:t>
      </w:r>
      <w:r>
        <w:rPr>
          <w:rFonts w:hint="eastAsia"/>
          <w:lang w:val="en-US" w:eastAsia="zh-CN"/>
        </w:rPr>
        <w:t>规定，</w:t>
      </w:r>
      <w:r>
        <w:rPr>
          <w:rFonts w:hint="eastAsia"/>
        </w:rPr>
        <w:t>对于犯罪情节轻微不需要判处刑罚的，可以免予刑事处罚，但是可以根据案件的不同情况，予以训诫或者责令具结悔过、赔礼道歉、赔偿损失，或者由主管部门予以行政处罚或者行政处分。</w:t>
      </w:r>
    </w:p>
  </w:footnote>
  <w:footnote w:id="22">
    <w:p w14:paraId="77A8E5C7">
      <w:pPr>
        <w:pStyle w:val="6"/>
        <w:snapToGrid w:val="0"/>
      </w:pPr>
      <w:r>
        <w:rPr>
          <w:rStyle w:val="9"/>
        </w:rPr>
        <w:footnoteRef/>
      </w:r>
      <w:r>
        <w:t xml:space="preserve"> </w:t>
      </w:r>
      <w:r>
        <w:rPr>
          <w:rFonts w:hint="eastAsia"/>
        </w:rPr>
        <w:t>张明楷：《酌定不起诉与《刑法》第37条的关系》，载《法律科学(西北政法大学学报)》2025年第5期</w:t>
      </w:r>
    </w:p>
  </w:footnote>
  <w:footnote w:id="23">
    <w:p w14:paraId="62B8C12D">
      <w:pPr>
        <w:pStyle w:val="6"/>
        <w:snapToGrid w:val="0"/>
      </w:pPr>
      <w:r>
        <w:rPr>
          <w:rStyle w:val="9"/>
        </w:rPr>
        <w:footnoteRef/>
      </w:r>
      <w:r>
        <w:t xml:space="preserve"> </w:t>
      </w:r>
      <w:r>
        <w:rPr>
          <w:rFonts w:hint="eastAsia"/>
        </w:rPr>
        <w:t>陈禹橦：《《刑法》第37条免予刑事处罚条款的刑事一体化解读》，载《中国应用法学》2024年第2期</w:t>
      </w:r>
    </w:p>
  </w:footnote>
  <w:footnote w:id="24">
    <w:p w14:paraId="08E89550">
      <w:pPr>
        <w:pStyle w:val="6"/>
        <w:snapToGrid w:val="0"/>
        <w:rPr>
          <w:rFonts w:hint="eastAsia"/>
        </w:rPr>
      </w:pPr>
      <w:r>
        <w:rPr>
          <w:rStyle w:val="9"/>
        </w:rPr>
        <w:footnoteRef/>
      </w:r>
      <w:r>
        <w:t xml:space="preserve"> </w:t>
      </w:r>
      <w:r>
        <w:rPr>
          <w:rFonts w:hint="eastAsia"/>
        </w:rPr>
        <w:t>敦宁：《轻罪制裁的预防化及其制度供给》，载《法商研究》2025年第4期</w:t>
      </w:r>
    </w:p>
    <w:p w14:paraId="748C51FB">
      <w:pPr>
        <w:pStyle w:val="6"/>
        <w:snapToGrid w:val="0"/>
      </w:pPr>
    </w:p>
  </w:footnote>
  <w:footnote w:id="25">
    <w:p w14:paraId="27A1F7E2">
      <w:pPr>
        <w:pStyle w:val="6"/>
        <w:snapToGrid w:val="0"/>
        <w:rPr>
          <w:rFonts w:hint="default" w:eastAsiaTheme="minorEastAsia"/>
          <w:lang w:val="en-US" w:eastAsia="zh-CN"/>
        </w:rPr>
      </w:pPr>
      <w:r>
        <w:rPr>
          <w:rStyle w:val="9"/>
        </w:rPr>
        <w:footnoteRef/>
      </w:r>
      <w:r>
        <w:t xml:space="preserve"> </w:t>
      </w:r>
      <w:r>
        <w:rPr>
          <w:rFonts w:hint="eastAsia"/>
          <w:lang w:val="en-US" w:eastAsia="zh-CN"/>
        </w:rPr>
        <w:t>参见</w:t>
      </w:r>
      <w:r>
        <w:rPr>
          <w:rFonts w:hint="eastAsia"/>
        </w:rPr>
        <w:t>药品管理法</w:t>
      </w:r>
      <w:r>
        <w:rPr>
          <w:rFonts w:hint="eastAsia"/>
          <w:lang w:val="en-US" w:eastAsia="zh-CN"/>
        </w:rPr>
        <w:t>第10,11章</w:t>
      </w:r>
    </w:p>
  </w:footnote>
  <w:footnote w:id="26">
    <w:p w14:paraId="3CC9913A">
      <w:pPr>
        <w:pStyle w:val="6"/>
        <w:snapToGrid w:val="0"/>
      </w:pPr>
      <w:r>
        <w:rPr>
          <w:rStyle w:val="9"/>
        </w:rPr>
        <w:footnoteRef/>
      </w:r>
      <w:r>
        <w:t xml:space="preserve"> </w:t>
      </w:r>
      <w:r>
        <w:rPr>
          <w:rFonts w:hint="eastAsia"/>
        </w:rPr>
        <w:t>谢小剑：《行政犯“行刑衔接”困境破解:从分离式到联动式》，载《中国法学》2024年第2期</w:t>
      </w:r>
    </w:p>
  </w:footnote>
  <w:footnote w:id="27">
    <w:p w14:paraId="34B1D044">
      <w:pPr>
        <w:pStyle w:val="6"/>
        <w:snapToGrid w:val="0"/>
      </w:pPr>
      <w:r>
        <w:rPr>
          <w:rStyle w:val="9"/>
        </w:rPr>
        <w:footnoteRef/>
      </w:r>
      <w:r>
        <w:t xml:space="preserve"> </w:t>
      </w:r>
      <w:r>
        <w:rPr>
          <w:rFonts w:hint="eastAsia"/>
        </w:rPr>
        <w:t>宋华琳：《药品执法领域的行刑反向衔接》，载《国家检察官学院学报》2024年第2期</w:t>
      </w:r>
    </w:p>
  </w:footnote>
  <w:footnote w:id="28">
    <w:p w14:paraId="05B231C1">
      <w:pPr>
        <w:pStyle w:val="6"/>
        <w:snapToGrid w:val="0"/>
      </w:pPr>
      <w:r>
        <w:rPr>
          <w:rStyle w:val="9"/>
        </w:rPr>
        <w:footnoteRef/>
      </w:r>
      <w:r>
        <w:t xml:space="preserve"> </w:t>
      </w:r>
      <w:r>
        <w:rPr>
          <w:rFonts w:hint="eastAsia"/>
        </w:rPr>
        <w:t>陈云良：《非法行医行政执法与刑事司法衔接机制研究》，载《政法论丛》2024年第3期</w:t>
      </w:r>
    </w:p>
  </w:footnote>
  <w:footnote w:id="29">
    <w:p w14:paraId="0D1681CF">
      <w:pPr>
        <w:pStyle w:val="6"/>
        <w:snapToGrid w:val="0"/>
      </w:pPr>
      <w:r>
        <w:rPr>
          <w:rStyle w:val="9"/>
        </w:rPr>
        <w:footnoteRef/>
      </w:r>
      <w:r>
        <w:t xml:space="preserve"> </w:t>
      </w:r>
      <w:r>
        <w:rPr>
          <w:rFonts w:hint="eastAsia"/>
        </w:rPr>
        <w:t>杜文俊：《从治罪到治理视域下的新时代行刑反向衔接机制》，载《法学》2025年第5期</w:t>
      </w:r>
    </w:p>
  </w:footnote>
  <w:footnote w:id="30">
    <w:p w14:paraId="047AE927">
      <w:pPr>
        <w:pStyle w:val="6"/>
        <w:snapToGrid w:val="0"/>
      </w:pPr>
      <w:r>
        <w:rPr>
          <w:rStyle w:val="9"/>
        </w:rPr>
        <w:footnoteRef/>
      </w:r>
      <w:r>
        <w:t xml:space="preserve"> </w:t>
      </w:r>
      <w:r>
        <w:rPr>
          <w:rFonts w:hint="eastAsia"/>
        </w:rPr>
        <w:t>王春霞：《依据刑事程序取得的证据效力要高于证券行政处罚需要的证明要求》，载《人民法院报》2021年2月11日第6版</w:t>
      </w:r>
    </w:p>
  </w:footnote>
  <w:footnote w:id="31">
    <w:p w14:paraId="5AA7C847">
      <w:pPr>
        <w:pStyle w:val="6"/>
        <w:snapToGrid w:val="0"/>
      </w:pPr>
      <w:r>
        <w:rPr>
          <w:rStyle w:val="9"/>
        </w:rPr>
        <w:footnoteRef/>
      </w:r>
      <w:r>
        <w:t xml:space="preserve"> </w:t>
      </w:r>
      <w:r>
        <w:rPr>
          <w:rFonts w:hint="eastAsia"/>
        </w:rPr>
        <w:t>华为民,户恩波：《行刑反向衔接的线索移送与证据转化》，载《人民检察》2024年第1期</w:t>
      </w:r>
    </w:p>
  </w:footnote>
  <w:footnote w:id="32">
    <w:p w14:paraId="593ED5FC">
      <w:pPr>
        <w:pStyle w:val="6"/>
        <w:snapToGrid w:val="0"/>
      </w:pPr>
      <w:r>
        <w:rPr>
          <w:rStyle w:val="9"/>
        </w:rPr>
        <w:footnoteRef/>
      </w:r>
      <w:r>
        <w:t xml:space="preserve"> </w:t>
      </w:r>
      <w:r>
        <w:rPr>
          <w:rFonts w:hint="eastAsia"/>
          <w:lang w:val="en-US" w:eastAsia="zh-CN"/>
        </w:rPr>
        <w:t>何</w:t>
      </w:r>
      <w:r>
        <w:rPr>
          <w:rFonts w:hint="eastAsia"/>
        </w:rPr>
        <w:t>雅丽,俞丽,李奇轩：《行刑反向衔接运行中的困难与应对》，载《人民检察》2025年第20期</w:t>
      </w:r>
    </w:p>
  </w:footnote>
  <w:footnote w:id="33">
    <w:p w14:paraId="4462785E">
      <w:pPr>
        <w:pStyle w:val="6"/>
        <w:snapToGrid w:val="0"/>
      </w:pPr>
      <w:r>
        <w:rPr>
          <w:rStyle w:val="9"/>
        </w:rPr>
        <w:footnoteRef/>
      </w:r>
      <w:r>
        <w:t xml:space="preserve"> </w:t>
      </w:r>
      <w:r>
        <w:rPr>
          <w:rFonts w:hint="eastAsia"/>
        </w:rPr>
        <w:t>顾亚慧,钱霄：《食品安全领域行刑反向衔接机制的逻辑与完善》，载《食品科学》2025年第19期</w:t>
      </w:r>
    </w:p>
  </w:footnote>
  <w:footnote w:id="34">
    <w:p w14:paraId="20F87A69">
      <w:pPr>
        <w:pStyle w:val="6"/>
        <w:snapToGrid w:val="0"/>
        <w:rPr>
          <w:rFonts w:hint="default" w:eastAsiaTheme="minorEastAsia"/>
          <w:lang w:val="en-US" w:eastAsia="zh-CN"/>
        </w:rPr>
      </w:pPr>
      <w:r>
        <w:rPr>
          <w:rStyle w:val="9"/>
        </w:rPr>
        <w:footnoteRef/>
      </w:r>
      <w:r>
        <w:t xml:space="preserve"> </w:t>
      </w:r>
      <w:r>
        <w:rPr>
          <w:rFonts w:hint="eastAsia"/>
          <w:lang w:val="en-US" w:eastAsia="zh-CN"/>
        </w:rPr>
        <w:t>参见</w:t>
      </w:r>
      <w:r>
        <w:rPr>
          <w:rFonts w:hint="eastAsia"/>
        </w:rPr>
        <w:t>最高人民检察院,国家外汇管理局</w:t>
      </w:r>
      <w:r>
        <w:rPr>
          <w:rFonts w:hint="eastAsia"/>
          <w:lang w:val="en-US" w:eastAsia="zh-CN"/>
        </w:rPr>
        <w:t>.2025年4月22日.外汇领域行刑反向衔接典型案例4</w:t>
      </w:r>
    </w:p>
  </w:footnote>
  <w:footnote w:id="35">
    <w:p w14:paraId="7091CA33">
      <w:pPr>
        <w:pStyle w:val="6"/>
        <w:snapToGrid w:val="0"/>
      </w:pPr>
      <w:r>
        <w:rPr>
          <w:rStyle w:val="9"/>
        </w:rPr>
        <w:footnoteRef/>
      </w:r>
      <w:r>
        <w:t xml:space="preserve"> </w:t>
      </w:r>
      <w:r>
        <w:rPr>
          <w:rFonts w:hint="eastAsia"/>
        </w:rPr>
        <w:t>刘亭亭：《行刑反向衔接从“接住”向“接好”迈进》，载《检查日报》2025年2月19日第2版</w:t>
      </w:r>
    </w:p>
  </w:footnote>
  <w:footnote w:id="36">
    <w:p w14:paraId="08DD24A8">
      <w:pPr>
        <w:pStyle w:val="6"/>
        <w:snapToGrid w:val="0"/>
      </w:pPr>
      <w:r>
        <w:rPr>
          <w:rStyle w:val="9"/>
        </w:rPr>
        <w:footnoteRef/>
      </w:r>
      <w:r>
        <w:t xml:space="preserve"> </w:t>
      </w:r>
      <w:r>
        <w:rPr>
          <w:rFonts w:hint="eastAsia"/>
        </w:rPr>
        <w:t>张国,王译：《构建全链条闭环式行刑双向衔接体系》，载《检查日报》2025年9月29日第3版</w:t>
      </w:r>
    </w:p>
  </w:footnote>
  <w:footnote w:id="37">
    <w:p w14:paraId="3CEE61BE">
      <w:pPr>
        <w:pStyle w:val="6"/>
        <w:snapToGrid w:val="0"/>
      </w:pPr>
      <w:r>
        <w:rPr>
          <w:rStyle w:val="9"/>
        </w:rPr>
        <w:footnoteRef/>
      </w:r>
      <w:r>
        <w:t xml:space="preserve"> </w:t>
      </w:r>
      <w:r>
        <w:rPr>
          <w:rFonts w:hint="eastAsia"/>
        </w:rPr>
        <w:t>《从三个维度推动行刑反向衔接走深走实》，载紫金县人民检察院网，https://www.zijinjianchayuan.gov.cn/mobile/show.php?cid=48&amp;id=570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8C6DD0"/>
    <w:multiLevelType w:val="singleLevel"/>
    <w:tmpl w:val="B48C6DD0"/>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76"/>
    <w:footnote w:id="7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E0863"/>
    <w:rsid w:val="00BE32F3"/>
    <w:rsid w:val="00D77A76"/>
    <w:rsid w:val="00F21EB0"/>
    <w:rsid w:val="00F9257D"/>
    <w:rsid w:val="01916C5A"/>
    <w:rsid w:val="01C738B1"/>
    <w:rsid w:val="01DB474F"/>
    <w:rsid w:val="01E03EA8"/>
    <w:rsid w:val="020E2058"/>
    <w:rsid w:val="0270686F"/>
    <w:rsid w:val="02B067B9"/>
    <w:rsid w:val="03AA514B"/>
    <w:rsid w:val="03C24B8A"/>
    <w:rsid w:val="03ED4A3C"/>
    <w:rsid w:val="040F20B8"/>
    <w:rsid w:val="0418738E"/>
    <w:rsid w:val="0430136F"/>
    <w:rsid w:val="04C20B35"/>
    <w:rsid w:val="05A779F2"/>
    <w:rsid w:val="05AE3DF7"/>
    <w:rsid w:val="06E42B68"/>
    <w:rsid w:val="07CD02C0"/>
    <w:rsid w:val="09A95D90"/>
    <w:rsid w:val="0A102CEE"/>
    <w:rsid w:val="0A287867"/>
    <w:rsid w:val="0A456C9D"/>
    <w:rsid w:val="0AF51E62"/>
    <w:rsid w:val="0B980BE5"/>
    <w:rsid w:val="0C542D5E"/>
    <w:rsid w:val="0C8A2C23"/>
    <w:rsid w:val="0CFD51A3"/>
    <w:rsid w:val="0D46788B"/>
    <w:rsid w:val="0DA25D4B"/>
    <w:rsid w:val="0DED5218"/>
    <w:rsid w:val="0E981627"/>
    <w:rsid w:val="0EB75826"/>
    <w:rsid w:val="0F357193"/>
    <w:rsid w:val="0F40581B"/>
    <w:rsid w:val="10F863AD"/>
    <w:rsid w:val="11224E22"/>
    <w:rsid w:val="114E02A2"/>
    <w:rsid w:val="117D399A"/>
    <w:rsid w:val="11866FDF"/>
    <w:rsid w:val="118C2781"/>
    <w:rsid w:val="11C246E3"/>
    <w:rsid w:val="122C26B5"/>
    <w:rsid w:val="122D02D9"/>
    <w:rsid w:val="12550A22"/>
    <w:rsid w:val="127607E2"/>
    <w:rsid w:val="135950FD"/>
    <w:rsid w:val="138165B6"/>
    <w:rsid w:val="138D58FE"/>
    <w:rsid w:val="14150113"/>
    <w:rsid w:val="14BC1AA0"/>
    <w:rsid w:val="14EB7FD7"/>
    <w:rsid w:val="15651DBA"/>
    <w:rsid w:val="15690F55"/>
    <w:rsid w:val="157E46DA"/>
    <w:rsid w:val="15C90318"/>
    <w:rsid w:val="160A1413"/>
    <w:rsid w:val="165805E0"/>
    <w:rsid w:val="174165D4"/>
    <w:rsid w:val="17903B89"/>
    <w:rsid w:val="17935082"/>
    <w:rsid w:val="17E35CFE"/>
    <w:rsid w:val="18251A52"/>
    <w:rsid w:val="191D1B23"/>
    <w:rsid w:val="197B7F92"/>
    <w:rsid w:val="199D3E9B"/>
    <w:rsid w:val="19E53A5B"/>
    <w:rsid w:val="1A9E6F95"/>
    <w:rsid w:val="1AB75038"/>
    <w:rsid w:val="1B6933E9"/>
    <w:rsid w:val="1B7A55B5"/>
    <w:rsid w:val="1BCB2652"/>
    <w:rsid w:val="1BE85270"/>
    <w:rsid w:val="1BF00620"/>
    <w:rsid w:val="1C006382"/>
    <w:rsid w:val="1C015A84"/>
    <w:rsid w:val="1C2A3C0A"/>
    <w:rsid w:val="1C5B432A"/>
    <w:rsid w:val="1D8B2967"/>
    <w:rsid w:val="1E1F3A61"/>
    <w:rsid w:val="1E780B2E"/>
    <w:rsid w:val="1E807FE8"/>
    <w:rsid w:val="1E8E0744"/>
    <w:rsid w:val="1F683E9E"/>
    <w:rsid w:val="205E484B"/>
    <w:rsid w:val="20D7066E"/>
    <w:rsid w:val="21265C61"/>
    <w:rsid w:val="214122C9"/>
    <w:rsid w:val="218712BD"/>
    <w:rsid w:val="21ED5BD6"/>
    <w:rsid w:val="22031056"/>
    <w:rsid w:val="22CE3619"/>
    <w:rsid w:val="2386597B"/>
    <w:rsid w:val="23BC2932"/>
    <w:rsid w:val="23FC7B0B"/>
    <w:rsid w:val="24813311"/>
    <w:rsid w:val="24D26ABE"/>
    <w:rsid w:val="25761B3F"/>
    <w:rsid w:val="27457A1B"/>
    <w:rsid w:val="274D002F"/>
    <w:rsid w:val="279462AC"/>
    <w:rsid w:val="299C54B2"/>
    <w:rsid w:val="2A1F4553"/>
    <w:rsid w:val="2A3049B2"/>
    <w:rsid w:val="2AA63760"/>
    <w:rsid w:val="2C8763E0"/>
    <w:rsid w:val="2C8E59C0"/>
    <w:rsid w:val="2D4A20C1"/>
    <w:rsid w:val="2DA91BA7"/>
    <w:rsid w:val="2E0B70D6"/>
    <w:rsid w:val="2E755089"/>
    <w:rsid w:val="2EFF0F34"/>
    <w:rsid w:val="2F202C41"/>
    <w:rsid w:val="2F511653"/>
    <w:rsid w:val="2F6A3686"/>
    <w:rsid w:val="2F7D4F4A"/>
    <w:rsid w:val="3014744B"/>
    <w:rsid w:val="30C145B6"/>
    <w:rsid w:val="30D375A9"/>
    <w:rsid w:val="312B41D4"/>
    <w:rsid w:val="31344D88"/>
    <w:rsid w:val="317E045D"/>
    <w:rsid w:val="31D5021B"/>
    <w:rsid w:val="31F61B87"/>
    <w:rsid w:val="32063987"/>
    <w:rsid w:val="32AD02BF"/>
    <w:rsid w:val="331B39C6"/>
    <w:rsid w:val="33502841"/>
    <w:rsid w:val="33543479"/>
    <w:rsid w:val="336B0809"/>
    <w:rsid w:val="336E602C"/>
    <w:rsid w:val="33F04C9A"/>
    <w:rsid w:val="33F33A95"/>
    <w:rsid w:val="34093566"/>
    <w:rsid w:val="343B642D"/>
    <w:rsid w:val="34C46423"/>
    <w:rsid w:val="34E832F6"/>
    <w:rsid w:val="361A491D"/>
    <w:rsid w:val="36624145"/>
    <w:rsid w:val="369747F8"/>
    <w:rsid w:val="36A409E4"/>
    <w:rsid w:val="36C34A09"/>
    <w:rsid w:val="36E34828"/>
    <w:rsid w:val="36E92171"/>
    <w:rsid w:val="37533A8E"/>
    <w:rsid w:val="38A10B77"/>
    <w:rsid w:val="38B53613"/>
    <w:rsid w:val="38BE1676"/>
    <w:rsid w:val="38C82582"/>
    <w:rsid w:val="39281007"/>
    <w:rsid w:val="399F12CE"/>
    <w:rsid w:val="39AA7A15"/>
    <w:rsid w:val="39F23A32"/>
    <w:rsid w:val="3A044AFE"/>
    <w:rsid w:val="3A797CAF"/>
    <w:rsid w:val="3B1F0A07"/>
    <w:rsid w:val="3B3C308E"/>
    <w:rsid w:val="3C8B5A78"/>
    <w:rsid w:val="3CA64BB5"/>
    <w:rsid w:val="3CD553C5"/>
    <w:rsid w:val="3CE55188"/>
    <w:rsid w:val="3DAF1D9B"/>
    <w:rsid w:val="3E8409D1"/>
    <w:rsid w:val="3EBE74C8"/>
    <w:rsid w:val="3ECD2378"/>
    <w:rsid w:val="3F4A7E6C"/>
    <w:rsid w:val="40227699"/>
    <w:rsid w:val="41FF1FAA"/>
    <w:rsid w:val="42645A02"/>
    <w:rsid w:val="42666D6B"/>
    <w:rsid w:val="42855D76"/>
    <w:rsid w:val="435E7A42"/>
    <w:rsid w:val="4367618D"/>
    <w:rsid w:val="43B0526E"/>
    <w:rsid w:val="43D81E71"/>
    <w:rsid w:val="440D39E3"/>
    <w:rsid w:val="443F5AC6"/>
    <w:rsid w:val="444E5D09"/>
    <w:rsid w:val="46623A5D"/>
    <w:rsid w:val="46F34946"/>
    <w:rsid w:val="47AA2B40"/>
    <w:rsid w:val="485050C0"/>
    <w:rsid w:val="48F26135"/>
    <w:rsid w:val="495C67D2"/>
    <w:rsid w:val="49791838"/>
    <w:rsid w:val="49BD7800"/>
    <w:rsid w:val="4A785BC4"/>
    <w:rsid w:val="4A7A36D6"/>
    <w:rsid w:val="4B24656C"/>
    <w:rsid w:val="4B260455"/>
    <w:rsid w:val="4B4E4FCA"/>
    <w:rsid w:val="4BC468B1"/>
    <w:rsid w:val="4BF460D6"/>
    <w:rsid w:val="4D2E2B7B"/>
    <w:rsid w:val="4DAF32AC"/>
    <w:rsid w:val="4E4F782C"/>
    <w:rsid w:val="4EA56E6D"/>
    <w:rsid w:val="4F021EAB"/>
    <w:rsid w:val="4F6D6FE5"/>
    <w:rsid w:val="4F7C28E8"/>
    <w:rsid w:val="4F9D18F3"/>
    <w:rsid w:val="508C21BB"/>
    <w:rsid w:val="508F3931"/>
    <w:rsid w:val="50E53B70"/>
    <w:rsid w:val="517F5A2C"/>
    <w:rsid w:val="51AA0E9D"/>
    <w:rsid w:val="51BF1FF4"/>
    <w:rsid w:val="51D212AD"/>
    <w:rsid w:val="527B23BF"/>
    <w:rsid w:val="52BB135B"/>
    <w:rsid w:val="52C06024"/>
    <w:rsid w:val="53031332"/>
    <w:rsid w:val="530C3017"/>
    <w:rsid w:val="53263890"/>
    <w:rsid w:val="5350423D"/>
    <w:rsid w:val="53D5288D"/>
    <w:rsid w:val="54AD17E4"/>
    <w:rsid w:val="554A7FA3"/>
    <w:rsid w:val="555D3CCC"/>
    <w:rsid w:val="56010E2D"/>
    <w:rsid w:val="591031D8"/>
    <w:rsid w:val="592B61C1"/>
    <w:rsid w:val="594B3963"/>
    <w:rsid w:val="595663E9"/>
    <w:rsid w:val="59945B14"/>
    <w:rsid w:val="59D93856"/>
    <w:rsid w:val="5C675762"/>
    <w:rsid w:val="5C9A2042"/>
    <w:rsid w:val="5D2A68E5"/>
    <w:rsid w:val="5E435D5B"/>
    <w:rsid w:val="5E5827DC"/>
    <w:rsid w:val="5E882042"/>
    <w:rsid w:val="5F6E2DC7"/>
    <w:rsid w:val="603E67DA"/>
    <w:rsid w:val="60D661C8"/>
    <w:rsid w:val="611E6F33"/>
    <w:rsid w:val="61206BDD"/>
    <w:rsid w:val="61BD5D78"/>
    <w:rsid w:val="62205C9E"/>
    <w:rsid w:val="633D6AEE"/>
    <w:rsid w:val="63D7023A"/>
    <w:rsid w:val="63ED29F1"/>
    <w:rsid w:val="64D37E39"/>
    <w:rsid w:val="64E21E2A"/>
    <w:rsid w:val="651B7747"/>
    <w:rsid w:val="6521588B"/>
    <w:rsid w:val="652F0D3D"/>
    <w:rsid w:val="6559032A"/>
    <w:rsid w:val="657236A9"/>
    <w:rsid w:val="657C4E02"/>
    <w:rsid w:val="6589499B"/>
    <w:rsid w:val="659C2834"/>
    <w:rsid w:val="65AA308E"/>
    <w:rsid w:val="65C6174B"/>
    <w:rsid w:val="663B7C6B"/>
    <w:rsid w:val="669E72DD"/>
    <w:rsid w:val="66E225B5"/>
    <w:rsid w:val="674A0526"/>
    <w:rsid w:val="67B86FC2"/>
    <w:rsid w:val="688663A2"/>
    <w:rsid w:val="68906041"/>
    <w:rsid w:val="68F36F1F"/>
    <w:rsid w:val="696871B7"/>
    <w:rsid w:val="69791212"/>
    <w:rsid w:val="69AD5A1C"/>
    <w:rsid w:val="69C21774"/>
    <w:rsid w:val="69C41C89"/>
    <w:rsid w:val="69E342CB"/>
    <w:rsid w:val="6A6B0B13"/>
    <w:rsid w:val="6A7E4079"/>
    <w:rsid w:val="6AA87672"/>
    <w:rsid w:val="6ACE49AC"/>
    <w:rsid w:val="6AF34C36"/>
    <w:rsid w:val="6B120F8F"/>
    <w:rsid w:val="6B651B06"/>
    <w:rsid w:val="6B993D66"/>
    <w:rsid w:val="6BA06C7A"/>
    <w:rsid w:val="6C0C2369"/>
    <w:rsid w:val="6C0C6146"/>
    <w:rsid w:val="6C3A260B"/>
    <w:rsid w:val="6C9C3206"/>
    <w:rsid w:val="6D5772FC"/>
    <w:rsid w:val="6D836174"/>
    <w:rsid w:val="6D8F0741"/>
    <w:rsid w:val="6E2F3C06"/>
    <w:rsid w:val="6E6506EE"/>
    <w:rsid w:val="6E725ED3"/>
    <w:rsid w:val="6EA039EE"/>
    <w:rsid w:val="6EBC7B8F"/>
    <w:rsid w:val="6ED929CC"/>
    <w:rsid w:val="6F89409D"/>
    <w:rsid w:val="703D085C"/>
    <w:rsid w:val="70931E4D"/>
    <w:rsid w:val="70B14DA6"/>
    <w:rsid w:val="70BC3E77"/>
    <w:rsid w:val="718A45C0"/>
    <w:rsid w:val="71B341DA"/>
    <w:rsid w:val="728C1DAC"/>
    <w:rsid w:val="72D90EF8"/>
    <w:rsid w:val="7305527C"/>
    <w:rsid w:val="732C3A42"/>
    <w:rsid w:val="734440DC"/>
    <w:rsid w:val="737C169B"/>
    <w:rsid w:val="738549F4"/>
    <w:rsid w:val="73A90E42"/>
    <w:rsid w:val="73AC4646"/>
    <w:rsid w:val="740F21EA"/>
    <w:rsid w:val="74107FC3"/>
    <w:rsid w:val="75630D65"/>
    <w:rsid w:val="7574238A"/>
    <w:rsid w:val="757C0264"/>
    <w:rsid w:val="75D4263F"/>
    <w:rsid w:val="764A4E1B"/>
    <w:rsid w:val="76906B27"/>
    <w:rsid w:val="76982693"/>
    <w:rsid w:val="774A02F4"/>
    <w:rsid w:val="775D7A36"/>
    <w:rsid w:val="77A036AB"/>
    <w:rsid w:val="77A45665"/>
    <w:rsid w:val="78056103"/>
    <w:rsid w:val="78106856"/>
    <w:rsid w:val="782A39C0"/>
    <w:rsid w:val="78707CB2"/>
    <w:rsid w:val="78C24961"/>
    <w:rsid w:val="79664E96"/>
    <w:rsid w:val="798074F9"/>
    <w:rsid w:val="798B6ADC"/>
    <w:rsid w:val="7A5B750D"/>
    <w:rsid w:val="7A6237C0"/>
    <w:rsid w:val="7A8B4508"/>
    <w:rsid w:val="7AEF309B"/>
    <w:rsid w:val="7B3311D9"/>
    <w:rsid w:val="7B811F45"/>
    <w:rsid w:val="7B9F650C"/>
    <w:rsid w:val="7BC01255"/>
    <w:rsid w:val="7BEE0146"/>
    <w:rsid w:val="7BF060DF"/>
    <w:rsid w:val="7CA73C2D"/>
    <w:rsid w:val="7D5C4021"/>
    <w:rsid w:val="7D6159C3"/>
    <w:rsid w:val="7D921593"/>
    <w:rsid w:val="7D972797"/>
    <w:rsid w:val="7DAA5057"/>
    <w:rsid w:val="7F94723B"/>
    <w:rsid w:val="FDBB1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character" w:styleId="9">
    <w:name w:val="footnote reference"/>
    <w:basedOn w:val="8"/>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13240</Words>
  <Characters>15467</Characters>
  <Lines>0</Lines>
  <Paragraphs>0</Paragraphs>
  <TotalTime>2</TotalTime>
  <ScaleCrop>false</ScaleCrop>
  <LinksUpToDate>false</LinksUpToDate>
  <CharactersWithSpaces>15799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2025-11-29T21:09:00Z</dcterms:created>
  <dc:creator>user</dc:creator>
  <cp:lastModifiedBy>LAW</cp:lastModifiedBy>
  <dcterms:modified xsi:type="dcterms:W3CDTF">2026-03-13T22:27:52Z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KSOTemplateDocerSaveRecord">
    <vt:lpwstr>eyJoZGlkIjoiNTA2YTNkNTg1NzQ5NmFmNTIyYzQxY2JlNTdkM2JlYTYiLCJ1c2VySWQiOiI2NDM5NjE2MjcifQ==</vt:lpwstr>
  </property>
  <property fmtid="{D5CDD505-2E9C-101B-9397-08002B2CF9AE}" pid="4" name="ICV">
    <vt:lpwstr>23F78FD6B630CBA7E81EB469C2621639_43</vt:lpwstr>
  </property>
</Properties>
</file>