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611B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黑体" w:hAnsi="黑体" w:eastAsia="黑体" w:cs="黑体"/>
          <w:sz w:val="32"/>
          <w:szCs w:val="32"/>
          <w:lang w:val="en-US" w:eastAsia="zh-CN"/>
        </w:rPr>
      </w:pPr>
      <w:bookmarkStart w:id="0" w:name="_Toc137325833"/>
      <w:r>
        <w:rPr>
          <w:rFonts w:hint="eastAsia" w:ascii="黑体" w:hAnsi="黑体" w:eastAsia="黑体" w:cs="黑体"/>
          <w:sz w:val="32"/>
          <w:szCs w:val="32"/>
          <w:lang w:val="en-US" w:eastAsia="zh-CN"/>
        </w:rPr>
        <w:t>论我国标准必要专利禁诉令适用标准的完善</w:t>
      </w:r>
    </w:p>
    <w:p w14:paraId="63D3CC09">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张雷奇 陈俊熹</w:t>
      </w:r>
    </w:p>
    <w:p w14:paraId="4EA7AA07">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p>
    <w:p w14:paraId="1FCC6E90">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【摘  要】标准必要专利纠纷具有高度复杂性与跨国并行性，各国在相关诉讼管辖权分配及禁诉令适用条件上长期存在分歧，致使禁诉令日益成为争夺程序优势与司法管辖权的重要工具。我国尚未建立独立的禁诉令制度，实践中主要依赖行为保全作出类似裁定，因而在国际平行诉讼中维护司法管辖权及当事人合法权益时面临一定局限。围绕我国标准必要专利领域禁诉令适用标准的完善，需在厘清标准必要专利与禁诉令概念、禁诉令类型及其适用场景的基础上，重点检讨现行规则在国际平行诉讼管辖权分配、国内民事诉讼秩序、社会公共利益及当事人利益衡量方面的不足。完善方向应包括：弱化先系属优先原则的机械适用，强调个案正义；引入“更密切联系”原则、结果关联性及实质性同一标准；明确社会公共利益内涵；并将滥诉可能性与双方利益平衡纳入补充考量。</w:t>
      </w:r>
    </w:p>
    <w:p w14:paraId="0ACFC2B1">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【关键词】标准必要专利；禁诉令；适用标准；利益衡量</w:t>
      </w:r>
    </w:p>
    <w:p w14:paraId="718A6520">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【作者信息】张雷奇，北京浩天律师事务所律师；陈俊熹，西伦敦大学硕士。</w:t>
      </w:r>
    </w:p>
    <w:p w14:paraId="62592F4F">
      <w:pPr>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default"/>
          <w:lang w:val="en-US" w:eastAsia="zh-CN"/>
        </w:rPr>
        <w:t>【项目信息】</w:t>
      </w:r>
      <w:r>
        <w:rPr>
          <w:rFonts w:hint="eastAsia"/>
          <w:lang w:val="en-US" w:eastAsia="zh-CN"/>
        </w:rPr>
        <w:t>陕西省社会科学基金项目“开放创新模式下企业专利价值转化研究”（2023E023）</w:t>
      </w:r>
    </w:p>
    <w:p w14:paraId="1550EE57">
      <w:pPr>
        <w:bidi w:val="0"/>
        <w:ind w:left="0" w:leftChars="0" w:firstLine="0" w:firstLineChars="0"/>
        <w:rPr>
          <w:rFonts w:hint="eastAsia"/>
          <w:lang w:val="en-US" w:eastAsia="zh-CN"/>
        </w:rPr>
      </w:pPr>
    </w:p>
    <w:p w14:paraId="6578B9FE">
      <w:pPr>
        <w:pStyle w:val="2"/>
        <w:bidi w:val="0"/>
        <w:rPr>
          <w:lang w:val="en-US" w:eastAsia="zh-CN"/>
        </w:rPr>
      </w:pPr>
      <w:r>
        <w:rPr>
          <w:rFonts w:hint="eastAsia"/>
          <w:lang w:val="en-US" w:eastAsia="zh-CN"/>
        </w:rPr>
        <w:t>一、标准必要专利禁诉令基础概念界定与司法适用</w:t>
      </w:r>
      <w:bookmarkEnd w:id="0"/>
    </w:p>
    <w:p w14:paraId="55BB5F03">
      <w:pPr>
        <w:bidi w:val="0"/>
      </w:pPr>
      <w:r>
        <w:rPr>
          <w:rFonts w:hint="eastAsia"/>
        </w:rPr>
        <w:t>随着无线通信技术的发展，过去常用于国际海商事领域的禁诉令制度已逐步扩展到知识产权领域，特别是在标准必要专利领域表现得尤为明显。发源于英国的禁诉令制度，在英美法系国家已拥有丰富成熟的经验，成文法系国家也开始尝试签发禁诉令。2020年8月，我国最高人民法院知识产权庭在华为公司与康文森公司的标准必要专利纠纷一案中，作出了我国知识产权领域首例禁诉令裁定。自此，拉开了我国法院以禁诉令裁定维护我国司法管辖权的帷幕，随着在多起标准必要专利纠纷中签发禁诉令，我国法院对禁诉令的认识更加深入、运用更加娴熟。</w:t>
      </w:r>
    </w:p>
    <w:p w14:paraId="43FA540F">
      <w:pPr>
        <w:pStyle w:val="3"/>
        <w:bidi w:val="0"/>
        <w:rPr>
          <w:lang w:val="en-US" w:eastAsia="zh-CN"/>
        </w:rPr>
      </w:pPr>
      <w:bookmarkStart w:id="1" w:name="_Toc17258"/>
      <w:bookmarkStart w:id="2" w:name="_Toc137325834"/>
      <w:r>
        <w:rPr>
          <w:rFonts w:hint="eastAsia"/>
          <w:lang w:val="en-US" w:eastAsia="zh-CN"/>
        </w:rPr>
        <w:t>（一）</w:t>
      </w:r>
      <w:r>
        <w:rPr>
          <w:lang w:val="en-US" w:eastAsia="zh-CN"/>
        </w:rPr>
        <w:t>标准必要专利与禁诉令的概念</w:t>
      </w:r>
      <w:bookmarkEnd w:id="1"/>
      <w:bookmarkEnd w:id="2"/>
    </w:p>
    <w:p w14:paraId="41E03EEA">
      <w:pPr>
        <w:pStyle w:val="4"/>
        <w:bidi w:val="0"/>
        <w:rPr>
          <w:lang w:val="en-US" w:eastAsia="zh-CN"/>
        </w:rPr>
      </w:pPr>
      <w:bookmarkStart w:id="3" w:name="_Toc18379"/>
      <w:bookmarkStart w:id="4" w:name="_Toc137325835"/>
      <w:r>
        <w:rPr>
          <w:rFonts w:hint="eastAsia"/>
          <w:lang w:val="en-US" w:eastAsia="zh-CN"/>
        </w:rPr>
        <w:t>1.</w:t>
      </w:r>
      <w:r>
        <w:rPr>
          <w:lang w:val="en-US" w:eastAsia="zh-CN"/>
        </w:rPr>
        <w:t>标准必要专利的</w:t>
      </w:r>
      <w:r>
        <w:rPr>
          <w:rFonts w:hint="eastAsia"/>
          <w:lang w:val="en-US" w:eastAsia="zh-CN"/>
        </w:rPr>
        <w:t>概念</w:t>
      </w:r>
      <w:bookmarkEnd w:id="3"/>
      <w:bookmarkEnd w:id="4"/>
    </w:p>
    <w:p w14:paraId="147A711A">
      <w:pPr>
        <w:bidi w:val="0"/>
      </w:pPr>
      <w:r>
        <w:rPr>
          <w:rFonts w:hint="eastAsia"/>
        </w:rPr>
        <w:t>标准（也可称为技术标准）是针对某一特定领域内可重复的技术事项所制定的规范。它是以科学为依据，经过技术与实践经验相结合出的结果，体现了某一特定领域科学技术的发展水平。在我国信息通信领域，技术标准可分为强制性标准、推荐性标准、参考性标准、技术报告和通信技术规定5种类型。</w:t>
      </w:r>
    </w:p>
    <w:p w14:paraId="45927FBE">
      <w:pPr>
        <w:bidi w:val="0"/>
      </w:pPr>
      <w:r>
        <w:rPr>
          <w:rFonts w:hint="eastAsia"/>
        </w:rPr>
        <w:t>专利是专利权的简称，是指民事主体在法定的期限和地域内依法取得的支配其发明创造的排他性权利。</w:t>
      </w:r>
      <w:r>
        <w:rPr>
          <w:rStyle w:val="12"/>
          <w:rFonts w:hint="eastAsia"/>
        </w:rPr>
        <w:footnoteReference w:id="0"/>
      </w:r>
      <w:r>
        <w:rPr>
          <w:rFonts w:hint="eastAsia"/>
        </w:rPr>
        <w:t>根据法律规定，专利权人对其专利享有独占或排他的权利，即在未出现法律规定的特殊情况下，他人需获得专利权人的许可才能实施该专利。</w:t>
      </w:r>
    </w:p>
    <w:p w14:paraId="65D57EF6">
      <w:pPr>
        <w:bidi w:val="0"/>
      </w:pPr>
      <w:r>
        <w:rPr>
          <w:rFonts w:hint="eastAsia"/>
        </w:rPr>
        <w:t>标准必要专利（Standards Essential Patents）在某些技术文献中也被称为标准基本专利、标准基础专利、标准核心专利等。它是专利和标准深度融合的产物。根据国际标准化组织的定义，标准必要专利是指“在技术标准体系中被认定为必不可少的一项技术，且该技术被专利权人所独占的专利”</w:t>
      </w:r>
      <w:r>
        <w:rPr>
          <w:rStyle w:val="12"/>
          <w:rFonts w:hint="eastAsia"/>
        </w:rPr>
        <w:footnoteReference w:id="1"/>
      </w:r>
      <w:r>
        <w:rPr>
          <w:rFonts w:hint="eastAsia"/>
        </w:rPr>
        <w:t>。欧洲电信标准化协会在其制定的《知识产权政策》中认为，标准必要专利是指鉴于一般的技术惯例以及标准制定时已经存在的技术状况，从技术角度来看，都难以绕开的知识产权。联合国的国际电信联盟认为标准必要专利是指一切有可能涵盖或部分涵盖标准草案中所规定的专利或专利权利的申请。美国的电气电子工程师协会对此进行了释义，认为“标准必要专利”指对某项标准草案中的标准条款进行实施，在此过程中必定会用到的专利权利要求。我国于2013年12月19日发布的《国家标准涉及专利的管理规定（暂行）》，其中第4条规定标准必要专利是指实施该标准所必需的专利。从上述定义来看，均是以必需性来定义实施某个标准的专利，虽然表述略有不同，但核心意思均一样。《国家标准涉及专利的管理规定（暂行）》作为国家机关制定的部门规章，在我国境内具备法律效力，以其对标准必要专利的定义为准最为适宜。</w:t>
      </w:r>
    </w:p>
    <w:p w14:paraId="5E9A3F0D">
      <w:pPr>
        <w:pStyle w:val="4"/>
        <w:bidi w:val="0"/>
        <w:rPr>
          <w:lang w:val="en-US" w:eastAsia="zh-CN"/>
        </w:rPr>
      </w:pPr>
      <w:bookmarkStart w:id="5" w:name="_Toc137325836"/>
      <w:r>
        <w:rPr>
          <w:rFonts w:hint="eastAsia"/>
          <w:lang w:val="en-US" w:eastAsia="zh-CN"/>
        </w:rPr>
        <w:t>2.禁诉令的概念</w:t>
      </w:r>
      <w:bookmarkEnd w:id="5"/>
    </w:p>
    <w:p w14:paraId="3163BADF">
      <w:pPr>
        <w:bidi w:val="0"/>
      </w:pPr>
      <w:bookmarkStart w:id="6" w:name="_Toc156291147"/>
      <w:bookmarkEnd w:id="6"/>
      <w:bookmarkStart w:id="7" w:name="_Toc156291999"/>
      <w:bookmarkEnd w:id="7"/>
      <w:r>
        <w:rPr>
          <w:rFonts w:hint="eastAsia"/>
        </w:rPr>
        <w:t>禁诉令（injunction against litigation）是指诉讼中的一方当事人向受诉法院申请签发的强制性命令，以禁止或限制被申请人在域外法院提起或继续进行与本法院未作出判决的诉讼或仲裁程序相同或相似的行为。</w:t>
      </w:r>
      <w:r>
        <w:rPr>
          <w:rStyle w:val="12"/>
          <w:rFonts w:hint="eastAsia"/>
        </w:rPr>
        <w:footnoteReference w:id="2"/>
      </w:r>
      <w:r>
        <w:rPr>
          <w:rFonts w:hint="eastAsia"/>
        </w:rPr>
        <w:t>禁诉令是一种特殊的禁令救济措施，针对的是当事人就争议事项提起的域外诉讼或仲裁行为。在专利纠纷领域，如果权利人的权利受到侵犯或即将受到侵犯，公权力一般不会主动介入当事人之间的纠纷。</w:t>
      </w:r>
      <w:r>
        <w:rPr>
          <w:rStyle w:val="12"/>
          <w:rFonts w:hint="eastAsia"/>
        </w:rPr>
        <w:footnoteReference w:id="3"/>
      </w:r>
      <w:r>
        <w:rPr>
          <w:rFonts w:hint="eastAsia"/>
        </w:rPr>
        <w:t>诉讼是权利人寻求救济的主要手段，因此在私权纠纷的解决中，法院诉讼是寻求公平和正义的主要途径。禁诉令最初是在英国法院解决王室和教会、衡平法院和普通法院管辖权争议时引入的，</w:t>
      </w:r>
      <w:r>
        <w:rPr>
          <w:rStyle w:val="12"/>
          <w:rFonts w:hint="eastAsia"/>
        </w:rPr>
        <w:footnoteReference w:id="4"/>
      </w:r>
      <w:r>
        <w:rPr>
          <w:rFonts w:hint="eastAsia"/>
        </w:rPr>
        <w:t>其本质上是对诉讼管辖权的争夺，旨在阻止错误状态的持续存在，从而使秩序恢复到合法的状态。近代以来，该制度得到英国制定法的承认。除了英美法系，以法国和德国为代表的大陆法系国家也将禁诉令作为规制国际平行诉讼和法院选择的一种司法手段。</w:t>
      </w:r>
    </w:p>
    <w:p w14:paraId="41F6ED0E">
      <w:pPr>
        <w:bidi w:val="0"/>
      </w:pPr>
      <w:r>
        <w:rPr>
          <w:rFonts w:hint="eastAsia"/>
        </w:rPr>
        <w:t>禁令（injunction）是禁诉令的属概念。广义的禁令是指法院责令被申请人必须为或者不得为一定行为的命令。狭义的禁令仅指法院责令被申请人不得为一定行为的命令。禁令包括永久禁令和临时禁令。临时禁令属于临时措施的制度范畴，其既不是民事责任的承担方式，亦不是民事制裁的措施，仅仅是对民事权利的临时救济，不具有终局性，本文中所涉及的禁诉令就是此种临时禁令。永久禁令一般是指所涉案件已经全面审查并作出裁判后，对其生效裁判的内容的执行，如判决停止侵权。</w:t>
      </w:r>
    </w:p>
    <w:p w14:paraId="6584132A">
      <w:pPr>
        <w:pStyle w:val="4"/>
        <w:bidi w:val="0"/>
        <w:rPr>
          <w:lang w:val="en-US" w:eastAsia="zh-CN"/>
        </w:rPr>
      </w:pPr>
      <w:bookmarkStart w:id="8" w:name="_Toc137325837"/>
      <w:r>
        <w:rPr>
          <w:rFonts w:hint="eastAsia"/>
          <w:lang w:val="en-US" w:eastAsia="zh-CN"/>
        </w:rPr>
        <w:t>3.禁诉令的种类</w:t>
      </w:r>
      <w:bookmarkEnd w:id="8"/>
    </w:p>
    <w:p w14:paraId="27A11639">
      <w:pPr>
        <w:bidi w:val="0"/>
      </w:pPr>
      <w:r>
        <w:rPr>
          <w:rFonts w:hint="eastAsia"/>
        </w:rPr>
        <w:t>从标准必要专利纠纷国际平行诉讼的视角来看，广义禁诉令包括禁诉令、反禁诉令和禁执令三种限制性命令。狭义的禁诉令是指一国法院应案件一方当事人的请求，指令另一方当事人不得继续在域外法院就相同或类似纠纷发起诉讼。反禁诉令与狭义的禁诉令相对，是指一国法院应案件一方当事人的请求，指令另一方当事人撤回或中止在另一国家法院提出的禁诉令请求，或不得申请执行在另一国家法院获得的禁诉令。禁执令是指一国法院依据案件一方当事人的请求，指令另一方当事人不得申请执行另一国家法院就相同或类似纠纷作出的生效裁判。</w:t>
      </w:r>
    </w:p>
    <w:p w14:paraId="7A9AF0ED">
      <w:pPr>
        <w:bidi w:val="0"/>
      </w:pPr>
      <w:r>
        <w:rPr>
          <w:rFonts w:hint="eastAsia"/>
        </w:rPr>
        <w:t>从整体上看，狭义的禁诉令与反禁诉令是法院为争夺管辖权而对当事人签发的限制性命令，具备一定程度的攻击性。而禁执令是在其他国家已经作出生效裁判的情况，限制当事人去申请执行该生效裁判，并未直接与他国法院争夺管辖权，更多地表现了被动的防御性。</w:t>
      </w:r>
    </w:p>
    <w:p w14:paraId="2319EFB8">
      <w:pPr>
        <w:pStyle w:val="3"/>
        <w:bidi w:val="0"/>
        <w:rPr>
          <w:lang w:val="en-US" w:eastAsia="zh-CN"/>
        </w:rPr>
      </w:pPr>
      <w:bookmarkStart w:id="9" w:name="_Toc137325838"/>
      <w:bookmarkStart w:id="10" w:name="_Toc3867"/>
      <w:r>
        <w:rPr>
          <w:rFonts w:hint="eastAsia"/>
          <w:lang w:val="en-US" w:eastAsia="zh-CN"/>
        </w:rPr>
        <w:t>（二）标准必要专利禁诉令产生的原因</w:t>
      </w:r>
      <w:bookmarkEnd w:id="9"/>
      <w:bookmarkEnd w:id="10"/>
    </w:p>
    <w:p w14:paraId="2241264F">
      <w:pPr>
        <w:bidi w:val="0"/>
      </w:pPr>
      <w:r>
        <w:rPr>
          <w:rFonts w:hint="eastAsia"/>
        </w:rPr>
        <w:t>近年来，随着信息通信技术的快速发展，涉及通信技术的标准必要专利纠纷也逐年增多，并涌现出大量的国际平行诉讼，进而引发各国法院通过签发禁诉令以争夺对平行诉讼案件的管辖权，致使标准必要专利案件的解决难度直线上升。探究其中的原因，主要有以下三个方面：</w:t>
      </w:r>
    </w:p>
    <w:p w14:paraId="32D698F3">
      <w:pPr>
        <w:bidi w:val="0"/>
      </w:pPr>
      <w:r>
        <w:rPr>
          <w:rFonts w:hint="eastAsia"/>
        </w:rPr>
        <w:t>第一，通信行业技术标准的全球性决定了保护技术标准的标准必要专利也具有国际性特点，进而致使标准必要专利的许可谈判也会涉及多个国家和地区。若专利实施人与专利权人之间无法就许可费达成一致，那么，双方当事人为了获取更有利于己方利益的诉讼结果，必然会在多个管辖权的地区挑选法院。双方在不同法院以相同或相反的诉求发起诉讼，便会产生大量的国际平行诉讼。在各国法院均拒绝以不方便法院原则放弃管辖权时，为争夺管辖权而生的禁诉令制度便呼之欲出。</w:t>
      </w:r>
    </w:p>
    <w:p w14:paraId="47223B3D">
      <w:pPr>
        <w:bidi w:val="0"/>
      </w:pPr>
      <w:r>
        <w:rPr>
          <w:rFonts w:hint="eastAsia"/>
        </w:rPr>
        <w:t>第二，通讯标准必要专利不仅在通讯产业发展中占据重要地位，具有巨大的商业价值，而且关乎一个国家的高质量发展利益。各国出于对本国各方面的利益考量，均加大了对该类案件的管辖力度。鉴于礼让性质的不方便法院原则与防御性质的拒绝执行外国判决制度难以保障本国的司法管辖权，不仅拥有禁诉令制度的英美法系国家频频签发禁诉令以争取对案件的管辖权，而且尚不具备禁诉令制度的大陆法系国家也开始尝试通过禁诉令制度来维护自身的司法主权。通过近些年来国际诉讼中不断出现的“禁诉令”“反禁诉令”“反反禁诉令”可知，禁诉令的冲突已进一步加剧。</w:t>
      </w:r>
    </w:p>
    <w:p w14:paraId="39AA398D">
      <w:pPr>
        <w:bidi w:val="0"/>
        <w:rPr>
          <w:rFonts w:ascii="Times New Roman" w:hAnsi="Times New Roman" w:eastAsia="宋体" w:cs="Times New Roman"/>
          <w:szCs w:val="21"/>
        </w:rPr>
      </w:pPr>
      <w:r>
        <w:rPr>
          <w:rFonts w:hint="eastAsia"/>
        </w:rPr>
        <w:t>第三，专利权自身具有地域性特点，专利权作为无形财产权，其获得的依据在于主权国家法律的确认，其保护范围也自然受限于该主权国家法律的效力范围。但在标准必要专利国际纠纷中，部分法院突破专利授权与保护的地域性，主动裁判标准必要专利的FRAND全球许可费率，侵害了他国法院对其国家专利纠纷的管辖权，他国法院为维护自身司法主权，便通过禁诉令这一工具排除其他国家法院的“过度管辖”。</w:t>
      </w:r>
    </w:p>
    <w:p w14:paraId="1AA5DE59">
      <w:pPr>
        <w:pStyle w:val="3"/>
        <w:bidi w:val="0"/>
        <w:rPr>
          <w:lang w:val="en-US" w:eastAsia="zh-CN"/>
        </w:rPr>
      </w:pPr>
      <w:bookmarkStart w:id="11" w:name="_Toc137325839"/>
      <w:r>
        <w:rPr>
          <w:rFonts w:hint="eastAsia"/>
          <w:lang w:val="en-US" w:eastAsia="zh-CN"/>
        </w:rPr>
        <w:t>（三）我国</w:t>
      </w:r>
      <w:r>
        <w:rPr>
          <w:lang w:val="en-US" w:eastAsia="zh-CN"/>
        </w:rPr>
        <w:t>标准必要专利禁诉令</w:t>
      </w:r>
      <w:r>
        <w:rPr>
          <w:rFonts w:hint="eastAsia"/>
          <w:lang w:val="en-US" w:eastAsia="zh-CN"/>
        </w:rPr>
        <w:t>司法</w:t>
      </w:r>
      <w:r>
        <w:rPr>
          <w:lang w:val="en-US" w:eastAsia="zh-CN"/>
        </w:rPr>
        <w:t>适用</w:t>
      </w:r>
      <w:r>
        <w:rPr>
          <w:rFonts w:hint="eastAsia"/>
          <w:lang w:val="en-US" w:eastAsia="zh-CN"/>
        </w:rPr>
        <w:t>的标准界定</w:t>
      </w:r>
      <w:bookmarkEnd w:id="11"/>
    </w:p>
    <w:p w14:paraId="05CABAAD">
      <w:pPr>
        <w:bidi w:val="0"/>
      </w:pPr>
      <w:r>
        <w:rPr>
          <w:rFonts w:hint="eastAsia"/>
        </w:rPr>
        <w:t>标准必要专利禁诉令的适用标准是指在标准必要专利纠纷国际平行诉讼中，我国法院在作出禁诉令裁定时应遵循何种法理、考量何种条件，才能达到法理正当性和实践有效性的统一。截止目前，最高人民法院、武汉中院和深圳中院已分别在“华为公司与康文森公司案” “小米公司与交互数字公司案”和“OPPO公司与夏普公司案”等5起标准必要专利案件中，颁发了禁诉令。详情如表1所示：</w:t>
      </w:r>
    </w:p>
    <w:p w14:paraId="23B74604">
      <w:pPr>
        <w:widowControl w:val="0"/>
        <w:spacing w:before="120" w:beforeLines="50" w:afterLines="0" w:line="288" w:lineRule="auto"/>
        <w:ind w:firstLine="0" w:firstLineChars="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w:t>
      </w:r>
      <w:r>
        <w:rPr>
          <w:rFonts w:ascii="Times New Roman" w:hAnsi="Times New Roman" w:eastAsia="宋体" w:cs="Times New Roman"/>
          <w:kern w:val="2"/>
          <w:sz w:val="21"/>
          <w:szCs w:val="21"/>
          <w:lang w:val="en-US" w:eastAsia="zh-CN" w:bidi="ar-SA"/>
        </w:rPr>
        <w:t>1</w:t>
      </w:r>
      <w:r>
        <w:rPr>
          <w:rFonts w:hint="eastAsia" w:ascii="Times New Roman" w:hAnsi="Times New Roman" w:eastAsia="宋体" w:cs="Times New Roman"/>
          <w:kern w:val="2"/>
          <w:sz w:val="21"/>
          <w:szCs w:val="21"/>
          <w:lang w:val="en-US" w:eastAsia="zh-CN" w:bidi="ar-SA"/>
        </w:rPr>
        <w:t xml:space="preserve"> 国内5起签发禁诉令的标准必要专利案件</w:t>
      </w:r>
    </w:p>
    <w:tbl>
      <w:tblPr>
        <w:tblStyle w:val="9"/>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992"/>
        <w:gridCol w:w="1388"/>
        <w:gridCol w:w="1288"/>
        <w:gridCol w:w="757"/>
        <w:gridCol w:w="941"/>
        <w:gridCol w:w="1722"/>
        <w:gridCol w:w="1134"/>
      </w:tblGrid>
      <w:tr w14:paraId="2D6453CF">
        <w:trPr>
          <w:cantSplit/>
          <w:trHeight w:val="358" w:hRule="atLeast"/>
        </w:trPr>
        <w:tc>
          <w:tcPr>
            <w:tcW w:w="709" w:type="dxa"/>
            <w:tcBorders>
              <w:top w:val="single" w:color="auto" w:sz="12" w:space="0"/>
              <w:bottom w:val="single" w:color="auto" w:sz="8" w:space="0"/>
            </w:tcBorders>
            <w:vAlign w:val="center"/>
          </w:tcPr>
          <w:p w14:paraId="0CE543A1">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序号</w:t>
            </w:r>
          </w:p>
        </w:tc>
        <w:tc>
          <w:tcPr>
            <w:tcW w:w="992" w:type="dxa"/>
            <w:tcBorders>
              <w:top w:val="single" w:color="auto" w:sz="12" w:space="0"/>
              <w:bottom w:val="single" w:color="auto" w:sz="8" w:space="0"/>
            </w:tcBorders>
            <w:vAlign w:val="center"/>
          </w:tcPr>
          <w:p w14:paraId="162A2A47">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时间</w:t>
            </w:r>
          </w:p>
        </w:tc>
        <w:tc>
          <w:tcPr>
            <w:tcW w:w="1388" w:type="dxa"/>
            <w:tcBorders>
              <w:top w:val="single" w:color="auto" w:sz="12" w:space="0"/>
              <w:bottom w:val="single" w:color="auto" w:sz="8" w:space="0"/>
            </w:tcBorders>
            <w:vAlign w:val="center"/>
          </w:tcPr>
          <w:p w14:paraId="2D09CE33">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法院</w:t>
            </w:r>
          </w:p>
        </w:tc>
        <w:tc>
          <w:tcPr>
            <w:tcW w:w="1288" w:type="dxa"/>
            <w:tcBorders>
              <w:top w:val="single" w:color="auto" w:sz="12" w:space="0"/>
              <w:bottom w:val="single" w:color="auto" w:sz="8" w:space="0"/>
            </w:tcBorders>
            <w:vAlign w:val="center"/>
          </w:tcPr>
          <w:p w14:paraId="5D940B5B">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案号</w:t>
            </w:r>
          </w:p>
        </w:tc>
        <w:tc>
          <w:tcPr>
            <w:tcW w:w="757" w:type="dxa"/>
            <w:tcBorders>
              <w:top w:val="single" w:color="auto" w:sz="12" w:space="0"/>
              <w:bottom w:val="single" w:color="auto" w:sz="8" w:space="0"/>
            </w:tcBorders>
            <w:vAlign w:val="center"/>
          </w:tcPr>
          <w:p w14:paraId="70B47E84">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原告</w:t>
            </w:r>
          </w:p>
        </w:tc>
        <w:tc>
          <w:tcPr>
            <w:tcW w:w="941" w:type="dxa"/>
            <w:tcBorders>
              <w:top w:val="single" w:color="auto" w:sz="12" w:space="0"/>
              <w:bottom w:val="single" w:color="auto" w:sz="8" w:space="0"/>
            </w:tcBorders>
            <w:vAlign w:val="center"/>
          </w:tcPr>
          <w:p w14:paraId="38A54D1D">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被告</w:t>
            </w:r>
          </w:p>
        </w:tc>
        <w:tc>
          <w:tcPr>
            <w:tcW w:w="1722" w:type="dxa"/>
            <w:tcBorders>
              <w:top w:val="single" w:color="auto" w:sz="12" w:space="0"/>
              <w:bottom w:val="single" w:color="auto" w:sz="8" w:space="0"/>
            </w:tcBorders>
            <w:vAlign w:val="center"/>
          </w:tcPr>
          <w:p w14:paraId="10C2CBD4">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禁诉令内容</w:t>
            </w:r>
          </w:p>
        </w:tc>
        <w:tc>
          <w:tcPr>
            <w:tcW w:w="1134" w:type="dxa"/>
            <w:tcBorders>
              <w:top w:val="single" w:color="auto" w:sz="12" w:space="0"/>
              <w:bottom w:val="single" w:color="auto" w:sz="8" w:space="0"/>
            </w:tcBorders>
            <w:vAlign w:val="center"/>
          </w:tcPr>
          <w:p w14:paraId="6C0EEF34">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域外法院</w:t>
            </w:r>
          </w:p>
        </w:tc>
      </w:tr>
      <w:tr w14:paraId="5484D430">
        <w:trPr>
          <w:cantSplit/>
          <w:trHeight w:val="358" w:hRule="atLeast"/>
        </w:trPr>
        <w:tc>
          <w:tcPr>
            <w:tcW w:w="709" w:type="dxa"/>
            <w:tcBorders>
              <w:top w:val="single" w:color="auto" w:sz="8" w:space="0"/>
              <w:bottom w:val="nil"/>
            </w:tcBorders>
            <w:vAlign w:val="center"/>
          </w:tcPr>
          <w:p w14:paraId="5DAD5893">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992" w:type="dxa"/>
            <w:tcBorders>
              <w:top w:val="single" w:color="auto" w:sz="8" w:space="0"/>
              <w:bottom w:val="nil"/>
            </w:tcBorders>
            <w:vAlign w:val="center"/>
          </w:tcPr>
          <w:p w14:paraId="4CD4DDD5">
            <w:pPr>
              <w:adjustRightInd/>
              <w:snapToGrid/>
              <w:spacing w:line="288" w:lineRule="auto"/>
              <w:ind w:firstLine="0" w:firstLineChars="0"/>
              <w:rPr>
                <w:rFonts w:ascii="Times New Roman" w:hAnsi="Times New Roman" w:eastAsia="宋体" w:cs="Times New Roman"/>
                <w:sz w:val="18"/>
                <w:szCs w:val="18"/>
              </w:rPr>
            </w:pPr>
            <w:r>
              <w:rPr>
                <w:rFonts w:hint="eastAsia" w:ascii="Times New Roman" w:hAnsi="Times New Roman" w:eastAsia="宋体" w:cs="宋体"/>
                <w:sz w:val="18"/>
                <w:szCs w:val="18"/>
              </w:rPr>
              <w:t>2020年08月28日</w:t>
            </w:r>
          </w:p>
        </w:tc>
        <w:tc>
          <w:tcPr>
            <w:tcW w:w="1388" w:type="dxa"/>
            <w:tcBorders>
              <w:top w:val="single" w:color="auto" w:sz="8" w:space="0"/>
              <w:bottom w:val="nil"/>
            </w:tcBorders>
            <w:vAlign w:val="center"/>
          </w:tcPr>
          <w:p w14:paraId="2417D0D0">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最高人民法院</w:t>
            </w:r>
          </w:p>
        </w:tc>
        <w:tc>
          <w:tcPr>
            <w:tcW w:w="1288" w:type="dxa"/>
            <w:tcBorders>
              <w:top w:val="single" w:color="auto" w:sz="8" w:space="0"/>
              <w:bottom w:val="nil"/>
            </w:tcBorders>
            <w:vAlign w:val="center"/>
          </w:tcPr>
          <w:p w14:paraId="58D81FD4">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（2019）最高法知民终732、733、734号之一</w:t>
            </w:r>
          </w:p>
        </w:tc>
        <w:tc>
          <w:tcPr>
            <w:tcW w:w="757" w:type="dxa"/>
            <w:tcBorders>
              <w:top w:val="single" w:color="auto" w:sz="8" w:space="0"/>
              <w:bottom w:val="nil"/>
            </w:tcBorders>
            <w:vAlign w:val="center"/>
          </w:tcPr>
          <w:p w14:paraId="5753A3FD">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华为</w:t>
            </w:r>
          </w:p>
        </w:tc>
        <w:tc>
          <w:tcPr>
            <w:tcW w:w="941" w:type="dxa"/>
            <w:tcBorders>
              <w:top w:val="single" w:color="auto" w:sz="8" w:space="0"/>
              <w:bottom w:val="nil"/>
            </w:tcBorders>
            <w:vAlign w:val="center"/>
          </w:tcPr>
          <w:p w14:paraId="7B6B856D">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康文森</w:t>
            </w:r>
          </w:p>
        </w:tc>
        <w:tc>
          <w:tcPr>
            <w:tcW w:w="1722" w:type="dxa"/>
            <w:tcBorders>
              <w:top w:val="single" w:color="auto" w:sz="8" w:space="0"/>
              <w:bottom w:val="nil"/>
            </w:tcBorders>
            <w:vAlign w:val="center"/>
          </w:tcPr>
          <w:p w14:paraId="31B411CF">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在中国的</w:t>
            </w:r>
            <w:r>
              <w:rPr>
                <w:rFonts w:ascii="Times New Roman" w:hAnsi="Times New Roman" w:eastAsia="宋体" w:cs="宋体"/>
                <w:kern w:val="0"/>
                <w:sz w:val="18"/>
                <w:szCs w:val="18"/>
                <w:lang w:val="en-US" w:eastAsia="zh-CN" w:bidi="ar-SA"/>
              </w:rPr>
              <w:t>诉讼</w:t>
            </w:r>
            <w:r>
              <w:rPr>
                <w:rFonts w:hint="eastAsia" w:ascii="Times New Roman" w:hAnsi="Times New Roman" w:eastAsia="宋体" w:cs="宋体"/>
                <w:kern w:val="0"/>
                <w:sz w:val="18"/>
                <w:szCs w:val="18"/>
                <w:lang w:val="en-US" w:eastAsia="zh-CN" w:bidi="ar-SA"/>
              </w:rPr>
              <w:t>终</w:t>
            </w:r>
            <w:r>
              <w:rPr>
                <w:rFonts w:ascii="Times New Roman" w:hAnsi="Times New Roman" w:eastAsia="宋体" w:cs="宋体"/>
                <w:kern w:val="0"/>
                <w:sz w:val="18"/>
                <w:szCs w:val="18"/>
                <w:lang w:val="en-US" w:eastAsia="zh-CN" w:bidi="ar-SA"/>
              </w:rPr>
              <w:t>结</w:t>
            </w:r>
            <w:r>
              <w:rPr>
                <w:rFonts w:hint="eastAsia" w:ascii="Times New Roman" w:hAnsi="Times New Roman" w:eastAsia="宋体" w:cs="宋体"/>
                <w:kern w:val="0"/>
                <w:sz w:val="18"/>
                <w:szCs w:val="18"/>
                <w:lang w:val="en-US" w:eastAsia="zh-CN" w:bidi="ar-SA"/>
              </w:rPr>
              <w:t>之</w:t>
            </w:r>
            <w:r>
              <w:rPr>
                <w:rFonts w:ascii="Times New Roman" w:hAnsi="Times New Roman" w:eastAsia="宋体" w:cs="宋体"/>
                <w:kern w:val="0"/>
                <w:sz w:val="18"/>
                <w:szCs w:val="18"/>
                <w:lang w:val="en-US" w:eastAsia="zh-CN" w:bidi="ar-SA"/>
              </w:rPr>
              <w:t>前，被告不</w:t>
            </w:r>
            <w:r>
              <w:rPr>
                <w:rFonts w:hint="eastAsia" w:ascii="Times New Roman" w:hAnsi="Times New Roman" w:eastAsia="宋体" w:cs="宋体"/>
                <w:kern w:val="0"/>
                <w:sz w:val="18"/>
                <w:szCs w:val="18"/>
                <w:lang w:val="en-US" w:eastAsia="zh-CN" w:bidi="ar-SA"/>
              </w:rPr>
              <w:t>应请求</w:t>
            </w:r>
            <w:r>
              <w:rPr>
                <w:rFonts w:ascii="Times New Roman" w:hAnsi="Times New Roman" w:eastAsia="宋体" w:cs="宋体"/>
                <w:kern w:val="0"/>
                <w:sz w:val="18"/>
                <w:szCs w:val="18"/>
                <w:lang w:val="en-US" w:eastAsia="zh-CN" w:bidi="ar-SA"/>
              </w:rPr>
              <w:t>德国法院执行一审停止侵权</w:t>
            </w:r>
            <w:r>
              <w:rPr>
                <w:rFonts w:hint="eastAsia" w:ascii="Times New Roman" w:hAnsi="Times New Roman" w:eastAsia="宋体" w:cs="宋体"/>
                <w:kern w:val="0"/>
                <w:sz w:val="18"/>
                <w:szCs w:val="18"/>
                <w:lang w:val="en-US" w:eastAsia="zh-CN" w:bidi="ar-SA"/>
              </w:rPr>
              <w:t>的裁</w:t>
            </w:r>
            <w:r>
              <w:rPr>
                <w:rFonts w:ascii="Times New Roman" w:hAnsi="Times New Roman" w:eastAsia="宋体" w:cs="宋体"/>
                <w:kern w:val="0"/>
                <w:sz w:val="18"/>
                <w:szCs w:val="18"/>
                <w:lang w:val="en-US" w:eastAsia="zh-CN" w:bidi="ar-SA"/>
              </w:rPr>
              <w:t>决</w:t>
            </w:r>
          </w:p>
        </w:tc>
        <w:tc>
          <w:tcPr>
            <w:tcW w:w="1134" w:type="dxa"/>
            <w:tcBorders>
              <w:top w:val="single" w:color="auto" w:sz="8" w:space="0"/>
              <w:bottom w:val="nil"/>
            </w:tcBorders>
            <w:vAlign w:val="center"/>
          </w:tcPr>
          <w:p w14:paraId="61AB3EFE">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德国杜塞尔多夫法院</w:t>
            </w:r>
          </w:p>
        </w:tc>
      </w:tr>
      <w:tr w14:paraId="55E5CE13">
        <w:trPr>
          <w:cantSplit/>
          <w:trHeight w:val="358" w:hRule="atLeast"/>
        </w:trPr>
        <w:tc>
          <w:tcPr>
            <w:tcW w:w="709" w:type="dxa"/>
            <w:tcBorders>
              <w:top w:val="nil"/>
            </w:tcBorders>
            <w:vAlign w:val="center"/>
          </w:tcPr>
          <w:p w14:paraId="5CA47E67">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992" w:type="dxa"/>
            <w:tcBorders>
              <w:top w:val="nil"/>
            </w:tcBorders>
            <w:vAlign w:val="center"/>
          </w:tcPr>
          <w:p w14:paraId="489D1185">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2020年09月23日</w:t>
            </w:r>
          </w:p>
        </w:tc>
        <w:tc>
          <w:tcPr>
            <w:tcW w:w="1388" w:type="dxa"/>
            <w:tcBorders>
              <w:top w:val="nil"/>
            </w:tcBorders>
            <w:vAlign w:val="center"/>
          </w:tcPr>
          <w:p w14:paraId="208C6E0A">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武汉市中级人民法院</w:t>
            </w:r>
          </w:p>
        </w:tc>
        <w:tc>
          <w:tcPr>
            <w:tcW w:w="1288" w:type="dxa"/>
            <w:tcBorders>
              <w:top w:val="nil"/>
            </w:tcBorders>
            <w:vAlign w:val="center"/>
          </w:tcPr>
          <w:p w14:paraId="36E7CC2D">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（2020）鄂01知民初169号之一</w:t>
            </w:r>
          </w:p>
        </w:tc>
        <w:tc>
          <w:tcPr>
            <w:tcW w:w="757" w:type="dxa"/>
            <w:tcBorders>
              <w:top w:val="nil"/>
            </w:tcBorders>
            <w:vAlign w:val="center"/>
          </w:tcPr>
          <w:p w14:paraId="6804FF5C">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小米</w:t>
            </w:r>
          </w:p>
        </w:tc>
        <w:tc>
          <w:tcPr>
            <w:tcW w:w="941" w:type="dxa"/>
            <w:tcBorders>
              <w:top w:val="nil"/>
            </w:tcBorders>
            <w:vAlign w:val="center"/>
          </w:tcPr>
          <w:p w14:paraId="38935B5A">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交互数字</w:t>
            </w:r>
          </w:p>
        </w:tc>
        <w:tc>
          <w:tcPr>
            <w:tcW w:w="1722" w:type="dxa"/>
            <w:tcBorders>
              <w:top w:val="nil"/>
            </w:tcBorders>
            <w:vAlign w:val="center"/>
          </w:tcPr>
          <w:p w14:paraId="6EAAF49C">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全球范围禁诉令</w:t>
            </w:r>
          </w:p>
        </w:tc>
        <w:tc>
          <w:tcPr>
            <w:tcW w:w="1134" w:type="dxa"/>
            <w:tcBorders>
              <w:top w:val="nil"/>
            </w:tcBorders>
            <w:vAlign w:val="center"/>
          </w:tcPr>
          <w:p w14:paraId="558171D7">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印度德里地方法院</w:t>
            </w:r>
          </w:p>
        </w:tc>
      </w:tr>
      <w:tr w14:paraId="351228BB">
        <w:trPr>
          <w:cantSplit/>
          <w:trHeight w:val="358" w:hRule="atLeast"/>
        </w:trPr>
        <w:tc>
          <w:tcPr>
            <w:tcW w:w="709" w:type="dxa"/>
            <w:vAlign w:val="center"/>
          </w:tcPr>
          <w:p w14:paraId="2B1565E4">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992" w:type="dxa"/>
            <w:vAlign w:val="center"/>
          </w:tcPr>
          <w:p w14:paraId="072EA953">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2020年09月28日</w:t>
            </w:r>
          </w:p>
        </w:tc>
        <w:tc>
          <w:tcPr>
            <w:tcW w:w="1388" w:type="dxa"/>
            <w:vAlign w:val="center"/>
          </w:tcPr>
          <w:p w14:paraId="22539638">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深圳市中级人民法院</w:t>
            </w:r>
          </w:p>
        </w:tc>
        <w:tc>
          <w:tcPr>
            <w:tcW w:w="1288" w:type="dxa"/>
            <w:vAlign w:val="center"/>
          </w:tcPr>
          <w:p w14:paraId="2DC1BD8B">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（2018）粤03民初335 号之一</w:t>
            </w:r>
          </w:p>
        </w:tc>
        <w:tc>
          <w:tcPr>
            <w:tcW w:w="757" w:type="dxa"/>
            <w:vAlign w:val="center"/>
          </w:tcPr>
          <w:p w14:paraId="6801B25F">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中兴</w:t>
            </w:r>
          </w:p>
        </w:tc>
        <w:tc>
          <w:tcPr>
            <w:tcW w:w="941" w:type="dxa"/>
            <w:vAlign w:val="center"/>
          </w:tcPr>
          <w:p w14:paraId="66D40F74">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康文森</w:t>
            </w:r>
          </w:p>
        </w:tc>
        <w:tc>
          <w:tcPr>
            <w:tcW w:w="1722" w:type="dxa"/>
            <w:vAlign w:val="center"/>
          </w:tcPr>
          <w:p w14:paraId="493F7A8F">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在中国的</w:t>
            </w:r>
            <w:r>
              <w:rPr>
                <w:rFonts w:ascii="Times New Roman" w:hAnsi="Times New Roman" w:eastAsia="宋体" w:cs="宋体"/>
                <w:kern w:val="0"/>
                <w:sz w:val="18"/>
                <w:szCs w:val="18"/>
                <w:lang w:val="en-US" w:eastAsia="zh-CN" w:bidi="ar-SA"/>
              </w:rPr>
              <w:t>诉讼</w:t>
            </w:r>
            <w:r>
              <w:rPr>
                <w:rFonts w:hint="eastAsia" w:ascii="Times New Roman" w:hAnsi="Times New Roman" w:eastAsia="宋体" w:cs="宋体"/>
                <w:kern w:val="0"/>
                <w:sz w:val="18"/>
                <w:szCs w:val="18"/>
                <w:lang w:val="en-US" w:eastAsia="zh-CN" w:bidi="ar-SA"/>
              </w:rPr>
              <w:t>终</w:t>
            </w:r>
            <w:r>
              <w:rPr>
                <w:rFonts w:ascii="Times New Roman" w:hAnsi="Times New Roman" w:eastAsia="宋体" w:cs="宋体"/>
                <w:kern w:val="0"/>
                <w:sz w:val="18"/>
                <w:szCs w:val="18"/>
                <w:lang w:val="en-US" w:eastAsia="zh-CN" w:bidi="ar-SA"/>
              </w:rPr>
              <w:t>结</w:t>
            </w:r>
            <w:r>
              <w:rPr>
                <w:rFonts w:hint="eastAsia" w:ascii="Times New Roman" w:hAnsi="Times New Roman" w:eastAsia="宋体" w:cs="宋体"/>
                <w:kern w:val="0"/>
                <w:sz w:val="18"/>
                <w:szCs w:val="18"/>
                <w:lang w:val="en-US" w:eastAsia="zh-CN" w:bidi="ar-SA"/>
              </w:rPr>
              <w:t>之</w:t>
            </w:r>
            <w:r>
              <w:rPr>
                <w:rFonts w:ascii="Times New Roman" w:hAnsi="Times New Roman" w:eastAsia="宋体" w:cs="宋体"/>
                <w:kern w:val="0"/>
                <w:sz w:val="18"/>
                <w:szCs w:val="18"/>
                <w:lang w:val="en-US" w:eastAsia="zh-CN" w:bidi="ar-SA"/>
              </w:rPr>
              <w:t>前，被告不</w:t>
            </w:r>
            <w:r>
              <w:rPr>
                <w:rFonts w:hint="eastAsia" w:ascii="Times New Roman" w:hAnsi="Times New Roman" w:eastAsia="宋体" w:cs="宋体"/>
                <w:kern w:val="0"/>
                <w:sz w:val="18"/>
                <w:szCs w:val="18"/>
                <w:lang w:val="en-US" w:eastAsia="zh-CN" w:bidi="ar-SA"/>
              </w:rPr>
              <w:t>应请求</w:t>
            </w:r>
            <w:r>
              <w:rPr>
                <w:rFonts w:ascii="Times New Roman" w:hAnsi="Times New Roman" w:eastAsia="宋体" w:cs="宋体"/>
                <w:kern w:val="0"/>
                <w:sz w:val="18"/>
                <w:szCs w:val="18"/>
                <w:lang w:val="en-US" w:eastAsia="zh-CN" w:bidi="ar-SA"/>
              </w:rPr>
              <w:t>德国法院执行一审停止侵权</w:t>
            </w:r>
            <w:r>
              <w:rPr>
                <w:rFonts w:hint="eastAsia" w:ascii="Times New Roman" w:hAnsi="Times New Roman" w:eastAsia="宋体" w:cs="宋体"/>
                <w:kern w:val="0"/>
                <w:sz w:val="18"/>
                <w:szCs w:val="18"/>
                <w:lang w:val="en-US" w:eastAsia="zh-CN" w:bidi="ar-SA"/>
              </w:rPr>
              <w:t>的裁</w:t>
            </w:r>
            <w:r>
              <w:rPr>
                <w:rFonts w:ascii="Times New Roman" w:hAnsi="Times New Roman" w:eastAsia="宋体" w:cs="宋体"/>
                <w:kern w:val="0"/>
                <w:sz w:val="18"/>
                <w:szCs w:val="18"/>
                <w:lang w:val="en-US" w:eastAsia="zh-CN" w:bidi="ar-SA"/>
              </w:rPr>
              <w:t>决</w:t>
            </w:r>
          </w:p>
        </w:tc>
        <w:tc>
          <w:tcPr>
            <w:tcW w:w="1134" w:type="dxa"/>
            <w:vAlign w:val="center"/>
          </w:tcPr>
          <w:p w14:paraId="07756A79">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德国杜塞尔多夫法院</w:t>
            </w:r>
          </w:p>
        </w:tc>
      </w:tr>
    </w:tbl>
    <w:p w14:paraId="603298FB">
      <w:pPr>
        <w:widowControl w:val="0"/>
        <w:spacing w:before="120" w:beforeLines="50" w:afterLines="0" w:line="288" w:lineRule="auto"/>
        <w:ind w:firstLine="0" w:firstLineChars="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w:t>
      </w:r>
      <w:r>
        <w:rPr>
          <w:rFonts w:ascii="Times New Roman" w:hAnsi="Times New Roman" w:eastAsia="宋体" w:cs="Times New Roman"/>
          <w:kern w:val="2"/>
          <w:sz w:val="21"/>
          <w:szCs w:val="21"/>
          <w:lang w:val="en-US" w:eastAsia="zh-CN" w:bidi="ar-SA"/>
        </w:rPr>
        <w:t>2</w:t>
      </w:r>
      <w:r>
        <w:rPr>
          <w:rFonts w:hint="eastAsia" w:ascii="Times New Roman" w:hAnsi="Times New Roman" w:eastAsia="宋体" w:cs="Times New Roman"/>
          <w:kern w:val="2"/>
          <w:sz w:val="21"/>
          <w:szCs w:val="21"/>
          <w:lang w:val="en-US" w:eastAsia="zh-CN" w:bidi="ar-SA"/>
        </w:rPr>
        <w:t>（续） 国内5起签发禁诉令的标准必要专利案件</w:t>
      </w:r>
    </w:p>
    <w:tbl>
      <w:tblPr>
        <w:tblStyle w:val="9"/>
        <w:tblW w:w="893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992"/>
        <w:gridCol w:w="1388"/>
        <w:gridCol w:w="1288"/>
        <w:gridCol w:w="757"/>
        <w:gridCol w:w="941"/>
        <w:gridCol w:w="1722"/>
        <w:gridCol w:w="1134"/>
      </w:tblGrid>
      <w:tr w14:paraId="4151EC73">
        <w:trPr>
          <w:cantSplit/>
          <w:trHeight w:val="358" w:hRule="atLeast"/>
        </w:trPr>
        <w:tc>
          <w:tcPr>
            <w:tcW w:w="709" w:type="dxa"/>
            <w:vAlign w:val="center"/>
          </w:tcPr>
          <w:p w14:paraId="369470AB">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992" w:type="dxa"/>
            <w:vAlign w:val="center"/>
          </w:tcPr>
          <w:p w14:paraId="5733B514">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2020年10月16日</w:t>
            </w:r>
          </w:p>
        </w:tc>
        <w:tc>
          <w:tcPr>
            <w:tcW w:w="1388" w:type="dxa"/>
            <w:vAlign w:val="center"/>
          </w:tcPr>
          <w:p w14:paraId="2BEBAF95">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深圳市中级人民法院</w:t>
            </w:r>
          </w:p>
        </w:tc>
        <w:tc>
          <w:tcPr>
            <w:tcW w:w="1288" w:type="dxa"/>
            <w:vAlign w:val="center"/>
          </w:tcPr>
          <w:p w14:paraId="26020606">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（2020）粤03民初689 号之一</w:t>
            </w:r>
          </w:p>
        </w:tc>
        <w:tc>
          <w:tcPr>
            <w:tcW w:w="757" w:type="dxa"/>
            <w:vAlign w:val="center"/>
          </w:tcPr>
          <w:p w14:paraId="295494BE">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OPPO</w:t>
            </w:r>
          </w:p>
        </w:tc>
        <w:tc>
          <w:tcPr>
            <w:tcW w:w="941" w:type="dxa"/>
            <w:vAlign w:val="center"/>
          </w:tcPr>
          <w:p w14:paraId="3FF0ECA0">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夏普</w:t>
            </w:r>
          </w:p>
        </w:tc>
        <w:tc>
          <w:tcPr>
            <w:tcW w:w="1722" w:type="dxa"/>
            <w:vAlign w:val="center"/>
          </w:tcPr>
          <w:p w14:paraId="7FD1797B">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全球范围禁诉令</w:t>
            </w:r>
          </w:p>
        </w:tc>
        <w:tc>
          <w:tcPr>
            <w:tcW w:w="1134" w:type="dxa"/>
            <w:vAlign w:val="center"/>
          </w:tcPr>
          <w:p w14:paraId="70078698">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德国慕尼黑第一地区法院</w:t>
            </w:r>
          </w:p>
        </w:tc>
      </w:tr>
      <w:tr w14:paraId="16DB939A">
        <w:trPr>
          <w:cantSplit/>
          <w:trHeight w:val="373" w:hRule="atLeast"/>
        </w:trPr>
        <w:tc>
          <w:tcPr>
            <w:tcW w:w="709" w:type="dxa"/>
            <w:tcBorders>
              <w:bottom w:val="single" w:color="auto" w:sz="12" w:space="0"/>
            </w:tcBorders>
            <w:vAlign w:val="center"/>
          </w:tcPr>
          <w:p w14:paraId="72D24F1F">
            <w:pPr>
              <w:adjustRightInd/>
              <w:snapToGrid/>
              <w:spacing w:line="288" w:lineRule="auto"/>
              <w:ind w:firstLine="0" w:firstLineChars="0"/>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992" w:type="dxa"/>
            <w:tcBorders>
              <w:bottom w:val="single" w:color="auto" w:sz="12" w:space="0"/>
            </w:tcBorders>
            <w:vAlign w:val="center"/>
          </w:tcPr>
          <w:p w14:paraId="6D3A701A">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2020年12月25日</w:t>
            </w:r>
          </w:p>
        </w:tc>
        <w:tc>
          <w:tcPr>
            <w:tcW w:w="1388" w:type="dxa"/>
            <w:tcBorders>
              <w:bottom w:val="single" w:color="auto" w:sz="12" w:space="0"/>
            </w:tcBorders>
            <w:vAlign w:val="center"/>
          </w:tcPr>
          <w:p w14:paraId="15A1F10E">
            <w:pPr>
              <w:widowControl/>
              <w:adjustRightInd w:val="0"/>
              <w:snapToGrid w:val="0"/>
              <w:spacing w:beforeAutospacing="0" w:afterAutospacing="0" w:line="288" w:lineRule="auto"/>
              <w:ind w:firstLine="0" w:firstLineChars="0"/>
              <w:jc w:val="both"/>
              <w:rPr>
                <w:rFonts w:ascii="Calibri" w:hAnsi="Calibri" w:eastAsia="宋体" w:cs="Times New Roman"/>
                <w:kern w:val="0"/>
                <w:sz w:val="18"/>
                <w:szCs w:val="18"/>
                <w:lang w:val="en-US" w:eastAsia="zh-CN" w:bidi="ar-SA"/>
              </w:rPr>
            </w:pPr>
            <w:r>
              <w:rPr>
                <w:rFonts w:hint="eastAsia" w:ascii="Times New Roman" w:hAnsi="Times New Roman" w:eastAsia="宋体" w:cs="宋体"/>
                <w:kern w:val="0"/>
                <w:sz w:val="18"/>
                <w:szCs w:val="18"/>
                <w:lang w:val="en-US" w:eastAsia="zh-CN" w:bidi="ar-SA"/>
              </w:rPr>
              <w:t>武汉市中级人民法院</w:t>
            </w:r>
          </w:p>
        </w:tc>
        <w:tc>
          <w:tcPr>
            <w:tcW w:w="1288" w:type="dxa"/>
            <w:tcBorders>
              <w:bottom w:val="single" w:color="auto" w:sz="12" w:space="0"/>
            </w:tcBorders>
            <w:vAlign w:val="center"/>
          </w:tcPr>
          <w:p w14:paraId="000AF026">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（2020）鄂01 知民初743 号</w:t>
            </w:r>
          </w:p>
        </w:tc>
        <w:tc>
          <w:tcPr>
            <w:tcW w:w="757" w:type="dxa"/>
            <w:tcBorders>
              <w:bottom w:val="single" w:color="auto" w:sz="12" w:space="0"/>
            </w:tcBorders>
            <w:vAlign w:val="center"/>
          </w:tcPr>
          <w:p w14:paraId="7833BF2B">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三星</w:t>
            </w:r>
          </w:p>
        </w:tc>
        <w:tc>
          <w:tcPr>
            <w:tcW w:w="941" w:type="dxa"/>
            <w:tcBorders>
              <w:bottom w:val="single" w:color="auto" w:sz="12" w:space="0"/>
            </w:tcBorders>
            <w:vAlign w:val="center"/>
          </w:tcPr>
          <w:p w14:paraId="28EC074D">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爱立信</w:t>
            </w:r>
          </w:p>
        </w:tc>
        <w:tc>
          <w:tcPr>
            <w:tcW w:w="1722" w:type="dxa"/>
            <w:tcBorders>
              <w:bottom w:val="single" w:color="auto" w:sz="12" w:space="0"/>
            </w:tcBorders>
            <w:vAlign w:val="center"/>
          </w:tcPr>
          <w:p w14:paraId="4C03532E">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全球范围禁诉令</w:t>
            </w:r>
          </w:p>
        </w:tc>
        <w:tc>
          <w:tcPr>
            <w:tcW w:w="1134" w:type="dxa"/>
            <w:tcBorders>
              <w:bottom w:val="single" w:color="auto" w:sz="12" w:space="0"/>
            </w:tcBorders>
            <w:vAlign w:val="center"/>
          </w:tcPr>
          <w:p w14:paraId="13EF0B9A">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18"/>
                <w:szCs w:val="18"/>
                <w:lang w:val="en-US" w:eastAsia="zh-CN" w:bidi="ar-SA"/>
              </w:rPr>
            </w:pPr>
            <w:r>
              <w:rPr>
                <w:rFonts w:hint="eastAsia" w:ascii="Times New Roman" w:hAnsi="Times New Roman" w:eastAsia="宋体" w:cs="宋体"/>
                <w:kern w:val="0"/>
                <w:sz w:val="18"/>
                <w:szCs w:val="18"/>
                <w:lang w:val="en-US" w:eastAsia="zh-CN" w:bidi="ar-SA"/>
              </w:rPr>
              <w:t>美国德克萨斯州东区法院</w:t>
            </w:r>
          </w:p>
        </w:tc>
      </w:tr>
    </w:tbl>
    <w:p w14:paraId="2166833B">
      <w:pPr>
        <w:bidi w:val="0"/>
      </w:pPr>
      <w:r>
        <w:rPr>
          <w:rFonts w:hint="eastAsia"/>
        </w:rPr>
        <w:t>在当前我国的法律体系中，禁诉令仅能以行为保全的形式向法院申请签发，所以，法院审查禁诉令签发与否的法律依据主要为《民事诉讼法》第103条及《关于审查知识产权纠纷行为保全案件适用法律若干问题的规定》（后文简称“《知识产权行为保全规定》”）第7条。结合以上5起标准必要专利案件中，法院适用禁诉令时的考量因素具体包括：（1）如果不予适用，是否会给申请人合法权益造成不可挽回的损失；（2）如果不予适用，对申请人造成的损害是否超过予以适用对被申请人造成的损害；（3）如果不予适用，是否会导致案件裁决执行困难的问题；（4）如果予以适用，是否损害社会公共利益；（5）如果予以适用，是否会违背国际礼让原则。这5项考量因素从申请人角度、诉讼秩序角度、社会公共利益角度和国际民事管辖权划分角度构成了具有中国特色的基于利益衡量的禁诉令适用标准。</w:t>
      </w:r>
    </w:p>
    <w:p w14:paraId="3A67F658">
      <w:pPr>
        <w:bidi w:val="0"/>
      </w:pPr>
      <w:r>
        <w:rPr>
          <w:rFonts w:hint="eastAsia"/>
        </w:rPr>
        <w:t>由于标准必要专利的纠纷致使国际平行诉讼大量发生，占据了不可小觑的司法资源，并且两方当事人的诉讼成本都极为高昂。作为解决平行诉讼有效手段的禁诉令制度，其所适用的场景需和平行诉讼发生的场景保持一致。通过对此类案件整理分析，可以总结出三类与标准必要专利有关的国际平行诉讼：</w:t>
      </w:r>
    </w:p>
    <w:p w14:paraId="4B5575E6">
      <w:pPr>
        <w:bidi w:val="0"/>
      </w:pPr>
      <w:r>
        <w:rPr>
          <w:rFonts w:hint="eastAsia"/>
        </w:rPr>
        <w:t>第一种，与标准必要专利许可费或许可费率有关的诉讼案件。由于在标准必要专利许可中，谈判的核心就是许可费问题，双方围绕许可费以及许可费率的计算依据进行反复商讨、多次磋商。可是双方的立场、目的、利益起点都不尽相同，所以很难达成一致的商讨结论。在谈判无法达成一致的情况，要解决纠纷，专利权人和专利的实施人只能向法院提出确认FRAND许可费率的诉讼。此种诉讼又分为两种情况：一是请求裁定FRAND全球许可费率，如在“OPPO公司与夏普公司案”中，深圳市中级人民法院根据OPPO公司的诉请，裁定了全球许可费率。二是，仅请求裁定本国费率，如在“华为公司与康文森公司案”中，南京市中级人民法院判决了康文森应该许可华为中国区的标准必要专利的许可费率。</w:t>
      </w:r>
    </w:p>
    <w:p w14:paraId="44FBE3AD">
      <w:pPr>
        <w:bidi w:val="0"/>
      </w:pPr>
      <w:r>
        <w:rPr>
          <w:rFonts w:hint="eastAsia"/>
        </w:rPr>
        <w:t>第二种，与标准必要专利禁令救济有关的诉讼案件。就许可条件来说，标准必要专利权人和专利实施人难达成一致的时候，权利人会将实施人告上法庭，请求法院签发禁令，以保障自身利益，责令其停止侵害行为。如“中兴公司与康文森公司案”中，康文森公司在德国提起诉讼，请求法院作出禁令裁定，责令中兴公司停止侵害行为并承担赔偿责任。</w:t>
      </w:r>
    </w:p>
    <w:p w14:paraId="276C2CEC">
      <w:pPr>
        <w:bidi w:val="0"/>
      </w:pPr>
      <w:r>
        <w:rPr>
          <w:rFonts w:hint="eastAsia"/>
        </w:rPr>
        <w:t>第三种，与标准必要专利垄断有关的诉讼案件。因为标准必要专利处于不可代替的地位，在商业利益驱使下，专利权人难免会使用其市场优势，实行绑定销售非标准必要专利、制定歧视性价格或高价许可等市场垄断行为。故而，也要对此种行为进行遏制，在这种情况下，实施人可以提起反垄断诉讼，向法院起诉，要求专利权人停止其垄断行为，对实施人进行损害赔偿。</w:t>
      </w:r>
    </w:p>
    <w:p w14:paraId="1D008147">
      <w:pPr>
        <w:bidi w:val="0"/>
      </w:pPr>
      <w:r>
        <w:rPr>
          <w:rFonts w:hint="eastAsia"/>
        </w:rPr>
        <w:t>通讯领域的标准必要专利作为一种实施技术标准所必不可少的专利，由于其潜在的巨大商业价值，引起各大专利巨头公司在此领域“寸土必争”，不惜运用各种诉讼手段在多地法院提起诉讼争夺利益。又基于技术标准的国际性和专利权保护的地域性，多国法院均有权管辖标准必要专利纠纷。当部分国家法院突破专利纠纷的地域性，主动裁判全球许可费率时，其他国家法院出于保护自身管辖权的需要，则会对诉讼当事人签发禁诉令予以反击。标准必要专利法律纠纷的特点主要表现为国际平行诉讼的激增，并呈现以标准必要专利许可费诉讼为核心，伴随着禁令救济诉讼和与垄断相关的诉讼三种国际平行诉讼类型。</w:t>
      </w:r>
    </w:p>
    <w:p w14:paraId="037660AD">
      <w:pPr>
        <w:pStyle w:val="2"/>
        <w:bidi w:val="0"/>
        <w:rPr>
          <w:lang w:val="en-US" w:eastAsia="zh-CN"/>
        </w:rPr>
      </w:pPr>
      <w:bookmarkStart w:id="12" w:name="_Toc137325840"/>
      <w:r>
        <w:rPr>
          <w:rFonts w:hint="eastAsia"/>
          <w:lang w:val="en-US" w:eastAsia="zh-CN"/>
        </w:rPr>
        <w:t>二、我国标准必要专利禁诉令适用标准的现存缺陷</w:t>
      </w:r>
      <w:bookmarkEnd w:id="12"/>
    </w:p>
    <w:p w14:paraId="28D73CB7">
      <w:pPr>
        <w:bidi w:val="0"/>
      </w:pPr>
      <w:r>
        <w:rPr>
          <w:rFonts w:hint="eastAsia"/>
        </w:rPr>
        <w:t>《知识产权行为保全规定》第7条的5项因素先后考量申请人个人的利益、国内诉讼秩序的权威、社会公共利益、国际民事诉讼秩序的管辖利益，即是从微观到宏观、从个体到整体的考量顺序。在对此条规定的适用标准进行审视反思时，应从禁诉令旨在解决国际平行诉讼的初衷出发，按照先整体后个体、先抽象后具体的顺序进行分析。</w:t>
      </w:r>
    </w:p>
    <w:p w14:paraId="4D204F3A">
      <w:pPr>
        <w:pStyle w:val="3"/>
        <w:bidi w:val="0"/>
        <w:rPr>
          <w:lang w:val="en-US" w:eastAsia="zh-CN"/>
        </w:rPr>
      </w:pPr>
      <w:bookmarkStart w:id="13" w:name="_Toc137325841"/>
      <w:r>
        <w:rPr>
          <w:rFonts w:hint="eastAsia"/>
          <w:lang w:val="en-US" w:eastAsia="zh-CN"/>
        </w:rPr>
        <w:t>（一）以先系属优先原则作为确定管辖权的依据不充分</w:t>
      </w:r>
      <w:bookmarkEnd w:id="13"/>
    </w:p>
    <w:p w14:paraId="705E5D9A">
      <w:pPr>
        <w:bidi w:val="0"/>
      </w:pPr>
      <w:r>
        <w:rPr>
          <w:rFonts w:hint="eastAsia"/>
        </w:rPr>
        <w:t>先系属优先原则是指在出现国际平行诉讼时，各国之间出于礼让，是由最先受理案件请求的法院来决定案件的管辖权。尽管我国法院可以依据《民事诉讼法》第266条之规定，以《民事诉讼法》第36条规定的先系属优先原则解决标准必要专利领域的国际平行诉讼，但若两国之间并无条约义务，则此原则并非为外国法院所普遍接受的解决国际平行的方法。如在“华为公司与康文森公司”一案中，最高人民法院在先受理案件后，康文森公司随后又向德国杜塞尔多夫法院对华为公司提起侵权诉讼，并得到了德国法院确认华为公司侵权的一审判决。在本案中，很显然，德国法院并未尊重我国法院基于国际礼让原则所坚持的先系属优先原则，随后，我国最高人民法院为了维护自身管辖权，根据华为公司的申请对康文森公司签发了禁令，禁止其申请执行德国法院的一审判决。又如在“三星公司与爱立信公司”一案中，在武汉中院已经受理三星公司与爱立信公司关于标准必要专利纠纷的诉讼后，美国德克萨斯州东区法院又根据爱立信公司的起诉，受理了同一诉由的案件，也未礼让我国在先受理的管辖权。随后，武汉中院又根据三星公司的申请对爱立信公司签发禁诉令，以维护自身的管辖权。</w:t>
      </w:r>
    </w:p>
    <w:p w14:paraId="08BB7F08">
      <w:pPr>
        <w:bidi w:val="0"/>
      </w:pPr>
      <w:r>
        <w:rPr>
          <w:rFonts w:hint="eastAsia"/>
        </w:rPr>
        <w:t xml:space="preserve">学者认为，大陆法系国家的法院将先系属优先原则从适用于国内的关联案件拓广到国际案件，但其具有自由裁定的权利，而不是强制性义务。再如在“小米公司与交互数字公司”一案中，武汉中院已在先受理小米公司与交互数字公司的诉讼后，但印度德里地区法院仍继续根据交互数字公司的起诉，受理同一诉由的案件。甚至在武汉中院根据小米公司的申请签发禁诉令，禁止交互数字公司继续进行在印度的诉讼后，印度德里地方法院随即签发反禁诉令，禁止小米公司不得向武汉中院申请执行针对交互数字公司的禁诉令。可以看出，我国武汉市中院回应该禁诉令的复议申请裁定中指出，“尽管存在多个管辖法院，要依据前后次序，后管辖的法院要尊重先受理的法院的管辖权，从而以先管辖的法院关于标准必要费用的判决为准，”这是基于后续受理法院对先受理法院的尊重，并不意味着剥夺后受理法院的管辖权或影响其他国家和地区的司法主权。” 并未得到外国法院的认同。值得引起注意的是，目前，以先受理法院原则为其法院管辖权依据的，只有布鲁塞尔体系中的一些欧盟国家，其他国家或地区并不受此原则的限制，所以，其他国家的法院也没有法律意义上的义务去尊重另一国家法院在先受理的管辖权。仅以受理案件的先后顺序就排除外国法院的司法管辖权存在不合理之处。其实，根据我国法律的规定，我国法院不会在确立国际民商事管辖权时以在先受理原则为由，强制要求他国必须尊重我国的在先受理获得的管辖权而排除他国的管辖权，否则也是难以服众的。 </w:t>
      </w:r>
    </w:p>
    <w:p w14:paraId="3EF58700">
      <w:pPr>
        <w:pStyle w:val="3"/>
        <w:bidi w:val="0"/>
        <w:rPr>
          <w:lang w:val="en-US" w:eastAsia="zh-CN"/>
        </w:rPr>
      </w:pPr>
      <w:bookmarkStart w:id="14" w:name="_Toc137325842"/>
      <w:r>
        <w:rPr>
          <w:rFonts w:hint="eastAsia"/>
          <w:lang w:val="en-US" w:eastAsia="zh-CN"/>
        </w:rPr>
        <w:t>（二）仅以裁决执行困难考量国内诉讼秩序不全面</w:t>
      </w:r>
      <w:bookmarkEnd w:id="14"/>
    </w:p>
    <w:p w14:paraId="25AB8FAF">
      <w:pPr>
        <w:bidi w:val="0"/>
      </w:pPr>
      <w:r>
        <w:rPr>
          <w:rFonts w:hint="eastAsia"/>
        </w:rPr>
        <w:t>在现行适用禁诉令的标准《知识产权行为保全规定》第7条中，仅有“如果不予适用，是否会导致案件裁决执行困难的问题”一项与国内诉讼秩序相关的因素，对国内诉讼秩序的考量不够全面、说服力不足。在我国法院已作出的涉及标准必要专利的5份禁诉令裁定中，均考量了域外法院裁判对国内诉讼秩序的影响。如在“小米公司与交互数字公司”一案中，武汉中院在签发禁诉令时认为，被申请人交互数字公司在印度法院针对小米公司发动的禁诉令，可能导致与本案裁决相冲突的裁决作出，不仅影响双方业已展开的标准必要专利许可谈判的达成，而且可能导致本案的生效裁决难以执行。武汉中院在禁诉令的国内诉讼秩序部分仅考虑了案件裁决的难以执行，是涵盖在第7条规定的因素之内的。但在“华为公司与康文森公司”一案中，在国内诉讼秩序因素部分，最高人民法院认为，对于申请人申请禁诉令的行为，应当首先考量如果被申请人申请执行域外裁决，有无可能对本案的审理裁决造成实质性影响。在分析两诉之间的相互影响时，最高院首先从诉讼主体和审理对象出发，认为两国诉讼当事人基本相同，两国纠纷在性质上虽有差异，但审理对象存在部分重合，以确定两诉构成国际平行诉讼。随后，从行为效果的角度分析认为，若康文森公司申请德国的侵权判决将会使本案的审理和判决失去意义，因而，华为公司具备申请此类行为保全的前提条件。在本案中，最高院分别从诉讼主体、审理对象和两诉结果三个方面论证了华为具备申请禁诉令的前提条件。《知识产权行为保全规定》第7条中“不采取行为保全措施是否会造成案件裁决难以执行”的因素，则难以涵盖本案中对国内诉讼秩序的考量。</w:t>
      </w:r>
    </w:p>
    <w:p w14:paraId="0ECD4873">
      <w:pPr>
        <w:bidi w:val="0"/>
      </w:pPr>
      <w:r>
        <w:rPr>
          <w:rFonts w:hint="eastAsia"/>
        </w:rPr>
        <w:t>此外，适用禁诉令所涉及的问题是是否对外国诉讼程序和司法管辖权的礼让和尊重，但生效的裁决能否得到国外法院执行的保障，仅涉及诉讼结果的问题。国际间相互承认和执行法院民商事判决的问题，已由被普遍认可的国际私法规则来保障。比如2019年，海牙国际私法会议上通过的《承认与执行外国民商事判决公约》，是国际社会诞生的第一部全球性的多边的外国民商事法院判决承认和执行的国际公约，已经能妥善地解决民事裁判的执行问题。就算我国人民法院在实务中考虑此因素的时候，已经破除了“是否致使案件判决执行艰难”的限制，比较全面地考虑国外诉讼程序的影响，但是在实践中，此考量标准并没有被明确贯彻到法律和司法解释之中。</w:t>
      </w:r>
    </w:p>
    <w:p w14:paraId="7F8318E3">
      <w:pPr>
        <w:pStyle w:val="3"/>
        <w:bidi w:val="0"/>
        <w:rPr>
          <w:lang w:val="en-US" w:eastAsia="zh-CN"/>
        </w:rPr>
      </w:pPr>
      <w:bookmarkStart w:id="15" w:name="_Toc137325843"/>
      <w:r>
        <w:rPr>
          <w:rFonts w:hint="eastAsia"/>
          <w:lang w:val="en-US" w:eastAsia="zh-CN"/>
        </w:rPr>
        <w:t>（三）社会公共利益的新内涵尚未明确</w:t>
      </w:r>
      <w:bookmarkEnd w:id="15"/>
    </w:p>
    <w:p w14:paraId="245FFE40">
      <w:pPr>
        <w:bidi w:val="0"/>
      </w:pPr>
      <w:r>
        <w:rPr>
          <w:rFonts w:hint="eastAsia"/>
        </w:rPr>
        <w:t>《知识产权行为保全规定》第7条要求人民法院在适用禁诉令时考量“如果予以适用，是否损害社会公共利益”，但在我国法院已作出的禁诉令裁定中，仅仅只是从反向阐述了法院签发禁诉令不会影响社会公共利益，但对社会公共利益的内涵却未明确。如在“华为公司与康文森公司”一案中，最高法认为，首先本案及关联的德国杜塞尔多夫法院诉讼主要涉及华为公司与康文森公司的利益，其次，行为保全的对象是禁止康文森公司在本院作出终审判决前申请执行德国法院的停止侵权判决，不影响公共利益。在标准必要专利纠纷中签发禁诉令是争取管辖权的司法手段，禁止的是被申请人在外国法院的相关诉讼行为，通常只可能影响外国而非中国的社会公共利益，因此若不能将《知识产权行为保全规定》中的“社会公共利益”扩张解释为“国际社会公共利益”，则并不适宜以此作为禁诉令的考量标准。在“三星公司与爱立信公司”一案中，武汉中院认为，签发禁诉令则能保障消费者的权益，但若不签发禁诉令则会使三星公司面临相关产品被禁产禁售、市场竞争能力降低、运营成本提高等风险，最终影响消费者的利益。但武汉中院的理由本质上是将三星公司的商业利益等同于社会公共利益，造成这一情况的原因还是在于在标准必要专利纠纷领域，社会公共利益的内涵外延没能被清晰界定。</w:t>
      </w:r>
    </w:p>
    <w:p w14:paraId="27C8117A">
      <w:pPr>
        <w:bidi w:val="0"/>
      </w:pPr>
      <w:r>
        <w:rPr>
          <w:rFonts w:hint="eastAsia"/>
        </w:rPr>
        <w:t>在任何法律领域都可能涉及公共利益，若不能对其进行界定，则公共利益理由则有被泛化适用的危险。英美法系国家作为禁诉令制度的发源地，但其在适用禁诉令时也坦然承认公共利益时一个不确切的概念。当法院的禁诉令裁定未能公开宣示社会公共利益所蕴含的意义，那么在一定程度上，其合法性和必要性是容易被质疑的。目前，主流观点均认为在维护国际关系和本国利益的衡量时，只有对社会公共利益作出严谨详实的实质性考量后，才能予以签发。</w:t>
      </w:r>
    </w:p>
    <w:p w14:paraId="41534C63">
      <w:pPr>
        <w:pStyle w:val="3"/>
        <w:bidi w:val="0"/>
        <w:rPr>
          <w:lang w:val="en-US" w:eastAsia="zh-CN"/>
        </w:rPr>
      </w:pPr>
      <w:bookmarkStart w:id="16" w:name="_Toc137325844"/>
      <w:r>
        <w:rPr>
          <w:rFonts w:hint="eastAsia"/>
          <w:lang w:val="en-US" w:eastAsia="zh-CN"/>
        </w:rPr>
        <w:t>（四）当事人主观状态的考量要素缺失</w:t>
      </w:r>
      <w:bookmarkEnd w:id="16"/>
    </w:p>
    <w:p w14:paraId="64EC7AD4">
      <w:pPr>
        <w:bidi w:val="0"/>
      </w:pPr>
      <w:r>
        <w:rPr>
          <w:rFonts w:hint="eastAsia"/>
        </w:rPr>
        <w:t>《知识产权行为保全规定》第7条之规定缺乏对当事人主观意志要素的评价，与禁诉令强调诚信善意、追寻正义的目的不符。在禁诉令制度成熟的英美法系国家，虽没有直接考量当事人的主观意志因素，但实际上通过对当事人滥诉行为的认定间接地衡量了当事人的主观状态。在国外已签发的禁诉令裁定中，若一方当事人出于困扰和压制对方当事人的目的，在他国提起平行诉讼，则属于滥用诉讼权利，是该国法院决定签发禁诉令的重要因素。其中“困扰”和“压制”即是外国法院考量被申请人主观因素的标准。同样地，在我国武汉中院审理的“小米公司与交互数字公司”一案中，法院在签发禁诉令时认为，被申请人交互数字公司获知本院受案信息，但其不配合法院的诉讼程序，不仅如此，其还在印度法院提起了禁令程序，以实际行动表明了明确拒绝我国管辖权的态度，妨碍了我国法院的审理秩序，主观恶意明显。显然，在司法实践中，我国法院已经将“干扰”和“妨碍”作为衡量被申请人主观因素的标准。此外，武汉中院还在本案中对申请人小米公司的主观态度进行分析，认为小米公司申请禁诉令的目的在于排除交互数字公司滥用印度禁令救济程序妨碍本案审理和保障本院对双方之间全球费率争议生效裁决的执行。但在其他4份禁诉令裁定中，却缺乏类似的说理。除了在启动诉讼程序等行为中应考量当事人的主观态度外，在双方协商谈判标准必要专利FRAND许可费率的过程中，也应通过观察当事人是否存在违反诚信原则的恶意行为以考量其主观状态。</w:t>
      </w:r>
    </w:p>
    <w:p w14:paraId="5702DE17">
      <w:pPr>
        <w:bidi w:val="0"/>
      </w:pPr>
      <w:r>
        <w:rPr>
          <w:rFonts w:hint="eastAsia"/>
        </w:rPr>
        <w:t>当前，依附在知识产权行为保全制度之下的禁诉令适用标准存在着诸多缺陷。首先，由于《知识产权行为保全规定》主要适用于国内民事法律关系，而禁诉令要解决的是国际民事管辖权的问题，故而，现行适用标准缺乏对国际礼让原则的考量，并且在实践中适用的先系属优先原则也并未得到他国的尊重。其次，禁诉令涉及对国外法院诉讼程序的接受和尊重，而现行适用标准仅以执行难作为对诉讼程序的考量因素不够全面。再次，现行适用标准对公共利益的内涵概念模糊，有泛化适用的危险，并未起到该因素所应该具备的考量作用。最后，现行适用标准中缺乏对诉讼当事人主观意志因素的考量，禁诉令作为一种公权力对私人主体行为的限制措施，理应考量当事人的主观意志。</w:t>
      </w:r>
    </w:p>
    <w:p w14:paraId="3D844250">
      <w:pPr>
        <w:pStyle w:val="2"/>
        <w:bidi w:val="0"/>
        <w:rPr>
          <w:lang w:val="en-US" w:eastAsia="zh-CN"/>
        </w:rPr>
      </w:pPr>
      <w:bookmarkStart w:id="17" w:name="_Toc137325845"/>
      <w:r>
        <w:rPr>
          <w:rFonts w:hint="eastAsia"/>
          <w:lang w:val="en-US" w:eastAsia="zh-CN"/>
        </w:rPr>
        <w:t>三、标准必要专利禁诉令适用标准的构成要素</w:t>
      </w:r>
      <w:bookmarkEnd w:id="17"/>
    </w:p>
    <w:p w14:paraId="4FAE76DB">
      <w:pPr>
        <w:bidi w:val="0"/>
      </w:pPr>
      <w:r>
        <w:rPr>
          <w:rFonts w:hint="eastAsia"/>
        </w:rPr>
        <w:t>与国内的平行诉讼案件相比较，在涉及标准必要专利的国际平行诉讼中适用禁诉令需要考量的因素更多更复杂。各个国家的法院在进行裁判时，都要考量双方当事人的实际状况、FRAND许可谈判的过程、判决的结果对标准必要专利的国际市场影响及本国利益影响等等，这些综合因素共同决定了不能仅仅沿用以往的行为保全规则去解决国际诉讼当中的禁诉令问题。本节将在前文所阐述内容的基础上，从国际民事诉讼秩序的管辖利益、国内民事诉讼秩序的权威性、社会公共利益的界定以及申请人与被申请人权益四个方面，综合理论研究与实践案例，分析在颁发禁诉令时法院针对各影响因素的尺度把握。</w:t>
      </w:r>
    </w:p>
    <w:p w14:paraId="0930979A">
      <w:pPr>
        <w:pStyle w:val="3"/>
        <w:bidi w:val="0"/>
        <w:rPr>
          <w:lang w:val="en-US" w:eastAsia="zh-CN"/>
        </w:rPr>
      </w:pPr>
      <w:bookmarkStart w:id="18" w:name="_Toc137325846"/>
      <w:r>
        <w:rPr>
          <w:rFonts w:hint="eastAsia"/>
          <w:lang w:val="en-US" w:eastAsia="zh-CN"/>
        </w:rPr>
        <w:t>（一）国际平行诉讼的管辖利益</w:t>
      </w:r>
      <w:bookmarkEnd w:id="18"/>
    </w:p>
    <w:p w14:paraId="7D820C0D">
      <w:pPr>
        <w:bidi w:val="0"/>
      </w:pPr>
      <w:r>
        <w:rPr>
          <w:rFonts w:hint="eastAsia"/>
        </w:rPr>
        <w:t>禁诉令作为用来解决国际民商案件管辖权的一项司法工具，要对其适用标准进行分析，首先要认识国际民事管辖权划分的原则。国际民事管辖权原则主要有权力原则、地域联系原则、人身关系原则和公平原则。在过去的半个世纪里，越来越多的国家更加认可公平正义原则，并且认为权力原则、人身关系原则和地域联系原则已难以指导解决国际民商事管辖权纠纷的解决。</w:t>
      </w:r>
      <w:r>
        <w:rPr>
          <w:rStyle w:val="12"/>
          <w:rFonts w:hint="eastAsia"/>
        </w:rPr>
        <w:footnoteReference w:id="5"/>
      </w:r>
      <w:r>
        <w:rPr>
          <w:rFonts w:hint="eastAsia"/>
        </w:rPr>
        <w:t>故而，从国家的层面来看，越来越重视达到个案的公平正义。但从维护国家间和谐关系、便利国际民商事交往的角度看，本国法院在国际平行诉讼案件中也需要在一定程度上礼让他国法院，遵守国际礼让原则。</w:t>
      </w:r>
    </w:p>
    <w:p w14:paraId="635052F4">
      <w:pPr>
        <w:pStyle w:val="4"/>
        <w:bidi w:val="0"/>
        <w:rPr>
          <w:lang w:val="en-US" w:eastAsia="zh-CN"/>
        </w:rPr>
      </w:pPr>
      <w:bookmarkStart w:id="19" w:name="_Toc137325847"/>
      <w:bookmarkStart w:id="20" w:name="_Toc30558"/>
      <w:r>
        <w:rPr>
          <w:rFonts w:hint="eastAsia"/>
          <w:lang w:val="en-US" w:eastAsia="zh-CN"/>
        </w:rPr>
        <w:t>1.</w:t>
      </w:r>
      <w:r>
        <w:rPr>
          <w:lang w:val="en-US" w:eastAsia="zh-CN"/>
        </w:rPr>
        <w:t>国际礼让</w:t>
      </w:r>
      <w:r>
        <w:rPr>
          <w:rFonts w:hint="eastAsia"/>
          <w:lang w:val="en-US" w:eastAsia="zh-CN"/>
        </w:rPr>
        <w:t>原则</w:t>
      </w:r>
      <w:r>
        <w:rPr>
          <w:lang w:val="en-US" w:eastAsia="zh-CN"/>
        </w:rPr>
        <w:t>的尊重</w:t>
      </w:r>
      <w:bookmarkEnd w:id="19"/>
      <w:bookmarkEnd w:id="20"/>
    </w:p>
    <w:p w14:paraId="37EA135F">
      <w:pPr>
        <w:bidi w:val="0"/>
      </w:pPr>
      <w:r>
        <w:rPr>
          <w:rFonts w:hint="eastAsia"/>
        </w:rPr>
        <w:t>国际礼让原则一般是指在考虑到本国人民的利益、本国法律保护的他人权利以及国际上的义务之后，一个国家决定在其主权范围之内认可其他国家立法、执法与司法行为。尽管国际上也没有国际强制法去规制一国法院应否或可否签发禁诉令，但禁诉令毕竟存在干涉外国管辖权和限制当事人诉权行使的可能。加之，在缺乏某种形式的国际协调的情况下，短期内不太可能出现令人满意的方案。</w:t>
      </w:r>
      <w:r>
        <w:rPr>
          <w:rStyle w:val="12"/>
          <w:rFonts w:hint="eastAsia"/>
        </w:rPr>
        <w:footnoteReference w:id="6"/>
      </w:r>
      <w:r>
        <w:rPr>
          <w:rFonts w:hint="eastAsia"/>
        </w:rPr>
        <w:t>因此，各个国家在国际平行诉讼中一般都采取谨慎的态度，并将礼让原则纳入签发的考量标准。</w:t>
      </w:r>
    </w:p>
    <w:p w14:paraId="1C345BED">
      <w:pPr>
        <w:bidi w:val="0"/>
        <w:rPr>
          <w:lang w:val="en-US" w:eastAsia="zh-CN"/>
        </w:rPr>
      </w:pPr>
      <w:r>
        <w:rPr>
          <w:rFonts w:hint="eastAsia"/>
          <w:lang w:val="en-US" w:eastAsia="zh-CN"/>
        </w:rPr>
        <w:t>英国上议院的高夫勋爵在“国家航空产业公司诉李奎佳案”</w:t>
      </w:r>
      <w:r>
        <w:rPr>
          <w:rStyle w:val="12"/>
          <w:rFonts w:hint="eastAsia"/>
          <w:lang w:val="en-US" w:eastAsia="zh-CN"/>
        </w:rPr>
        <w:footnoteReference w:id="7"/>
      </w:r>
      <w:r>
        <w:rPr>
          <w:rFonts w:hint="eastAsia"/>
          <w:lang w:val="en-US" w:eastAsia="zh-CN"/>
        </w:rPr>
        <w:t>（以下简称“国家航空产业公司案”）中认为，由于外国法院的管辖权会因英国签发向当事人签发禁诉令而受到间接的干扰，故而英国法院将以审慎态度考量签发禁诉令的必要性。在此后的“空中客车工业公司诉帕特尔案”（简称“空客公司案”）中，高夫勋爵再次提出了对礼让原则的看法，他认为，与此案联系最密切的两地是印度与美国德克萨斯州，而英国法院并非该案的“自然法院”。即使印度法院没有相关法律制度对帕特尔在美国德州法院提起的困扰性诉讼提供救济，但英国也无法仅因为对帕特尔拥有管辖权就可以对其签发禁诉令。当今世界，是由独立司法管辖权组成的，根据国际礼让原则，同一个司法管辖区的法院对一个外国法院行使管辖权的干预，甚至是间接干预，都不能以第三司法管辖区受到影响但无力干预的事实为正当理由。</w:t>
      </w:r>
      <w:r>
        <w:rPr>
          <w:rStyle w:val="12"/>
          <w:rFonts w:hint="eastAsia"/>
          <w:lang w:val="en-US" w:eastAsia="zh-CN"/>
        </w:rPr>
        <w:footnoteReference w:id="8"/>
      </w:r>
      <w:r>
        <w:rPr>
          <w:rFonts w:hint="eastAsia"/>
          <w:lang w:val="en-US" w:eastAsia="zh-CN"/>
        </w:rPr>
        <w:t>故而，英国上议院在此案中最终拒绝签发禁诉令。</w:t>
      </w:r>
    </w:p>
    <w:p w14:paraId="4DC50681">
      <w:pPr>
        <w:bidi w:val="0"/>
      </w:pPr>
      <w:r>
        <w:rPr>
          <w:rFonts w:hint="eastAsia"/>
        </w:rPr>
        <w:t>美国部分法院也体现了对国际礼让原则的尊重。礼让原则是一种尊重其他国家的法院、判决和法律的自我约束的义务。</w:t>
      </w:r>
      <w:r>
        <w:rPr>
          <w:rStyle w:val="12"/>
          <w:rFonts w:hint="eastAsia"/>
        </w:rPr>
        <w:footnoteReference w:id="9"/>
      </w:r>
      <w:r>
        <w:rPr>
          <w:rFonts w:hint="eastAsia"/>
        </w:rPr>
        <w:t>在“湖人航空公司与萨贝纳案”</w:t>
      </w:r>
      <w:r>
        <w:rPr>
          <w:rStyle w:val="12"/>
          <w:rFonts w:hint="eastAsia"/>
        </w:rPr>
        <w:footnoteReference w:id="10"/>
      </w:r>
      <w:r>
        <w:rPr>
          <w:rFonts w:hint="eastAsia"/>
        </w:rPr>
        <w:t>中，美国哥伦比亚特区巡回上诉法院认为，国际礼让原则决定了禁诉令应谨慎颁发，并且仅在极少数情况下才可签发。在“高山有限公司与银行家信托公司案”中，美国的联邦第六巡回上诉法院指出，高山公司请求本院无视国际礼让原则签发禁令，但此禁令将在实质上剥夺香港法院本有的管辖权，在进行这一存在冲突的举动前，本院必须仔细考量此行动对国际礼让原则的影响。</w:t>
      </w:r>
    </w:p>
    <w:p w14:paraId="70FDEE8E">
      <w:pPr>
        <w:bidi w:val="0"/>
      </w:pPr>
      <w:r>
        <w:rPr>
          <w:rFonts w:hint="eastAsia"/>
        </w:rPr>
        <w:t>我国法院作出禁诉令裁定的实践中，也充分体现了尊重国际礼让原则的法理。如在“华为公司与康文森公司案”中，最高人民法院就案件管辖权是否适当性、诉请受理的时间先后以及禁诉令对域外法</w:t>
      </w:r>
      <w:r>
        <w:t>院诉讼秩序的影响等因素进行了考虑。并且，最高法并未评价康文森公司在德国法院参与诉讼和侵权</w:t>
      </w:r>
      <w:r>
        <w:rPr>
          <w:rFonts w:hint="eastAsia"/>
        </w:rPr>
        <w:t>判决的结果，从而避免了对德国法院案件审理效力的妨碍。</w:t>
      </w:r>
      <w:r>
        <w:footnoteReference w:id="11"/>
      </w:r>
      <w:r>
        <w:rPr>
          <w:rFonts w:hint="eastAsia"/>
        </w:rPr>
        <w:t>关于此案禁诉令的签发，我国最高人民法院</w:t>
      </w:r>
      <w:r>
        <w:t>做到了对国际礼让原则最大程度的尊重，从而避免我国禁诉令的签发干涉外国的司法主权。</w:t>
      </w:r>
    </w:p>
    <w:p w14:paraId="176C2C81">
      <w:pPr>
        <w:bidi w:val="0"/>
      </w:pPr>
      <w:r>
        <w:rPr>
          <w:rFonts w:hint="eastAsia"/>
        </w:rPr>
        <w:t>由于禁诉令裁定确实存在干扰外国法院管辖权或限制当事人诉讼权利行使的可能，故而以英美为代表的英美法系国家和以中国为代表的大陆法系国家，在既往涉及禁诉令的国际民商事平行诉讼案件中均在不同程度上考量了国际礼让原则，尊重了他国法院的管辖权，尽量避免出现对案件管辖权争夺的冲突。标准必要专利纠纷案件作为国际民商事纠纷案件的一种，各国法院在行使其管辖权时，也应尊重国际礼让原则。</w:t>
      </w:r>
    </w:p>
    <w:p w14:paraId="07F19D20">
      <w:pPr>
        <w:pStyle w:val="4"/>
        <w:bidi w:val="0"/>
        <w:rPr>
          <w:lang w:val="en-US" w:eastAsia="zh-CN"/>
        </w:rPr>
      </w:pPr>
      <w:bookmarkStart w:id="21" w:name="_Toc137325848"/>
      <w:bookmarkStart w:id="22" w:name="_Toc23461"/>
      <w:r>
        <w:rPr>
          <w:rFonts w:hint="eastAsia"/>
          <w:lang w:val="en-US" w:eastAsia="zh-CN"/>
        </w:rPr>
        <w:t>2.</w:t>
      </w:r>
      <w:r>
        <w:rPr>
          <w:lang w:val="en-US" w:eastAsia="zh-CN"/>
        </w:rPr>
        <w:t>个案正义</w:t>
      </w:r>
      <w:r>
        <w:rPr>
          <w:rFonts w:hint="eastAsia"/>
          <w:lang w:val="en-US" w:eastAsia="zh-CN"/>
        </w:rPr>
        <w:t>价值</w:t>
      </w:r>
      <w:r>
        <w:rPr>
          <w:lang w:val="en-US" w:eastAsia="zh-CN"/>
        </w:rPr>
        <w:t>的实现</w:t>
      </w:r>
      <w:bookmarkEnd w:id="21"/>
      <w:bookmarkEnd w:id="22"/>
    </w:p>
    <w:p w14:paraId="3189B606">
      <w:pPr>
        <w:bidi w:val="0"/>
      </w:pPr>
      <w:r>
        <w:t>禁诉令作为一种救济措施，其设立的初衷在于追求案件正义之实现。故在国际平行诉讼中适用禁诉令时，对个案中的正义进行考量，也是禁诉令的应有之义。尤其是当外籍一方当事人在国外提起的诉讼并不能对被告造成“压迫”或“困扰”时，对个案正义的考量要更加谨慎。</w:t>
      </w:r>
    </w:p>
    <w:p w14:paraId="5FC16A2D">
      <w:pPr>
        <w:bidi w:val="0"/>
      </w:pPr>
      <w:r>
        <w:t>在</w:t>
      </w:r>
      <w:r>
        <w:rPr>
          <w:rFonts w:hint="eastAsia"/>
        </w:rPr>
        <w:t>“国家航空产业公司案”中，高夫勋爵深入地阐述了一国法院签发禁诉令的理由。第一，签发禁诉令需要根据“正义利益”的需要，只有当原告在域外法院所提起的诉讼具有“压迫性”和“困扰性”的情形下，才能签发针对原告在国外法院提起诉讼或继续进行诉讼的禁诉令；第二，禁诉</w:t>
      </w:r>
      <w:r>
        <w:t>令所针对的主体只能是在域外发起或将要发起诉讼的当事人，而非域外法院。显而易见，英国法院在签发禁诉令时灵活地避开了成文法律所规定的法律制度壁垒，通过对私主体行为的限制，以达到其实现正义利益的目的。</w:t>
      </w:r>
      <w:r>
        <w:rPr>
          <w:rStyle w:val="12"/>
        </w:rPr>
        <w:footnoteReference w:id="12"/>
      </w:r>
    </w:p>
    <w:p w14:paraId="7CA79567">
      <w:pPr>
        <w:bidi w:val="0"/>
      </w:pPr>
      <w:r>
        <w:rPr>
          <w:rFonts w:hint="eastAsia"/>
        </w:rPr>
        <w:t>外国以规制“压迫性”和“困扰性”诉讼为由，在个案中注重实现正义利益。同样地，此种价值追求也体现在我国既往的标准必要专利国际平行诉讼的禁诉令裁定中。如武汉中院在“小米公司与交互数字公司案”中，以交互数字公司不理睬我国法院的司法管辖，对我国诉讼造成困扰性为由，签发禁诉令裁定禁止交互数字公司在印度法院继续进行相关诉讼行为。</w:t>
      </w:r>
      <w:r>
        <w:rPr>
          <w:rFonts w:hint="eastAsia"/>
        </w:rPr>
        <w:footnoteReference w:id="13"/>
      </w:r>
      <w:r>
        <w:rPr>
          <w:rFonts w:hint="eastAsia"/>
        </w:rPr>
        <w:t>从此案武汉中院签发的禁诉令，可以看出我国法院也注重在个案中实现正义。</w:t>
      </w:r>
    </w:p>
    <w:p w14:paraId="0BB1DC90">
      <w:pPr>
        <w:bidi w:val="0"/>
      </w:pPr>
      <w:r>
        <w:rPr>
          <w:rFonts w:hint="eastAsia"/>
        </w:rPr>
        <w:t>上文所述表明，禁诉令在本质上作为一种权利救济措施，其初衷在于实现个案正义的目的，并且在中外各国法院的实践中，也都鲜明地表达了这一态度。故而，在标准必要专利国际平行诉讼中，除尊重国际礼让原则外，也需考量个案正义的法理价值。</w:t>
      </w:r>
    </w:p>
    <w:p w14:paraId="291008A8">
      <w:pPr>
        <w:pStyle w:val="4"/>
        <w:bidi w:val="0"/>
        <w:rPr>
          <w:lang w:val="en-US" w:eastAsia="zh-CN"/>
        </w:rPr>
      </w:pPr>
      <w:bookmarkStart w:id="23" w:name="_Toc6665"/>
      <w:bookmarkStart w:id="24" w:name="_Toc137325849"/>
      <w:r>
        <w:rPr>
          <w:rFonts w:hint="eastAsia"/>
          <w:lang w:val="en-US" w:eastAsia="zh-CN"/>
        </w:rPr>
        <w:t>3.</w:t>
      </w:r>
      <w:r>
        <w:rPr>
          <w:lang w:val="en-US" w:eastAsia="zh-CN"/>
        </w:rPr>
        <w:t>个案正义</w:t>
      </w:r>
      <w:r>
        <w:rPr>
          <w:rFonts w:hint="eastAsia"/>
          <w:lang w:val="en-US" w:eastAsia="zh-CN"/>
        </w:rPr>
        <w:t>优先于</w:t>
      </w:r>
      <w:r>
        <w:rPr>
          <w:lang w:val="en-US" w:eastAsia="zh-CN"/>
        </w:rPr>
        <w:t>国际礼让</w:t>
      </w:r>
      <w:bookmarkEnd w:id="23"/>
      <w:bookmarkEnd w:id="24"/>
    </w:p>
    <w:p w14:paraId="1EE7AA81">
      <w:pPr>
        <w:bidi w:val="0"/>
      </w:pPr>
      <w:r>
        <w:rPr>
          <w:rFonts w:hint="eastAsia"/>
        </w:rPr>
        <w:t>对于一国法院在禁诉令的签发时，应当如何把握尊重国际礼让原则与实现个案正义的关系问题，前述“安切姆产品公司案”中，加拿大最高法院认为，当世界各国都自觉遵守礼让原则，那么，拥有管辖权的潜在诉讼发起地的法院往往将以不方便法院原则中止自身的诉讼，而没有签发禁诉令的需求。反之，如果在一些案件中，域外法院拒绝依照不方便法院原则放弃管辖，而继续审理案件，则会致使不公平的结果出现，此时，本国法院应当签发禁诉令以实现个案正义的利益。特别是，如果各个国家都不遵守礼让原则，那也不能单方面地期望他国法院通过礼让原则来尊重其司法管辖权。由此可见，加拿大法院在适用禁诉令问题上有明确的态度：个案正义的实现是尊重礼让原则的前提。在以往的禁诉令裁定也可以看出，对国际礼让原则的尊重所损失的利益不能超越对禁诉令申请人的切实损害。</w:t>
      </w:r>
    </w:p>
    <w:p w14:paraId="6E127A1C">
      <w:pPr>
        <w:bidi w:val="0"/>
        <w:rPr>
          <w:rFonts w:hint="eastAsia" w:eastAsia="宋体"/>
          <w:lang w:eastAsia="zh-CN"/>
        </w:rPr>
      </w:pPr>
      <w:r>
        <w:rPr>
          <w:rFonts w:hint="eastAsia"/>
        </w:rPr>
        <w:t>在国际平行诉讼的语境下，适用禁诉令的价值应在于其能促使案件达到正义的真正利益。由于禁诉令不可避免地会直接或间接妨碍域外法院的司法管辖，本国法院也必须以慎重的态度适用禁诉令。作出禁令的法院必须与争议纠纷具有实质的联系或利益，是礼让原则对作出禁令法院的最低要求。或者说，即使国际礼让原则处于国际私法的领域有了相当长时间的实践，其概念本身仍然充满着不确定性。没有一个国家或地区会接受他国的法律干涉自己国家的法律，以及对本国的公民造成伤害。</w:t>
      </w:r>
      <w:r>
        <w:rPr>
          <w:rStyle w:val="12"/>
          <w:rFonts w:hint="eastAsia"/>
        </w:rPr>
        <w:footnoteReference w:id="14"/>
      </w:r>
    </w:p>
    <w:p w14:paraId="4D0592EC">
      <w:pPr>
        <w:bidi w:val="0"/>
        <w:rPr>
          <w:rFonts w:ascii="宋体" w:hAnsi="宋体" w:eastAsia="宋体" w:cs="宋体"/>
          <w:szCs w:val="21"/>
        </w:rPr>
      </w:pPr>
      <w:r>
        <w:rPr>
          <w:rFonts w:hint="eastAsia"/>
        </w:rPr>
        <w:t>上文所述表明，在当今标准必要专利纠纷领域缺乏全球性的多边合作机制的情形下，我国法院通过禁诉令来解决平行诉讼的问题时，应当考量对国外法院管辖权的礼让和尊重，以促进国际民商事管辖权在国际间的协调分配。但国外不同国家不同法院对国际礼让原则的考量尺度却存在较大差异，在此情况下，我国在个案中应在对等的情况下把握对国际礼让的尊重尺度。当国际礼让与个案正义需要权衡时，更应考量个案正义价值的实现，因为禁诉令本质上作为一种权利救济措施，对国外法院的礼让的前提是保证个案的正义能够在国外法院得到实现。</w:t>
      </w:r>
    </w:p>
    <w:p w14:paraId="7727F8F9">
      <w:pPr>
        <w:pStyle w:val="3"/>
        <w:bidi w:val="0"/>
        <w:rPr>
          <w:lang w:val="en-US" w:eastAsia="zh-CN"/>
        </w:rPr>
      </w:pPr>
      <w:bookmarkStart w:id="25" w:name="_Toc31395"/>
      <w:bookmarkStart w:id="26" w:name="_Toc137325850"/>
      <w:r>
        <w:rPr>
          <w:rFonts w:hint="eastAsia"/>
          <w:lang w:val="en-US" w:eastAsia="zh-CN"/>
        </w:rPr>
        <w:t>（二）国内诉讼秩序的权威性</w:t>
      </w:r>
      <w:bookmarkEnd w:id="25"/>
      <w:bookmarkEnd w:id="26"/>
    </w:p>
    <w:p w14:paraId="5D9FF49A">
      <w:pPr>
        <w:bidi w:val="0"/>
        <w:rPr>
          <w:lang w:val="en-US" w:eastAsia="zh-CN"/>
        </w:rPr>
      </w:pPr>
      <w:r>
        <w:rPr>
          <w:rFonts w:hint="eastAsia"/>
          <w:lang w:val="en-US" w:eastAsia="zh-CN"/>
        </w:rPr>
        <w:t>民事诉讼秩序是指诉讼参与人和人民法院在诉讼活动中必须遵守的程序和制度的总称。当我国法院根据我国的法律制度进行诉讼活动时，外国法院理应尊重我国的司法主权和权威。在标准必要专利纠纷案件中适用禁诉令，需要满足两个前提条件，一是法院对案件享有管辖权，二是存在国际平行诉讼。本节主要从法院的角度来探讨在确定法院管辖权和判定存在国际平行诉讼时，人民法院所应遵守的制度与程序。</w:t>
      </w:r>
    </w:p>
    <w:p w14:paraId="79EDB1B2">
      <w:pPr>
        <w:pStyle w:val="4"/>
        <w:bidi w:val="0"/>
        <w:rPr>
          <w:lang w:val="en-US" w:eastAsia="zh-CN"/>
        </w:rPr>
      </w:pPr>
      <w:bookmarkStart w:id="27" w:name="_Toc137325851"/>
      <w:bookmarkStart w:id="28" w:name="_Toc11570"/>
      <w:r>
        <w:rPr>
          <w:rFonts w:hint="eastAsia"/>
          <w:lang w:val="en-US" w:eastAsia="zh-CN"/>
        </w:rPr>
        <w:t>1.</w:t>
      </w:r>
      <w:r>
        <w:rPr>
          <w:lang w:val="en-US" w:eastAsia="zh-CN"/>
        </w:rPr>
        <w:t>法院管辖权的合理确定</w:t>
      </w:r>
      <w:bookmarkEnd w:id="27"/>
      <w:bookmarkEnd w:id="28"/>
    </w:p>
    <w:p w14:paraId="64FE720C">
      <w:pPr>
        <w:bidi w:val="0"/>
      </w:pPr>
      <w:r>
        <w:t>法院颁发禁诉令，须以法院为对案件享有管辖权的方便法院或者合适法院为先决条件。在此前提下，当外国的诉讼危害到其国内法院的管辖权时，为维护本国法院的管辖权，法院可以主动或依当事人申请作出禁诉令裁定。一个国家的法院根据其国内法规则管辖国际民商事案件，不能说明该国内法院必然成为管辖案件的便利法院。这是因为各国在国际民商事管辖权方面都存在着不同程度的竞争，本国在制定国内法的管辖规则时都倾向于扩大自己的管辖权范围，以争取更多的司法管辖利益，即使这种利益并不一定能够为他国所承认，由此便产生了过度管辖的问题。</w:t>
      </w:r>
      <w:r>
        <w:footnoteReference w:id="15"/>
      </w:r>
      <w:r>
        <w:t>在一国过度行使管辖权时，应主动审视自身，考虑是否应该中止或停止案件的审理，以便将管辖权让渡给更适宜的法院。</w:t>
      </w:r>
    </w:p>
    <w:p w14:paraId="71E604DF">
      <w:pPr>
        <w:bidi w:val="0"/>
      </w:pPr>
      <w:r>
        <w:t>当有管辖权的法院需要发出禁诉令对当事人在国外提起的平行诉讼加以限制时，首先就应当对本国和外国法院管辖的便利程度进行审视。这一审视过程，与法院在遇到国际民事诉讼时考量是否需要根据自然法院原则或不方便法院原则来中止或停止诉讼是相通的。在标准必要专利国际纠纷中，被告住所地、FRAND许可合同签订地、专利侵权地的法院均可根据与案件的联系取得对案件的管辖权，并且很难证明何者为最适宜的法院。当各国法院均不放弃管辖权时，管辖权纠纷也因此产生。如</w:t>
      </w:r>
      <w:r>
        <w:rPr>
          <w:rFonts w:hint="eastAsia"/>
        </w:rPr>
        <w:t>在“华为公司与三星公司案”中，</w:t>
      </w:r>
      <w:r>
        <w:t>华为公司先后在美国加州法院与中国深圳中院提起诉讼。当三星公司在中国败诉后，又以中国的诉讼会影响美国诉讼为由，请求加州法院签发禁令，禁止华为公司在中国申请执行深圳中院的判决。在本案中，美国加州与中国深圳均是专利侵权地，均有权管辖各自司法辖区内的民事案件，互不影响。但美国法院认为两案诉争一致，且中国的诉讼影响到了美国法院的管辖，因而根据三星公司的申请对华为公司签发了禁诉令。美国加州法院在本案禁诉令的适用没有审慎地对比两国法院的便利程度，强势地认为其是更为便利的法院，并且其国的诉讼可以解决中国诉讼中的争议问题。在这个案件中，美国法院以维护本国管辖权为由作出禁诉令，是不合实际的。</w:t>
      </w:r>
    </w:p>
    <w:p w14:paraId="65DF047A">
      <w:pPr>
        <w:bidi w:val="0"/>
      </w:pPr>
      <w:r>
        <w:rPr>
          <w:rFonts w:hint="eastAsia"/>
        </w:rPr>
        <w:t>除以方便程度考察本国法院是否具有适宜的管辖权之外，专属管辖也是确定我国管辖权的依据。如果本国法院享有对案件的专属管辖权，如在我国境内的不动产纠纷案，那么，在相当大的程度上，能够直接推定我国是最适宜法院，外国法院的管辖是对我国管辖的干扰和妨碍。此外，如果我国法律制度能为当事人提供某种特别的实体或程序利益，而此种利益并不为国外法律所保护，根据此种利益的联系也可成为我国行使司法管辖权的依据。当在外国的诉讼显然是为了干扰或阻碍本国的正常诉讼秩序，也可被视为危及本国司法管辖权的情形。如在“美国夸克公司与毕马威比利时公司案”中，原告夸克公司在美国法院起诉毕马威比利时并要求披露相关文件，得到法院的批准。但公司注册地在比利时的毕马威比利时公司认为，夸客公司的做法侵犯其权益，于是向比利时法院起诉要求夸克公司停止其侵权行为。随后，夸克公司向美国法院申请禁诉令以制止毕马威在比利时的诉讼，美国法院经审查认为，毕马威在比利时法院进行的诉讼行为是对美国司法证据举证程序的阻碍和干扰，于是向毕马威签发禁诉令，禁止其继续进行在比利时的诉讼行为。</w:t>
      </w:r>
      <w:r>
        <w:footnoteReference w:id="16"/>
      </w:r>
    </w:p>
    <w:p w14:paraId="71869D86">
      <w:pPr>
        <w:bidi w:val="0"/>
      </w:pPr>
      <w:r>
        <w:t>综上所述，在我国法院签发禁诉令的管辖权问题上，首先需要确定法院是否具有管辖权，其次应根据方便程度、专属管辖等原则确定法院是否为最适宜的管辖法院，再次，审查外国法院的诉讼是否恶意针对并妨碍了我国法院的审理和裁判。</w:t>
      </w:r>
    </w:p>
    <w:p w14:paraId="5C9C20CD">
      <w:pPr>
        <w:pStyle w:val="4"/>
        <w:bidi w:val="0"/>
        <w:rPr>
          <w:lang w:val="en-US" w:eastAsia="zh-CN"/>
        </w:rPr>
      </w:pPr>
      <w:bookmarkStart w:id="29" w:name="_Toc24925"/>
      <w:bookmarkStart w:id="30" w:name="_Toc137325852"/>
      <w:r>
        <w:rPr>
          <w:rFonts w:hint="eastAsia"/>
          <w:lang w:val="en-US" w:eastAsia="zh-CN"/>
        </w:rPr>
        <w:t>2.</w:t>
      </w:r>
      <w:r>
        <w:rPr>
          <w:lang w:val="en-US" w:eastAsia="zh-CN"/>
        </w:rPr>
        <w:t>诉讼主体的同一认定</w:t>
      </w:r>
      <w:bookmarkEnd w:id="29"/>
      <w:bookmarkEnd w:id="30"/>
    </w:p>
    <w:p w14:paraId="60060B45">
      <w:pPr>
        <w:bidi w:val="0"/>
      </w:pPr>
      <w:r>
        <w:rPr>
          <w:rFonts w:hint="eastAsia"/>
        </w:rPr>
        <w:t>根据国际平行诉讼的通识概念可知，当两起案件中原被告一致时，理固当然的是国际平行诉讼。而根据诉讼中原被告的诉辩关系，国际平行诉讼又可分为以下两类状态：其一是原告于A国起诉被告，后又以相同诉讼对象，就同一事由在B国提起的诉讼。其二是原告起诉后，被告又在B国另起他诉，就同一事由起诉原案原告。即针对同一诉讼标的，发生诉辩双方地位在他国互换的情形。此时，两个案件虽然地点不同、双方地位不同，但由于符合国际平行诉讼的“一般规则”，法院仍可根据平行诉讼的原理，依案件当事人的申请签发禁诉令。以往发生的国际商事案件中，以第二种情形居多。法官在认定相同当事人时，对于该类诉辩双方在他国地位扭转的情形只需进行单纯的形式判断即可。</w:t>
      </w:r>
    </w:p>
    <w:p w14:paraId="2EB62AF2">
      <w:pPr>
        <w:bidi w:val="0"/>
      </w:pPr>
      <w:r>
        <w:t>但如果仅从形式上考量，也有不少禁诉令案件中涉及的双方当事人并非完全一致。如，在我国武汉中院审理的</w:t>
      </w:r>
      <w:r>
        <w:rPr>
          <w:rFonts w:hint="eastAsia"/>
        </w:rPr>
        <w:t>“</w:t>
      </w:r>
      <w:r>
        <w:t>三星与爱立信案</w:t>
      </w:r>
      <w:r>
        <w:rPr>
          <w:rFonts w:hint="eastAsia"/>
        </w:rPr>
        <w:t>”</w:t>
      </w:r>
      <w:r>
        <w:t>中，武汉中院作出禁诉令裁定，但在中国和美国诉讼中的原被告也并非完全一致，在中国诉讼的原告</w:t>
      </w:r>
      <w:r>
        <w:rPr>
          <w:rFonts w:hint="eastAsia"/>
        </w:rPr>
        <w:t>是</w:t>
      </w:r>
      <w:r>
        <w:t>三星中国公司、武汉公司和株式会社，被告</w:t>
      </w:r>
      <w:r>
        <w:rPr>
          <w:rFonts w:hint="eastAsia"/>
        </w:rPr>
        <w:t>的一方是</w:t>
      </w:r>
      <w:r>
        <w:t>爱立信公司，而在美国发生的诉讼中，原告为爱立信及其美国子公司，被告为三星株式会社及其美国子公司。再以我国法院在</w:t>
      </w:r>
      <w:r>
        <w:rPr>
          <w:rFonts w:hint="eastAsia"/>
        </w:rPr>
        <w:t>“</w:t>
      </w:r>
      <w:r>
        <w:t>华为公司与康文森公司案</w:t>
      </w:r>
      <w:r>
        <w:rPr>
          <w:rFonts w:hint="eastAsia"/>
        </w:rPr>
        <w:t>”</w:t>
      </w:r>
      <w:r>
        <w:t>中作出的禁诉令裁定为例，在中国的诉讼中，</w:t>
      </w:r>
      <w:r>
        <w:rPr>
          <w:rFonts w:hint="eastAsia"/>
        </w:rPr>
        <w:t>起诉的一方</w:t>
      </w:r>
      <w:r>
        <w:t>是华为技术公司、软件公司和终端公司，被告</w:t>
      </w:r>
      <w:r>
        <w:rPr>
          <w:rFonts w:hint="eastAsia"/>
        </w:rPr>
        <w:t>的一</w:t>
      </w:r>
      <w:r>
        <w:t>方是康文森公司，</w:t>
      </w:r>
      <w:r>
        <w:rPr>
          <w:rFonts w:hint="eastAsia"/>
        </w:rPr>
        <w:t>而</w:t>
      </w:r>
      <w:r>
        <w:t>在德国杜塞尔多夫法院的诉讼中，原告方是康文森公司，而被告方则变成了华为技术公司、华为技术杜塞尔多夫有限公司和德国有限公司。</w:t>
      </w:r>
      <w:r>
        <w:footnoteReference w:id="17"/>
      </w:r>
      <w:r>
        <w:rPr>
          <w:rFonts w:hint="eastAsia"/>
        </w:rPr>
        <w:t>上述两种情况是发生在标准必要专利纠纷领域诉讼主体的典型情况，拥有标准必要专利的通信企业绝大多数都是跨国企业，母公司固定在某一国家，而其子公司则遍布全球，可以说，哪里有诉讼，哪里就有其对应的子公司。</w:t>
      </w:r>
    </w:p>
    <w:p w14:paraId="42847145">
      <w:pPr>
        <w:bidi w:val="0"/>
      </w:pPr>
      <w:r>
        <w:t>在英美法系国家的禁诉令实践中，在认定国际平行诉讼中的原被告双方当事人是否相同，法院并</w:t>
      </w:r>
      <w:r>
        <w:rPr>
          <w:rFonts w:hint="eastAsia"/>
        </w:rPr>
        <w:t>没有</w:t>
      </w:r>
      <w:r>
        <w:t>采用形式标准，</w:t>
      </w:r>
      <w:r>
        <w:rPr>
          <w:rFonts w:hint="eastAsia"/>
        </w:rPr>
        <w:t>因为此领域，各个企业都拥有众多的子公司、分公司或关联公司，按照形式标准可能无法认定出任何一个国际平行诉讼，不利于管辖权的行使。于是，在实践中各国法院均采用</w:t>
      </w:r>
      <w:r>
        <w:t>实质性标准，即要求原被告双方</w:t>
      </w:r>
      <w:r>
        <w:rPr>
          <w:rFonts w:hint="eastAsia"/>
        </w:rPr>
        <w:t>“</w:t>
      </w:r>
      <w:r>
        <w:t>实质相同且紧密关联</w:t>
      </w:r>
      <w:r>
        <w:rPr>
          <w:rFonts w:hint="eastAsia"/>
        </w:rPr>
        <w:t>”</w:t>
      </w:r>
      <w:r>
        <w:t>。在我国法院作出的禁诉令裁定中，仅从名称观察，就大致可推定</w:t>
      </w:r>
      <w:r>
        <w:rPr>
          <w:rFonts w:hint="eastAsia"/>
        </w:rPr>
        <w:t>各</w:t>
      </w:r>
      <w:r>
        <w:t>国子公司与其海外母公司在本质上一致且紧密相连，在实质上，论证了两诉的当事人具备同一性。这方面可以启示我国法院今后在禁诉令的实践中要消除模棱两可的现象，并添加解释，结合两案件诉讼标的同一性状况给予了具体</w:t>
      </w:r>
      <w:r>
        <w:rPr>
          <w:rFonts w:hint="eastAsia"/>
        </w:rPr>
        <w:t>论理说明</w:t>
      </w:r>
      <w:r>
        <w:t>。</w:t>
      </w:r>
    </w:p>
    <w:p w14:paraId="00A55BAC">
      <w:pPr>
        <w:bidi w:val="0"/>
      </w:pPr>
      <w:r>
        <w:rPr>
          <w:rFonts w:hint="eastAsia"/>
        </w:rPr>
        <w:t>因此，不论是在我国既往作出的禁诉令裁定中，还是在国外签发的禁诉令，在认定诉讼主体方面，均穿透了母子公司、总分公司的公司从属关系，采取“实质性同一”的标准论证两诉主体的同一。</w:t>
      </w:r>
    </w:p>
    <w:p w14:paraId="168BA1FA">
      <w:pPr>
        <w:pStyle w:val="4"/>
        <w:bidi w:val="0"/>
        <w:rPr>
          <w:lang w:val="en-US" w:eastAsia="zh-CN"/>
        </w:rPr>
      </w:pPr>
      <w:bookmarkStart w:id="31" w:name="_Toc137325853"/>
      <w:bookmarkStart w:id="32" w:name="_Toc18055"/>
      <w:r>
        <w:rPr>
          <w:rFonts w:hint="eastAsia"/>
          <w:lang w:val="en-US" w:eastAsia="zh-CN"/>
        </w:rPr>
        <w:t>3.</w:t>
      </w:r>
      <w:r>
        <w:rPr>
          <w:lang w:val="en-US" w:eastAsia="zh-CN"/>
        </w:rPr>
        <w:t>诉讼标的的同一认定</w:t>
      </w:r>
      <w:bookmarkEnd w:id="31"/>
      <w:bookmarkEnd w:id="32"/>
    </w:p>
    <w:p w14:paraId="1BDF66E1">
      <w:pPr>
        <w:bidi w:val="0"/>
      </w:pPr>
      <w:r>
        <w:rPr>
          <w:rFonts w:hint="eastAsia"/>
        </w:rPr>
        <w:t>诉讼标的是除诉讼主体之外认定平行诉讼的第二因素，当两者都满足时，便可构成平行诉讼。</w:t>
      </w:r>
      <w:r>
        <w:t>诉讼标的作为民诉理论和实践中的基础概念，在提起诉讼、诉的合并、诉的变更以及审理判决的全过程都发挥作用，但是，它也是个有争议不太能确定的概念。</w:t>
      </w:r>
      <w:r>
        <w:rPr>
          <w:rFonts w:hint="eastAsia"/>
        </w:rPr>
        <w:t>在不同国家的法律制度下，诉讼标的的概念略有不同，在诉讼进行的不同阶段，诉讼标的所涵盖的范围也略有差异，因此，在国际平行诉讼的认定中，对于诉讼标的的概念需要根据实际情况作出不同的解释。通过Westlaw法律数据库、中国裁判文书网、谷歌学术等网站检索到近年来有影响力的涉禁诉令案例9起，对其裁判文书进行拆解分析，关于案件当事人及争议焦点比对如表2所示。其中，以提起诉讼的时间先后为标准，将两诉划分为前诉和后诉。禁诉令的申请不受起诉时间先后的影响。</w:t>
      </w:r>
    </w:p>
    <w:p w14:paraId="201A5DDB">
      <w:pPr>
        <w:widowControl w:val="0"/>
        <w:spacing w:before="120" w:beforeLines="50" w:afterLines="0" w:line="288" w:lineRule="auto"/>
        <w:ind w:firstLine="0" w:firstLineChars="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w:t>
      </w:r>
      <w:r>
        <w:rPr>
          <w:rFonts w:hint="eastAsia" w:cs="Times New Roman"/>
          <w:kern w:val="2"/>
          <w:sz w:val="21"/>
          <w:szCs w:val="21"/>
          <w:lang w:val="en-US" w:eastAsia="zh-CN" w:bidi="ar-SA"/>
        </w:rPr>
        <w:t>3</w:t>
      </w:r>
      <w:r>
        <w:rPr>
          <w:rFonts w:hint="eastAsia" w:ascii="Times New Roman" w:hAnsi="Times New Roman" w:eastAsia="宋体" w:cs="Times New Roman"/>
          <w:kern w:val="2"/>
          <w:sz w:val="21"/>
          <w:szCs w:val="21"/>
          <w:lang w:val="en-US" w:eastAsia="zh-CN" w:bidi="ar-SA"/>
        </w:rPr>
        <w:t xml:space="preserve"> 案件当事人及争议焦点比对</w:t>
      </w:r>
    </w:p>
    <w:tbl>
      <w:tblPr>
        <w:tblStyle w:val="9"/>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3226"/>
        <w:gridCol w:w="2028"/>
        <w:gridCol w:w="2054"/>
      </w:tblGrid>
      <w:tr w14:paraId="7D11A0EA">
        <w:trPr>
          <w:trHeight w:val="324" w:hRule="atLeast"/>
          <w:jc w:val="center"/>
        </w:trPr>
        <w:tc>
          <w:tcPr>
            <w:tcW w:w="712" w:type="pct"/>
            <w:vMerge w:val="restart"/>
            <w:tcBorders>
              <w:top w:val="single" w:color="auto" w:sz="12" w:space="0"/>
            </w:tcBorders>
            <w:vAlign w:val="center"/>
          </w:tcPr>
          <w:p w14:paraId="7FF29B40">
            <w:pPr>
              <w:adjustRightInd/>
              <w:snapToGrid/>
              <w:spacing w:line="288" w:lineRule="auto"/>
              <w:ind w:firstLine="0" w:firstLineChars="0"/>
              <w:jc w:val="center"/>
              <w:rPr>
                <w:rFonts w:ascii="Times New Roman" w:hAnsi="Times New Roman" w:eastAsia="宋体" w:cs="Times New Roman"/>
                <w:bCs/>
                <w:sz w:val="21"/>
                <w:szCs w:val="21"/>
              </w:rPr>
            </w:pPr>
            <w:r>
              <w:rPr>
                <w:rFonts w:hint="eastAsia" w:ascii="Times New Roman" w:hAnsi="Times New Roman" w:eastAsia="宋体" w:cs="Times New Roman"/>
                <w:bCs/>
                <w:sz w:val="21"/>
                <w:szCs w:val="21"/>
              </w:rPr>
              <w:t>序号</w:t>
            </w:r>
          </w:p>
        </w:tc>
        <w:tc>
          <w:tcPr>
            <w:tcW w:w="1893" w:type="pct"/>
            <w:vMerge w:val="restart"/>
            <w:tcBorders>
              <w:top w:val="single" w:color="auto" w:sz="12" w:space="0"/>
            </w:tcBorders>
            <w:vAlign w:val="center"/>
          </w:tcPr>
          <w:p w14:paraId="4174581C">
            <w:pPr>
              <w:adjustRightInd/>
              <w:snapToGrid/>
              <w:spacing w:line="288" w:lineRule="auto"/>
              <w:ind w:firstLine="0" w:firstLineChars="0"/>
              <w:jc w:val="center"/>
              <w:rPr>
                <w:rFonts w:ascii="Times New Roman" w:hAnsi="Times New Roman" w:eastAsia="宋体" w:cs="Times New Roman"/>
                <w:bCs/>
                <w:sz w:val="21"/>
                <w:szCs w:val="21"/>
              </w:rPr>
            </w:pPr>
            <w:r>
              <w:rPr>
                <w:rFonts w:hint="eastAsia" w:ascii="Times New Roman" w:hAnsi="Times New Roman" w:eastAsia="宋体" w:cs="Times New Roman"/>
                <w:bCs/>
                <w:sz w:val="21"/>
                <w:szCs w:val="21"/>
              </w:rPr>
              <w:t>案件</w:t>
            </w:r>
          </w:p>
        </w:tc>
        <w:tc>
          <w:tcPr>
            <w:tcW w:w="2395" w:type="pct"/>
            <w:gridSpan w:val="2"/>
            <w:tcBorders>
              <w:top w:val="single" w:color="auto" w:sz="12" w:space="0"/>
              <w:bottom w:val="single" w:color="auto" w:sz="8" w:space="0"/>
            </w:tcBorders>
            <w:vAlign w:val="center"/>
          </w:tcPr>
          <w:p w14:paraId="65844024">
            <w:pPr>
              <w:adjustRightInd/>
              <w:snapToGrid/>
              <w:spacing w:line="288" w:lineRule="auto"/>
              <w:ind w:firstLine="0" w:firstLineChars="0"/>
              <w:jc w:val="center"/>
              <w:rPr>
                <w:rFonts w:ascii="Times New Roman" w:hAnsi="Times New Roman" w:eastAsia="宋体" w:cs="Times New Roman"/>
                <w:bCs/>
                <w:sz w:val="21"/>
                <w:szCs w:val="21"/>
              </w:rPr>
            </w:pPr>
            <w:r>
              <w:rPr>
                <w:rFonts w:hint="eastAsia" w:ascii="Times New Roman" w:hAnsi="Times New Roman" w:eastAsia="宋体" w:cs="Times New Roman"/>
                <w:bCs/>
                <w:sz w:val="21"/>
                <w:szCs w:val="21"/>
              </w:rPr>
              <w:t>诉讼理由</w:t>
            </w:r>
          </w:p>
        </w:tc>
      </w:tr>
      <w:tr w14:paraId="1DAC9F96">
        <w:trPr>
          <w:trHeight w:val="352" w:hRule="atLeast"/>
          <w:jc w:val="center"/>
        </w:trPr>
        <w:tc>
          <w:tcPr>
            <w:tcW w:w="712" w:type="pct"/>
            <w:vMerge w:val="continue"/>
            <w:tcBorders>
              <w:bottom w:val="single" w:color="auto" w:sz="8" w:space="0"/>
            </w:tcBorders>
            <w:vAlign w:val="center"/>
          </w:tcPr>
          <w:p w14:paraId="4FFED0D2">
            <w:pPr>
              <w:adjustRightInd/>
              <w:snapToGrid/>
              <w:spacing w:line="288" w:lineRule="auto"/>
              <w:ind w:firstLine="0" w:firstLineChars="0"/>
              <w:jc w:val="center"/>
              <w:rPr>
                <w:rFonts w:ascii="Times New Roman" w:hAnsi="Times New Roman" w:eastAsia="宋体" w:cs="Times New Roman"/>
                <w:bCs/>
                <w:sz w:val="21"/>
                <w:szCs w:val="21"/>
              </w:rPr>
            </w:pPr>
          </w:p>
        </w:tc>
        <w:tc>
          <w:tcPr>
            <w:tcW w:w="1893" w:type="pct"/>
            <w:vMerge w:val="continue"/>
            <w:tcBorders>
              <w:bottom w:val="single" w:color="auto" w:sz="8" w:space="0"/>
            </w:tcBorders>
            <w:vAlign w:val="center"/>
          </w:tcPr>
          <w:p w14:paraId="2510A4C9">
            <w:pPr>
              <w:adjustRightInd/>
              <w:snapToGrid/>
              <w:spacing w:line="288" w:lineRule="auto"/>
              <w:ind w:firstLine="0" w:firstLineChars="0"/>
              <w:jc w:val="center"/>
              <w:rPr>
                <w:rFonts w:ascii="Times New Roman" w:hAnsi="Times New Roman" w:eastAsia="宋体" w:cs="Times New Roman"/>
                <w:bCs/>
                <w:sz w:val="21"/>
                <w:szCs w:val="21"/>
              </w:rPr>
            </w:pPr>
          </w:p>
        </w:tc>
        <w:tc>
          <w:tcPr>
            <w:tcW w:w="1190" w:type="pct"/>
            <w:tcBorders>
              <w:top w:val="single" w:color="auto" w:sz="8" w:space="0"/>
              <w:bottom w:val="single" w:color="auto" w:sz="8" w:space="0"/>
            </w:tcBorders>
            <w:vAlign w:val="center"/>
          </w:tcPr>
          <w:p w14:paraId="2DDAEB94">
            <w:pPr>
              <w:adjustRightInd/>
              <w:snapToGrid/>
              <w:spacing w:line="288" w:lineRule="auto"/>
              <w:ind w:firstLine="0" w:firstLineChars="0"/>
              <w:jc w:val="center"/>
              <w:rPr>
                <w:rFonts w:ascii="Times New Roman" w:hAnsi="Times New Roman" w:eastAsia="宋体" w:cs="Times New Roman"/>
                <w:bCs/>
                <w:sz w:val="21"/>
                <w:szCs w:val="21"/>
              </w:rPr>
            </w:pPr>
            <w:r>
              <w:rPr>
                <w:rFonts w:hint="eastAsia" w:ascii="Times New Roman" w:hAnsi="Times New Roman" w:eastAsia="宋体" w:cs="Times New Roman"/>
                <w:sz w:val="21"/>
                <w:szCs w:val="21"/>
              </w:rPr>
              <w:t>前诉</w:t>
            </w:r>
          </w:p>
        </w:tc>
        <w:tc>
          <w:tcPr>
            <w:tcW w:w="1205" w:type="pct"/>
            <w:tcBorders>
              <w:top w:val="single" w:color="auto" w:sz="8" w:space="0"/>
              <w:bottom w:val="single" w:color="auto" w:sz="8" w:space="0"/>
            </w:tcBorders>
            <w:vAlign w:val="center"/>
          </w:tcPr>
          <w:p w14:paraId="3BA5BFCA">
            <w:pPr>
              <w:adjustRightInd/>
              <w:snapToGrid/>
              <w:spacing w:line="288" w:lineRule="auto"/>
              <w:ind w:firstLine="0" w:firstLineChars="0"/>
              <w:jc w:val="center"/>
              <w:rPr>
                <w:rFonts w:ascii="Times New Roman" w:hAnsi="Times New Roman" w:eastAsia="宋体" w:cs="Times New Roman"/>
                <w:bCs/>
                <w:sz w:val="21"/>
                <w:szCs w:val="21"/>
              </w:rPr>
            </w:pPr>
            <w:r>
              <w:rPr>
                <w:rFonts w:hint="eastAsia" w:ascii="Times New Roman" w:hAnsi="Times New Roman" w:eastAsia="宋体" w:cs="Times New Roman"/>
                <w:bCs/>
                <w:sz w:val="21"/>
                <w:szCs w:val="21"/>
              </w:rPr>
              <w:t>后诉</w:t>
            </w:r>
          </w:p>
        </w:tc>
      </w:tr>
      <w:tr w14:paraId="00D4B8DC">
        <w:trPr>
          <w:trHeight w:val="395" w:hRule="atLeast"/>
          <w:jc w:val="center"/>
        </w:trPr>
        <w:tc>
          <w:tcPr>
            <w:tcW w:w="712" w:type="pct"/>
            <w:tcBorders>
              <w:top w:val="single" w:color="auto" w:sz="8" w:space="0"/>
              <w:bottom w:val="nil"/>
            </w:tcBorders>
            <w:vAlign w:val="center"/>
          </w:tcPr>
          <w:p w14:paraId="41191F37">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1</w:t>
            </w:r>
          </w:p>
        </w:tc>
        <w:tc>
          <w:tcPr>
            <w:tcW w:w="1893" w:type="pct"/>
            <w:tcBorders>
              <w:top w:val="single" w:color="auto" w:sz="8" w:space="0"/>
              <w:bottom w:val="nil"/>
            </w:tcBorders>
            <w:vAlign w:val="center"/>
          </w:tcPr>
          <w:p w14:paraId="7752C430">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Samsung v. Erivsson</w:t>
            </w:r>
          </w:p>
        </w:tc>
        <w:tc>
          <w:tcPr>
            <w:tcW w:w="1190" w:type="pct"/>
            <w:tcBorders>
              <w:top w:val="single" w:color="auto" w:sz="8" w:space="0"/>
              <w:bottom w:val="nil"/>
            </w:tcBorders>
          </w:tcPr>
          <w:p w14:paraId="7A800EF0">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许可费率</w:t>
            </w:r>
          </w:p>
        </w:tc>
        <w:tc>
          <w:tcPr>
            <w:tcW w:w="1205" w:type="pct"/>
            <w:tcBorders>
              <w:top w:val="single" w:color="auto" w:sz="8" w:space="0"/>
              <w:bottom w:val="nil"/>
            </w:tcBorders>
          </w:tcPr>
          <w:p w14:paraId="736E015C">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许可费率</w:t>
            </w:r>
          </w:p>
        </w:tc>
      </w:tr>
      <w:tr w14:paraId="6500B276">
        <w:trPr>
          <w:trHeight w:val="395" w:hRule="atLeast"/>
          <w:jc w:val="center"/>
        </w:trPr>
        <w:tc>
          <w:tcPr>
            <w:tcW w:w="712" w:type="pct"/>
            <w:tcBorders>
              <w:top w:val="nil"/>
            </w:tcBorders>
            <w:vAlign w:val="center"/>
          </w:tcPr>
          <w:p w14:paraId="27FBE292">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2</w:t>
            </w:r>
          </w:p>
        </w:tc>
        <w:tc>
          <w:tcPr>
            <w:tcW w:w="1893" w:type="pct"/>
            <w:tcBorders>
              <w:top w:val="nil"/>
            </w:tcBorders>
            <w:vAlign w:val="center"/>
          </w:tcPr>
          <w:p w14:paraId="0DE1E8B0">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TCL v. Ericsson</w:t>
            </w:r>
          </w:p>
        </w:tc>
        <w:tc>
          <w:tcPr>
            <w:tcW w:w="1190" w:type="pct"/>
            <w:tcBorders>
              <w:top w:val="nil"/>
            </w:tcBorders>
          </w:tcPr>
          <w:p w14:paraId="1DED0B73">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许可费率</w:t>
            </w:r>
          </w:p>
        </w:tc>
        <w:tc>
          <w:tcPr>
            <w:tcW w:w="1205" w:type="pct"/>
            <w:tcBorders>
              <w:top w:val="nil"/>
            </w:tcBorders>
          </w:tcPr>
          <w:p w14:paraId="4CBDC772">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许可费率</w:t>
            </w:r>
          </w:p>
        </w:tc>
      </w:tr>
      <w:tr w14:paraId="37366125">
        <w:trPr>
          <w:trHeight w:val="395" w:hRule="atLeast"/>
          <w:jc w:val="center"/>
        </w:trPr>
        <w:tc>
          <w:tcPr>
            <w:tcW w:w="712" w:type="pct"/>
            <w:vAlign w:val="center"/>
          </w:tcPr>
          <w:p w14:paraId="24E0BA7B">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3</w:t>
            </w:r>
          </w:p>
        </w:tc>
        <w:tc>
          <w:tcPr>
            <w:tcW w:w="1893" w:type="pct"/>
            <w:vAlign w:val="center"/>
          </w:tcPr>
          <w:p w14:paraId="3C6D85B4">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华为 v. Conversant</w:t>
            </w:r>
          </w:p>
        </w:tc>
        <w:tc>
          <w:tcPr>
            <w:tcW w:w="1190" w:type="pct"/>
          </w:tcPr>
          <w:p w14:paraId="07A9BB38">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许可费率</w:t>
            </w:r>
          </w:p>
        </w:tc>
        <w:tc>
          <w:tcPr>
            <w:tcW w:w="1205" w:type="pct"/>
          </w:tcPr>
          <w:p w14:paraId="1F2F5822">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侵权之诉</w:t>
            </w:r>
          </w:p>
        </w:tc>
      </w:tr>
      <w:tr w14:paraId="00D7AE50">
        <w:trPr>
          <w:trHeight w:val="395" w:hRule="atLeast"/>
          <w:jc w:val="center"/>
        </w:trPr>
        <w:tc>
          <w:tcPr>
            <w:tcW w:w="712" w:type="pct"/>
            <w:vAlign w:val="center"/>
          </w:tcPr>
          <w:p w14:paraId="267346B2">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4</w:t>
            </w:r>
          </w:p>
        </w:tc>
        <w:tc>
          <w:tcPr>
            <w:tcW w:w="1893" w:type="pct"/>
            <w:vAlign w:val="center"/>
          </w:tcPr>
          <w:p w14:paraId="171A5A87">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小米 v. InterDigital</w:t>
            </w:r>
          </w:p>
        </w:tc>
        <w:tc>
          <w:tcPr>
            <w:tcW w:w="1190" w:type="pct"/>
          </w:tcPr>
          <w:p w14:paraId="6C02A7CE">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许可费率</w:t>
            </w:r>
          </w:p>
        </w:tc>
        <w:tc>
          <w:tcPr>
            <w:tcW w:w="1205" w:type="pct"/>
          </w:tcPr>
          <w:p w14:paraId="0AC936AF">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侵权之诉</w:t>
            </w:r>
          </w:p>
        </w:tc>
      </w:tr>
      <w:tr w14:paraId="4EFC15A3">
        <w:trPr>
          <w:trHeight w:val="395" w:hRule="atLeast"/>
          <w:jc w:val="center"/>
        </w:trPr>
        <w:tc>
          <w:tcPr>
            <w:tcW w:w="712" w:type="pct"/>
            <w:vAlign w:val="center"/>
          </w:tcPr>
          <w:p w14:paraId="567372E3">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5</w:t>
            </w:r>
          </w:p>
        </w:tc>
        <w:tc>
          <w:tcPr>
            <w:tcW w:w="1893" w:type="pct"/>
            <w:vAlign w:val="center"/>
          </w:tcPr>
          <w:p w14:paraId="32FE5746">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Unwired Planet v. 华为</w:t>
            </w:r>
          </w:p>
        </w:tc>
        <w:tc>
          <w:tcPr>
            <w:tcW w:w="1190" w:type="pct"/>
          </w:tcPr>
          <w:p w14:paraId="2D294976">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侵权之诉</w:t>
            </w:r>
          </w:p>
        </w:tc>
        <w:tc>
          <w:tcPr>
            <w:tcW w:w="1205" w:type="pct"/>
          </w:tcPr>
          <w:p w14:paraId="777D4986">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违约、反垄断之诉</w:t>
            </w:r>
          </w:p>
        </w:tc>
      </w:tr>
      <w:tr w14:paraId="6838B2B1">
        <w:trPr>
          <w:trHeight w:val="395" w:hRule="atLeast"/>
          <w:jc w:val="center"/>
        </w:trPr>
        <w:tc>
          <w:tcPr>
            <w:tcW w:w="712" w:type="pct"/>
            <w:vAlign w:val="center"/>
          </w:tcPr>
          <w:p w14:paraId="697E2178">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6</w:t>
            </w:r>
          </w:p>
        </w:tc>
        <w:tc>
          <w:tcPr>
            <w:tcW w:w="1893" w:type="pct"/>
            <w:vAlign w:val="center"/>
          </w:tcPr>
          <w:p w14:paraId="53A5ADA2">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Conversant v. 华为&amp;中兴</w:t>
            </w:r>
          </w:p>
        </w:tc>
        <w:tc>
          <w:tcPr>
            <w:tcW w:w="1190" w:type="pct"/>
          </w:tcPr>
          <w:p w14:paraId="67079387">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侵权之诉</w:t>
            </w:r>
          </w:p>
        </w:tc>
        <w:tc>
          <w:tcPr>
            <w:tcW w:w="1205" w:type="pct"/>
          </w:tcPr>
          <w:p w14:paraId="50B6315E">
            <w:pPr>
              <w:widowControl/>
              <w:adjustRightInd w:val="0"/>
              <w:snapToGrid w:val="0"/>
              <w:spacing w:beforeAutospacing="0" w:afterAutospacing="0" w:line="288" w:lineRule="auto"/>
              <w:ind w:firstLine="0" w:firstLineChars="0"/>
              <w:jc w:val="center"/>
              <w:rPr>
                <w:rFonts w:ascii="Calibri" w:hAnsi="Calibri" w:eastAsia="宋体" w:cs="Times New Roman"/>
                <w:bCs/>
                <w:kern w:val="0"/>
                <w:sz w:val="21"/>
                <w:szCs w:val="24"/>
                <w:lang w:val="en-US" w:eastAsia="zh-CN" w:bidi="ar-SA"/>
              </w:rPr>
            </w:pPr>
            <w:r>
              <w:rPr>
                <w:rFonts w:hint="eastAsia" w:ascii="Times New Roman" w:hAnsi="Times New Roman" w:eastAsia="宋体" w:cs="宋体"/>
                <w:kern w:val="0"/>
                <w:sz w:val="21"/>
                <w:szCs w:val="21"/>
                <w:lang w:val="en-US" w:eastAsia="zh-CN" w:bidi="ar-SA"/>
              </w:rPr>
              <w:t>违约之诉</w:t>
            </w:r>
          </w:p>
        </w:tc>
      </w:tr>
      <w:tr w14:paraId="7A743DBC">
        <w:trPr>
          <w:trHeight w:val="395" w:hRule="atLeast"/>
          <w:jc w:val="center"/>
        </w:trPr>
        <w:tc>
          <w:tcPr>
            <w:tcW w:w="712" w:type="pct"/>
            <w:vAlign w:val="center"/>
          </w:tcPr>
          <w:p w14:paraId="2976EC55">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7</w:t>
            </w:r>
          </w:p>
        </w:tc>
        <w:tc>
          <w:tcPr>
            <w:tcW w:w="1893" w:type="pct"/>
            <w:vAlign w:val="center"/>
          </w:tcPr>
          <w:p w14:paraId="41513919">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Microsoft v. Motorola</w:t>
            </w:r>
          </w:p>
        </w:tc>
        <w:tc>
          <w:tcPr>
            <w:tcW w:w="1190" w:type="pct"/>
          </w:tcPr>
          <w:p w14:paraId="35F37AA1">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违约之诉</w:t>
            </w:r>
          </w:p>
        </w:tc>
        <w:tc>
          <w:tcPr>
            <w:tcW w:w="1205" w:type="pct"/>
          </w:tcPr>
          <w:p w14:paraId="65FD5918">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侵权之诉</w:t>
            </w:r>
          </w:p>
        </w:tc>
      </w:tr>
      <w:tr w14:paraId="24C6B062">
        <w:trPr>
          <w:trHeight w:val="395" w:hRule="atLeast"/>
          <w:jc w:val="center"/>
        </w:trPr>
        <w:tc>
          <w:tcPr>
            <w:tcW w:w="712" w:type="pct"/>
            <w:vAlign w:val="center"/>
          </w:tcPr>
          <w:p w14:paraId="02E8B3A0">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8</w:t>
            </w:r>
          </w:p>
        </w:tc>
        <w:tc>
          <w:tcPr>
            <w:tcW w:w="1893" w:type="pct"/>
            <w:vAlign w:val="center"/>
          </w:tcPr>
          <w:p w14:paraId="3B9E264F">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Vringo v. 中兴</w:t>
            </w:r>
          </w:p>
        </w:tc>
        <w:tc>
          <w:tcPr>
            <w:tcW w:w="1190" w:type="pct"/>
          </w:tcPr>
          <w:p w14:paraId="1A577718">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反垄断之诉</w:t>
            </w:r>
          </w:p>
        </w:tc>
        <w:tc>
          <w:tcPr>
            <w:tcW w:w="1205" w:type="pct"/>
          </w:tcPr>
          <w:p w14:paraId="30337E99">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违约之诉</w:t>
            </w:r>
          </w:p>
        </w:tc>
      </w:tr>
      <w:tr w14:paraId="42B84AFC">
        <w:trPr>
          <w:trHeight w:val="395" w:hRule="atLeast"/>
          <w:jc w:val="center"/>
        </w:trPr>
        <w:tc>
          <w:tcPr>
            <w:tcW w:w="712" w:type="pct"/>
            <w:tcBorders>
              <w:bottom w:val="single" w:color="auto" w:sz="12" w:space="0"/>
            </w:tcBorders>
            <w:vAlign w:val="center"/>
          </w:tcPr>
          <w:p w14:paraId="04EDF0A0">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9</w:t>
            </w:r>
          </w:p>
        </w:tc>
        <w:tc>
          <w:tcPr>
            <w:tcW w:w="1893" w:type="pct"/>
            <w:tcBorders>
              <w:bottom w:val="single" w:color="auto" w:sz="12" w:space="0"/>
            </w:tcBorders>
            <w:vAlign w:val="center"/>
          </w:tcPr>
          <w:p w14:paraId="47E9D90A">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Apple v. Qualcomm</w:t>
            </w:r>
          </w:p>
        </w:tc>
        <w:tc>
          <w:tcPr>
            <w:tcW w:w="1190" w:type="pct"/>
            <w:tcBorders>
              <w:bottom w:val="single" w:color="auto" w:sz="12" w:space="0"/>
            </w:tcBorders>
          </w:tcPr>
          <w:p w14:paraId="29607DAA">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专利无效之诉等</w:t>
            </w:r>
          </w:p>
        </w:tc>
        <w:tc>
          <w:tcPr>
            <w:tcW w:w="1205" w:type="pct"/>
            <w:tcBorders>
              <w:bottom w:val="single" w:color="auto" w:sz="12" w:space="0"/>
            </w:tcBorders>
          </w:tcPr>
          <w:p w14:paraId="5B05EB31">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许可费率</w:t>
            </w:r>
          </w:p>
        </w:tc>
      </w:tr>
    </w:tbl>
    <w:p w14:paraId="628391F7">
      <w:pPr>
        <w:widowControl/>
        <w:adjustRightInd w:val="0"/>
        <w:snapToGrid w:val="0"/>
        <w:spacing w:beforeAutospacing="0" w:afterAutospacing="0" w:line="288" w:lineRule="auto"/>
        <w:ind w:firstLine="420" w:firstLineChars="200"/>
        <w:jc w:val="both"/>
        <w:rPr>
          <w:rFonts w:ascii="Times New Roman" w:hAnsi="Times New Roman" w:eastAsia="宋体" w:cs="宋体"/>
          <w:kern w:val="0"/>
          <w:sz w:val="21"/>
          <w:szCs w:val="21"/>
          <w:lang w:val="en-US" w:eastAsia="zh-CN" w:bidi="ar-SA"/>
        </w:rPr>
      </w:pPr>
    </w:p>
    <w:p w14:paraId="1F3FEAB2">
      <w:pPr>
        <w:bidi w:val="0"/>
      </w:pPr>
      <w:r>
        <w:t>通过上表可以看出，在涉及标准必要专利的国际平行诉讼中，原被告在不同国家的焦点在形式上往往不同，但穿透来看无非是</w:t>
      </w:r>
      <w:r>
        <w:rPr>
          <w:rFonts w:hint="eastAsia"/>
        </w:rPr>
        <w:t>“</w:t>
      </w:r>
      <w:r>
        <w:t>一个硬币的两面</w:t>
      </w:r>
      <w:r>
        <w:rPr>
          <w:rFonts w:hint="eastAsia"/>
        </w:rPr>
        <w:t>”</w:t>
      </w:r>
      <w:r>
        <w:t>，本质上的争议或要解决的问题是标准必要专利FRAND许可费或许可费率的争执，如不将其作为一诉进行处理，那么，判决的结果可能会相互冲突影响。</w:t>
      </w:r>
      <w:r>
        <w:rPr>
          <w:rFonts w:hint="eastAsia"/>
        </w:rPr>
        <w:t>如在“小米v. InterDigital”案中，尽管在中国的诉因是小米认为交互数字公司违反FRAND原则，提起了裁判许可费率的诉求，在印度的诉因是交互数字公司认为小米侵犯标准必要专利权，提起了侵权之诉，但若在中国法院的审理中发现，交互数字公司没有遵守其先前作出的FRAND许可承诺，则交互数字公司将无权在印度法院获得侵权救济或其他禁令救济。</w:t>
      </w:r>
    </w:p>
    <w:p w14:paraId="7955B9A1">
      <w:pPr>
        <w:bidi w:val="0"/>
      </w:pPr>
      <w:r>
        <w:t>禁诉令所约束或解决的对象是国际平行诉讼，而诉讼标的是认定国际平行诉讼的重要考虑因素之一。因此，在适用禁诉令的过程中，需要根据具体的情况，适当地扩大或缩小诉讼标的的范围。</w:t>
      </w:r>
    </w:p>
    <w:p w14:paraId="64089F9C">
      <w:pPr>
        <w:pStyle w:val="4"/>
        <w:bidi w:val="0"/>
        <w:rPr>
          <w:lang w:val="en-US" w:eastAsia="zh-CN"/>
        </w:rPr>
      </w:pPr>
      <w:bookmarkStart w:id="33" w:name="_Toc137325854"/>
      <w:bookmarkStart w:id="34" w:name="_Toc8827"/>
      <w:r>
        <w:rPr>
          <w:rFonts w:hint="eastAsia"/>
          <w:lang w:val="en-US" w:eastAsia="zh-CN"/>
        </w:rPr>
        <w:t>4.</w:t>
      </w:r>
      <w:r>
        <w:rPr>
          <w:lang w:val="en-US" w:eastAsia="zh-CN"/>
        </w:rPr>
        <w:t>两诉</w:t>
      </w:r>
      <w:r>
        <w:rPr>
          <w:rFonts w:hint="eastAsia"/>
          <w:lang w:val="en-US" w:eastAsia="zh-CN"/>
        </w:rPr>
        <w:t>裁判</w:t>
      </w:r>
      <w:r>
        <w:rPr>
          <w:lang w:val="en-US" w:eastAsia="zh-CN"/>
        </w:rPr>
        <w:t>的相互影响</w:t>
      </w:r>
      <w:bookmarkEnd w:id="33"/>
      <w:bookmarkEnd w:id="34"/>
    </w:p>
    <w:p w14:paraId="2E38E83A">
      <w:pPr>
        <w:bidi w:val="0"/>
      </w:pPr>
      <w:r>
        <w:rPr>
          <w:rFonts w:hint="eastAsia"/>
        </w:rPr>
        <w:t>在标准必要专利国际平行诉讼中，本国诉讼与外国诉讼的裁判结果是否存在互相影响的关系是法院在考量签发禁诉令时的重要因素。国内外法院均对此因素进行了细致严谨的论证，对外国诉讼的审理程序或裁判结果可能影响本国审理和裁判的均对被申请人签发禁诉令，以禁止或限制其在国外进行或将要进行的诉讼。结合实践中的5起涉禁诉令的案例，对两诉裁决是否存在影响关系的裁判观点及贡献程度如表3所示。</w:t>
      </w:r>
    </w:p>
    <w:p w14:paraId="0037FA1B">
      <w:pPr>
        <w:widowControl w:val="0"/>
        <w:spacing w:before="120" w:beforeLines="50" w:afterLines="0" w:line="288" w:lineRule="auto"/>
        <w:ind w:firstLine="0" w:firstLineChars="0"/>
        <w:jc w:val="center"/>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w:t>
      </w:r>
      <w:r>
        <w:rPr>
          <w:rFonts w:ascii="Times New Roman" w:hAnsi="Times New Roman" w:eastAsia="宋体" w:cs="Times New Roman"/>
          <w:kern w:val="2"/>
          <w:sz w:val="21"/>
          <w:szCs w:val="21"/>
          <w:lang w:val="en-US" w:eastAsia="zh-CN" w:bidi="ar-SA"/>
        </w:rPr>
        <w:t>4</w:t>
      </w:r>
      <w:r>
        <w:rPr>
          <w:rFonts w:hint="eastAsia" w:ascii="Times New Roman" w:hAnsi="Times New Roman" w:eastAsia="宋体" w:cs="Times New Roman"/>
          <w:kern w:val="2"/>
          <w:sz w:val="21"/>
          <w:szCs w:val="21"/>
          <w:lang w:val="en-US" w:eastAsia="zh-CN" w:bidi="ar-SA"/>
        </w:rPr>
        <w:t xml:space="preserve"> 两诉裁判是否存在影响关系的关键词及贡献程度分析</w:t>
      </w:r>
    </w:p>
    <w:tbl>
      <w:tblPr>
        <w:tblStyle w:val="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1"/>
        <w:gridCol w:w="1372"/>
        <w:gridCol w:w="3504"/>
        <w:gridCol w:w="1348"/>
        <w:gridCol w:w="1107"/>
      </w:tblGrid>
      <w:tr w14:paraId="4C0ABDC4">
        <w:trPr>
          <w:trHeight w:val="358" w:hRule="atLeast"/>
          <w:jc w:val="center"/>
        </w:trPr>
        <w:tc>
          <w:tcPr>
            <w:tcW w:w="699" w:type="pct"/>
            <w:tcBorders>
              <w:top w:val="single" w:color="auto" w:sz="12" w:space="0"/>
              <w:bottom w:val="single" w:color="auto" w:sz="8" w:space="0"/>
            </w:tcBorders>
            <w:vAlign w:val="center"/>
          </w:tcPr>
          <w:p w14:paraId="45071314">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类型</w:t>
            </w:r>
          </w:p>
        </w:tc>
        <w:tc>
          <w:tcPr>
            <w:tcW w:w="805" w:type="pct"/>
            <w:tcBorders>
              <w:top w:val="single" w:color="auto" w:sz="12" w:space="0"/>
              <w:bottom w:val="single" w:color="auto" w:sz="8" w:space="0"/>
            </w:tcBorders>
            <w:vAlign w:val="center"/>
          </w:tcPr>
          <w:p w14:paraId="36F7B0FA">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案件</w:t>
            </w:r>
          </w:p>
        </w:tc>
        <w:tc>
          <w:tcPr>
            <w:tcW w:w="2056" w:type="pct"/>
            <w:tcBorders>
              <w:top w:val="single" w:color="auto" w:sz="12" w:space="0"/>
              <w:bottom w:val="single" w:color="auto" w:sz="8" w:space="0"/>
            </w:tcBorders>
            <w:vAlign w:val="center"/>
          </w:tcPr>
          <w:p w14:paraId="2E6D65E9">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关键词</w:t>
            </w:r>
          </w:p>
        </w:tc>
        <w:tc>
          <w:tcPr>
            <w:tcW w:w="791" w:type="pct"/>
            <w:tcBorders>
              <w:top w:val="single" w:color="auto" w:sz="12" w:space="0"/>
              <w:bottom w:val="single" w:color="auto" w:sz="8" w:space="0"/>
            </w:tcBorders>
            <w:vAlign w:val="center"/>
          </w:tcPr>
          <w:p w14:paraId="6641E56C">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分析结果</w:t>
            </w:r>
          </w:p>
        </w:tc>
        <w:tc>
          <w:tcPr>
            <w:tcW w:w="649" w:type="pct"/>
            <w:tcBorders>
              <w:top w:val="single" w:color="auto" w:sz="12" w:space="0"/>
              <w:bottom w:val="single" w:color="auto" w:sz="8" w:space="0"/>
            </w:tcBorders>
            <w:vAlign w:val="center"/>
          </w:tcPr>
          <w:p w14:paraId="0E182750">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是否颁发禁诉令</w:t>
            </w:r>
          </w:p>
        </w:tc>
      </w:tr>
      <w:tr w14:paraId="4D374BAB">
        <w:trPr>
          <w:trHeight w:val="358" w:hRule="atLeast"/>
          <w:jc w:val="center"/>
        </w:trPr>
        <w:tc>
          <w:tcPr>
            <w:tcW w:w="699" w:type="pct"/>
            <w:vMerge w:val="restart"/>
            <w:tcBorders>
              <w:top w:val="single" w:color="auto" w:sz="8" w:space="0"/>
            </w:tcBorders>
            <w:vAlign w:val="center"/>
          </w:tcPr>
          <w:p w14:paraId="67F18E1E">
            <w:pPr>
              <w:adjustRightInd/>
              <w:snapToGrid/>
              <w:spacing w:line="288" w:lineRule="auto"/>
              <w:ind w:firstLine="0" w:firstLineChars="0"/>
              <w:rPr>
                <w:rFonts w:ascii="Times New Roman" w:hAnsi="Times New Roman" w:eastAsia="宋体" w:cs="Times New Roman"/>
                <w:sz w:val="21"/>
                <w:szCs w:val="21"/>
              </w:rPr>
            </w:pPr>
            <w:r>
              <w:rPr>
                <w:rFonts w:hint="eastAsia" w:ascii="Times New Roman" w:hAnsi="Times New Roman" w:eastAsia="宋体" w:cs="宋体"/>
                <w:sz w:val="21"/>
                <w:szCs w:val="21"/>
              </w:rPr>
              <w:t>两诉存在贡献关系</w:t>
            </w:r>
          </w:p>
        </w:tc>
        <w:tc>
          <w:tcPr>
            <w:tcW w:w="805" w:type="pct"/>
            <w:tcBorders>
              <w:top w:val="single" w:color="auto" w:sz="8" w:space="0"/>
              <w:bottom w:val="nil"/>
            </w:tcBorders>
            <w:vAlign w:val="center"/>
          </w:tcPr>
          <w:p w14:paraId="62703C23">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Microsoft v. Motorola</w:t>
            </w:r>
          </w:p>
        </w:tc>
        <w:tc>
          <w:tcPr>
            <w:tcW w:w="2056" w:type="pct"/>
            <w:tcBorders>
              <w:top w:val="single" w:color="auto" w:sz="8" w:space="0"/>
              <w:bottom w:val="nil"/>
            </w:tcBorders>
            <w:vAlign w:val="center"/>
          </w:tcPr>
          <w:p w14:paraId="5E675390">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FRADN许可费合同违约之诉的裁判结果可以解决侵权诉讼的纠纷</w:t>
            </w:r>
          </w:p>
        </w:tc>
        <w:tc>
          <w:tcPr>
            <w:tcW w:w="791" w:type="pct"/>
            <w:tcBorders>
              <w:top w:val="single" w:color="auto" w:sz="8" w:space="0"/>
              <w:bottom w:val="nil"/>
            </w:tcBorders>
            <w:vAlign w:val="center"/>
          </w:tcPr>
          <w:p w14:paraId="051E4C16">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有贡献</w:t>
            </w:r>
          </w:p>
        </w:tc>
        <w:tc>
          <w:tcPr>
            <w:tcW w:w="649" w:type="pct"/>
            <w:tcBorders>
              <w:top w:val="single" w:color="auto" w:sz="8" w:space="0"/>
              <w:bottom w:val="nil"/>
            </w:tcBorders>
            <w:vAlign w:val="center"/>
          </w:tcPr>
          <w:p w14:paraId="5E3D206E">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是</w:t>
            </w:r>
          </w:p>
        </w:tc>
      </w:tr>
      <w:tr w14:paraId="6C40A009">
        <w:trPr>
          <w:trHeight w:val="358" w:hRule="atLeast"/>
          <w:jc w:val="center"/>
        </w:trPr>
        <w:tc>
          <w:tcPr>
            <w:tcW w:w="699" w:type="pct"/>
            <w:vMerge w:val="continue"/>
            <w:vAlign w:val="center"/>
          </w:tcPr>
          <w:p w14:paraId="5B70299C">
            <w:pPr>
              <w:adjustRightInd/>
              <w:snapToGrid/>
              <w:spacing w:line="288" w:lineRule="auto"/>
              <w:ind w:firstLine="0" w:firstLineChars="0"/>
              <w:rPr>
                <w:rFonts w:ascii="Times New Roman" w:hAnsi="Times New Roman" w:eastAsia="宋体" w:cs="Times New Roman"/>
                <w:sz w:val="21"/>
                <w:szCs w:val="21"/>
              </w:rPr>
            </w:pPr>
          </w:p>
        </w:tc>
        <w:tc>
          <w:tcPr>
            <w:tcW w:w="805" w:type="pct"/>
            <w:tcBorders>
              <w:top w:val="nil"/>
            </w:tcBorders>
            <w:vAlign w:val="center"/>
          </w:tcPr>
          <w:p w14:paraId="1D692A17">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华为 v. Samsung</w:t>
            </w:r>
          </w:p>
        </w:tc>
        <w:tc>
          <w:tcPr>
            <w:tcW w:w="2056" w:type="pct"/>
            <w:tcBorders>
              <w:top w:val="nil"/>
            </w:tcBorders>
            <w:vAlign w:val="center"/>
          </w:tcPr>
          <w:p w14:paraId="258547C8">
            <w:pPr>
              <w:widowControl/>
              <w:adjustRightInd w:val="0"/>
              <w:snapToGrid w:val="0"/>
              <w:spacing w:beforeAutospacing="0" w:afterAutospacing="0" w:line="288" w:lineRule="auto"/>
              <w:ind w:firstLine="0" w:firstLineChars="0"/>
              <w:jc w:val="both"/>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FRADN许可费合同违约之诉的裁判结果可以解决侵权诉讼的纠纷</w:t>
            </w:r>
          </w:p>
        </w:tc>
        <w:tc>
          <w:tcPr>
            <w:tcW w:w="791" w:type="pct"/>
            <w:tcBorders>
              <w:top w:val="nil"/>
            </w:tcBorders>
            <w:vAlign w:val="center"/>
          </w:tcPr>
          <w:p w14:paraId="13C96447">
            <w:pPr>
              <w:widowControl/>
              <w:adjustRightInd w:val="0"/>
              <w:snapToGrid w:val="0"/>
              <w:spacing w:beforeAutospacing="0" w:afterAutospacing="0" w:line="288" w:lineRule="auto"/>
              <w:ind w:firstLine="0" w:firstLineChars="0"/>
              <w:jc w:val="center"/>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有贡献</w:t>
            </w:r>
          </w:p>
        </w:tc>
        <w:tc>
          <w:tcPr>
            <w:tcW w:w="649" w:type="pct"/>
            <w:tcBorders>
              <w:top w:val="nil"/>
            </w:tcBorders>
            <w:vAlign w:val="center"/>
          </w:tcPr>
          <w:p w14:paraId="774B4438">
            <w:pPr>
              <w:widowControl/>
              <w:adjustRightInd w:val="0"/>
              <w:snapToGrid w:val="0"/>
              <w:spacing w:beforeAutospacing="0" w:afterAutospacing="0" w:line="288" w:lineRule="auto"/>
              <w:ind w:firstLine="0" w:firstLineChars="0"/>
              <w:jc w:val="center"/>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是</w:t>
            </w:r>
          </w:p>
        </w:tc>
      </w:tr>
      <w:tr w14:paraId="50CDF526">
        <w:trPr>
          <w:trHeight w:val="358" w:hRule="atLeast"/>
          <w:jc w:val="center"/>
        </w:trPr>
        <w:tc>
          <w:tcPr>
            <w:tcW w:w="699" w:type="pct"/>
            <w:vMerge w:val="continue"/>
            <w:vAlign w:val="center"/>
          </w:tcPr>
          <w:p w14:paraId="2810633E">
            <w:pPr>
              <w:adjustRightInd/>
              <w:snapToGrid/>
              <w:spacing w:line="288" w:lineRule="auto"/>
              <w:ind w:firstLine="0" w:firstLineChars="0"/>
              <w:rPr>
                <w:rFonts w:ascii="Times New Roman" w:hAnsi="Times New Roman" w:eastAsia="宋体" w:cs="Times New Roman"/>
                <w:sz w:val="21"/>
                <w:szCs w:val="21"/>
              </w:rPr>
            </w:pPr>
          </w:p>
        </w:tc>
        <w:tc>
          <w:tcPr>
            <w:tcW w:w="805" w:type="pct"/>
            <w:vAlign w:val="center"/>
          </w:tcPr>
          <w:p w14:paraId="5B2057C0">
            <w:pPr>
              <w:widowControl/>
              <w:adjustRightInd w:val="0"/>
              <w:snapToGrid w:val="0"/>
              <w:spacing w:beforeAutospacing="0" w:afterAutospacing="0" w:line="288" w:lineRule="auto"/>
              <w:ind w:firstLine="0" w:firstLineChars="0"/>
              <w:jc w:val="both"/>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Apple v. Qualcomm</w:t>
            </w:r>
          </w:p>
        </w:tc>
        <w:tc>
          <w:tcPr>
            <w:tcW w:w="2056" w:type="pct"/>
            <w:vAlign w:val="center"/>
          </w:tcPr>
          <w:p w14:paraId="572AFA81">
            <w:pPr>
              <w:widowControl/>
              <w:adjustRightInd w:val="0"/>
              <w:snapToGrid w:val="0"/>
              <w:spacing w:beforeAutospacing="0" w:afterAutospacing="0" w:line="288" w:lineRule="auto"/>
              <w:ind w:firstLine="0" w:firstLineChars="0"/>
              <w:jc w:val="both"/>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美国诉讼的结果无法妥善解决所有外国的争议</w:t>
            </w:r>
          </w:p>
        </w:tc>
        <w:tc>
          <w:tcPr>
            <w:tcW w:w="791" w:type="pct"/>
            <w:vAlign w:val="center"/>
          </w:tcPr>
          <w:p w14:paraId="0D7335E8">
            <w:pPr>
              <w:widowControl/>
              <w:adjustRightInd w:val="0"/>
              <w:snapToGrid w:val="0"/>
              <w:spacing w:beforeAutospacing="0" w:afterAutospacing="0" w:line="288" w:lineRule="auto"/>
              <w:ind w:firstLine="0" w:firstLineChars="0"/>
              <w:jc w:val="center"/>
              <w:rPr>
                <w:rFonts w:ascii="Calibri" w:hAnsi="Calibri" w:eastAsia="宋体" w:cs="Times New Roman"/>
                <w:color w:val="0000FF"/>
                <w:kern w:val="0"/>
                <w:sz w:val="24"/>
                <w:szCs w:val="24"/>
                <w:lang w:val="en-US" w:eastAsia="zh-CN" w:bidi="ar-SA"/>
              </w:rPr>
            </w:pPr>
            <w:r>
              <w:rPr>
                <w:rFonts w:hint="eastAsia" w:ascii="Times New Roman" w:hAnsi="Times New Roman" w:eastAsia="宋体" w:cs="宋体"/>
                <w:kern w:val="0"/>
                <w:sz w:val="21"/>
                <w:szCs w:val="21"/>
                <w:lang w:val="en-US" w:eastAsia="zh-CN" w:bidi="ar-SA"/>
              </w:rPr>
              <w:t>无贡献</w:t>
            </w:r>
          </w:p>
        </w:tc>
        <w:tc>
          <w:tcPr>
            <w:tcW w:w="649" w:type="pct"/>
            <w:vAlign w:val="center"/>
          </w:tcPr>
          <w:p w14:paraId="0A9D897F">
            <w:pPr>
              <w:widowControl/>
              <w:adjustRightInd w:val="0"/>
              <w:snapToGrid w:val="0"/>
              <w:spacing w:beforeAutospacing="0" w:afterAutospacing="0" w:line="288" w:lineRule="auto"/>
              <w:ind w:firstLine="0" w:firstLineChars="0"/>
              <w:jc w:val="center"/>
              <w:rPr>
                <w:rFonts w:ascii="Calibri" w:hAnsi="Calibri" w:eastAsia="宋体" w:cs="Times New Roman"/>
                <w:color w:val="0000FF"/>
                <w:kern w:val="0"/>
                <w:sz w:val="24"/>
                <w:szCs w:val="24"/>
                <w:lang w:val="en-US" w:eastAsia="zh-CN" w:bidi="ar-SA"/>
              </w:rPr>
            </w:pPr>
            <w:r>
              <w:rPr>
                <w:rFonts w:hint="eastAsia" w:ascii="Times New Roman" w:hAnsi="Times New Roman" w:eastAsia="宋体" w:cs="宋体"/>
                <w:kern w:val="0"/>
                <w:sz w:val="21"/>
                <w:szCs w:val="21"/>
                <w:lang w:val="en-US" w:eastAsia="zh-CN" w:bidi="ar-SA"/>
              </w:rPr>
              <w:t>否</w:t>
            </w:r>
          </w:p>
        </w:tc>
      </w:tr>
      <w:tr w14:paraId="58F39543">
        <w:trPr>
          <w:trHeight w:val="373" w:hRule="atLeast"/>
          <w:jc w:val="center"/>
        </w:trPr>
        <w:tc>
          <w:tcPr>
            <w:tcW w:w="699" w:type="pct"/>
            <w:vAlign w:val="center"/>
          </w:tcPr>
          <w:p w14:paraId="12DBCFFE">
            <w:pPr>
              <w:adjustRightInd/>
              <w:snapToGrid/>
              <w:spacing w:line="288" w:lineRule="auto"/>
              <w:ind w:firstLine="0" w:firstLineChars="0"/>
              <w:rPr>
                <w:rFonts w:ascii="Times New Roman" w:hAnsi="Times New Roman" w:eastAsia="宋体" w:cs="Times New Roman"/>
                <w:sz w:val="21"/>
                <w:szCs w:val="21"/>
              </w:rPr>
            </w:pPr>
            <w:r>
              <w:rPr>
                <w:rFonts w:hint="eastAsia" w:ascii="Times New Roman" w:hAnsi="Times New Roman" w:eastAsia="宋体" w:cs="宋体"/>
                <w:sz w:val="21"/>
                <w:szCs w:val="21"/>
              </w:rPr>
              <w:t>两诉存在阻碍关系</w:t>
            </w:r>
          </w:p>
        </w:tc>
        <w:tc>
          <w:tcPr>
            <w:tcW w:w="805" w:type="pct"/>
            <w:vAlign w:val="center"/>
          </w:tcPr>
          <w:p w14:paraId="745E4D13">
            <w:pPr>
              <w:widowControl/>
              <w:adjustRightInd w:val="0"/>
              <w:snapToGrid w:val="0"/>
              <w:spacing w:beforeAutospacing="0" w:afterAutospacing="0" w:line="288" w:lineRule="auto"/>
              <w:ind w:firstLine="0" w:firstLineChars="0"/>
              <w:jc w:val="both"/>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Samsung v. Ericsson</w:t>
            </w:r>
          </w:p>
        </w:tc>
        <w:tc>
          <w:tcPr>
            <w:tcW w:w="2056" w:type="pct"/>
            <w:vAlign w:val="center"/>
          </w:tcPr>
          <w:p w14:paraId="76796F20">
            <w:pPr>
              <w:widowControl/>
              <w:adjustRightInd w:val="0"/>
              <w:snapToGrid w:val="0"/>
              <w:spacing w:beforeAutospacing="0" w:afterAutospacing="0" w:line="288" w:lineRule="auto"/>
              <w:ind w:firstLine="0" w:firstLineChars="0"/>
              <w:jc w:val="both"/>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他国法院的诉讼将阻碍本院的审理，使本案的判决失去意义</w:t>
            </w:r>
          </w:p>
        </w:tc>
        <w:tc>
          <w:tcPr>
            <w:tcW w:w="791" w:type="pct"/>
            <w:vAlign w:val="center"/>
          </w:tcPr>
          <w:p w14:paraId="077A3071">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阻碍</w:t>
            </w:r>
          </w:p>
        </w:tc>
        <w:tc>
          <w:tcPr>
            <w:tcW w:w="649" w:type="pct"/>
            <w:vAlign w:val="center"/>
          </w:tcPr>
          <w:p w14:paraId="43BE2B66">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是</w:t>
            </w:r>
          </w:p>
        </w:tc>
      </w:tr>
      <w:tr w14:paraId="73DC98A4">
        <w:trPr>
          <w:trHeight w:val="373" w:hRule="atLeast"/>
          <w:jc w:val="center"/>
        </w:trPr>
        <w:tc>
          <w:tcPr>
            <w:tcW w:w="699" w:type="pct"/>
            <w:tcBorders>
              <w:bottom w:val="single" w:color="auto" w:sz="12" w:space="0"/>
            </w:tcBorders>
            <w:vAlign w:val="center"/>
          </w:tcPr>
          <w:p w14:paraId="48768028">
            <w:pPr>
              <w:adjustRightInd/>
              <w:snapToGrid/>
              <w:spacing w:line="288" w:lineRule="auto"/>
              <w:ind w:firstLine="0" w:firstLineChars="0"/>
              <w:rPr>
                <w:rFonts w:ascii="Times New Roman" w:hAnsi="Times New Roman" w:eastAsia="宋体" w:cs="Times New Roman"/>
                <w:sz w:val="21"/>
                <w:szCs w:val="21"/>
              </w:rPr>
            </w:pPr>
            <w:r>
              <w:rPr>
                <w:rFonts w:hint="eastAsia" w:ascii="Times New Roman" w:hAnsi="Times New Roman" w:eastAsia="宋体" w:cs="宋体"/>
                <w:sz w:val="21"/>
                <w:szCs w:val="21"/>
              </w:rPr>
              <w:t>两诉存在冲突关系</w:t>
            </w:r>
          </w:p>
        </w:tc>
        <w:tc>
          <w:tcPr>
            <w:tcW w:w="805" w:type="pct"/>
            <w:vAlign w:val="center"/>
          </w:tcPr>
          <w:p w14:paraId="481664B6">
            <w:pPr>
              <w:widowControl/>
              <w:adjustRightInd w:val="0"/>
              <w:snapToGrid w:val="0"/>
              <w:spacing w:beforeAutospacing="0" w:afterAutospacing="0" w:line="288" w:lineRule="auto"/>
              <w:ind w:firstLine="0" w:firstLineChars="0"/>
              <w:jc w:val="both"/>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小米 v. InterDitigal</w:t>
            </w:r>
          </w:p>
        </w:tc>
        <w:tc>
          <w:tcPr>
            <w:tcW w:w="2056" w:type="pct"/>
            <w:vAlign w:val="center"/>
          </w:tcPr>
          <w:p w14:paraId="1B9140E1">
            <w:pPr>
              <w:widowControl/>
              <w:adjustRightInd w:val="0"/>
              <w:snapToGrid w:val="0"/>
              <w:spacing w:beforeAutospacing="0" w:afterAutospacing="0" w:line="288" w:lineRule="auto"/>
              <w:ind w:firstLine="0" w:firstLineChars="0"/>
              <w:jc w:val="both"/>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印度德里法院的诉讼结果，可能与我国诉讼相冲突</w:t>
            </w:r>
          </w:p>
        </w:tc>
        <w:tc>
          <w:tcPr>
            <w:tcW w:w="791" w:type="pct"/>
            <w:vAlign w:val="center"/>
          </w:tcPr>
          <w:p w14:paraId="37458F1B">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是</w:t>
            </w:r>
          </w:p>
        </w:tc>
        <w:tc>
          <w:tcPr>
            <w:tcW w:w="649" w:type="pct"/>
            <w:vAlign w:val="center"/>
          </w:tcPr>
          <w:p w14:paraId="6BE4A962">
            <w:pPr>
              <w:widowControl/>
              <w:adjustRightInd w:val="0"/>
              <w:snapToGrid w:val="0"/>
              <w:spacing w:beforeAutospacing="0" w:afterAutospacing="0" w:line="288" w:lineRule="auto"/>
              <w:ind w:firstLine="0" w:firstLineChars="0"/>
              <w:jc w:val="center"/>
              <w:rPr>
                <w:rFonts w:ascii="Times New Roman" w:hAnsi="Times New Roman" w:eastAsia="宋体" w:cs="宋体"/>
                <w:kern w:val="0"/>
                <w:sz w:val="21"/>
                <w:szCs w:val="21"/>
                <w:lang w:val="en-US" w:eastAsia="zh-CN" w:bidi="ar-SA"/>
              </w:rPr>
            </w:pPr>
            <w:r>
              <w:rPr>
                <w:rFonts w:hint="eastAsia" w:ascii="Times New Roman" w:hAnsi="Times New Roman" w:eastAsia="宋体" w:cs="宋体"/>
                <w:kern w:val="0"/>
                <w:sz w:val="21"/>
                <w:szCs w:val="21"/>
                <w:lang w:val="en-US" w:eastAsia="zh-CN" w:bidi="ar-SA"/>
              </w:rPr>
              <w:t>是</w:t>
            </w:r>
          </w:p>
        </w:tc>
      </w:tr>
    </w:tbl>
    <w:p w14:paraId="1F0F2DC8">
      <w:pPr>
        <w:bidi w:val="0"/>
      </w:pPr>
      <w:r>
        <w:rPr>
          <w:rFonts w:hint="eastAsia"/>
        </w:rPr>
        <w:t>“两诉的裁判结果之间有无相互影响”可以分为三种类型：本案裁判结果对其他诉讼有无贡献、本国的裁判结果是否干扰或妨碍其他诉讼、两个诉讼之间是否会产生不一致的裁判。其中，本案裁判对其他诉讼有无贡献的类型最为普遍，如在“华为 v. Samsung案”中，深圳法院一审判令三星公司应立即停止侵权，但美国加利福尼亚北区法院认为在美国的违约诉讼可以解决在中国的侵权纠纷，故作出禁诉令裁定，要求华为公司不得在美国诉讼的裁决结束之前向深圳法院申请执行一审判决。在本案诉讼结果是否会阻碍另一诉讼的类型，如在“三星公司与爱立信公司案”中，湖北省武汉市中级人民法院认为，爱立信向美国德克萨斯州法院寻求禁诉令的救济行为，将使得三星公司在以本案裁决支付标准必要专利许可费时，仍然存在禁令风险，继而使得本案的裁判难以得到执行。在两诉出现不一致判决的类型中，以“小米公司与交互数字公司”为例，武汉中院认为，交互数字公司不理睬中国法院的管辖，紧急在印度德里法院提起禁令程序以期排除中国法院的管辖，很可能会导致作出矛盾冲突的判决。</w:t>
      </w:r>
    </w:p>
    <w:p w14:paraId="0F868FCF">
      <w:pPr>
        <w:bidi w:val="0"/>
      </w:pPr>
      <w:r>
        <w:rPr>
          <w:rFonts w:hint="eastAsia"/>
        </w:rPr>
        <w:t>通过上述分析可知，当国内外两诉之间存在互相的影响关系时，法院均作出了禁诉令裁定。其实此种结果也符合禁诉令产生的法理，其本身作用之一就在于当外国法院拒绝根据不方便法院原则礼让本国法院的管辖权时，通过签发禁诉令来维护本国的管辖权。若两诉之间不存在互相影响的关系，则不会妨碍到自身的管辖权，自然不需要签发禁诉令，反之，则会签发禁诉令。</w:t>
      </w:r>
    </w:p>
    <w:p w14:paraId="2D8868D1">
      <w:pPr>
        <w:pStyle w:val="3"/>
        <w:bidi w:val="0"/>
        <w:rPr>
          <w:lang w:val="en-US" w:eastAsia="zh-CN"/>
        </w:rPr>
      </w:pPr>
      <w:bookmarkStart w:id="35" w:name="_Toc31475"/>
      <w:bookmarkStart w:id="36" w:name="_Toc137325855"/>
      <w:r>
        <w:rPr>
          <w:rFonts w:hint="eastAsia"/>
          <w:lang w:val="en-US" w:eastAsia="zh-CN"/>
        </w:rPr>
        <w:t>（三）</w:t>
      </w:r>
      <w:r>
        <w:rPr>
          <w:lang w:val="en-US" w:eastAsia="zh-CN"/>
        </w:rPr>
        <w:t>社会公共利益</w:t>
      </w:r>
      <w:bookmarkEnd w:id="35"/>
      <w:bookmarkEnd w:id="36"/>
    </w:p>
    <w:p w14:paraId="0ACE417E">
      <w:pPr>
        <w:bidi w:val="0"/>
      </w:pPr>
      <w:r>
        <w:rPr>
          <w:rFonts w:hint="eastAsia"/>
        </w:rPr>
        <w:t>社会公共利益，在不同的国家有不同的称谓，如在普通法国家，它被称为“公共政策”“法律政策（legal policy）”“特殊政策（distinctive policy）”或“法律秩序（legal order）”，在大陆法系国家，如在德国被称为“善良风俗”与“德国法之目的”。我国民事法律规范则称为“社会公共利益”或“公共利益”。随着国际经济交往的日益发展，在涉外民事关系中，若全然把公共政策保留这样的排除国外司法手段完全放弃是不现实的，这种手段应当运用在法律冲突比较严重之时，有选择地对国外法的措施和手段进行排除。</w:t>
      </w:r>
    </w:p>
    <w:p w14:paraId="59D11F6C">
      <w:pPr>
        <w:pStyle w:val="4"/>
        <w:bidi w:val="0"/>
        <w:rPr>
          <w:lang w:val="en-US" w:eastAsia="zh-CN"/>
        </w:rPr>
      </w:pPr>
      <w:bookmarkStart w:id="37" w:name="_Toc16511"/>
      <w:bookmarkStart w:id="38" w:name="_Toc137325856"/>
      <w:r>
        <w:rPr>
          <w:rFonts w:hint="eastAsia"/>
          <w:lang w:val="en-US" w:eastAsia="zh-CN"/>
        </w:rPr>
        <w:t>1.</w:t>
      </w:r>
      <w:r>
        <w:rPr>
          <w:lang w:val="en-US" w:eastAsia="zh-CN"/>
        </w:rPr>
        <w:t>国内</w:t>
      </w:r>
      <w:r>
        <w:rPr>
          <w:rFonts w:hint="eastAsia"/>
          <w:lang w:val="en-US" w:eastAsia="zh-CN"/>
        </w:rPr>
        <w:t>社会公共利益</w:t>
      </w:r>
      <w:r>
        <w:rPr>
          <w:lang w:val="en-US" w:eastAsia="zh-CN"/>
        </w:rPr>
        <w:t>与国际社会公共利益的区分</w:t>
      </w:r>
      <w:bookmarkEnd w:id="37"/>
      <w:bookmarkEnd w:id="38"/>
    </w:p>
    <w:p w14:paraId="158B209E">
      <w:pPr>
        <w:bidi w:val="0"/>
      </w:pPr>
      <w:r>
        <w:rPr>
          <w:rFonts w:hint="eastAsia"/>
        </w:rPr>
        <w:t>萨维尼认为，所有国家的法律都存在两种强制性规定：一种是有关权利的个人占有；一种是有关公共的经济、政治、道德上的观念和利益。最早是瑞士法学家布洛歇称“国内公共政策”为第一种强制性规定的别称，称“国际公共政策”为第二种强制性规定的别称。两位法学家都认为，在第一种强制性规定中，当涉及涉外民事关系时，若冲突规则指向使用国外法，那么它应当让位此国外法；在第二种强制性规定中，就算冲突规则指向国外法，那么也必须适用。由此说明，仅仅在国内法中的第二种强制性规定适用时，才可以排除国外法适用的效力。比如，关于结婚年龄的法律规定，对于本国公民而言，都为强制性规定，无条件地适用于本国所有公民，</w:t>
      </w:r>
      <w:r>
        <w:t xml:space="preserve"> </w:t>
      </w:r>
      <w:r>
        <w:rPr>
          <w:rFonts w:hint="eastAsia"/>
        </w:rPr>
        <w:t>然而在涉外的婚姻当中（也就是本国公民与他国公民在国外结婚，或者他国公民与他国公民在国外结婚，并让该婚姻在国内生效），那么本国强制性的结婚年龄规定就不一定排除涉外婚姻的相关结婚年龄规定的法律效力，由于此种强制性规定只适用于国内范畴。萨维尼认为“民事死亡”和奴隶制等属于国际公共秩序范畴，布洛歇认为禁止一夫多妻、禁止直系亲属之间结婚以及禁止奴隶制等规定属于国际公共秩序的范畴。</w:t>
      </w:r>
    </w:p>
    <w:p w14:paraId="2E2E49FF">
      <w:pPr>
        <w:bidi w:val="0"/>
      </w:pPr>
      <w:r>
        <w:rPr>
          <w:rFonts w:hint="eastAsia"/>
        </w:rPr>
        <w:t>对于国际私法中的公共利益的理解，是指若适用了国外法，会使得国内的法律秩序紊乱，从另一个层面讲，也是根据国内立法的立场来进行规定的。不过这与通常民法上的公共政策的概念不一样，很多是在审判国内民事类案件时法律明确严格规定的，但是在国际私法类案件的处理当中，并非像国内民事审判那样强行规定。故而，国际私法中的公共利益和国内民法中的公共利益是有着不一样规定、内涵、使用条件的。也就是尽管“国际公共秩序”被规定在国际私法的条约当中，其标准的衡量也仅仅在各个国家自己的立场和政策中，由各国各自裁量。</w:t>
      </w:r>
    </w:p>
    <w:p w14:paraId="74DC3CFB">
      <w:pPr>
        <w:pStyle w:val="4"/>
        <w:bidi w:val="0"/>
        <w:rPr>
          <w:lang w:val="en-US" w:eastAsia="zh-CN"/>
        </w:rPr>
      </w:pPr>
      <w:bookmarkStart w:id="39" w:name="_Toc137325857"/>
      <w:bookmarkStart w:id="40" w:name="_Toc1841"/>
      <w:r>
        <w:rPr>
          <w:rFonts w:hint="eastAsia"/>
          <w:lang w:val="en-US" w:eastAsia="zh-CN"/>
        </w:rPr>
        <w:t>2.</w:t>
      </w:r>
      <w:r>
        <w:rPr>
          <w:lang w:val="en-US" w:eastAsia="zh-CN"/>
        </w:rPr>
        <w:t>禁诉令社会公共利益基础的界定</w:t>
      </w:r>
      <w:bookmarkEnd w:id="39"/>
      <w:bookmarkEnd w:id="40"/>
    </w:p>
    <w:p w14:paraId="279E7E8F">
      <w:pPr>
        <w:bidi w:val="0"/>
        <w:rPr>
          <w:lang w:val="en-US" w:eastAsia="zh-CN"/>
        </w:rPr>
      </w:pPr>
      <w:r>
        <w:rPr>
          <w:rFonts w:hint="eastAsia"/>
          <w:lang w:val="en-US" w:eastAsia="zh-CN"/>
        </w:rPr>
        <w:t>标准必要专利技术的国家战略利益以及发展利益，是要成为该领域当中进行禁诉令签发的一个社会公共利益的基础。标准必要专利技术作为经济全球化发展的产物，事实上是对全球市场进行支配的。在近些年中，各个国家都对关键技术之于国家发展的重大推动作用进行了见证，中国对此的感受更为明显，中国作为一个发展中大国，在改革开放后迅猛发展，但也不免收到许多阻碍。例如，中国的芯片产业领域的技术收到国外的“卡脖子”技术制约；再比如，中国在通信、海航等领域取得的先进技术，在国际输出时，收到了国外某些国家的猛烈攻击。当前，4G/5G通信发展迅猛，无线产品等已经成为家家户户的必需品，这对国家的经济发展更甚于国家安全的发展来说都是至关重要的，甚至可以上升到国家战略的高度。比如华为公司为领头代表的国内企业近几年已经发展为行业标杆，成为行业相关技术标准的引领者，是标准必要专利的持有者。不仅如此，国内企业大量使用国外企业的标准必要专利技术，会时常面临缴纳高价的许可费，或者产品在外国被禁售的危机。故而，保卫自己国家在标准必要专利上的发展前景以及国家利益已迫在眉睫，不仅体现在各国在国际上争夺该类案件的司法管辖的权利，更体现在各个国家根据案件的审判，从而颁布符合本国利益的政策和法规。</w:t>
      </w:r>
    </w:p>
    <w:p w14:paraId="38F8E591">
      <w:pPr>
        <w:pStyle w:val="3"/>
        <w:bidi w:val="0"/>
        <w:rPr>
          <w:lang w:val="en-US" w:eastAsia="zh-CN"/>
        </w:rPr>
      </w:pPr>
      <w:bookmarkStart w:id="41" w:name="_Toc8330"/>
      <w:bookmarkStart w:id="42" w:name="_Toc137325858"/>
      <w:r>
        <w:rPr>
          <w:rFonts w:hint="eastAsia"/>
          <w:lang w:val="en-US" w:eastAsia="zh-CN"/>
        </w:rPr>
        <w:t>（四）</w:t>
      </w:r>
      <w:r>
        <w:rPr>
          <w:lang w:val="en-US" w:eastAsia="zh-CN"/>
        </w:rPr>
        <w:t>申请人与被申请人</w:t>
      </w:r>
      <w:r>
        <w:rPr>
          <w:rFonts w:hint="eastAsia"/>
          <w:lang w:val="en-US" w:eastAsia="zh-CN"/>
        </w:rPr>
        <w:t>权益</w:t>
      </w:r>
      <w:bookmarkEnd w:id="41"/>
      <w:bookmarkEnd w:id="42"/>
    </w:p>
    <w:p w14:paraId="221DE554">
      <w:pPr>
        <w:bidi w:val="0"/>
      </w:pPr>
      <w:bookmarkStart w:id="62" w:name="_GoBack"/>
      <w:r>
        <w:rPr>
          <w:rFonts w:hint="eastAsia"/>
        </w:rPr>
        <w:t>申请人和被申请人既可以是诉讼中的原告，也可以是诉讼中的被告。禁诉令签发与否的法律后果直接由申请人与被申请人承受，故申请人与被申请人的利益是禁诉令适用标准的重要影响因素。在《知识产权行为保全规定》第7条的5项因素中就有2项考量申请人与被申请人的利益。通过对已有裁判文书的分析提炼，从当事人滥诉和当事人之间的利益平衡两个方面，总结实践中申请人与被申请人利益的考量标准。</w:t>
      </w:r>
    </w:p>
    <w:bookmarkEnd w:id="62"/>
    <w:p w14:paraId="46A5C2C1">
      <w:pPr>
        <w:pStyle w:val="4"/>
        <w:bidi w:val="0"/>
        <w:rPr>
          <w:lang w:val="en-US" w:eastAsia="zh-CN"/>
        </w:rPr>
      </w:pPr>
      <w:bookmarkStart w:id="43" w:name="_Toc137325859"/>
      <w:bookmarkStart w:id="44" w:name="_Toc12772"/>
      <w:r>
        <w:rPr>
          <w:rFonts w:hint="eastAsia"/>
          <w:lang w:val="en-US" w:eastAsia="zh-CN"/>
        </w:rPr>
        <w:t>1.</w:t>
      </w:r>
      <w:r>
        <w:rPr>
          <w:lang w:val="en-US" w:eastAsia="zh-CN"/>
        </w:rPr>
        <w:t>当事人滥诉的个案认定</w:t>
      </w:r>
      <w:bookmarkEnd w:id="43"/>
      <w:bookmarkEnd w:id="44"/>
    </w:p>
    <w:p w14:paraId="25058FFE">
      <w:pPr>
        <w:bidi w:val="0"/>
      </w:pPr>
      <w:r>
        <w:rPr>
          <w:rFonts w:hint="eastAsia"/>
        </w:rPr>
        <w:t>由于各国的法律规范体系存在较大的不同，诉讼当事人有权根据不同国家的实体法或程序法获得不同的实体上或程序上的权益。因此，为了在实体与程序两方面寻求有利于自己的结果，当事人便倾向于在各个可能有管辖权的国家中挑选最有利于自己的法院，启动国际平行诉讼。国际平行诉讼为当事人提供了选择法院的契机，仅寻找有利于自己的法院进行起诉，属于当事人的正当权益，法律不予禁止。但若当事人滥用此项制度，便极易导致受诉法院签发禁诉令，禁止其滥诉行为。</w:t>
      </w:r>
    </w:p>
    <w:p w14:paraId="60416C13">
      <w:pPr>
        <w:bidi w:val="0"/>
      </w:pPr>
      <w:r>
        <w:rPr>
          <w:rFonts w:hint="eastAsia"/>
        </w:rPr>
        <w:t>在英美法系国家的禁诉令判例中，若一方诉讼当事人是出于困扰或压制对方当事人的目的，而在外国法院就同一诉由提起平行诉讼，即属于是滥用程序权利。英国法院在其裁判文书中坦诚表示，“困扰”或“压制”并无确定的概念，需要不同法院依据具体个案的情形加以认定。诉讼中任何一方发起的诉讼，必然在一定程度上损耗对方当事人的精力和资源，但仅凭这些并不能构成法院发布禁诉令时所考虑的“困扰”和“压制”。</w:t>
      </w:r>
    </w:p>
    <w:p w14:paraId="0DA4401A">
      <w:pPr>
        <w:bidi w:val="0"/>
      </w:pPr>
      <w:r>
        <w:rPr>
          <w:rFonts w:hint="eastAsia"/>
        </w:rPr>
        <w:t>通过对既往判例的检索，发现尽管各国法院对滥诉的考量标准比较灵活，且并无深入的论证，但通过提炼裁判文书中的表述（表4），可将法院的分析划分为两个立场。</w:t>
      </w:r>
    </w:p>
    <w:p w14:paraId="59839176">
      <w:pPr>
        <w:adjustRightInd/>
        <w:snapToGrid/>
        <w:spacing w:before="240" w:line="288" w:lineRule="auto"/>
        <w:ind w:firstLine="0" w:firstLineChars="0"/>
        <w:jc w:val="center"/>
        <w:rPr>
          <w:rFonts w:ascii="Times New Roman" w:hAnsi="Times New Roman" w:eastAsia="宋体" w:cs="宋体"/>
          <w:sz w:val="21"/>
          <w:szCs w:val="21"/>
        </w:rPr>
      </w:pPr>
      <w:r>
        <w:rPr>
          <w:rFonts w:hint="eastAsia" w:ascii="Times New Roman" w:hAnsi="Times New Roman" w:eastAsia="宋体" w:cs="宋体"/>
          <w:sz w:val="21"/>
          <w:szCs w:val="21"/>
        </w:rPr>
        <w:t>表</w:t>
      </w:r>
      <w:r>
        <w:rPr>
          <w:rFonts w:hint="eastAsia" w:cs="宋体"/>
          <w:sz w:val="21"/>
          <w:szCs w:val="21"/>
          <w:lang w:val="en-US" w:eastAsia="zh-CN"/>
        </w:rPr>
        <w:t>5</w:t>
      </w:r>
      <w:r>
        <w:rPr>
          <w:rFonts w:hint="eastAsia" w:ascii="Times New Roman" w:hAnsi="Times New Roman" w:eastAsia="宋体" w:cs="宋体"/>
          <w:sz w:val="21"/>
          <w:szCs w:val="21"/>
        </w:rPr>
        <w:t xml:space="preserve"> 另一诉是否构成滥诉关键词拆分</w:t>
      </w:r>
    </w:p>
    <w:tbl>
      <w:tblPr>
        <w:tblStyle w:val="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2"/>
        <w:gridCol w:w="4719"/>
        <w:gridCol w:w="1511"/>
      </w:tblGrid>
      <w:tr w14:paraId="0F090F8F">
        <w:trPr>
          <w:trHeight w:val="358" w:hRule="atLeast"/>
        </w:trPr>
        <w:tc>
          <w:tcPr>
            <w:tcW w:w="1345" w:type="pct"/>
            <w:tcBorders>
              <w:top w:val="single" w:color="auto" w:sz="12" w:space="0"/>
              <w:bottom w:val="single" w:color="auto" w:sz="8" w:space="0"/>
            </w:tcBorders>
            <w:vAlign w:val="center"/>
          </w:tcPr>
          <w:p w14:paraId="6179746A">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案件</w:t>
            </w:r>
          </w:p>
        </w:tc>
        <w:tc>
          <w:tcPr>
            <w:tcW w:w="2769" w:type="pct"/>
            <w:tcBorders>
              <w:top w:val="single" w:color="auto" w:sz="12" w:space="0"/>
              <w:bottom w:val="single" w:color="auto" w:sz="8" w:space="0"/>
            </w:tcBorders>
            <w:vAlign w:val="center"/>
          </w:tcPr>
          <w:p w14:paraId="48382280">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关键词</w:t>
            </w:r>
          </w:p>
        </w:tc>
        <w:tc>
          <w:tcPr>
            <w:tcW w:w="886" w:type="pct"/>
            <w:tcBorders>
              <w:top w:val="single" w:color="auto" w:sz="12" w:space="0"/>
              <w:bottom w:val="single" w:color="auto" w:sz="8" w:space="0"/>
            </w:tcBorders>
            <w:vAlign w:val="center"/>
          </w:tcPr>
          <w:p w14:paraId="2EAC413B">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是否构成滥诉</w:t>
            </w:r>
          </w:p>
        </w:tc>
      </w:tr>
      <w:tr w14:paraId="7E7BD7CE">
        <w:trPr>
          <w:trHeight w:val="358" w:hRule="atLeast"/>
        </w:trPr>
        <w:tc>
          <w:tcPr>
            <w:tcW w:w="1345" w:type="pct"/>
            <w:tcBorders>
              <w:top w:val="single" w:color="auto" w:sz="8" w:space="0"/>
              <w:bottom w:val="nil"/>
            </w:tcBorders>
            <w:vAlign w:val="center"/>
          </w:tcPr>
          <w:p w14:paraId="5048F991">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Microsoft v. Motorola</w:t>
            </w:r>
          </w:p>
        </w:tc>
        <w:tc>
          <w:tcPr>
            <w:tcW w:w="2769" w:type="pct"/>
            <w:tcBorders>
              <w:top w:val="single" w:color="auto" w:sz="8" w:space="0"/>
              <w:bottom w:val="nil"/>
            </w:tcBorders>
            <w:vAlign w:val="center"/>
          </w:tcPr>
          <w:p w14:paraId="669C2627">
            <w:pPr>
              <w:widowControl/>
              <w:adjustRightInd w:val="0"/>
              <w:snapToGrid w:val="0"/>
              <w:spacing w:beforeAutospacing="0" w:afterAutospacing="0" w:line="288" w:lineRule="auto"/>
              <w:ind w:firstLine="0" w:firstLineChars="0"/>
              <w:jc w:val="left"/>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禁令威胁；压制；滥用市场支配地位</w:t>
            </w:r>
          </w:p>
        </w:tc>
        <w:tc>
          <w:tcPr>
            <w:tcW w:w="886" w:type="pct"/>
            <w:tcBorders>
              <w:top w:val="single" w:color="auto" w:sz="8" w:space="0"/>
              <w:bottom w:val="nil"/>
            </w:tcBorders>
            <w:vAlign w:val="center"/>
          </w:tcPr>
          <w:p w14:paraId="6A5E3751">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是</w:t>
            </w:r>
          </w:p>
        </w:tc>
      </w:tr>
      <w:tr w14:paraId="0F69CE18">
        <w:trPr>
          <w:trHeight w:val="358" w:hRule="atLeast"/>
        </w:trPr>
        <w:tc>
          <w:tcPr>
            <w:tcW w:w="1345" w:type="pct"/>
            <w:tcBorders>
              <w:top w:val="nil"/>
            </w:tcBorders>
            <w:vAlign w:val="center"/>
          </w:tcPr>
          <w:p w14:paraId="0D53B046">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小米v. InterDigital</w:t>
            </w:r>
          </w:p>
        </w:tc>
        <w:tc>
          <w:tcPr>
            <w:tcW w:w="2769" w:type="pct"/>
            <w:tcBorders>
              <w:top w:val="nil"/>
            </w:tcBorders>
            <w:vAlign w:val="center"/>
          </w:tcPr>
          <w:p w14:paraId="41B909BF">
            <w:pPr>
              <w:widowControl/>
              <w:adjustRightInd w:val="0"/>
              <w:snapToGrid w:val="0"/>
              <w:spacing w:beforeAutospacing="0" w:afterAutospacing="0" w:line="288" w:lineRule="auto"/>
              <w:ind w:firstLine="0" w:firstLineChars="0"/>
              <w:jc w:val="left"/>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排斥本院管辖；妨碍本院裁决执行；主观恶意明显</w:t>
            </w:r>
          </w:p>
        </w:tc>
        <w:tc>
          <w:tcPr>
            <w:tcW w:w="886" w:type="pct"/>
            <w:tcBorders>
              <w:top w:val="nil"/>
            </w:tcBorders>
            <w:vAlign w:val="center"/>
          </w:tcPr>
          <w:p w14:paraId="3C799C43">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是</w:t>
            </w:r>
          </w:p>
        </w:tc>
      </w:tr>
      <w:tr w14:paraId="2158AF01">
        <w:trPr>
          <w:trHeight w:val="358" w:hRule="atLeast"/>
        </w:trPr>
        <w:tc>
          <w:tcPr>
            <w:tcW w:w="1345" w:type="pct"/>
            <w:vAlign w:val="center"/>
          </w:tcPr>
          <w:p w14:paraId="1657B988">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Conversant v.华为&amp;中兴</w:t>
            </w:r>
          </w:p>
        </w:tc>
        <w:tc>
          <w:tcPr>
            <w:tcW w:w="2769" w:type="pct"/>
            <w:vAlign w:val="center"/>
          </w:tcPr>
          <w:p w14:paraId="261569EF">
            <w:pPr>
              <w:widowControl/>
              <w:adjustRightInd w:val="0"/>
              <w:snapToGrid w:val="0"/>
              <w:spacing w:beforeAutospacing="0" w:afterAutospacing="0" w:line="288" w:lineRule="auto"/>
              <w:ind w:firstLine="0" w:firstLineChars="0"/>
              <w:jc w:val="left"/>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未干扰或妨碍本院案件审理或判决执行</w:t>
            </w:r>
          </w:p>
        </w:tc>
        <w:tc>
          <w:tcPr>
            <w:tcW w:w="886" w:type="pct"/>
            <w:vAlign w:val="center"/>
          </w:tcPr>
          <w:p w14:paraId="3002C24D">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否</w:t>
            </w:r>
          </w:p>
        </w:tc>
      </w:tr>
      <w:tr w14:paraId="7DBD4609">
        <w:trPr>
          <w:trHeight w:val="358" w:hRule="atLeast"/>
        </w:trPr>
        <w:tc>
          <w:tcPr>
            <w:tcW w:w="1345" w:type="pct"/>
            <w:vAlign w:val="center"/>
          </w:tcPr>
          <w:p w14:paraId="4BCBAFF8">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Apple v. Qualcomm</w:t>
            </w:r>
          </w:p>
        </w:tc>
        <w:tc>
          <w:tcPr>
            <w:tcW w:w="2769" w:type="pct"/>
            <w:vAlign w:val="center"/>
          </w:tcPr>
          <w:p w14:paraId="7A2742AD">
            <w:pPr>
              <w:widowControl/>
              <w:adjustRightInd w:val="0"/>
              <w:snapToGrid w:val="0"/>
              <w:spacing w:beforeAutospacing="0" w:afterAutospacing="0" w:line="288" w:lineRule="auto"/>
              <w:ind w:firstLine="0" w:firstLineChars="0"/>
              <w:jc w:val="left"/>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不影响本院审理；在域外起诉的动机合理</w:t>
            </w:r>
          </w:p>
        </w:tc>
        <w:tc>
          <w:tcPr>
            <w:tcW w:w="886" w:type="pct"/>
            <w:vAlign w:val="center"/>
          </w:tcPr>
          <w:p w14:paraId="3262BF58">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否</w:t>
            </w:r>
          </w:p>
        </w:tc>
      </w:tr>
      <w:tr w14:paraId="36D1AF1E">
        <w:trPr>
          <w:trHeight w:val="373" w:hRule="atLeast"/>
        </w:trPr>
        <w:tc>
          <w:tcPr>
            <w:tcW w:w="1345" w:type="pct"/>
            <w:vAlign w:val="center"/>
          </w:tcPr>
          <w:p w14:paraId="7D65E5C1">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Unwired Planet v. 华为</w:t>
            </w:r>
          </w:p>
        </w:tc>
        <w:tc>
          <w:tcPr>
            <w:tcW w:w="2769" w:type="pct"/>
            <w:vAlign w:val="center"/>
          </w:tcPr>
          <w:p w14:paraId="52E7BDDB">
            <w:pPr>
              <w:widowControl/>
              <w:adjustRightInd w:val="0"/>
              <w:snapToGrid w:val="0"/>
              <w:spacing w:beforeAutospacing="0" w:afterAutospacing="0" w:line="288" w:lineRule="auto"/>
              <w:ind w:firstLine="0" w:firstLineChars="0"/>
              <w:jc w:val="left"/>
              <w:rPr>
                <w:rFonts w:ascii="Calibri" w:hAnsi="Calibri" w:eastAsia="宋体" w:cs="Times New Roman"/>
                <w:color w:val="0000FF"/>
                <w:kern w:val="0"/>
                <w:sz w:val="21"/>
                <w:szCs w:val="24"/>
                <w:lang w:val="en-US" w:eastAsia="zh-CN" w:bidi="ar-SA"/>
              </w:rPr>
            </w:pPr>
            <w:r>
              <w:rPr>
                <w:rFonts w:hint="eastAsia" w:ascii="Times New Roman" w:hAnsi="Times New Roman" w:eastAsia="宋体" w:cs="宋体"/>
                <w:kern w:val="0"/>
                <w:sz w:val="21"/>
                <w:szCs w:val="21"/>
                <w:lang w:val="en-US" w:eastAsia="zh-CN" w:bidi="ar-SA"/>
              </w:rPr>
              <w:t>不会出现重叠救济</w:t>
            </w:r>
          </w:p>
        </w:tc>
        <w:tc>
          <w:tcPr>
            <w:tcW w:w="886" w:type="pct"/>
            <w:vAlign w:val="center"/>
          </w:tcPr>
          <w:p w14:paraId="094EE593">
            <w:pPr>
              <w:widowControl/>
              <w:adjustRightInd w:val="0"/>
              <w:snapToGrid w:val="0"/>
              <w:spacing w:beforeAutospacing="0" w:afterAutospacing="0" w:line="288" w:lineRule="auto"/>
              <w:ind w:firstLine="0" w:firstLineChars="0"/>
              <w:jc w:val="center"/>
              <w:rPr>
                <w:rFonts w:ascii="Calibri" w:hAnsi="Calibri" w:eastAsia="宋体" w:cs="Times New Roman"/>
                <w:kern w:val="0"/>
                <w:sz w:val="21"/>
                <w:szCs w:val="24"/>
                <w:lang w:val="en-US" w:eastAsia="zh-CN" w:bidi="ar-SA"/>
              </w:rPr>
            </w:pPr>
            <w:r>
              <w:rPr>
                <w:rFonts w:hint="eastAsia" w:ascii="Times New Roman" w:hAnsi="Times New Roman" w:eastAsia="宋体" w:cs="宋体"/>
                <w:kern w:val="0"/>
                <w:sz w:val="21"/>
                <w:szCs w:val="21"/>
                <w:lang w:val="en-US" w:eastAsia="zh-CN" w:bidi="ar-SA"/>
              </w:rPr>
              <w:t>否</w:t>
            </w:r>
          </w:p>
        </w:tc>
      </w:tr>
    </w:tbl>
    <w:p w14:paraId="567D3DAF">
      <w:pPr>
        <w:bidi w:val="0"/>
      </w:pPr>
      <w:r>
        <w:rPr>
          <w:rFonts w:hint="eastAsia"/>
        </w:rPr>
        <w:t>一是从诉讼当事人的角度考量。审查当事人是否旨在强制对方接纳无理的要求，或该域外诉讼具有困扰性，或者追求重叠的权利救济。在“微软和摩托罗拉案”中，美国法院认为摩托罗拉以在德国的禁售令威胁微软接受不合理的要求，否则将无法在欧洲市场开展销售业务，摩托罗拉在德国提起的侵权诉讼构成滥诉。在“无线星球与华为案”中，美国德克萨斯州地方法院并没有根据无线星球公司的申请签发禁诉令，因为其认为尽管中美两国的诉讼之间可能存在相似的事实纠纷，但两诉所能给予的权利救济并不会重合。</w:t>
      </w:r>
    </w:p>
    <w:p w14:paraId="536AB4BC">
      <w:pPr>
        <w:bidi w:val="0"/>
      </w:pPr>
      <w:r>
        <w:rPr>
          <w:rFonts w:hint="eastAsia"/>
        </w:rPr>
        <w:t>二是从法院的角度考量。当事人又在域外提起同种或类似诉请是否会影响在先受案法院的诉讼秩序。如在“小米公司与交互数字公司案”中，武汉中院认为，无论双方之间的标准专利许可谈判中的协商如何，交互数字在印度德里法院发动的禁令程序，将导致与本案裁决相冲突的裁决作出，进而致使本案生效裁决将难以执行，涉嫌滥用权利救济程序。这一观点在“康文森公司与华为公司和中兴公司案”的审理法院英国高等法院的裁判观点相同，其也认为应以是否妨碍或可能妨碍英国审理秩序和裁决执行秩序来判断当事人的行为是否构成了滥诉。</w:t>
      </w:r>
    </w:p>
    <w:p w14:paraId="5E615BF3">
      <w:pPr>
        <w:bidi w:val="0"/>
      </w:pPr>
      <w:r>
        <w:rPr>
          <w:rFonts w:hint="eastAsia"/>
        </w:rPr>
        <w:t>当事人的滥诉行为在法理上是违反了民事法律上的诚信原则和善意原则，国内外法院均不容忍这类行为。但诚信原则与善意原则并非具体的适用规则，没有确切的概念，特别是在遇到有争议的诉讼行为时，是否能构成滥诉行为多依靠法官的自由心证判断。我国法院在此领域作出禁诉令裁定时，也只能根据个案情况，参考国外法院的考量尺度，依据我国法律制度灵活地认定滥诉行为。</w:t>
      </w:r>
    </w:p>
    <w:p w14:paraId="15CC8AD5">
      <w:pPr>
        <w:pStyle w:val="4"/>
        <w:bidi w:val="0"/>
        <w:rPr>
          <w:lang w:val="en-US" w:eastAsia="zh-CN"/>
        </w:rPr>
      </w:pPr>
      <w:bookmarkStart w:id="45" w:name="_Toc137325860"/>
      <w:bookmarkStart w:id="46" w:name="_Toc13458"/>
      <w:r>
        <w:rPr>
          <w:rFonts w:hint="eastAsia"/>
          <w:lang w:val="en-US" w:eastAsia="zh-CN"/>
        </w:rPr>
        <w:t>2.</w:t>
      </w:r>
      <w:r>
        <w:rPr>
          <w:lang w:val="en-US" w:eastAsia="zh-CN"/>
        </w:rPr>
        <w:t>当事人之间的利益平衡</w:t>
      </w:r>
      <w:bookmarkEnd w:id="45"/>
      <w:bookmarkEnd w:id="46"/>
    </w:p>
    <w:p w14:paraId="47CD5562">
      <w:pPr>
        <w:bidi w:val="0"/>
      </w:pPr>
      <w:r>
        <w:rPr>
          <w:rFonts w:hint="eastAsia"/>
        </w:rPr>
        <w:t>在既往的禁诉令裁定均对双方当事人的利益进行了分析论证，主要是从损害定性、损害程度和损害担保三方面来进行考量。</w:t>
      </w:r>
    </w:p>
    <w:p w14:paraId="27736E5B">
      <w:pPr>
        <w:bidi w:val="0"/>
      </w:pPr>
      <w:r>
        <w:rPr>
          <w:rFonts w:hint="eastAsia"/>
        </w:rPr>
        <w:t>首先，诉讼双方的利益损害可以分为商业利益和诉讼利益。以“华为公司与康文森公司案”为例，华为公司作为一家高新科技企业，有自己的经营范围，如果签发禁诉令，其不仅可以获得继续使用涉案标准必要专利开展业务往来的商业利益，也可以获得与康文森公司开展谈判的诉讼利益。而康文森公司作为一家非专利实施实体，其以收取符合FRAND条款的标准必要专利许可费为生。如果签发禁诉令，其只会损失商业利益，并且仅限金钱利益。</w:t>
      </w:r>
    </w:p>
    <w:p w14:paraId="1507F914">
      <w:pPr>
        <w:bidi w:val="0"/>
      </w:pPr>
      <w:r>
        <w:rPr>
          <w:rFonts w:hint="eastAsia"/>
        </w:rPr>
        <w:t>其次，诉讼双方利益损害的程度。如上所述，如对康文森公司签发禁诉令，其仅损失金钱利益。而如果不签发禁诉令，康文森公司向德国法院申请执行一审判决后，华为公司不仅将直接损失金钱利益，而且还被迫退出德国市场，丧失一系列商业交易的机会。因此，显而易见，如不签发禁诉令，则华为公司的损害将远大于康文森公司的诉案。</w:t>
      </w:r>
    </w:p>
    <w:p w14:paraId="6FA29A45">
      <w:pPr>
        <w:bidi w:val="0"/>
      </w:pPr>
      <w:r>
        <w:rPr>
          <w:rFonts w:hint="eastAsia"/>
        </w:rPr>
        <w:t>最后，被申请人利益的保障。如果没有禁诉令的制衡，实施人的最佳策略是侵犯标准必要专利并就FRAND条款提起诉讼，从而延迟许可费的支付。如果实施人败诉，实施人也只需支付实施人在自愿谈判中认为可以接受的FRAND特许权使用费，则实施人不会因FRAND许可条款而蒙受任何损失。</w:t>
      </w:r>
      <w:r>
        <w:rPr>
          <w:rStyle w:val="12"/>
          <w:rFonts w:hint="eastAsia"/>
        </w:rPr>
        <w:footnoteReference w:id="18"/>
      </w:r>
      <w:r>
        <w:rPr>
          <w:rFonts w:hint="eastAsia"/>
        </w:rPr>
        <w:t>因此，法院也必须为专利权人的利益提供保障。如上案所述，法院如签发禁诉令，则康文森公司必然暂时损失金钱利益，但此损失可以通过等额的担保来予以弥补。担保的数额和方式应充分体现对被申请人利益的保障。我国法院在此案中也充分考虑到了康文森公司的利益，要求申请人华为公司按照康文森公司在域外起诉的赔偿数额提供保证金。申请人及时且足额提交担保的行为，也能反映其主观的态度。</w:t>
      </w:r>
    </w:p>
    <w:p w14:paraId="0769877A">
      <w:pPr>
        <w:bidi w:val="0"/>
      </w:pPr>
      <w:r>
        <w:rPr>
          <w:rFonts w:hint="eastAsia"/>
        </w:rPr>
        <w:t>综上所述，法院需要在标准必要专利纠纷中适用禁诉令以维护自身管辖权、保障诉讼当事人合法权益时，应当考虑以上4个方面的因素。首先，在属地、属人、专属和协商管辖原则均无法有效解决全球性的标准必要标准纠纷的情况下，国际礼让原则被法院频繁用来论证签发禁诉令的合理性。但禁诉令本质上作为一种权利救济手段，法院在对国际民事管辖权原则因素的考量上，对国际礼让原则的遵守应受限于个案正义的实现；其次，法院在适用禁诉令时应保障国内民事诉讼秩序的权威不受侵犯，先通过自然法院、方便法院等原则确定本国法院享有管辖权，再根据诉讼主体和标的的同一认定判定国际平行诉讼的存在，再考量国外诉讼对本国诉讼的影响；再次，对此领域禁诉令的社会公共利益基础进行界定，防止此因素被泛化适用，失去其衡量的意义；最后，从认定当事人是否存在滥诉行为和利益的权衡，考量当事人的诉讼行为是否违背了诚信善意原则，推断其主观意志状态。在我国目前的法律体系下，禁诉令属于行为保全裁定的一种，在一定程度上限制了当事人的诉讼行为，故对其主观意志进行考虑，也能更好地保障当事人的合法权益。</w:t>
      </w:r>
    </w:p>
    <w:p w14:paraId="09A2A5A9">
      <w:pPr>
        <w:pStyle w:val="2"/>
        <w:bidi w:val="0"/>
        <w:rPr>
          <w:lang w:val="en-US" w:eastAsia="zh-CN"/>
        </w:rPr>
      </w:pPr>
      <w:bookmarkStart w:id="47" w:name="_Toc137325861"/>
      <w:r>
        <w:rPr>
          <w:rFonts w:hint="eastAsia"/>
          <w:lang w:val="en-US" w:eastAsia="zh-CN"/>
        </w:rPr>
        <w:t>四、我国标准必要专利禁诉令适用标准的完善建议</w:t>
      </w:r>
      <w:bookmarkEnd w:id="47"/>
    </w:p>
    <w:p w14:paraId="417E4903">
      <w:pPr>
        <w:bidi w:val="0"/>
      </w:pPr>
      <w:r>
        <w:rPr>
          <w:rFonts w:hint="eastAsia"/>
        </w:rPr>
        <w:t>通过对现行知识产权行为保全制度适用标准的深入分析，发现其适用于我国目前标准必要专利禁诉令时尚存在如下不足之处，国际礼让原则定位不清、国内司法管辖权认定不合理、社会公共利益考量不明确、当事人主观状态因素考量缺位。在前文分析的基础上，对现行的适用标准分别从国际礼让原则的礼让边界、国内诉讼秩序、社会公共利益内涵界定和当事人主观状态判断四个方面提出完善建议。</w:t>
      </w:r>
    </w:p>
    <w:p w14:paraId="45E86B14">
      <w:pPr>
        <w:pStyle w:val="3"/>
        <w:bidi w:val="0"/>
        <w:rPr>
          <w:lang w:val="en-US" w:eastAsia="zh-CN"/>
        </w:rPr>
      </w:pPr>
      <w:bookmarkStart w:id="48" w:name="_Toc137325862"/>
      <w:bookmarkStart w:id="49" w:name="_Toc8224"/>
      <w:r>
        <w:rPr>
          <w:rFonts w:hint="eastAsia"/>
          <w:lang w:val="en-US" w:eastAsia="zh-CN"/>
        </w:rPr>
        <w:t>（一）</w:t>
      </w:r>
      <w:r>
        <w:rPr>
          <w:lang w:val="en-US" w:eastAsia="zh-CN"/>
        </w:rPr>
        <w:t>优先考虑实现个案正义</w:t>
      </w:r>
      <w:bookmarkEnd w:id="48"/>
      <w:bookmarkEnd w:id="49"/>
    </w:p>
    <w:p w14:paraId="4AD7AA59">
      <w:pPr>
        <w:bidi w:val="0"/>
      </w:pPr>
      <w:r>
        <w:rPr>
          <w:rFonts w:hint="eastAsia"/>
        </w:rPr>
        <w:t>尽管尊重礼让原则和实现个案正义的目的，在我国法院既往签发的禁诉令裁定中均有充分体现。但在缺乏国际多方协作机制的现状下，我国法院以禁诉令为手段解决标准必要专利国际平行诉讼问题时，在私人利益和国际利益的冲突与平衡中，应优先考虑实现个案正义。</w:t>
      </w:r>
    </w:p>
    <w:p w14:paraId="553E988A">
      <w:pPr>
        <w:bidi w:val="0"/>
      </w:pPr>
      <w:r>
        <w:rPr>
          <w:rFonts w:hint="eastAsia"/>
        </w:rPr>
        <w:t>基于优先考虑实现个案正义，我国法院可在禁诉令裁定中以《知识产权行为保全规定》第7条规定“</w:t>
      </w:r>
      <w:r>
        <w:t>使申请人的合法权益受到</w:t>
      </w:r>
      <w:r>
        <w:rPr>
          <w:rFonts w:hint="eastAsia"/>
        </w:rPr>
        <w:t>不可挽回的损失</w:t>
      </w:r>
      <w:r>
        <w:t>或者造成案件裁决</w:t>
      </w:r>
      <w:r>
        <w:rPr>
          <w:rFonts w:hint="eastAsia"/>
        </w:rPr>
        <w:t>执行困难”为依据，明确排斥外国法院对案件的管辖权，维护本国管辖权。从当事人的角度考虑，如拒绝签发禁诉令可能“</w:t>
      </w:r>
      <w:r>
        <w:t>使申请人的合法权益受到</w:t>
      </w:r>
      <w:r>
        <w:rPr>
          <w:rFonts w:hint="eastAsia"/>
        </w:rPr>
        <w:t>不可挽回的损失</w:t>
      </w:r>
      <w:r>
        <w:t>或者造成案件裁决</w:t>
      </w:r>
      <w:r>
        <w:rPr>
          <w:rFonts w:hint="eastAsia"/>
        </w:rPr>
        <w:t>执行困难”存在三种情形：（1）由外国法院审理裁判案件有可能产生相互矛盾的判决，进而干扰我国生效裁判的执行，最终致使诉讼当事人的民事利益受到损害；（2）外国诉讼被提起之目的主要在于困扰和压迫国内当事人，阻碍或干扰国内法院的正常审理秩序进而损害当事人的正当程序利益；（3）国外诉讼的管辖法院与纠纷的联系甚微，由其管辖明显不当，造成诉讼成本激增、减损当事人利益。在此三种情况下，我国法院可基于实现个案正义的利益，适用禁诉令维护对案件的管辖权。</w:t>
      </w:r>
    </w:p>
    <w:p w14:paraId="5252A1D2">
      <w:pPr>
        <w:bidi w:val="0"/>
      </w:pPr>
      <w:r>
        <w:rPr>
          <w:rFonts w:hint="eastAsia"/>
        </w:rPr>
        <w:t>优先考虑实现个案正义，并非只针对由我国法院管辖才能实现正义的案件，当案件在国外法院审理裁判更有利于实现个案正义时，我国法院同样应该审慎地考虑是否应当签发禁诉令。例如，当案件中的当事人可以国外诉讼中获得尚未受到我国实体法赋予或保护的权利时，或者国外诉讼能够赋予其更多诉讼程序利益时，我国应尽量克制禁诉令的签发。英国、加拿大等国家法院在纠纷裁判中也秉持这一观点。例如，在“英国航空局与湖人航空公司案”中，原告英国航空局以其根据英国的法律有权不受被告湖人航空公司在美国法院起诉为理由，向英国法院寻求禁令，以禁止湖人航空继续在美国的起诉行为。但英国上议院认为，首先，英国航空局无法提出自己在美国的诉讼享有不被起诉权利的证据；其次，湖人航空的诉请不在英国法律的保护之内，换言之，英国法律无法裁判该诉请的利益，所以拒绝了湖人航空公司签发禁诉令的请求。在“安切姆产品公司案”当中，加拿大最高法表示，当原告在域外法院可以获得未受到本国法律赋予或保障的利益时，一般不得适用禁诉令去剥夺当事人这一可期待利益。</w:t>
      </w:r>
      <w:r>
        <w:rPr>
          <w:rStyle w:val="12"/>
          <w:rFonts w:hint="eastAsia"/>
        </w:rPr>
        <w:footnoteReference w:id="19"/>
      </w:r>
    </w:p>
    <w:p w14:paraId="255E0102">
      <w:pPr>
        <w:bidi w:val="0"/>
      </w:pPr>
      <w:r>
        <w:rPr>
          <w:rFonts w:hint="eastAsia"/>
        </w:rPr>
        <w:t>因此，当我国法院在考量是否适用禁诉令时，应从具体个案出发，优先考虑保护和实现个案的正义。由我国法院管辖更有利于实现个案正义时，应果断适用禁诉令以维护司法管辖权。当由外国法院管辖更有利于实现个案正义时，对禁诉令的适用应秉持审慎的态度。</w:t>
      </w:r>
    </w:p>
    <w:p w14:paraId="3DDFC641">
      <w:pPr>
        <w:pStyle w:val="3"/>
        <w:bidi w:val="0"/>
        <w:rPr>
          <w:lang w:val="en-US" w:eastAsia="zh-CN"/>
        </w:rPr>
      </w:pPr>
      <w:bookmarkStart w:id="50" w:name="_Toc137325863"/>
      <w:bookmarkStart w:id="51" w:name="_Toc4775"/>
      <w:r>
        <w:rPr>
          <w:rFonts w:hint="eastAsia"/>
          <w:lang w:val="en-US" w:eastAsia="zh-CN"/>
        </w:rPr>
        <w:t>（二）增加考量国内民事诉讼秩序</w:t>
      </w:r>
      <w:bookmarkEnd w:id="50"/>
      <w:bookmarkEnd w:id="51"/>
    </w:p>
    <w:p w14:paraId="3E8E0F0B">
      <w:pPr>
        <w:bidi w:val="0"/>
      </w:pPr>
      <w:r>
        <w:rPr>
          <w:rFonts w:hint="eastAsia"/>
        </w:rPr>
        <w:t>在标准必要专利案件中，适用禁诉令限制一方当事人行为的考量过程在国内诉讼程序中主要体现为法院管辖权的确定和平行诉讼的认定两个方面，同时也是法院适用禁诉令的前提条件。在满足前提条件后，还应对两诉的可能诉讼结果进行预判对比，作为法院决定是否适用禁诉令的考量因素。</w:t>
      </w:r>
    </w:p>
    <w:p w14:paraId="792BB8C3">
      <w:pPr>
        <w:pStyle w:val="4"/>
        <w:bidi w:val="0"/>
        <w:rPr>
          <w:lang w:val="en-US" w:eastAsia="zh-CN"/>
        </w:rPr>
      </w:pPr>
      <w:bookmarkStart w:id="52" w:name="_Toc29697"/>
      <w:bookmarkStart w:id="53" w:name="_Toc137325864"/>
      <w:r>
        <w:rPr>
          <w:rFonts w:hint="eastAsia"/>
          <w:lang w:val="en-US" w:eastAsia="zh-CN"/>
        </w:rPr>
        <w:t>1.以“更密切联系”原</w:t>
      </w:r>
      <w:r>
        <w:rPr>
          <w:lang w:val="en-US" w:eastAsia="zh-CN"/>
        </w:rPr>
        <w:t>则认定法院管辖权</w:t>
      </w:r>
      <w:bookmarkEnd w:id="52"/>
      <w:bookmarkEnd w:id="53"/>
    </w:p>
    <w:p w14:paraId="659BB704">
      <w:pPr>
        <w:bidi w:val="0"/>
      </w:pPr>
      <w:r>
        <w:rPr>
          <w:rFonts w:hint="eastAsia"/>
        </w:rPr>
        <w:t>在两国法院对标准必要专利纠纷均有权管辖的情况下，若两国之间签署过公约或条约，应首先依照公约或条约的规定对个案进行分析以确定管辖权之归属。若两国之间并未签署条约或条约中并无相关规定，则两国法院应在遵守国际礼让的前提下，妥善协商处理管辖权纠纷。当我国法院是管辖案件的适当法院时，不应以受理时间之先后来确定，而应以“更密切联系”原则来审查各国法院是否与案件具有实质上的联系。</w:t>
      </w:r>
    </w:p>
    <w:p w14:paraId="45DC6DA8">
      <w:pPr>
        <w:bidi w:val="0"/>
      </w:pPr>
      <w:r>
        <w:rPr>
          <w:rFonts w:hint="eastAsia"/>
        </w:rPr>
        <w:t>目前在审查管辖权的充分性和合法性时，涉外标准必要专利适用禁诉令采取了“最先受理法院”原则，但以最先受理法院原则作为法院管辖权依据的国家，仅涵盖布鲁塞尔体系内的一些欧盟国家。我国法律并无明确规定需要尊重他国法院对先诉案件的管辖权，同时仅根据受理顺序排除他国法院的管辖权是不适当的。采取“更密切联系”原则是基于案件事实、案件争议、谈判过程、侵权后果、行为地、结果地等多种因素的综合性考虑，它扩大了对此类争端的管辖权的连接因素，使我国法院能够更方便地发现和行使管辖权。</w:t>
      </w:r>
      <w:r>
        <w:rPr>
          <w:rStyle w:val="12"/>
          <w:rFonts w:hint="eastAsia"/>
        </w:rPr>
        <w:footnoteReference w:id="20"/>
      </w:r>
    </w:p>
    <w:p w14:paraId="51F49F48">
      <w:pPr>
        <w:bidi w:val="0"/>
      </w:pPr>
      <w:r>
        <w:rPr>
          <w:rFonts w:hint="eastAsia"/>
        </w:rPr>
        <w:t>适用“更密切联系”原则主要从两个方面进行，一是对涉案纠纷中涉及到的联系地点进行全面、综合的考量，并考量“联系”的质量问题；二是对所有可能存在密切联系的域内或域外法院进行全面审查。在实践中，首先，应尽可能全面列举案件中实际客观的连结点，最大限度避免主观因素的干扰；其次，依照比例原则评估涉及到的相关客观联系连结点的重要性，例如在“华为、中兴公司与无线星球、康文森公司”的上诉案中，华为提出其销售涉案标准必要专利产品总额的56%在中国市场，英国仅占1%，则显然中国法院有更密切的联系；最后，关注各个连结点在不同类型案件中的作用，例如在期望达成FRAND许可的案件中，应侧重保护当事人的正当诉求和尊重当事人的意思自治。</w:t>
      </w:r>
    </w:p>
    <w:p w14:paraId="5E4096EA">
      <w:pPr>
        <w:pStyle w:val="4"/>
        <w:bidi w:val="0"/>
        <w:rPr>
          <w:lang w:val="en-US" w:eastAsia="zh-CN"/>
        </w:rPr>
      </w:pPr>
      <w:bookmarkStart w:id="54" w:name="_Toc30551"/>
      <w:bookmarkStart w:id="55" w:name="_Toc137325865"/>
      <w:r>
        <w:rPr>
          <w:rFonts w:hint="eastAsia"/>
          <w:lang w:val="en-US" w:eastAsia="zh-CN"/>
        </w:rPr>
        <w:t>2.</w:t>
      </w:r>
      <w:r>
        <w:rPr>
          <w:lang w:val="en-US" w:eastAsia="zh-CN"/>
        </w:rPr>
        <w:t>以</w:t>
      </w:r>
      <w:r>
        <w:rPr>
          <w:rFonts w:hint="eastAsia"/>
          <w:lang w:val="en-US" w:eastAsia="zh-CN"/>
        </w:rPr>
        <w:t>“实质性标准”认定两诉</w:t>
      </w:r>
      <w:r>
        <w:rPr>
          <w:lang w:val="en-US" w:eastAsia="zh-CN"/>
        </w:rPr>
        <w:t>当事人和诉讼标的同一</w:t>
      </w:r>
      <w:bookmarkEnd w:id="54"/>
      <w:bookmarkEnd w:id="55"/>
    </w:p>
    <w:p w14:paraId="07011B7C">
      <w:pPr>
        <w:bidi w:val="0"/>
      </w:pPr>
      <w:r>
        <w:rPr>
          <w:rFonts w:hint="eastAsia"/>
        </w:rPr>
        <w:t>国际平行诉讼的存在是法院适用禁诉令的前提条件之一。尽管国际平行诉讼尚不是一个严谨的概念，但已频频被用来指代两个或多个民事诉讼案件之间具有密切的联系。但结合普通法系国家和我国禁诉令的实践来看，主要可以从当事人与诉讼标的两个方面来判断。</w:t>
      </w:r>
    </w:p>
    <w:p w14:paraId="71D54943">
      <w:pPr>
        <w:bidi w:val="0"/>
        <w:rPr>
          <w:lang w:val="en-US" w:eastAsia="zh-CN"/>
        </w:rPr>
      </w:pPr>
      <w:r>
        <w:rPr>
          <w:rFonts w:hint="eastAsia"/>
          <w:lang w:val="en-US" w:eastAsia="zh-CN"/>
        </w:rPr>
        <w:t>法院应以“实质性标准”穿透双方当事人可能存在的母子、总分公司关系，举证认定两诉当事人的同一。</w:t>
      </w:r>
      <w:r>
        <w:rPr>
          <w:lang w:val="en-US" w:eastAsia="zh-CN"/>
        </w:rPr>
        <w:t>标准必要专利纠纷案件的当事方大多为在世界范围内有一定话语权的巨头企业</w:t>
      </w:r>
      <w:r>
        <w:rPr>
          <w:rFonts w:hint="eastAsia"/>
          <w:lang w:val="en-US" w:eastAsia="zh-CN"/>
        </w:rPr>
        <w:t>，其子公司或分公司遍布全球，如果仅从形式上看，在不同国家的诉讼涉及对应的子公司或分公司，确实无法认定当事人的同一性，不能构成国际平行诉讼。但如果穿透来看，不同国家的子公司或分公司高度服从其母公司或总公司的指令，与其母公司或总公司的利益在根本上保持一致，并且标准必要专利领域的纠纷均是关于</w:t>
      </w:r>
      <w:r>
        <w:rPr>
          <w:lang w:val="en-US" w:eastAsia="zh-CN"/>
        </w:rPr>
        <w:t>FRAND</w:t>
      </w:r>
      <w:r>
        <w:rPr>
          <w:rFonts w:hint="eastAsia"/>
          <w:lang w:val="en-US" w:eastAsia="zh-CN"/>
        </w:rPr>
        <w:t>许可费率或围绕许可费率而生的侵权纠纷，因而可以认定两诉的当事人实质相同。但毕竟存在形式上的不同，故法院应对相关当事人方的母子公司或总分公司之间的关联程度进行解释说明，并给出具体证明，消除含糊。</w:t>
      </w:r>
    </w:p>
    <w:p w14:paraId="43B06AB9">
      <w:pPr>
        <w:bidi w:val="0"/>
      </w:pPr>
      <w:r>
        <w:rPr>
          <w:rFonts w:hint="eastAsia"/>
        </w:rPr>
        <w:t>法院应以“实质性标准”灵活认定诉讼标的的同一。发生在不同国家的标准必要专利诉讼案件受到不同法域法院的管辖，涉及到不同国家法律对诉讼标的的界定。因此，在适用禁诉令的实践中，需要适当缩小或扩大诉讼标的的范围。在既往的案例中，可以发现在中国与外国同时平行进行的案件尽管其审理对象在形式上没有完全相同，但实质上却存在着紧密联系。如诉讼当事人先在本国法院发起关于标准必要专利的侵权诉讼，这在民事上属于侵权责任纠纷，而前诉的另一当事人又在国外法院就标准必要专利的许可费问题发起诉讼，这在民事上又属于是合同争议纠纷。尽管在国内的侵权之诉与国外的违约之诉以通常理解来看其诉讼标的必然不同，但在标准必要专利纠纷这个特殊的情景下，其诉讼目标均在于</w:t>
      </w:r>
      <w:r>
        <w:t>FRAND</w:t>
      </w:r>
      <w:r>
        <w:rPr>
          <w:rFonts w:hint="eastAsia"/>
        </w:rPr>
        <w:t>许可费率之争，可灵活认定为具有相同诉讼标的的国际平行诉讼。</w:t>
      </w:r>
    </w:p>
    <w:p w14:paraId="2A7CA4F1">
      <w:pPr>
        <w:pStyle w:val="4"/>
        <w:bidi w:val="0"/>
        <w:rPr>
          <w:lang w:val="en-US" w:eastAsia="zh-CN"/>
        </w:rPr>
      </w:pPr>
      <w:bookmarkStart w:id="56" w:name="_Toc16538"/>
      <w:bookmarkStart w:id="57" w:name="_Toc137325866"/>
      <w:r>
        <w:rPr>
          <w:rFonts w:hint="eastAsia"/>
          <w:lang w:val="en-US" w:eastAsia="zh-CN"/>
        </w:rPr>
        <w:t>3.</w:t>
      </w:r>
      <w:r>
        <w:rPr>
          <w:lang w:val="en-US" w:eastAsia="zh-CN"/>
        </w:rPr>
        <w:t>增加两诉</w:t>
      </w:r>
      <w:r>
        <w:rPr>
          <w:rFonts w:hint="eastAsia"/>
          <w:lang w:val="en-US" w:eastAsia="zh-CN"/>
        </w:rPr>
        <w:t>“</w:t>
      </w:r>
      <w:r>
        <w:rPr>
          <w:lang w:val="en-US" w:eastAsia="zh-CN"/>
        </w:rPr>
        <w:t>结果关联性</w:t>
      </w:r>
      <w:r>
        <w:rPr>
          <w:rFonts w:hint="eastAsia"/>
          <w:lang w:val="en-US" w:eastAsia="zh-CN"/>
        </w:rPr>
        <w:t>”</w:t>
      </w:r>
      <w:r>
        <w:rPr>
          <w:lang w:val="en-US" w:eastAsia="zh-CN"/>
        </w:rPr>
        <w:t>作为考量因素</w:t>
      </w:r>
      <w:bookmarkEnd w:id="56"/>
      <w:bookmarkEnd w:id="57"/>
    </w:p>
    <w:p w14:paraId="7F7F1BE6">
      <w:pPr>
        <w:bidi w:val="0"/>
      </w:pPr>
      <w:r>
        <w:rPr>
          <w:rFonts w:hint="eastAsia"/>
        </w:rPr>
        <w:t>两诉的“结果关联性”是法院适用禁诉令的决定性因素，应当增加进入禁诉令适用标准的考量因素。两诉结果的关联性是指国内诉讼与国外诉讼的判决结果是否会相互影响，存在贡献、阻碍和不一致三种情形。与没有具体量化的原则性标准和损益不易计算的标准必要专利商业市场不同，两诉的结果关联性属于法律事实的认定，法官有足够的专业沉淀和能力来作出令人信服的判断。从以往5起涉及标准必要专利纠纷的案件来看，法院均对两诉可能的判决结果是否互相影响以及如何影响进行了深入分析，当两诉可能的判决结果发生关联时，法院均适用了禁诉令裁定。因此，有必要将域外裁决对国内诉讼的影响纳入禁诉令适用标准的考量因素。</w:t>
      </w:r>
    </w:p>
    <w:p w14:paraId="7282FE84">
      <w:pPr>
        <w:pStyle w:val="3"/>
        <w:bidi w:val="0"/>
        <w:rPr>
          <w:lang w:val="en-US" w:eastAsia="zh-CN"/>
        </w:rPr>
      </w:pPr>
      <w:bookmarkStart w:id="58" w:name="_Toc20144"/>
      <w:bookmarkStart w:id="59" w:name="_Toc137325867"/>
      <w:r>
        <w:rPr>
          <w:rFonts w:hint="eastAsia"/>
          <w:lang w:val="en-US" w:eastAsia="zh-CN"/>
        </w:rPr>
        <w:t>（三）扩充</w:t>
      </w:r>
      <w:r>
        <w:rPr>
          <w:lang w:val="en-US" w:eastAsia="zh-CN"/>
        </w:rPr>
        <w:t>社会公共利益新内涵</w:t>
      </w:r>
      <w:bookmarkEnd w:id="58"/>
      <w:bookmarkEnd w:id="59"/>
    </w:p>
    <w:p w14:paraId="05B30F4A">
      <w:pPr>
        <w:bidi w:val="0"/>
        <w:rPr>
          <w:lang w:val="en-US" w:eastAsia="zh-CN"/>
        </w:rPr>
      </w:pPr>
      <w:r>
        <w:rPr>
          <w:rFonts w:hint="eastAsia"/>
          <w:lang w:val="en-US" w:eastAsia="zh-CN"/>
        </w:rPr>
        <w:t>在标准必要专利领域，法院应认清社会公共利益无法形成共识的现实，且超越了当事人私益衡量的范畴。为避免滥用禁诉令，引起管辖权的激烈冲突，各学者在本国实践的经验上，希望通过类型化案件处理的方式引导法院的审判方向。例如，仲裁协议案件或者选择法院协议案件，法院签发禁诉令已得到了国际界的普遍认可，尽管在这其中更多的不是国家利益的竞争而是私人利益的对抗。但是，在标准必要专利案件的纠纷中，技术先进与技术不先进的国家间以及支持高专利许可费率与不支持的国家间，难以有类似对于仲裁的支持那样的全球共识。然而，尽管达不成共识，也不能避免有些国家为了本国的利益签发禁诉令，或许此举会遭到他国反禁诉令的反向限制。特别是，随着全球经济疲软带来的专利巨头营收下滑，越来越希望利用掌握的标准必要专利扩大优势，既能提高收入摆脱经济困境，也能从国家战略的角度，打压他国企业，遏制他国技术的崛起。比如出现在我国的多起涉及标准必要专利的“小米案”“康文森案”均突出体现了在无线通信领取专利技术知识产权的“卡脖子”问题。因此，对禁诉令适用标准中的社会公共利益这一因素，应高于当事人双方私人利益衡量之上。美国的“</w:t>
      </w:r>
      <w:r>
        <w:rPr>
          <w:lang w:val="en-US" w:eastAsia="zh-CN"/>
        </w:rPr>
        <w:t>eBay</w:t>
      </w:r>
      <w:r>
        <w:rPr>
          <w:rFonts w:hint="eastAsia"/>
          <w:lang w:val="en-US" w:eastAsia="zh-CN"/>
        </w:rPr>
        <w:t>四要素”之所以为之后的审判提供借鉴，一方面，其可以对专利权人和实施人间的利益进行平衡，另一方面是因为其能兼顾到了国家层面的社会公共利益。为在专利权人、专利实施人以及社会公众三者之间实现利益平衡，我国应在维护国家利益的基础上解释社会公共利益的新内涵。</w:t>
      </w:r>
    </w:p>
    <w:p w14:paraId="752C19C1">
      <w:pPr>
        <w:pStyle w:val="3"/>
        <w:bidi w:val="0"/>
        <w:rPr>
          <w:lang w:val="en-US" w:eastAsia="zh-CN"/>
        </w:rPr>
      </w:pPr>
      <w:bookmarkStart w:id="60" w:name="_Toc31678"/>
      <w:bookmarkStart w:id="61" w:name="_Toc137325868"/>
      <w:r>
        <w:rPr>
          <w:rFonts w:hint="eastAsia"/>
          <w:lang w:val="en-US" w:eastAsia="zh-CN"/>
        </w:rPr>
        <w:t>（四）</w:t>
      </w:r>
      <w:r>
        <w:rPr>
          <w:lang w:val="en-US" w:eastAsia="zh-CN"/>
        </w:rPr>
        <w:t>补充考量当事人主观状态</w:t>
      </w:r>
      <w:bookmarkEnd w:id="60"/>
      <w:bookmarkEnd w:id="61"/>
    </w:p>
    <w:p w14:paraId="50D5E469">
      <w:pPr>
        <w:bidi w:val="0"/>
      </w:pPr>
      <w:r>
        <w:rPr>
          <w:rFonts w:hint="eastAsia"/>
        </w:rPr>
        <w:t>在标准必要专利国际诉讼中，当事人是否善意、是否遵守诚信原则主要体现在双方就标准必要专利许可费展开谈判和参与诉讼程序的行为上。</w:t>
      </w:r>
    </w:p>
    <w:p w14:paraId="56A6B316">
      <w:pPr>
        <w:bidi w:val="0"/>
        <w:rPr>
          <w:lang w:val="en-US" w:eastAsia="zh-CN"/>
        </w:rPr>
      </w:pPr>
      <w:r>
        <w:rPr>
          <w:rFonts w:hint="eastAsia"/>
          <w:lang w:val="en-US" w:eastAsia="zh-CN"/>
        </w:rPr>
        <w:t>就标准必要专利许可谈判中的行为而言，欧洲联盟法院在“华为公司与中兴公司案”中的论述具有参考意义，在此案裁判文书中，欧洲联盟法院提出了签发禁诉令的分步要求：（1）在提起诉讼之前，权利人首先应指明专利并说明其被侵犯的方式，由此来引起侵权人对被控的侵权行为的注意；（2）在侵权人明确表示愿意按照FRAND条款签订许可协议后，向该侵权人提出符合FRAND条款的具体书面的提议，特别是要说明许可使用费及计算方式。（3）如果被控侵权人不接受向其提出的要约，则应当及时以书面形式向有关标准必要专利权利人提交符合FRAND条款的具体反要约；（4）</w:t>
      </w:r>
      <w:r>
        <w:rPr>
          <w:lang w:val="en-US" w:eastAsia="zh-CN"/>
        </w:rPr>
        <w:t>如果被控侵权人提出反要约后，</w:t>
      </w:r>
      <w:r>
        <w:rPr>
          <w:rFonts w:hint="eastAsia"/>
          <w:lang w:val="en-US" w:eastAsia="zh-CN"/>
        </w:rPr>
        <w:t>没有根据</w:t>
      </w:r>
      <w:r>
        <w:rPr>
          <w:lang w:val="en-US" w:eastAsia="zh-CN"/>
        </w:rPr>
        <w:t>FRAND</w:t>
      </w:r>
      <w:r>
        <w:rPr>
          <w:rFonts w:hint="eastAsia"/>
          <w:lang w:val="en-US" w:eastAsia="zh-CN"/>
        </w:rPr>
        <w:t>条款当中的内容达成某种协议，那么两方当事人可以借助共同协议，请独立的第三方当事人</w:t>
      </w:r>
      <w:r>
        <w:rPr>
          <w:lang w:val="en-US" w:eastAsia="zh-CN"/>
        </w:rPr>
        <w:t>立即地决定许可使用费的金额。（5）如果被指控的侵权者在进行与授予许可有关的谈判的同时，对这些专利的有效性、所包含的标准的基本性质、实际使用提出质疑或保留提出质疑的权利，其不能因此受到批评。</w:t>
      </w:r>
      <w:r>
        <w:rPr>
          <w:rStyle w:val="12"/>
          <w:rFonts w:ascii="Times New Roman" w:hAnsi="Times New Roman" w:eastAsia="宋体" w:cs="Times New Roman"/>
          <w:kern w:val="2"/>
          <w:szCs w:val="21"/>
          <w:lang w:val="en-US" w:eastAsia="zh-CN" w:bidi="ar-SA"/>
        </w:rPr>
        <w:footnoteReference w:id="21"/>
      </w:r>
    </w:p>
    <w:p w14:paraId="3A923D7B">
      <w:pPr>
        <w:bidi w:val="0"/>
      </w:pPr>
      <w:r>
        <w:rPr>
          <w:rFonts w:hint="eastAsia"/>
        </w:rPr>
        <w:t>就诉讼程序行为而言，法院可通过对当事人是否存在滥诉和利益平衡进行分析，来判断申请人和被申请人的主观意图。在早期，英美一些法院在判定当事人滥用诉讼程序时，注重考虑域外诉讼发起人的主观状态。若认为域外诉讼发起人系恶意提起诉讼，或以欺诈方式发起诉讼，以致使对方当事人陷入重度困境的，则构成一方对另一方的困扰和压制，属于当事人滥用诉讼程序。我国法院虽在实践中并没有使用英美法院使用的困扰与压迫等词语，但也根据</w:t>
      </w:r>
      <w:r>
        <w:t>《知识产权行为保全规定》第7条之规定，在适用禁诉令的过程对比衡量了双方当事人在两诉中的利益优势。</w:t>
      </w:r>
    </w:p>
    <w:p w14:paraId="25210B4D">
      <w:pPr>
        <w:bidi w:val="0"/>
        <w:rPr>
          <w:lang w:val="en-US" w:eastAsia="zh-CN"/>
        </w:rPr>
      </w:pPr>
      <w:r>
        <w:rPr>
          <w:rFonts w:hint="eastAsia"/>
          <w:lang w:val="en-US" w:eastAsia="zh-CN"/>
        </w:rPr>
        <w:t>构成滥诉诉讼程序，对对方造成困扰和压制的典型表现是一方当事人在国外法院提起平行诉讼，而此诉讼胜诉的可能性很小。此种做法是为了提高对方诉讼当事人的成本，妨碍本国正常进行的诉讼程序，从而达到胁迫和困扰另一当事人的目的。由于标准必要专利许可的全球特性，专利持有人在全球多个国家向专利实施人提起诉讼，以获取更大的商业优势，这属于商业公司追逐利润最大化的必然选择，不能一概认定为滥诉行为。比如在“TCL诉爱立信”一案中，美国加州法院表示，两方当事人的争议焦点是如何处理标准必要专利中的全球许可费。故TCL在多国发起多个诉讼并无必要，于是适用禁诉令禁止TCL在美国以外的国家法院就该纠纷继续进行诉讼。该案中，美国法院实质认为，TCL提起重复诉讼的行为造成了对爱立信的困扰和胁迫。但在“苹果诉高通”一案中，原告不仅在美国对高通公司提起诉讼，同时还在英国、日本等多个国家以类似诉由发起诉讼，但美国加州法院却拒绝适用禁诉令。其认为美国诉讼的结果无法妥善解决外国的所有争议，苹果公司拥有在不同国家分别起诉分别维护自身利益的权利。此案表明，若诉由存在实质差异，即使在多国同时提起标准必要专利诉讼，也难以认定构成滥诉。因此，基于各国法律之间的差异，赋予了诉讼当事人不同的实体或程序利益优势。当事人为了追求最有利于自己的结果，在全球选择最合适的法院发起平行诉讼，如果不存在相反的国际条约限制，不能简单地被认定为构成对一方当事人的困扰与压制，而应根据个案的具体情况，具体分析认定。</w:t>
      </w:r>
    </w:p>
    <w:p w14:paraId="74516908">
      <w:pPr>
        <w:bidi w:val="0"/>
        <w:rPr>
          <w:rFonts w:hint="default"/>
          <w:lang w:val="en-US" w:eastAsia="zh-CN"/>
        </w:rPr>
      </w:pPr>
      <w:r>
        <w:rPr>
          <w:rFonts w:hint="eastAsia"/>
        </w:rPr>
        <w:t>对双方在两诉中的利益进行衡量比较分析也是确定当事人主观状态的路径之一。如我国最高院在“华为与康文森”一案中，认定华为公司有可能慑于德国诉讼的结果，不得不接受康森公司提出的极不合理的标准必要专利许可费，并被迫放弃在中国获得法律救济的机会。最高院在此案中对双方当事人在各国的利益优势分析与英美法系中判断困扰与压制的规则十分类似，从当事人利益的角度出发判断外国诉讼程序是否会对本国审理程序造成干扰或妨碍，进而评价当事人的主观意图。</w:t>
      </w:r>
    </w:p>
    <w:sectPr>
      <w:headerReference r:id="rId5" w:type="default"/>
      <w:footerReference r:id="rId6" w:type="default"/>
      <w:footnotePr>
        <w:numFmt w:val="decimalEnclosedCircleChinese"/>
        <w:numRestart w:val="eachPage"/>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07FF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4">
    <w:p>
      <w:pPr>
        <w:spacing w:line="300" w:lineRule="auto"/>
        <w:ind w:firstLine="420"/>
      </w:pPr>
      <w:r>
        <w:separator/>
      </w:r>
    </w:p>
  </w:footnote>
  <w:footnote w:type="continuationSeparator" w:id="45">
    <w:p>
      <w:pPr>
        <w:spacing w:line="300" w:lineRule="auto"/>
        <w:ind w:firstLine="420"/>
      </w:pPr>
      <w:r>
        <w:continuationSeparator/>
      </w:r>
    </w:p>
  </w:footnote>
  <w:footnote w:id="0">
    <w:p w14:paraId="71825B82">
      <w:pPr>
        <w:pStyle w:val="8"/>
        <w:bidi w:val="0"/>
        <w:rPr>
          <w:vertAlign w:val="baseline"/>
        </w:rPr>
      </w:pPr>
      <w:r>
        <w:rPr>
          <w:rStyle w:val="12"/>
          <w:vertAlign w:val="baseline"/>
        </w:rPr>
        <w:footnoteRef/>
      </w:r>
      <w:r>
        <w:rPr>
          <w:vertAlign w:val="baseline"/>
        </w:rPr>
        <w:t xml:space="preserve"> </w:t>
      </w:r>
      <w:r>
        <w:rPr>
          <w:rFonts w:hint="eastAsia"/>
          <w:vertAlign w:val="baseline"/>
          <w:lang w:val="en-US" w:eastAsia="zh-CN"/>
        </w:rPr>
        <w:t>参见</w:t>
      </w:r>
      <w:r>
        <w:rPr>
          <w:rFonts w:hint="eastAsia"/>
          <w:vertAlign w:val="baseline"/>
        </w:rPr>
        <w:t>冯晓青、刘友华：《专利法》，法律出版社2010年版，第8页。</w:t>
      </w:r>
    </w:p>
  </w:footnote>
  <w:footnote w:id="1">
    <w:p w14:paraId="65EA8856">
      <w:pPr>
        <w:pStyle w:val="8"/>
        <w:bidi w:val="0"/>
        <w:rPr>
          <w:vertAlign w:val="baseline"/>
        </w:rPr>
      </w:pPr>
      <w:r>
        <w:rPr>
          <w:rStyle w:val="12"/>
          <w:vertAlign w:val="baseline"/>
        </w:rPr>
        <w:footnoteRef/>
      </w:r>
      <w:r>
        <w:rPr>
          <w:vertAlign w:val="baseline"/>
        </w:rPr>
        <w:t xml:space="preserve"> </w:t>
      </w:r>
      <w:r>
        <w:rPr>
          <w:rFonts w:hint="eastAsia"/>
          <w:vertAlign w:val="baseline"/>
        </w:rPr>
        <w:t>国家知识产权局专利局专利审查协作江苏中心：《标准与标准必要专利研究》，知识产权出版社2019年版，第1页。</w:t>
      </w:r>
    </w:p>
  </w:footnote>
  <w:footnote w:id="2">
    <w:p w14:paraId="7EEB63E9">
      <w:pPr>
        <w:pStyle w:val="8"/>
        <w:bidi w:val="0"/>
        <w:rPr>
          <w:rFonts w:hint="eastAsia"/>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参见欧福永：《论禁诉令在解决中国内地与香港民商事管辖权积极冲突中的运用》，载《时代法学》2009年第4期。</w:t>
      </w:r>
    </w:p>
  </w:footnote>
  <w:footnote w:id="3">
    <w:p w14:paraId="3BBC368F">
      <w:pPr>
        <w:pStyle w:val="8"/>
        <w:bidi w:val="0"/>
        <w:rPr>
          <w:vertAlign w:val="baseline"/>
        </w:rPr>
      </w:pPr>
      <w:r>
        <w:rPr>
          <w:rStyle w:val="12"/>
          <w:vertAlign w:val="baseline"/>
        </w:rPr>
        <w:footnoteRef/>
      </w:r>
      <w:r>
        <w:rPr>
          <w:vertAlign w:val="baseline"/>
        </w:rPr>
        <w:t xml:space="preserve"> </w:t>
      </w:r>
      <w:r>
        <w:rPr>
          <w:rFonts w:hint="eastAsia"/>
          <w:vertAlign w:val="baseline"/>
          <w:lang w:val="en-US" w:eastAsia="zh-CN"/>
        </w:rPr>
        <w:t>参见</w:t>
      </w:r>
      <w:r>
        <w:rPr>
          <w:rFonts w:hint="eastAsia"/>
          <w:vertAlign w:val="baseline"/>
        </w:rPr>
        <w:t>朱庆育：《民法总论》，北京大学出版社2016年版，第560页。</w:t>
      </w:r>
    </w:p>
  </w:footnote>
  <w:footnote w:id="4">
    <w:p w14:paraId="1C4FFAAD">
      <w:pPr>
        <w:pStyle w:val="8"/>
        <w:bidi w:val="0"/>
        <w:rPr>
          <w:vertAlign w:val="baseline"/>
        </w:rPr>
      </w:pPr>
      <w:r>
        <w:rPr>
          <w:rStyle w:val="12"/>
          <w:vertAlign w:val="baseline"/>
        </w:rPr>
        <w:footnoteRef/>
      </w:r>
      <w:r>
        <w:rPr>
          <w:vertAlign w:val="baseline"/>
        </w:rPr>
        <w:t xml:space="preserve"> </w:t>
      </w:r>
      <w:r>
        <w:rPr>
          <w:rFonts w:hint="eastAsia"/>
          <w:vertAlign w:val="baseline"/>
          <w:lang w:val="en-US" w:eastAsia="zh-CN"/>
        </w:rPr>
        <w:t xml:space="preserve">See </w:t>
      </w:r>
      <w:r>
        <w:rPr>
          <w:rFonts w:hint="eastAsia"/>
          <w:vertAlign w:val="baseline"/>
        </w:rPr>
        <w:t>Sam Wordsworth, Jurisdiction and Arbitration Agreements and Their Enforcement, Arbitration International, Vol. 32:4, p.699</w:t>
      </w:r>
      <w:r>
        <w:rPr>
          <w:rFonts w:hint="eastAsia"/>
          <w:vertAlign w:val="baseline"/>
          <w:lang w:val="en-US" w:eastAsia="zh-CN"/>
        </w:rPr>
        <w:t>-</w:t>
      </w:r>
      <w:r>
        <w:rPr>
          <w:rFonts w:hint="eastAsia"/>
          <w:vertAlign w:val="baseline"/>
        </w:rPr>
        <w:t>702 (2016).</w:t>
      </w:r>
    </w:p>
  </w:footnote>
  <w:footnote w:id="5">
    <w:p w14:paraId="6779CF31">
      <w:pPr>
        <w:pStyle w:val="8"/>
        <w:bidi w:val="0"/>
        <w:rPr>
          <w:vertAlign w:val="baseline"/>
        </w:rPr>
      </w:pPr>
      <w:r>
        <w:rPr>
          <w:rStyle w:val="12"/>
          <w:vertAlign w:val="baseline"/>
        </w:rPr>
        <w:footnoteRef/>
      </w:r>
      <w:r>
        <w:rPr>
          <w:vertAlign w:val="baseline"/>
        </w:rPr>
        <w:t xml:space="preserve"> </w:t>
      </w:r>
      <w:r>
        <w:rPr>
          <w:rFonts w:hint="eastAsia"/>
          <w:vertAlign w:val="baseline"/>
          <w:lang w:val="en-US" w:eastAsia="zh-CN"/>
        </w:rPr>
        <w:t>参见</w:t>
      </w:r>
      <w:r>
        <w:rPr>
          <w:rFonts w:hint="eastAsia"/>
          <w:vertAlign w:val="baseline"/>
        </w:rPr>
        <w:t>[德]阿瑟·冯迈伦：《国际私法中的司法管辖权之比较研究》，李晶译，法律出版社2015年版，第133-135页。</w:t>
      </w:r>
    </w:p>
  </w:footnote>
  <w:footnote w:id="6">
    <w:p w14:paraId="52DB0964">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See Damien Geradin &amp; Dimitrios Katsifis, The Use and Abuse of Anti-Suit Injunctions in SEP Litigation: Is There a Way Forward?, GRUR International, Vol.71:7, p.603-617 (2022).</w:t>
      </w:r>
    </w:p>
  </w:footnote>
  <w:footnote w:id="7">
    <w:p w14:paraId="6ED9D734">
      <w:pPr>
        <w:pStyle w:val="8"/>
        <w:bidi w:val="0"/>
        <w:rPr>
          <w:vertAlign w:val="baseline"/>
          <w:lang w:val="en-US" w:eastAsia="zh-CN"/>
        </w:rPr>
      </w:pPr>
      <w:r>
        <w:rPr>
          <w:vertAlign w:val="baseline"/>
          <w:lang w:val="en-US" w:eastAsia="zh-CN"/>
        </w:rPr>
        <w:footnoteRef/>
      </w:r>
      <w:r>
        <w:rPr>
          <w:rFonts w:hint="eastAsia"/>
          <w:vertAlign w:val="baseline"/>
          <w:lang w:val="en-US" w:eastAsia="zh-CN"/>
        </w:rPr>
        <w:t xml:space="preserve"> See Société Nationale Industrielle Aérospatiale v (1) Lee Kui Jak (2) Yong Joon Kim and (3) Lee Kui Jak [1987] 1 AC 871 (P.C.).</w:t>
      </w:r>
    </w:p>
  </w:footnote>
  <w:footnote w:id="8">
    <w:p w14:paraId="03F55E65">
      <w:pPr>
        <w:pStyle w:val="8"/>
        <w:bidi w:val="0"/>
        <w:rPr>
          <w:rFonts w:hint="eastAsia"/>
          <w:vertAlign w:val="baseline"/>
          <w:lang w:val="en-US" w:eastAsia="zh-CN"/>
        </w:rPr>
      </w:pPr>
      <w:r>
        <w:rPr>
          <w:vertAlign w:val="baseline"/>
          <w:lang w:val="en-US" w:eastAsia="zh-CN"/>
        </w:rPr>
        <w:footnoteRef/>
      </w:r>
      <w:r>
        <w:rPr>
          <w:vertAlign w:val="baseline"/>
          <w:lang w:val="en-US" w:eastAsia="zh-CN"/>
        </w:rPr>
        <w:t xml:space="preserve"> </w:t>
      </w:r>
      <w:r>
        <w:rPr>
          <w:rFonts w:hint="eastAsia"/>
          <w:vertAlign w:val="baseline"/>
          <w:lang w:val="en-US" w:eastAsia="zh-CN"/>
        </w:rPr>
        <w:t>See Airbus Industrie GIE v Patel and Others [1999] 1 AC 119 (H.L.).</w:t>
      </w:r>
    </w:p>
  </w:footnote>
  <w:footnote w:id="9">
    <w:p w14:paraId="19A87ADB">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See Felix K. Hess, US Anti-Suit Injunctions and German Anti-Anti-Suit Injunctions in SEP Disputes, The Journal of World Intellectual Property, Vol. 25:2, p.536-555 (2022).</w:t>
      </w:r>
    </w:p>
  </w:footnote>
  <w:footnote w:id="10">
    <w:p w14:paraId="1CDD4134">
      <w:pPr>
        <w:pStyle w:val="8"/>
        <w:bidi w:val="0"/>
        <w:rPr>
          <w:vertAlign w:val="baseline"/>
          <w:lang w:val="en-US" w:eastAsia="zh-CN"/>
        </w:rPr>
      </w:pPr>
      <w:r>
        <w:rPr>
          <w:vertAlign w:val="baseline"/>
          <w:lang w:val="en-US" w:eastAsia="zh-CN"/>
        </w:rPr>
        <w:footnoteRef/>
      </w:r>
      <w:r>
        <w:rPr>
          <w:vertAlign w:val="baseline"/>
          <w:lang w:val="en-US" w:eastAsia="zh-CN"/>
        </w:rPr>
        <w:t xml:space="preserve"> </w:t>
      </w:r>
      <w:r>
        <w:rPr>
          <w:rFonts w:hint="eastAsia"/>
          <w:vertAlign w:val="baseline"/>
          <w:lang w:val="en-US" w:eastAsia="zh-CN"/>
        </w:rPr>
        <w:t>See Laker Airways Ltd. v. Sabena, Belgian World Airlines, 731 F.2d 909 (D.C. Cir. 1984).</w:t>
      </w:r>
    </w:p>
  </w:footnote>
  <w:footnote w:id="11">
    <w:p w14:paraId="159E78CF">
      <w:pPr>
        <w:pStyle w:val="8"/>
        <w:bidi w:val="0"/>
        <w:rPr>
          <w:vertAlign w:val="baseline"/>
          <w:lang w:val="en-US" w:eastAsia="zh-CN"/>
        </w:rPr>
      </w:pPr>
      <w:r>
        <w:rPr>
          <w:vertAlign w:val="baseline"/>
          <w:lang w:val="en-US" w:eastAsia="zh-CN"/>
        </w:rPr>
        <w:footnoteRef/>
      </w:r>
      <w:r>
        <w:rPr>
          <w:vertAlign w:val="baseline"/>
          <w:lang w:val="en-US" w:eastAsia="zh-CN"/>
        </w:rPr>
        <w:t xml:space="preserve"> </w:t>
      </w:r>
      <w:r>
        <w:rPr>
          <w:rFonts w:hint="eastAsia"/>
          <w:vertAlign w:val="baseline"/>
          <w:lang w:val="en-US" w:eastAsia="zh-CN"/>
        </w:rPr>
        <w:t>参见最高人民法院（2019）最高法知民终732号、（2019）最高法知民终733号、（2019）最高法知民终734号之二民事裁定书。</w:t>
      </w:r>
    </w:p>
  </w:footnote>
  <w:footnote w:id="12">
    <w:p w14:paraId="4DB3905B">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See Gilles Cuniberti, Lis Pendens in International Litigation, 2011 Journal du droit international (Clunet) No. 2 (April 2011).</w:t>
      </w:r>
    </w:p>
  </w:footnote>
  <w:footnote w:id="13">
    <w:p w14:paraId="4A55FAB7">
      <w:pPr>
        <w:pStyle w:val="8"/>
        <w:bidi w:val="0"/>
        <w:rPr>
          <w:rFonts w:hint="eastAsia"/>
          <w:vertAlign w:val="baseline"/>
          <w:lang w:val="en-US" w:eastAsia="zh-CN"/>
        </w:rPr>
      </w:pPr>
      <w:r>
        <w:rPr>
          <w:vertAlign w:val="baseline"/>
          <w:lang w:val="en-US" w:eastAsia="zh-CN"/>
        </w:rPr>
        <w:footnoteRef/>
      </w:r>
      <w:r>
        <w:rPr>
          <w:vertAlign w:val="baseline"/>
          <w:lang w:val="en-US" w:eastAsia="zh-CN"/>
        </w:rPr>
        <w:t xml:space="preserve"> </w:t>
      </w:r>
      <w:r>
        <w:rPr>
          <w:rFonts w:hint="eastAsia"/>
          <w:vertAlign w:val="baseline"/>
          <w:lang w:val="en-US" w:eastAsia="zh-CN"/>
        </w:rPr>
        <w:t>参见湖北省武汉市中级人民法院（2020）鄂01知民初169号之一民事裁定书。</w:t>
      </w:r>
    </w:p>
  </w:footnote>
  <w:footnote w:id="14">
    <w:p w14:paraId="023B52D8">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eastAsia="zh-CN"/>
        </w:rPr>
        <w:t>（</w:t>
      </w:r>
      <w:r>
        <w:rPr>
          <w:rFonts w:hint="eastAsia"/>
          <w:vertAlign w:val="baseline"/>
          <w:lang w:val="en-US" w:eastAsia="zh-CN"/>
        </w:rPr>
        <w:t>台）陈隆修：《中国思想下的全球化管辖规则》，五南图书出版股份有限公司2013年版，第304页。</w:t>
      </w:r>
    </w:p>
  </w:footnote>
  <w:footnote w:id="15">
    <w:p w14:paraId="4565D7A5">
      <w:pPr>
        <w:pStyle w:val="8"/>
        <w:bidi w:val="0"/>
        <w:rPr>
          <w:vertAlign w:val="baseline"/>
          <w:lang w:val="en-US" w:eastAsia="zh-CN"/>
        </w:rPr>
      </w:pPr>
      <w:r>
        <w:rPr>
          <w:vertAlign w:val="baseline"/>
          <w:lang w:val="en-US" w:eastAsia="zh-CN"/>
        </w:rPr>
        <w:footnoteRef/>
      </w:r>
      <w:r>
        <w:rPr>
          <w:vertAlign w:val="baseline"/>
          <w:lang w:val="en-US" w:eastAsia="zh-CN"/>
        </w:rPr>
        <w:t xml:space="preserve"> Societe Nationale Industrielle Aerospatiale v Lee Kui Jak, Yong Joon Kim and, Lee Kui Jak (F): PC 14 May 1987</w:t>
      </w:r>
      <w:r>
        <w:rPr>
          <w:rFonts w:hint="eastAsia"/>
          <w:vertAlign w:val="baseline"/>
          <w:lang w:val="en-US" w:eastAsia="zh-CN"/>
        </w:rPr>
        <w:t>.</w:t>
      </w:r>
    </w:p>
  </w:footnote>
  <w:footnote w:id="16">
    <w:p w14:paraId="553D6194">
      <w:pPr>
        <w:pStyle w:val="8"/>
        <w:bidi w:val="0"/>
        <w:rPr>
          <w:vertAlign w:val="baseline"/>
          <w:lang w:val="en-US" w:eastAsia="zh-CN"/>
        </w:rPr>
      </w:pPr>
      <w:r>
        <w:rPr>
          <w:vertAlign w:val="baseline"/>
          <w:lang w:val="en-US" w:eastAsia="zh-CN"/>
        </w:rPr>
        <w:footnoteRef/>
      </w:r>
      <w:r>
        <w:rPr>
          <w:vertAlign w:val="baseline"/>
          <w:lang w:val="en-US" w:eastAsia="zh-CN"/>
        </w:rPr>
        <w:t xml:space="preserve"> Quaak v. Klynveld Peat Marwick Goerdler Bedrijfsrevisoren, 361 F.3d 11 (1st Cir. 2004)</w:t>
      </w:r>
      <w:r>
        <w:rPr>
          <w:rFonts w:hint="eastAsia"/>
          <w:vertAlign w:val="baseline"/>
          <w:lang w:val="en-US" w:eastAsia="zh-CN"/>
        </w:rPr>
        <w:t>.</w:t>
      </w:r>
    </w:p>
  </w:footnote>
  <w:footnote w:id="17">
    <w:p w14:paraId="23A56F3D">
      <w:pPr>
        <w:pStyle w:val="8"/>
        <w:bidi w:val="0"/>
        <w:rPr>
          <w:vertAlign w:val="baseline"/>
          <w:lang w:val="en-US" w:eastAsia="zh-CN"/>
        </w:rPr>
      </w:pPr>
      <w:r>
        <w:rPr>
          <w:vertAlign w:val="baseline"/>
          <w:lang w:val="en-US" w:eastAsia="zh-CN"/>
        </w:rPr>
        <w:footnoteRef/>
      </w:r>
      <w:r>
        <w:rPr>
          <w:vertAlign w:val="baseline"/>
          <w:lang w:val="en-US" w:eastAsia="zh-CN"/>
        </w:rPr>
        <w:t xml:space="preserve"> </w:t>
      </w:r>
      <w:r>
        <w:rPr>
          <w:rFonts w:hint="eastAsia"/>
          <w:vertAlign w:val="baseline"/>
          <w:lang w:val="en-US" w:eastAsia="zh-CN"/>
        </w:rPr>
        <w:t>参考（</w:t>
      </w:r>
      <w:r>
        <w:rPr>
          <w:vertAlign w:val="baseline"/>
          <w:lang w:val="en-US" w:eastAsia="zh-CN"/>
        </w:rPr>
        <w:t>2019）最高法知民终 732、733、734 号之一民事裁定书</w:t>
      </w:r>
      <w:r>
        <w:rPr>
          <w:rFonts w:hint="eastAsia"/>
          <w:vertAlign w:val="baseline"/>
          <w:lang w:val="en-US" w:eastAsia="zh-CN"/>
        </w:rPr>
        <w:t>。</w:t>
      </w:r>
    </w:p>
  </w:footnote>
  <w:footnote w:id="18">
    <w:p w14:paraId="190110A3">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See J. Gregory Sidak, The Meaning of FRAND, Part II: Injunctions, Journal of Competition Law and Economics, Vol. 11:1, p.201-269 (2015).</w:t>
      </w:r>
    </w:p>
  </w:footnote>
  <w:footnote w:id="19">
    <w:p w14:paraId="2D60F660">
      <w:pPr>
        <w:pStyle w:val="8"/>
        <w:bidi w:val="0"/>
        <w:rPr>
          <w:vertAlign w:val="baseline"/>
          <w:lang w:val="en-US" w:eastAsia="zh-CN"/>
        </w:rPr>
      </w:pPr>
      <w:r>
        <w:rPr>
          <w:vertAlign w:val="baseline"/>
          <w:lang w:val="en-US" w:eastAsia="zh-CN"/>
        </w:rPr>
        <w:footnoteRef/>
      </w:r>
      <w:r>
        <w:rPr>
          <w:rFonts w:hint="eastAsia"/>
          <w:vertAlign w:val="baseline"/>
          <w:lang w:val="en-US" w:eastAsia="zh-CN"/>
        </w:rPr>
        <w:t xml:space="preserve"> </w:t>
      </w:r>
      <w:r>
        <w:rPr>
          <w:vertAlign w:val="baseline"/>
          <w:lang w:val="en-US" w:eastAsia="zh-CN"/>
        </w:rPr>
        <w:t>Amchem Products Incorporated v. British Columbia (Workers' Compensation Board), 1993 CanLII 124 (SCC), [1993] 1 SCR 897</w:t>
      </w:r>
      <w:r>
        <w:rPr>
          <w:rFonts w:hint="eastAsia"/>
          <w:vertAlign w:val="baseline"/>
          <w:lang w:val="en-US" w:eastAsia="zh-CN"/>
        </w:rPr>
        <w:t>.</w:t>
      </w:r>
    </w:p>
  </w:footnote>
  <w:footnote w:id="20">
    <w:p w14:paraId="5F3379E9">
      <w:pPr>
        <w:pStyle w:val="8"/>
        <w:bidi w:val="0"/>
        <w:rPr>
          <w:rFonts w:hint="eastAsia"/>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参见宁立志、龚涛：《标准必要专利全球费率裁判：实践、争议与对策》，载《北方法学》2022年第3期。</w:t>
      </w:r>
    </w:p>
  </w:footnote>
  <w:footnote w:id="21">
    <w:p w14:paraId="73D03388">
      <w:pPr>
        <w:pStyle w:val="8"/>
        <w:bidi w:val="0"/>
        <w:rPr>
          <w:rFonts w:hint="default"/>
          <w:vertAlign w:val="baseline"/>
          <w:lang w:val="en-US" w:eastAsia="zh-CN"/>
        </w:rPr>
      </w:pPr>
      <w:r>
        <w:rPr>
          <w:rStyle w:val="12"/>
          <w:vertAlign w:val="baseline"/>
        </w:rPr>
        <w:footnoteRef/>
      </w:r>
      <w:r>
        <w:rPr>
          <w:vertAlign w:val="baseline"/>
        </w:rPr>
        <w:t xml:space="preserve"> </w:t>
      </w:r>
      <w:r>
        <w:rPr>
          <w:rFonts w:hint="eastAsia"/>
          <w:vertAlign w:val="baseline"/>
          <w:lang w:val="en-US" w:eastAsia="zh-CN"/>
        </w:rPr>
        <w:t>See Nicholas Banasevic, The Implications of the Court of Justice’s Huawei/ZTE Judgment, Journal of European Competition Law &amp; Practice, Vol. 6:7, p.463-464 (2015).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9293">
    <w:pPr>
      <w:rPr>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44"/>
    <w:footnote w:id="45"/>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yNmY3YTllMWExZTU2NWQ4MjI5Y2ZkNjU4ZTExM2MifQ=="/>
  </w:docVars>
  <w:rsids>
    <w:rsidRoot w:val="E577A090"/>
    <w:rsid w:val="0079EDD8"/>
    <w:rsid w:val="03FFB62C"/>
    <w:rsid w:val="07BB076B"/>
    <w:rsid w:val="0AF296FE"/>
    <w:rsid w:val="0DFD7627"/>
    <w:rsid w:val="0F7F82E7"/>
    <w:rsid w:val="0FB6E893"/>
    <w:rsid w:val="0FDFF56E"/>
    <w:rsid w:val="0FEFD921"/>
    <w:rsid w:val="0FFBC378"/>
    <w:rsid w:val="11DEF69A"/>
    <w:rsid w:val="12D70AA2"/>
    <w:rsid w:val="15AFCBAA"/>
    <w:rsid w:val="15DD3E1E"/>
    <w:rsid w:val="16FBCAE3"/>
    <w:rsid w:val="17AF7182"/>
    <w:rsid w:val="17DF2318"/>
    <w:rsid w:val="17FCD038"/>
    <w:rsid w:val="17FD58AE"/>
    <w:rsid w:val="18243214"/>
    <w:rsid w:val="19C066D9"/>
    <w:rsid w:val="1A79BF73"/>
    <w:rsid w:val="1A7D8DCF"/>
    <w:rsid w:val="1B390C9D"/>
    <w:rsid w:val="1B6E1CBE"/>
    <w:rsid w:val="1B7F78A3"/>
    <w:rsid w:val="1BBF4856"/>
    <w:rsid w:val="1BD5C5E4"/>
    <w:rsid w:val="1BE8D392"/>
    <w:rsid w:val="1C597851"/>
    <w:rsid w:val="1DE7AC7C"/>
    <w:rsid w:val="1EB33B39"/>
    <w:rsid w:val="1EB76DFD"/>
    <w:rsid w:val="1EBB49B9"/>
    <w:rsid w:val="1EBF0AC5"/>
    <w:rsid w:val="1EFA159D"/>
    <w:rsid w:val="1EFFCBA6"/>
    <w:rsid w:val="1F3E37FE"/>
    <w:rsid w:val="1F4329F3"/>
    <w:rsid w:val="1F539920"/>
    <w:rsid w:val="1F5F8316"/>
    <w:rsid w:val="1F76AB58"/>
    <w:rsid w:val="1F7B8B5F"/>
    <w:rsid w:val="1F9E36D2"/>
    <w:rsid w:val="1FBAC022"/>
    <w:rsid w:val="1FBDC65D"/>
    <w:rsid w:val="1FC7F151"/>
    <w:rsid w:val="1FC7FFD9"/>
    <w:rsid w:val="1FCE2995"/>
    <w:rsid w:val="1FDF8D10"/>
    <w:rsid w:val="1FDFE1A1"/>
    <w:rsid w:val="1FEA36CA"/>
    <w:rsid w:val="1FEB75D9"/>
    <w:rsid w:val="1FF57B6B"/>
    <w:rsid w:val="1FF9C665"/>
    <w:rsid w:val="1FFFED3C"/>
    <w:rsid w:val="22FFFFAA"/>
    <w:rsid w:val="26CE3E1E"/>
    <w:rsid w:val="26FC830E"/>
    <w:rsid w:val="26FFE4BC"/>
    <w:rsid w:val="271FF759"/>
    <w:rsid w:val="279F9B79"/>
    <w:rsid w:val="27AB2154"/>
    <w:rsid w:val="27AFBA4D"/>
    <w:rsid w:val="27F13F23"/>
    <w:rsid w:val="27F351E3"/>
    <w:rsid w:val="27FBEBAB"/>
    <w:rsid w:val="27FD26FE"/>
    <w:rsid w:val="29F6989C"/>
    <w:rsid w:val="29FFFAF2"/>
    <w:rsid w:val="2A7D37A8"/>
    <w:rsid w:val="2ADECA6A"/>
    <w:rsid w:val="2B5C54A9"/>
    <w:rsid w:val="2B7FD9C1"/>
    <w:rsid w:val="2BBB44F1"/>
    <w:rsid w:val="2BDE5F00"/>
    <w:rsid w:val="2C1DB4BE"/>
    <w:rsid w:val="2CAFAE5C"/>
    <w:rsid w:val="2DE795F9"/>
    <w:rsid w:val="2DED05A7"/>
    <w:rsid w:val="2DF75D96"/>
    <w:rsid w:val="2DFFAFE9"/>
    <w:rsid w:val="2EB909AC"/>
    <w:rsid w:val="2EF3562F"/>
    <w:rsid w:val="2EFF9AD1"/>
    <w:rsid w:val="2EFF9D58"/>
    <w:rsid w:val="2EFFEBB2"/>
    <w:rsid w:val="2EFFEF56"/>
    <w:rsid w:val="2F56E268"/>
    <w:rsid w:val="2F589353"/>
    <w:rsid w:val="2F63C2E8"/>
    <w:rsid w:val="2F67FEB5"/>
    <w:rsid w:val="2F7D72A6"/>
    <w:rsid w:val="2FA78697"/>
    <w:rsid w:val="2FDFE6FE"/>
    <w:rsid w:val="2FEEC698"/>
    <w:rsid w:val="2FF4D187"/>
    <w:rsid w:val="2FFBBBF6"/>
    <w:rsid w:val="2FFBDCD1"/>
    <w:rsid w:val="2FFEF41F"/>
    <w:rsid w:val="2FFF10BA"/>
    <w:rsid w:val="312BA3BA"/>
    <w:rsid w:val="325C0438"/>
    <w:rsid w:val="32FC30D1"/>
    <w:rsid w:val="32FE1809"/>
    <w:rsid w:val="33BDB7D5"/>
    <w:rsid w:val="33D4CE9B"/>
    <w:rsid w:val="33FED4D2"/>
    <w:rsid w:val="34DE0F86"/>
    <w:rsid w:val="34FE88A1"/>
    <w:rsid w:val="356D1AD7"/>
    <w:rsid w:val="35ED2DD5"/>
    <w:rsid w:val="35FE486E"/>
    <w:rsid w:val="35FE5AE8"/>
    <w:rsid w:val="36B7E9B3"/>
    <w:rsid w:val="36CFE71D"/>
    <w:rsid w:val="36DE7042"/>
    <w:rsid w:val="36DF92DD"/>
    <w:rsid w:val="36EFC849"/>
    <w:rsid w:val="36FF5D86"/>
    <w:rsid w:val="375AF1FD"/>
    <w:rsid w:val="377EAEB5"/>
    <w:rsid w:val="377F5FA0"/>
    <w:rsid w:val="37B187CB"/>
    <w:rsid w:val="37BE1E2D"/>
    <w:rsid w:val="37BF125F"/>
    <w:rsid w:val="37BF6742"/>
    <w:rsid w:val="37BFAC9B"/>
    <w:rsid w:val="37CF9C28"/>
    <w:rsid w:val="37DFE7E0"/>
    <w:rsid w:val="37EFD717"/>
    <w:rsid w:val="37F777F0"/>
    <w:rsid w:val="37FB85D0"/>
    <w:rsid w:val="37FD0182"/>
    <w:rsid w:val="37FF1815"/>
    <w:rsid w:val="37FF5715"/>
    <w:rsid w:val="37FF6BF3"/>
    <w:rsid w:val="37FF9CE3"/>
    <w:rsid w:val="397F571C"/>
    <w:rsid w:val="39BB7E26"/>
    <w:rsid w:val="39D7480C"/>
    <w:rsid w:val="39FF2448"/>
    <w:rsid w:val="3B67F510"/>
    <w:rsid w:val="3BBAA1F6"/>
    <w:rsid w:val="3BDE30AB"/>
    <w:rsid w:val="3BED71FB"/>
    <w:rsid w:val="3BEF76EE"/>
    <w:rsid w:val="3BEFF1F1"/>
    <w:rsid w:val="3BF79F48"/>
    <w:rsid w:val="3BF7AE60"/>
    <w:rsid w:val="3BFD1775"/>
    <w:rsid w:val="3BFF13D1"/>
    <w:rsid w:val="3BFFAAEE"/>
    <w:rsid w:val="3C14C623"/>
    <w:rsid w:val="3C55502A"/>
    <w:rsid w:val="3C5B6AF2"/>
    <w:rsid w:val="3CEF8622"/>
    <w:rsid w:val="3CF9AC2E"/>
    <w:rsid w:val="3CFBD6DC"/>
    <w:rsid w:val="3CFE1BAE"/>
    <w:rsid w:val="3D8F977F"/>
    <w:rsid w:val="3DCD3CD2"/>
    <w:rsid w:val="3DDBB17B"/>
    <w:rsid w:val="3DEF969D"/>
    <w:rsid w:val="3DF5FBB8"/>
    <w:rsid w:val="3DF709E7"/>
    <w:rsid w:val="3DFF6D46"/>
    <w:rsid w:val="3DFFA6D6"/>
    <w:rsid w:val="3E6F3078"/>
    <w:rsid w:val="3EA5EF6E"/>
    <w:rsid w:val="3EA9248E"/>
    <w:rsid w:val="3EBB1F94"/>
    <w:rsid w:val="3EBF49B5"/>
    <w:rsid w:val="3EBF778E"/>
    <w:rsid w:val="3EBFA0A3"/>
    <w:rsid w:val="3EC22967"/>
    <w:rsid w:val="3EDF5FD7"/>
    <w:rsid w:val="3EDFC63E"/>
    <w:rsid w:val="3EDFC8B6"/>
    <w:rsid w:val="3EDFD4F5"/>
    <w:rsid w:val="3EE10A31"/>
    <w:rsid w:val="3EEBC81D"/>
    <w:rsid w:val="3EEFE4BD"/>
    <w:rsid w:val="3EFF9D64"/>
    <w:rsid w:val="3F38F882"/>
    <w:rsid w:val="3F6F0BBE"/>
    <w:rsid w:val="3F6F2FCC"/>
    <w:rsid w:val="3F77404B"/>
    <w:rsid w:val="3F7B4E7E"/>
    <w:rsid w:val="3F7FD0CC"/>
    <w:rsid w:val="3F7FF648"/>
    <w:rsid w:val="3F8BB72A"/>
    <w:rsid w:val="3F9FEF01"/>
    <w:rsid w:val="3FA27A5C"/>
    <w:rsid w:val="3FAB8825"/>
    <w:rsid w:val="3FAD69BE"/>
    <w:rsid w:val="3FAF792B"/>
    <w:rsid w:val="3FBF63B5"/>
    <w:rsid w:val="3FC77884"/>
    <w:rsid w:val="3FD2B3A5"/>
    <w:rsid w:val="3FE79FB1"/>
    <w:rsid w:val="3FE90FD0"/>
    <w:rsid w:val="3FEF04F0"/>
    <w:rsid w:val="3FEF95F5"/>
    <w:rsid w:val="3FF11B0A"/>
    <w:rsid w:val="3FFD4A90"/>
    <w:rsid w:val="3FFF9046"/>
    <w:rsid w:val="3FFFE5FC"/>
    <w:rsid w:val="3FFFF7DA"/>
    <w:rsid w:val="40BD0AAA"/>
    <w:rsid w:val="43F68743"/>
    <w:rsid w:val="43FDBC60"/>
    <w:rsid w:val="45F52072"/>
    <w:rsid w:val="46CE60EC"/>
    <w:rsid w:val="46D36DC7"/>
    <w:rsid w:val="46FF84D7"/>
    <w:rsid w:val="47B7A9FC"/>
    <w:rsid w:val="47F795DD"/>
    <w:rsid w:val="47FF4CB6"/>
    <w:rsid w:val="49DEE59E"/>
    <w:rsid w:val="49FF30E2"/>
    <w:rsid w:val="4BBDB8D6"/>
    <w:rsid w:val="4BCBE6F9"/>
    <w:rsid w:val="4CAF4783"/>
    <w:rsid w:val="4D7F8078"/>
    <w:rsid w:val="4DBFB279"/>
    <w:rsid w:val="4DDF2DE8"/>
    <w:rsid w:val="4DDF7BC3"/>
    <w:rsid w:val="4DF76939"/>
    <w:rsid w:val="4E4F6622"/>
    <w:rsid w:val="4E5BDB76"/>
    <w:rsid w:val="4EEC6EF0"/>
    <w:rsid w:val="4F3F48DF"/>
    <w:rsid w:val="4F770919"/>
    <w:rsid w:val="4F8E5D1C"/>
    <w:rsid w:val="4FBFB6B0"/>
    <w:rsid w:val="4FC70D3C"/>
    <w:rsid w:val="4FDB82AC"/>
    <w:rsid w:val="4FEBDECC"/>
    <w:rsid w:val="4FEE90F3"/>
    <w:rsid w:val="4FF78BE7"/>
    <w:rsid w:val="4FFCB389"/>
    <w:rsid w:val="4FFD4735"/>
    <w:rsid w:val="4FFFACB7"/>
    <w:rsid w:val="4FFFBA17"/>
    <w:rsid w:val="517FA639"/>
    <w:rsid w:val="51DACFCA"/>
    <w:rsid w:val="526BB4D2"/>
    <w:rsid w:val="53EB6F9F"/>
    <w:rsid w:val="53FB73FE"/>
    <w:rsid w:val="53FF4285"/>
    <w:rsid w:val="54CF656E"/>
    <w:rsid w:val="54F1E63B"/>
    <w:rsid w:val="55FF4C34"/>
    <w:rsid w:val="55FFC737"/>
    <w:rsid w:val="56B7F1A8"/>
    <w:rsid w:val="56EA95BE"/>
    <w:rsid w:val="56FE2E0F"/>
    <w:rsid w:val="56FFCCC6"/>
    <w:rsid w:val="577791EB"/>
    <w:rsid w:val="577E564E"/>
    <w:rsid w:val="579D0AF1"/>
    <w:rsid w:val="579F40BC"/>
    <w:rsid w:val="579F73F6"/>
    <w:rsid w:val="579FC4DC"/>
    <w:rsid w:val="57AF208E"/>
    <w:rsid w:val="57BF13F0"/>
    <w:rsid w:val="57CF7A70"/>
    <w:rsid w:val="57D6C752"/>
    <w:rsid w:val="57E79F89"/>
    <w:rsid w:val="57FDA300"/>
    <w:rsid w:val="57FDAE83"/>
    <w:rsid w:val="57FDC86C"/>
    <w:rsid w:val="58F6068D"/>
    <w:rsid w:val="59794B2B"/>
    <w:rsid w:val="5A764E92"/>
    <w:rsid w:val="5AB7F2F7"/>
    <w:rsid w:val="5AF658F9"/>
    <w:rsid w:val="5BBD072D"/>
    <w:rsid w:val="5BBFB4A3"/>
    <w:rsid w:val="5BEBD07B"/>
    <w:rsid w:val="5BF64641"/>
    <w:rsid w:val="5BF80062"/>
    <w:rsid w:val="5BFE0F5A"/>
    <w:rsid w:val="5BFEE957"/>
    <w:rsid w:val="5BFEEBDD"/>
    <w:rsid w:val="5BFFCB07"/>
    <w:rsid w:val="5C3B56A4"/>
    <w:rsid w:val="5C5F38DF"/>
    <w:rsid w:val="5CEB03FB"/>
    <w:rsid w:val="5CEE61C3"/>
    <w:rsid w:val="5D3E0764"/>
    <w:rsid w:val="5DBAAE83"/>
    <w:rsid w:val="5DBFC042"/>
    <w:rsid w:val="5DD98449"/>
    <w:rsid w:val="5DEBF684"/>
    <w:rsid w:val="5DED1F89"/>
    <w:rsid w:val="5DFB80FC"/>
    <w:rsid w:val="5DFCEC5F"/>
    <w:rsid w:val="5DFF14FD"/>
    <w:rsid w:val="5DFFA3D6"/>
    <w:rsid w:val="5DFFE729"/>
    <w:rsid w:val="5E777428"/>
    <w:rsid w:val="5E9F1BAE"/>
    <w:rsid w:val="5EB3F581"/>
    <w:rsid w:val="5EC35851"/>
    <w:rsid w:val="5EDF6AF1"/>
    <w:rsid w:val="5EE282F6"/>
    <w:rsid w:val="5EF30E3B"/>
    <w:rsid w:val="5EFEB0C1"/>
    <w:rsid w:val="5F3D6FE8"/>
    <w:rsid w:val="5F3F6FC5"/>
    <w:rsid w:val="5F3FB666"/>
    <w:rsid w:val="5F6D130B"/>
    <w:rsid w:val="5F747BBF"/>
    <w:rsid w:val="5F77AB58"/>
    <w:rsid w:val="5F7E92AC"/>
    <w:rsid w:val="5F8D2989"/>
    <w:rsid w:val="5FA37A9A"/>
    <w:rsid w:val="5FABE46F"/>
    <w:rsid w:val="5FAFC5CA"/>
    <w:rsid w:val="5FB6D708"/>
    <w:rsid w:val="5FBCCC8C"/>
    <w:rsid w:val="5FBEA002"/>
    <w:rsid w:val="5FBF13E9"/>
    <w:rsid w:val="5FC72ED7"/>
    <w:rsid w:val="5FC7D36A"/>
    <w:rsid w:val="5FCB6E6B"/>
    <w:rsid w:val="5FCEC29B"/>
    <w:rsid w:val="5FD76EE8"/>
    <w:rsid w:val="5FDBA1CC"/>
    <w:rsid w:val="5FDBF0D9"/>
    <w:rsid w:val="5FDFEB54"/>
    <w:rsid w:val="5FE56F06"/>
    <w:rsid w:val="5FEB5B02"/>
    <w:rsid w:val="5FEE95FA"/>
    <w:rsid w:val="5FEEBED7"/>
    <w:rsid w:val="5FEF3D2F"/>
    <w:rsid w:val="5FF1AE87"/>
    <w:rsid w:val="5FF50FFF"/>
    <w:rsid w:val="5FFB4233"/>
    <w:rsid w:val="5FFBE355"/>
    <w:rsid w:val="5FFC7E75"/>
    <w:rsid w:val="5FFD2FDF"/>
    <w:rsid w:val="5FFE75B3"/>
    <w:rsid w:val="5FFF33C7"/>
    <w:rsid w:val="5FFF6ECC"/>
    <w:rsid w:val="5FFFE7D5"/>
    <w:rsid w:val="5FFFED7E"/>
    <w:rsid w:val="61F96882"/>
    <w:rsid w:val="636F6F17"/>
    <w:rsid w:val="63DFDE1C"/>
    <w:rsid w:val="63FAF416"/>
    <w:rsid w:val="665FF076"/>
    <w:rsid w:val="666E8050"/>
    <w:rsid w:val="66B5C959"/>
    <w:rsid w:val="66BBB480"/>
    <w:rsid w:val="66FF7758"/>
    <w:rsid w:val="66FFAEDC"/>
    <w:rsid w:val="6756B27D"/>
    <w:rsid w:val="675AD96C"/>
    <w:rsid w:val="677FC65D"/>
    <w:rsid w:val="67BF70D3"/>
    <w:rsid w:val="67F150A7"/>
    <w:rsid w:val="67F1ACB8"/>
    <w:rsid w:val="67F722BC"/>
    <w:rsid w:val="67FDE342"/>
    <w:rsid w:val="68F5D253"/>
    <w:rsid w:val="69B70EA8"/>
    <w:rsid w:val="69C5808E"/>
    <w:rsid w:val="69D80881"/>
    <w:rsid w:val="69DBA022"/>
    <w:rsid w:val="69DCD49A"/>
    <w:rsid w:val="69FE42C0"/>
    <w:rsid w:val="6A5E9A74"/>
    <w:rsid w:val="6ADA940F"/>
    <w:rsid w:val="6AFF5564"/>
    <w:rsid w:val="6B8FDBE6"/>
    <w:rsid w:val="6BA6D71A"/>
    <w:rsid w:val="6BB6D2BB"/>
    <w:rsid w:val="6BB9C01E"/>
    <w:rsid w:val="6BDF3F76"/>
    <w:rsid w:val="6BEE3EF9"/>
    <w:rsid w:val="6BF58BFF"/>
    <w:rsid w:val="6BF5B0EA"/>
    <w:rsid w:val="6BF94EF7"/>
    <w:rsid w:val="6BFA93F7"/>
    <w:rsid w:val="6BFAA9E2"/>
    <w:rsid w:val="6BFB22F2"/>
    <w:rsid w:val="6BFCE1FC"/>
    <w:rsid w:val="6BFDCD87"/>
    <w:rsid w:val="6BFF3F00"/>
    <w:rsid w:val="6BFF5582"/>
    <w:rsid w:val="6C16EF18"/>
    <w:rsid w:val="6CFED6E1"/>
    <w:rsid w:val="6D1F483C"/>
    <w:rsid w:val="6D5D37A2"/>
    <w:rsid w:val="6D87FC41"/>
    <w:rsid w:val="6DDD393F"/>
    <w:rsid w:val="6DDDF39E"/>
    <w:rsid w:val="6DEA9AAA"/>
    <w:rsid w:val="6DEF40BD"/>
    <w:rsid w:val="6DF9AEA3"/>
    <w:rsid w:val="6DFBDEB8"/>
    <w:rsid w:val="6DFEF589"/>
    <w:rsid w:val="6DFF51FF"/>
    <w:rsid w:val="6DFF6BAE"/>
    <w:rsid w:val="6E7F2193"/>
    <w:rsid w:val="6E81AB07"/>
    <w:rsid w:val="6EBC672F"/>
    <w:rsid w:val="6EBF25DB"/>
    <w:rsid w:val="6EDF9A55"/>
    <w:rsid w:val="6EE91B95"/>
    <w:rsid w:val="6EECE420"/>
    <w:rsid w:val="6EEF2FE1"/>
    <w:rsid w:val="6EF49827"/>
    <w:rsid w:val="6EF4AD5A"/>
    <w:rsid w:val="6EF5FCA2"/>
    <w:rsid w:val="6EFAFC2D"/>
    <w:rsid w:val="6EFFA1E7"/>
    <w:rsid w:val="6EFFAB15"/>
    <w:rsid w:val="6F452E76"/>
    <w:rsid w:val="6F5A279F"/>
    <w:rsid w:val="6F6DB04C"/>
    <w:rsid w:val="6F75D815"/>
    <w:rsid w:val="6F7796D4"/>
    <w:rsid w:val="6F795225"/>
    <w:rsid w:val="6F7AB334"/>
    <w:rsid w:val="6F83BA9F"/>
    <w:rsid w:val="6F9B3244"/>
    <w:rsid w:val="6F9E6BA1"/>
    <w:rsid w:val="6FAF525D"/>
    <w:rsid w:val="6FB31F46"/>
    <w:rsid w:val="6FB76B8A"/>
    <w:rsid w:val="6FBE6DBF"/>
    <w:rsid w:val="6FCEEC88"/>
    <w:rsid w:val="6FD5C3C6"/>
    <w:rsid w:val="6FD8B855"/>
    <w:rsid w:val="6FDB96E7"/>
    <w:rsid w:val="6FDDAC79"/>
    <w:rsid w:val="6FDF24F9"/>
    <w:rsid w:val="6FDF50D9"/>
    <w:rsid w:val="6FDFAACB"/>
    <w:rsid w:val="6FDFB5FA"/>
    <w:rsid w:val="6FE32894"/>
    <w:rsid w:val="6FE34D75"/>
    <w:rsid w:val="6FEF2102"/>
    <w:rsid w:val="6FEF90FA"/>
    <w:rsid w:val="6FEF920E"/>
    <w:rsid w:val="6FEFF36C"/>
    <w:rsid w:val="6FF768DB"/>
    <w:rsid w:val="6FF7D179"/>
    <w:rsid w:val="6FFB500B"/>
    <w:rsid w:val="6FFC9DBF"/>
    <w:rsid w:val="6FFD599B"/>
    <w:rsid w:val="6FFDE836"/>
    <w:rsid w:val="6FFEBDA4"/>
    <w:rsid w:val="6FFF05E6"/>
    <w:rsid w:val="6FFF3A10"/>
    <w:rsid w:val="6FFF5757"/>
    <w:rsid w:val="6FFF75F6"/>
    <w:rsid w:val="707A37C1"/>
    <w:rsid w:val="711F0158"/>
    <w:rsid w:val="712BBC4B"/>
    <w:rsid w:val="7177C913"/>
    <w:rsid w:val="71DD774C"/>
    <w:rsid w:val="71EA0DB5"/>
    <w:rsid w:val="71FFAE8C"/>
    <w:rsid w:val="723BF896"/>
    <w:rsid w:val="72656794"/>
    <w:rsid w:val="72BEA3FC"/>
    <w:rsid w:val="72C51DAD"/>
    <w:rsid w:val="72CFE1A5"/>
    <w:rsid w:val="72EBFE74"/>
    <w:rsid w:val="735E47B3"/>
    <w:rsid w:val="737D5DD4"/>
    <w:rsid w:val="737F72AA"/>
    <w:rsid w:val="737FF7F5"/>
    <w:rsid w:val="73B73731"/>
    <w:rsid w:val="73B8C718"/>
    <w:rsid w:val="73BDC0A8"/>
    <w:rsid w:val="73DF3128"/>
    <w:rsid w:val="73FBE462"/>
    <w:rsid w:val="73FF180A"/>
    <w:rsid w:val="73FF9C76"/>
    <w:rsid w:val="73FFA71C"/>
    <w:rsid w:val="747680C8"/>
    <w:rsid w:val="749E38A7"/>
    <w:rsid w:val="749F0543"/>
    <w:rsid w:val="74EFB3FE"/>
    <w:rsid w:val="74FF056C"/>
    <w:rsid w:val="74FF9A59"/>
    <w:rsid w:val="7517F688"/>
    <w:rsid w:val="75321A0B"/>
    <w:rsid w:val="754FBCF7"/>
    <w:rsid w:val="7567AC3F"/>
    <w:rsid w:val="7579CCC6"/>
    <w:rsid w:val="75B8CEF8"/>
    <w:rsid w:val="75DFA51E"/>
    <w:rsid w:val="75E62832"/>
    <w:rsid w:val="75E73E75"/>
    <w:rsid w:val="75ED6737"/>
    <w:rsid w:val="75ED8EE9"/>
    <w:rsid w:val="75F2950E"/>
    <w:rsid w:val="75F7757B"/>
    <w:rsid w:val="75F7A1FB"/>
    <w:rsid w:val="75FE923E"/>
    <w:rsid w:val="75FEE7D0"/>
    <w:rsid w:val="75FFC8CD"/>
    <w:rsid w:val="75FFDB99"/>
    <w:rsid w:val="75FFF53C"/>
    <w:rsid w:val="763F6DA5"/>
    <w:rsid w:val="767682F0"/>
    <w:rsid w:val="76AB2856"/>
    <w:rsid w:val="76BCFD10"/>
    <w:rsid w:val="76BD0DBD"/>
    <w:rsid w:val="76BF27D1"/>
    <w:rsid w:val="76BF425D"/>
    <w:rsid w:val="76DDB2D7"/>
    <w:rsid w:val="76DE80D0"/>
    <w:rsid w:val="76ED6180"/>
    <w:rsid w:val="76EED676"/>
    <w:rsid w:val="76F43DE7"/>
    <w:rsid w:val="76FBEC57"/>
    <w:rsid w:val="76FE30AB"/>
    <w:rsid w:val="772ACCEB"/>
    <w:rsid w:val="772F74F4"/>
    <w:rsid w:val="775F7F43"/>
    <w:rsid w:val="776DA475"/>
    <w:rsid w:val="776F3120"/>
    <w:rsid w:val="777DBC83"/>
    <w:rsid w:val="777ECBC2"/>
    <w:rsid w:val="77970C95"/>
    <w:rsid w:val="779FAC75"/>
    <w:rsid w:val="77BE5A1A"/>
    <w:rsid w:val="77DA9A9E"/>
    <w:rsid w:val="77DDAC59"/>
    <w:rsid w:val="77DFF6F5"/>
    <w:rsid w:val="77ECACD2"/>
    <w:rsid w:val="77EDFF7B"/>
    <w:rsid w:val="77EF3EFD"/>
    <w:rsid w:val="77EF6DF2"/>
    <w:rsid w:val="77EFF677"/>
    <w:rsid w:val="77F72426"/>
    <w:rsid w:val="77F75A53"/>
    <w:rsid w:val="77F7ABA9"/>
    <w:rsid w:val="77F7C4DB"/>
    <w:rsid w:val="77F7C5E0"/>
    <w:rsid w:val="77F91720"/>
    <w:rsid w:val="77FDB2B8"/>
    <w:rsid w:val="77FE62EF"/>
    <w:rsid w:val="77FF69BE"/>
    <w:rsid w:val="77FF8839"/>
    <w:rsid w:val="77FF8D38"/>
    <w:rsid w:val="77FFD17B"/>
    <w:rsid w:val="784B4AE2"/>
    <w:rsid w:val="785F3133"/>
    <w:rsid w:val="787F8CB3"/>
    <w:rsid w:val="78BA9AA3"/>
    <w:rsid w:val="78EEC91B"/>
    <w:rsid w:val="78F5488C"/>
    <w:rsid w:val="78FEFA66"/>
    <w:rsid w:val="792C78E6"/>
    <w:rsid w:val="795FFBE7"/>
    <w:rsid w:val="797A679C"/>
    <w:rsid w:val="797BA57B"/>
    <w:rsid w:val="79AFD8B1"/>
    <w:rsid w:val="79BD3404"/>
    <w:rsid w:val="79E0978B"/>
    <w:rsid w:val="79E695BF"/>
    <w:rsid w:val="79EFDEA0"/>
    <w:rsid w:val="79F68829"/>
    <w:rsid w:val="79FF2357"/>
    <w:rsid w:val="79FF6785"/>
    <w:rsid w:val="79FF91E3"/>
    <w:rsid w:val="7A3D4A2E"/>
    <w:rsid w:val="7A67C989"/>
    <w:rsid w:val="7A6FCCA5"/>
    <w:rsid w:val="7A7F7610"/>
    <w:rsid w:val="7A9F5C4D"/>
    <w:rsid w:val="7AA753CC"/>
    <w:rsid w:val="7AAD729B"/>
    <w:rsid w:val="7AC302F4"/>
    <w:rsid w:val="7AD742A8"/>
    <w:rsid w:val="7ADD71A6"/>
    <w:rsid w:val="7ADFB473"/>
    <w:rsid w:val="7AFDABF4"/>
    <w:rsid w:val="7AFF6360"/>
    <w:rsid w:val="7AFF6BD8"/>
    <w:rsid w:val="7AFFFD6E"/>
    <w:rsid w:val="7B27214D"/>
    <w:rsid w:val="7B3F0A03"/>
    <w:rsid w:val="7B5798D3"/>
    <w:rsid w:val="7B6D2337"/>
    <w:rsid w:val="7B6FBBE7"/>
    <w:rsid w:val="7B78AF7A"/>
    <w:rsid w:val="7B7D9D1E"/>
    <w:rsid w:val="7B7F005F"/>
    <w:rsid w:val="7B8F2A0F"/>
    <w:rsid w:val="7B95C5E5"/>
    <w:rsid w:val="7B986B0A"/>
    <w:rsid w:val="7B9F94D0"/>
    <w:rsid w:val="7BA752B3"/>
    <w:rsid w:val="7BB22644"/>
    <w:rsid w:val="7BB7FE97"/>
    <w:rsid w:val="7BBA680E"/>
    <w:rsid w:val="7BBC9473"/>
    <w:rsid w:val="7BBF204F"/>
    <w:rsid w:val="7BC31703"/>
    <w:rsid w:val="7BCF6BEA"/>
    <w:rsid w:val="7BDDA1BC"/>
    <w:rsid w:val="7BDF0A16"/>
    <w:rsid w:val="7BE0E908"/>
    <w:rsid w:val="7BE7B3F3"/>
    <w:rsid w:val="7BECBF4D"/>
    <w:rsid w:val="7BED438D"/>
    <w:rsid w:val="7BEFB2C2"/>
    <w:rsid w:val="7BF164F2"/>
    <w:rsid w:val="7BF17AE7"/>
    <w:rsid w:val="7BF5A34E"/>
    <w:rsid w:val="7BF5D964"/>
    <w:rsid w:val="7BF614C8"/>
    <w:rsid w:val="7BF6B958"/>
    <w:rsid w:val="7BF73AAD"/>
    <w:rsid w:val="7BF79107"/>
    <w:rsid w:val="7BF7A538"/>
    <w:rsid w:val="7BF7CB49"/>
    <w:rsid w:val="7BF7FDC2"/>
    <w:rsid w:val="7BF862C9"/>
    <w:rsid w:val="7BF91D5B"/>
    <w:rsid w:val="7BFAFEE0"/>
    <w:rsid w:val="7BFB38DD"/>
    <w:rsid w:val="7BFB68C7"/>
    <w:rsid w:val="7BFBF14B"/>
    <w:rsid w:val="7BFD4616"/>
    <w:rsid w:val="7BFD57E7"/>
    <w:rsid w:val="7BFDAD6E"/>
    <w:rsid w:val="7BFDFBFC"/>
    <w:rsid w:val="7BFED9D5"/>
    <w:rsid w:val="7C37A9D6"/>
    <w:rsid w:val="7C9F5B8F"/>
    <w:rsid w:val="7CBBDA1F"/>
    <w:rsid w:val="7CBC54FA"/>
    <w:rsid w:val="7CD7741A"/>
    <w:rsid w:val="7CDF09D4"/>
    <w:rsid w:val="7CF5E48B"/>
    <w:rsid w:val="7CF7BA0A"/>
    <w:rsid w:val="7CFB49C5"/>
    <w:rsid w:val="7CFF99B8"/>
    <w:rsid w:val="7CFFD6ED"/>
    <w:rsid w:val="7D2EA7D4"/>
    <w:rsid w:val="7D2FF2FD"/>
    <w:rsid w:val="7D3F8306"/>
    <w:rsid w:val="7D3F97EC"/>
    <w:rsid w:val="7D5E8FBB"/>
    <w:rsid w:val="7D6F323C"/>
    <w:rsid w:val="7D6FA6E6"/>
    <w:rsid w:val="7D72BECF"/>
    <w:rsid w:val="7D775F19"/>
    <w:rsid w:val="7D7B40F7"/>
    <w:rsid w:val="7D7F10B7"/>
    <w:rsid w:val="7D7F8D9A"/>
    <w:rsid w:val="7D9EEA93"/>
    <w:rsid w:val="7DAD2A4C"/>
    <w:rsid w:val="7DAF60A3"/>
    <w:rsid w:val="7DBF9281"/>
    <w:rsid w:val="7DC75EE1"/>
    <w:rsid w:val="7DD87C5B"/>
    <w:rsid w:val="7DDF4955"/>
    <w:rsid w:val="7DE7CF8C"/>
    <w:rsid w:val="7DEB98EB"/>
    <w:rsid w:val="7DEE236B"/>
    <w:rsid w:val="7DEFDECD"/>
    <w:rsid w:val="7DF37D39"/>
    <w:rsid w:val="7DF55D87"/>
    <w:rsid w:val="7DF637CB"/>
    <w:rsid w:val="7DF71DE7"/>
    <w:rsid w:val="7DF77C7A"/>
    <w:rsid w:val="7DF81816"/>
    <w:rsid w:val="7DF8A078"/>
    <w:rsid w:val="7DFA4CD4"/>
    <w:rsid w:val="7DFCFC39"/>
    <w:rsid w:val="7DFD4932"/>
    <w:rsid w:val="7DFEB94F"/>
    <w:rsid w:val="7DFF5879"/>
    <w:rsid w:val="7DFFEA02"/>
    <w:rsid w:val="7E1D5BAA"/>
    <w:rsid w:val="7E4682B9"/>
    <w:rsid w:val="7E5C9FFB"/>
    <w:rsid w:val="7E6F4D3D"/>
    <w:rsid w:val="7E72ACAC"/>
    <w:rsid w:val="7E77D885"/>
    <w:rsid w:val="7E79985E"/>
    <w:rsid w:val="7E7B79CE"/>
    <w:rsid w:val="7E7BD818"/>
    <w:rsid w:val="7E7BEBCA"/>
    <w:rsid w:val="7E7E4C2E"/>
    <w:rsid w:val="7E7F6990"/>
    <w:rsid w:val="7E7FEE95"/>
    <w:rsid w:val="7E917422"/>
    <w:rsid w:val="7EAA8FF1"/>
    <w:rsid w:val="7EB60E3B"/>
    <w:rsid w:val="7EBB0ECF"/>
    <w:rsid w:val="7EBB1867"/>
    <w:rsid w:val="7EBF24F1"/>
    <w:rsid w:val="7EBF73E2"/>
    <w:rsid w:val="7EBFD739"/>
    <w:rsid w:val="7EC768B4"/>
    <w:rsid w:val="7ECB3F2B"/>
    <w:rsid w:val="7ECDACF2"/>
    <w:rsid w:val="7ECEEF34"/>
    <w:rsid w:val="7ECF0DB3"/>
    <w:rsid w:val="7ED7E608"/>
    <w:rsid w:val="7ED7F816"/>
    <w:rsid w:val="7EDB609D"/>
    <w:rsid w:val="7EDF36A4"/>
    <w:rsid w:val="7EDF9E52"/>
    <w:rsid w:val="7EEBF4D7"/>
    <w:rsid w:val="7EECD581"/>
    <w:rsid w:val="7EEE69CE"/>
    <w:rsid w:val="7EEF90DF"/>
    <w:rsid w:val="7EEFFC97"/>
    <w:rsid w:val="7EF4639F"/>
    <w:rsid w:val="7EF95BF4"/>
    <w:rsid w:val="7EF9C1CB"/>
    <w:rsid w:val="7EFA4C84"/>
    <w:rsid w:val="7EFB608F"/>
    <w:rsid w:val="7EFBFB0E"/>
    <w:rsid w:val="7EFCC980"/>
    <w:rsid w:val="7EFD42F2"/>
    <w:rsid w:val="7EFEABBA"/>
    <w:rsid w:val="7EFF70A1"/>
    <w:rsid w:val="7EFFEE65"/>
    <w:rsid w:val="7F0E31FB"/>
    <w:rsid w:val="7F159E4A"/>
    <w:rsid w:val="7F1F4CF4"/>
    <w:rsid w:val="7F2A3CBB"/>
    <w:rsid w:val="7F2DEC6D"/>
    <w:rsid w:val="7F343081"/>
    <w:rsid w:val="7F393670"/>
    <w:rsid w:val="7F3BE177"/>
    <w:rsid w:val="7F3F4376"/>
    <w:rsid w:val="7F3F81F7"/>
    <w:rsid w:val="7F4EAE22"/>
    <w:rsid w:val="7F4F63A3"/>
    <w:rsid w:val="7F4FC5DC"/>
    <w:rsid w:val="7F579E17"/>
    <w:rsid w:val="7F58CC71"/>
    <w:rsid w:val="7F5F109F"/>
    <w:rsid w:val="7F5F725D"/>
    <w:rsid w:val="7F67620D"/>
    <w:rsid w:val="7F6EA6E9"/>
    <w:rsid w:val="7F6FE19C"/>
    <w:rsid w:val="7F732478"/>
    <w:rsid w:val="7F73CF72"/>
    <w:rsid w:val="7F74B8DE"/>
    <w:rsid w:val="7F75BC26"/>
    <w:rsid w:val="7F7717C6"/>
    <w:rsid w:val="7F771844"/>
    <w:rsid w:val="7F77327C"/>
    <w:rsid w:val="7F777D1B"/>
    <w:rsid w:val="7F7858E9"/>
    <w:rsid w:val="7F7B035B"/>
    <w:rsid w:val="7F7E53CE"/>
    <w:rsid w:val="7F7F1BDC"/>
    <w:rsid w:val="7F7F4C74"/>
    <w:rsid w:val="7F7F7F48"/>
    <w:rsid w:val="7F7F9F81"/>
    <w:rsid w:val="7F7FC991"/>
    <w:rsid w:val="7F7FE053"/>
    <w:rsid w:val="7F8F2D70"/>
    <w:rsid w:val="7F9342E2"/>
    <w:rsid w:val="7F977FE2"/>
    <w:rsid w:val="7F98A1B4"/>
    <w:rsid w:val="7F9CE192"/>
    <w:rsid w:val="7F9D2AC3"/>
    <w:rsid w:val="7FA7FD94"/>
    <w:rsid w:val="7FAEB4D2"/>
    <w:rsid w:val="7FAED903"/>
    <w:rsid w:val="7FAF9422"/>
    <w:rsid w:val="7FB7DB00"/>
    <w:rsid w:val="7FB945CC"/>
    <w:rsid w:val="7FBA8A3E"/>
    <w:rsid w:val="7FBA9BEB"/>
    <w:rsid w:val="7FBAD54C"/>
    <w:rsid w:val="7FBB2B86"/>
    <w:rsid w:val="7FBB3C80"/>
    <w:rsid w:val="7FBBC8BE"/>
    <w:rsid w:val="7FBBEFCB"/>
    <w:rsid w:val="7FBC9A64"/>
    <w:rsid w:val="7FBD078F"/>
    <w:rsid w:val="7FBE5061"/>
    <w:rsid w:val="7FBF11AF"/>
    <w:rsid w:val="7FBF1956"/>
    <w:rsid w:val="7FBF35DC"/>
    <w:rsid w:val="7FBF4912"/>
    <w:rsid w:val="7FBFFC41"/>
    <w:rsid w:val="7FCCF837"/>
    <w:rsid w:val="7FCE2A36"/>
    <w:rsid w:val="7FCF32CC"/>
    <w:rsid w:val="7FD1B906"/>
    <w:rsid w:val="7FD353E2"/>
    <w:rsid w:val="7FD44DB7"/>
    <w:rsid w:val="7FD7C37F"/>
    <w:rsid w:val="7FDA04DD"/>
    <w:rsid w:val="7FDA7797"/>
    <w:rsid w:val="7FDAEB4D"/>
    <w:rsid w:val="7FDB53AF"/>
    <w:rsid w:val="7FDB77C2"/>
    <w:rsid w:val="7FDF10D5"/>
    <w:rsid w:val="7FDF22A1"/>
    <w:rsid w:val="7FDF602E"/>
    <w:rsid w:val="7FDF864A"/>
    <w:rsid w:val="7FDFEAFC"/>
    <w:rsid w:val="7FE2AC03"/>
    <w:rsid w:val="7FE565C1"/>
    <w:rsid w:val="7FE6B527"/>
    <w:rsid w:val="7FE74F9F"/>
    <w:rsid w:val="7FE75845"/>
    <w:rsid w:val="7FE7658E"/>
    <w:rsid w:val="7FE79AF1"/>
    <w:rsid w:val="7FE7BA55"/>
    <w:rsid w:val="7FEAAAE0"/>
    <w:rsid w:val="7FEB0274"/>
    <w:rsid w:val="7FECB9AA"/>
    <w:rsid w:val="7FECC5FC"/>
    <w:rsid w:val="7FEF19AE"/>
    <w:rsid w:val="7FEF3E39"/>
    <w:rsid w:val="7FEF4C93"/>
    <w:rsid w:val="7FEFBBC3"/>
    <w:rsid w:val="7FEFCE6D"/>
    <w:rsid w:val="7FF363F0"/>
    <w:rsid w:val="7FF3BA94"/>
    <w:rsid w:val="7FF4E669"/>
    <w:rsid w:val="7FF52B75"/>
    <w:rsid w:val="7FF56060"/>
    <w:rsid w:val="7FF5DA08"/>
    <w:rsid w:val="7FF67689"/>
    <w:rsid w:val="7FF69B08"/>
    <w:rsid w:val="7FF702AB"/>
    <w:rsid w:val="7FF73049"/>
    <w:rsid w:val="7FF7DC68"/>
    <w:rsid w:val="7FF7E7A6"/>
    <w:rsid w:val="7FFABFF8"/>
    <w:rsid w:val="7FFB3270"/>
    <w:rsid w:val="7FFBB3D0"/>
    <w:rsid w:val="7FFBC965"/>
    <w:rsid w:val="7FFBFE86"/>
    <w:rsid w:val="7FFD035E"/>
    <w:rsid w:val="7FFD2695"/>
    <w:rsid w:val="7FFD726C"/>
    <w:rsid w:val="7FFE4938"/>
    <w:rsid w:val="7FFE7F43"/>
    <w:rsid w:val="7FFEB629"/>
    <w:rsid w:val="7FFF0C73"/>
    <w:rsid w:val="7FFF0E6E"/>
    <w:rsid w:val="7FFF1137"/>
    <w:rsid w:val="7FFF29D1"/>
    <w:rsid w:val="7FFF54BD"/>
    <w:rsid w:val="7FFF5E7C"/>
    <w:rsid w:val="7FFF64E2"/>
    <w:rsid w:val="7FFF702E"/>
    <w:rsid w:val="7FFF7A3D"/>
    <w:rsid w:val="7FFFA656"/>
    <w:rsid w:val="7FFFA8CA"/>
    <w:rsid w:val="7FFFB33B"/>
    <w:rsid w:val="7FFFC2D4"/>
    <w:rsid w:val="7FFFFB45"/>
    <w:rsid w:val="84EE09AE"/>
    <w:rsid w:val="85FF89B0"/>
    <w:rsid w:val="87FC9509"/>
    <w:rsid w:val="8AF7555A"/>
    <w:rsid w:val="8BBBE75D"/>
    <w:rsid w:val="8BEF4B7F"/>
    <w:rsid w:val="8DBB231A"/>
    <w:rsid w:val="8DFE6FD3"/>
    <w:rsid w:val="8F5EF3E2"/>
    <w:rsid w:val="8F8FFCFE"/>
    <w:rsid w:val="8FA9ADB6"/>
    <w:rsid w:val="8FE554E9"/>
    <w:rsid w:val="8FF74917"/>
    <w:rsid w:val="8FFE16B4"/>
    <w:rsid w:val="91CB9E73"/>
    <w:rsid w:val="953D3E14"/>
    <w:rsid w:val="957BB3F1"/>
    <w:rsid w:val="95CF6264"/>
    <w:rsid w:val="977BB961"/>
    <w:rsid w:val="9797CEF6"/>
    <w:rsid w:val="9ACD0ECC"/>
    <w:rsid w:val="9AF8BD18"/>
    <w:rsid w:val="9B3FF15B"/>
    <w:rsid w:val="9B534942"/>
    <w:rsid w:val="9BFF1CEF"/>
    <w:rsid w:val="9CCBB87F"/>
    <w:rsid w:val="9D7EF48E"/>
    <w:rsid w:val="9DBF9857"/>
    <w:rsid w:val="9DBFFDA6"/>
    <w:rsid w:val="9DCDC5A0"/>
    <w:rsid w:val="9DDF3B2F"/>
    <w:rsid w:val="9DFCAB9C"/>
    <w:rsid w:val="9DFFF878"/>
    <w:rsid w:val="9EBF384E"/>
    <w:rsid w:val="9EDD7EFB"/>
    <w:rsid w:val="9EE91D16"/>
    <w:rsid w:val="9EFE25B9"/>
    <w:rsid w:val="9EFE9368"/>
    <w:rsid w:val="9F37ACEB"/>
    <w:rsid w:val="9F72D88F"/>
    <w:rsid w:val="9FBA7D52"/>
    <w:rsid w:val="9FDBF5E1"/>
    <w:rsid w:val="9FEF98AD"/>
    <w:rsid w:val="9FFF9A00"/>
    <w:rsid w:val="A03DB074"/>
    <w:rsid w:val="A27E3246"/>
    <w:rsid w:val="A2E7EC4C"/>
    <w:rsid w:val="A2F64202"/>
    <w:rsid w:val="A3783D3D"/>
    <w:rsid w:val="A45AADCD"/>
    <w:rsid w:val="A6FBF369"/>
    <w:rsid w:val="A7B26000"/>
    <w:rsid w:val="A7D81758"/>
    <w:rsid w:val="A7F5987A"/>
    <w:rsid w:val="A9BC2557"/>
    <w:rsid w:val="A9C6606D"/>
    <w:rsid w:val="AA9ED956"/>
    <w:rsid w:val="AAFDB3ED"/>
    <w:rsid w:val="ABF60F8B"/>
    <w:rsid w:val="AC7F36D0"/>
    <w:rsid w:val="ACBF2668"/>
    <w:rsid w:val="ACDE43AF"/>
    <w:rsid w:val="ACFCDC89"/>
    <w:rsid w:val="AD6AB9BE"/>
    <w:rsid w:val="ADBDAF4C"/>
    <w:rsid w:val="ADBF0815"/>
    <w:rsid w:val="ADD685B2"/>
    <w:rsid w:val="ADE6AAE5"/>
    <w:rsid w:val="ADF72D0C"/>
    <w:rsid w:val="ADF784C1"/>
    <w:rsid w:val="ADFD3EC7"/>
    <w:rsid w:val="ADFF9BEC"/>
    <w:rsid w:val="ADFFA460"/>
    <w:rsid w:val="AEF5EDE6"/>
    <w:rsid w:val="AEFB0341"/>
    <w:rsid w:val="AEFB163B"/>
    <w:rsid w:val="AEFF8C18"/>
    <w:rsid w:val="AF616231"/>
    <w:rsid w:val="AF6716E7"/>
    <w:rsid w:val="AF6F6721"/>
    <w:rsid w:val="AF77B98C"/>
    <w:rsid w:val="AF7F804A"/>
    <w:rsid w:val="AF9F77BF"/>
    <w:rsid w:val="AF9FE2E7"/>
    <w:rsid w:val="AFD75579"/>
    <w:rsid w:val="AFEBEC16"/>
    <w:rsid w:val="AFEF87DC"/>
    <w:rsid w:val="B176E276"/>
    <w:rsid w:val="B17B7A0B"/>
    <w:rsid w:val="B22F870A"/>
    <w:rsid w:val="B2DDB498"/>
    <w:rsid w:val="B54F53C5"/>
    <w:rsid w:val="B57E9ADF"/>
    <w:rsid w:val="B5D38EC6"/>
    <w:rsid w:val="B5FE319E"/>
    <w:rsid w:val="B6BFCEA1"/>
    <w:rsid w:val="B6DD207C"/>
    <w:rsid w:val="B6DF4698"/>
    <w:rsid w:val="B6FF1546"/>
    <w:rsid w:val="B77F4147"/>
    <w:rsid w:val="B7DB3C2D"/>
    <w:rsid w:val="B7E3E46D"/>
    <w:rsid w:val="B7F3F999"/>
    <w:rsid w:val="B7F76A02"/>
    <w:rsid w:val="B7FD88BF"/>
    <w:rsid w:val="B7FDDBC6"/>
    <w:rsid w:val="B7FDE736"/>
    <w:rsid w:val="B7FFBC13"/>
    <w:rsid w:val="B87DFF4F"/>
    <w:rsid w:val="B899FE4A"/>
    <w:rsid w:val="B8C71662"/>
    <w:rsid w:val="B9DFF300"/>
    <w:rsid w:val="B9FFCF5C"/>
    <w:rsid w:val="BA9B232A"/>
    <w:rsid w:val="BADB7A85"/>
    <w:rsid w:val="BAE9E45D"/>
    <w:rsid w:val="BB7FCD70"/>
    <w:rsid w:val="BBAF9F2A"/>
    <w:rsid w:val="BBCFAAA7"/>
    <w:rsid w:val="BBDBB979"/>
    <w:rsid w:val="BBDDEB0D"/>
    <w:rsid w:val="BBDF9479"/>
    <w:rsid w:val="BBDFD5A2"/>
    <w:rsid w:val="BBDFF3DE"/>
    <w:rsid w:val="BBEF1526"/>
    <w:rsid w:val="BBEF79E5"/>
    <w:rsid w:val="BBEF901A"/>
    <w:rsid w:val="BBF5698D"/>
    <w:rsid w:val="BBF86EF9"/>
    <w:rsid w:val="BBFD6917"/>
    <w:rsid w:val="BBFDA817"/>
    <w:rsid w:val="BC370C17"/>
    <w:rsid w:val="BC75DC62"/>
    <w:rsid w:val="BCDD5F7B"/>
    <w:rsid w:val="BD049215"/>
    <w:rsid w:val="BD2F82FC"/>
    <w:rsid w:val="BD3B1324"/>
    <w:rsid w:val="BD5FD849"/>
    <w:rsid w:val="BD6D171E"/>
    <w:rsid w:val="BD772DFE"/>
    <w:rsid w:val="BD9C33FF"/>
    <w:rsid w:val="BD9D8E2E"/>
    <w:rsid w:val="BDA715B3"/>
    <w:rsid w:val="BDBA25E8"/>
    <w:rsid w:val="BDBEEBCC"/>
    <w:rsid w:val="BDBFC6FB"/>
    <w:rsid w:val="BDF51EA0"/>
    <w:rsid w:val="BDF6A894"/>
    <w:rsid w:val="BDFF854D"/>
    <w:rsid w:val="BE3C605A"/>
    <w:rsid w:val="BE779C88"/>
    <w:rsid w:val="BE7B19D0"/>
    <w:rsid w:val="BEBFECD5"/>
    <w:rsid w:val="BEDD773A"/>
    <w:rsid w:val="BEDFD482"/>
    <w:rsid w:val="BEF5F2A3"/>
    <w:rsid w:val="BEFA6AAD"/>
    <w:rsid w:val="BEFDE8B1"/>
    <w:rsid w:val="BEFE9FB3"/>
    <w:rsid w:val="BEFF173C"/>
    <w:rsid w:val="BF268E0C"/>
    <w:rsid w:val="BF729AFE"/>
    <w:rsid w:val="BF778549"/>
    <w:rsid w:val="BF7903A6"/>
    <w:rsid w:val="BF7B66AC"/>
    <w:rsid w:val="BF7CA140"/>
    <w:rsid w:val="BF7DC9C1"/>
    <w:rsid w:val="BF7F52EA"/>
    <w:rsid w:val="BF7FB959"/>
    <w:rsid w:val="BF7FE276"/>
    <w:rsid w:val="BF96CA59"/>
    <w:rsid w:val="BF9D954B"/>
    <w:rsid w:val="BF9F484C"/>
    <w:rsid w:val="BFA64DB5"/>
    <w:rsid w:val="BFAF9641"/>
    <w:rsid w:val="BFB35648"/>
    <w:rsid w:val="BFB3C862"/>
    <w:rsid w:val="BFCDF744"/>
    <w:rsid w:val="BFD63AD9"/>
    <w:rsid w:val="BFDB4DD8"/>
    <w:rsid w:val="BFDE3B56"/>
    <w:rsid w:val="BFDF648E"/>
    <w:rsid w:val="BFDFF597"/>
    <w:rsid w:val="BFEE8347"/>
    <w:rsid w:val="BFF6A1C5"/>
    <w:rsid w:val="BFF75954"/>
    <w:rsid w:val="BFF768F8"/>
    <w:rsid w:val="BFF8A21F"/>
    <w:rsid w:val="BFFB2D37"/>
    <w:rsid w:val="BFFB41E7"/>
    <w:rsid w:val="BFFB8884"/>
    <w:rsid w:val="BFFDEF12"/>
    <w:rsid w:val="BFFE6719"/>
    <w:rsid w:val="BFFE7F87"/>
    <w:rsid w:val="BFFF59B5"/>
    <w:rsid w:val="BFFF9ACB"/>
    <w:rsid w:val="BFFFBA7E"/>
    <w:rsid w:val="BFFFECB6"/>
    <w:rsid w:val="C07FA3C8"/>
    <w:rsid w:val="C0FB1BFE"/>
    <w:rsid w:val="C1FE6743"/>
    <w:rsid w:val="C1FFDA54"/>
    <w:rsid w:val="C3BA4E74"/>
    <w:rsid w:val="C46FD947"/>
    <w:rsid w:val="C5BB62F5"/>
    <w:rsid w:val="C6695F2E"/>
    <w:rsid w:val="C69E6C43"/>
    <w:rsid w:val="C6F75091"/>
    <w:rsid w:val="C7775031"/>
    <w:rsid w:val="C7F69EA6"/>
    <w:rsid w:val="C7FB8976"/>
    <w:rsid w:val="C7FCB2C5"/>
    <w:rsid w:val="C7FED39C"/>
    <w:rsid w:val="C9F701CF"/>
    <w:rsid w:val="CB2D5B52"/>
    <w:rsid w:val="CB5D5B67"/>
    <w:rsid w:val="CBAD0E4B"/>
    <w:rsid w:val="CBF7C6E8"/>
    <w:rsid w:val="CBFB887D"/>
    <w:rsid w:val="CBFE8269"/>
    <w:rsid w:val="CDEDDE0E"/>
    <w:rsid w:val="CEB356DD"/>
    <w:rsid w:val="CEBBC7A3"/>
    <w:rsid w:val="CF2FEBCB"/>
    <w:rsid w:val="CF9F3742"/>
    <w:rsid w:val="CF9FBB87"/>
    <w:rsid w:val="CFCB2C79"/>
    <w:rsid w:val="CFF4E9B1"/>
    <w:rsid w:val="CFF78EEE"/>
    <w:rsid w:val="CFFBBF2E"/>
    <w:rsid w:val="CFFD96A3"/>
    <w:rsid w:val="D0C68A19"/>
    <w:rsid w:val="D13E5983"/>
    <w:rsid w:val="D1EBDD4B"/>
    <w:rsid w:val="D2A75E33"/>
    <w:rsid w:val="D33DFABE"/>
    <w:rsid w:val="D3FF173D"/>
    <w:rsid w:val="D47A2B5C"/>
    <w:rsid w:val="D47F57BB"/>
    <w:rsid w:val="D5DCD83E"/>
    <w:rsid w:val="D5EF1134"/>
    <w:rsid w:val="D5FD40BB"/>
    <w:rsid w:val="D65D0CBB"/>
    <w:rsid w:val="D6667C02"/>
    <w:rsid w:val="D67BA373"/>
    <w:rsid w:val="D6EDC3B9"/>
    <w:rsid w:val="D6EDD2F7"/>
    <w:rsid w:val="D6F74604"/>
    <w:rsid w:val="D6FFD92A"/>
    <w:rsid w:val="D6FFEF51"/>
    <w:rsid w:val="D77FA14D"/>
    <w:rsid w:val="D7A2F440"/>
    <w:rsid w:val="D7AF4578"/>
    <w:rsid w:val="D7B53E4F"/>
    <w:rsid w:val="D7BFA98D"/>
    <w:rsid w:val="D7DF27E3"/>
    <w:rsid w:val="D7DF41D0"/>
    <w:rsid w:val="D7E57FCD"/>
    <w:rsid w:val="D7F2C3E3"/>
    <w:rsid w:val="D7FC4EBA"/>
    <w:rsid w:val="D7FF909E"/>
    <w:rsid w:val="D83F6A9E"/>
    <w:rsid w:val="D9279D8D"/>
    <w:rsid w:val="D975D525"/>
    <w:rsid w:val="D9EDA092"/>
    <w:rsid w:val="DA76B68C"/>
    <w:rsid w:val="DA774E59"/>
    <w:rsid w:val="DABFAE0B"/>
    <w:rsid w:val="DAF76D0D"/>
    <w:rsid w:val="DAFC66DE"/>
    <w:rsid w:val="DAFD4B6F"/>
    <w:rsid w:val="DB3F755B"/>
    <w:rsid w:val="DB9F847F"/>
    <w:rsid w:val="DBA7DBF1"/>
    <w:rsid w:val="DBCD9D04"/>
    <w:rsid w:val="DBD6BB83"/>
    <w:rsid w:val="DBDAB7C0"/>
    <w:rsid w:val="DBE72C5E"/>
    <w:rsid w:val="DBE7E838"/>
    <w:rsid w:val="DBFF2573"/>
    <w:rsid w:val="DBFF450A"/>
    <w:rsid w:val="DBFF946E"/>
    <w:rsid w:val="DC77C403"/>
    <w:rsid w:val="DCE16B16"/>
    <w:rsid w:val="DCFEB1C8"/>
    <w:rsid w:val="DD7C5931"/>
    <w:rsid w:val="DDBF76C2"/>
    <w:rsid w:val="DDCD27E7"/>
    <w:rsid w:val="DDCF2E1D"/>
    <w:rsid w:val="DDD78F14"/>
    <w:rsid w:val="DDE57B7F"/>
    <w:rsid w:val="DDEDB5CD"/>
    <w:rsid w:val="DDF1C243"/>
    <w:rsid w:val="DDFB88EA"/>
    <w:rsid w:val="DDFE0191"/>
    <w:rsid w:val="DDFF7641"/>
    <w:rsid w:val="DE25182E"/>
    <w:rsid w:val="DE57CF2C"/>
    <w:rsid w:val="DE73E8CF"/>
    <w:rsid w:val="DE7F4670"/>
    <w:rsid w:val="DEAE3B7A"/>
    <w:rsid w:val="DEB65064"/>
    <w:rsid w:val="DEB941A4"/>
    <w:rsid w:val="DECF5B82"/>
    <w:rsid w:val="DED6532D"/>
    <w:rsid w:val="DEEFB99F"/>
    <w:rsid w:val="DEFD37D6"/>
    <w:rsid w:val="DEFD5B75"/>
    <w:rsid w:val="DEFE1E13"/>
    <w:rsid w:val="DEFF04A8"/>
    <w:rsid w:val="DEFF6EB2"/>
    <w:rsid w:val="DEFFEB10"/>
    <w:rsid w:val="DF3DE4CB"/>
    <w:rsid w:val="DF4F2216"/>
    <w:rsid w:val="DF5D1962"/>
    <w:rsid w:val="DF5FDCF5"/>
    <w:rsid w:val="DF5FFCC0"/>
    <w:rsid w:val="DF6B6930"/>
    <w:rsid w:val="DF6E8B78"/>
    <w:rsid w:val="DF7662B7"/>
    <w:rsid w:val="DF77FED7"/>
    <w:rsid w:val="DF7A8131"/>
    <w:rsid w:val="DF7C8C30"/>
    <w:rsid w:val="DF7F22E4"/>
    <w:rsid w:val="DF7F5697"/>
    <w:rsid w:val="DF7F6D7F"/>
    <w:rsid w:val="DF9E3A90"/>
    <w:rsid w:val="DFA491AB"/>
    <w:rsid w:val="DFAF106D"/>
    <w:rsid w:val="DFB9E0F8"/>
    <w:rsid w:val="DFBA5746"/>
    <w:rsid w:val="DFBFC40B"/>
    <w:rsid w:val="DFDB0B76"/>
    <w:rsid w:val="DFDB6F95"/>
    <w:rsid w:val="DFDB818D"/>
    <w:rsid w:val="DFDEC0AD"/>
    <w:rsid w:val="DFDF06BA"/>
    <w:rsid w:val="DFDFBDDF"/>
    <w:rsid w:val="DFDFF5DE"/>
    <w:rsid w:val="DFE71353"/>
    <w:rsid w:val="DFEB46C2"/>
    <w:rsid w:val="DFEFD758"/>
    <w:rsid w:val="DFF3A861"/>
    <w:rsid w:val="DFF3F900"/>
    <w:rsid w:val="DFF58545"/>
    <w:rsid w:val="DFF6D40C"/>
    <w:rsid w:val="DFFB932E"/>
    <w:rsid w:val="DFFD86E6"/>
    <w:rsid w:val="DFFE4013"/>
    <w:rsid w:val="DFFF7E31"/>
    <w:rsid w:val="DFFFAD1F"/>
    <w:rsid w:val="DFFFC6D9"/>
    <w:rsid w:val="E14FC262"/>
    <w:rsid w:val="E2FB4821"/>
    <w:rsid w:val="E3BC679A"/>
    <w:rsid w:val="E3EC6BC2"/>
    <w:rsid w:val="E3FE086E"/>
    <w:rsid w:val="E3FF70E8"/>
    <w:rsid w:val="E4FBE616"/>
    <w:rsid w:val="E55EB88F"/>
    <w:rsid w:val="E577A090"/>
    <w:rsid w:val="E5CF6FF7"/>
    <w:rsid w:val="E5DF1539"/>
    <w:rsid w:val="E6CE1D9E"/>
    <w:rsid w:val="E6EF4E2D"/>
    <w:rsid w:val="E797D913"/>
    <w:rsid w:val="E7A7B78A"/>
    <w:rsid w:val="E7AF27C8"/>
    <w:rsid w:val="E7C79B63"/>
    <w:rsid w:val="E7F87FBB"/>
    <w:rsid w:val="E7FCA2EA"/>
    <w:rsid w:val="E83CCD8D"/>
    <w:rsid w:val="E9476689"/>
    <w:rsid w:val="E9499C17"/>
    <w:rsid w:val="E97E1B13"/>
    <w:rsid w:val="E97EE903"/>
    <w:rsid w:val="E987A39C"/>
    <w:rsid w:val="E9CBF438"/>
    <w:rsid w:val="E9EF81FC"/>
    <w:rsid w:val="EA3910B5"/>
    <w:rsid w:val="EAAF5210"/>
    <w:rsid w:val="EAF9E2E6"/>
    <w:rsid w:val="EB3799B2"/>
    <w:rsid w:val="EB5C478D"/>
    <w:rsid w:val="EB7CB064"/>
    <w:rsid w:val="EB7F3458"/>
    <w:rsid w:val="EB8B1FDD"/>
    <w:rsid w:val="EBA1F686"/>
    <w:rsid w:val="EBAB8FE4"/>
    <w:rsid w:val="EBBB5A26"/>
    <w:rsid w:val="EBBDC64D"/>
    <w:rsid w:val="EBCA95FF"/>
    <w:rsid w:val="EBDEE6AF"/>
    <w:rsid w:val="EBEE1587"/>
    <w:rsid w:val="EBF2C662"/>
    <w:rsid w:val="EBF7C1DD"/>
    <w:rsid w:val="EBFFA8CF"/>
    <w:rsid w:val="EBFFED10"/>
    <w:rsid w:val="EC1D3357"/>
    <w:rsid w:val="ECFDEF3E"/>
    <w:rsid w:val="ECFEFDEC"/>
    <w:rsid w:val="ECFF05C4"/>
    <w:rsid w:val="ECFF7ADE"/>
    <w:rsid w:val="ED7D3966"/>
    <w:rsid w:val="ED9DC5F7"/>
    <w:rsid w:val="EDAF974B"/>
    <w:rsid w:val="EDBF7515"/>
    <w:rsid w:val="EDCF594C"/>
    <w:rsid w:val="EDDF35EB"/>
    <w:rsid w:val="EDEFA2E7"/>
    <w:rsid w:val="EDF7CFE1"/>
    <w:rsid w:val="EE7FA33F"/>
    <w:rsid w:val="EEBDB2B8"/>
    <w:rsid w:val="EEBE24F9"/>
    <w:rsid w:val="EEBEF2EE"/>
    <w:rsid w:val="EECFCECF"/>
    <w:rsid w:val="EEEF9E0F"/>
    <w:rsid w:val="EEF94EA6"/>
    <w:rsid w:val="EEFA9DFB"/>
    <w:rsid w:val="EEFD11FC"/>
    <w:rsid w:val="EEFF5ADB"/>
    <w:rsid w:val="EF236E42"/>
    <w:rsid w:val="EF364D5E"/>
    <w:rsid w:val="EF3B8C35"/>
    <w:rsid w:val="EF4B05A0"/>
    <w:rsid w:val="EF4FEBDB"/>
    <w:rsid w:val="EF53F317"/>
    <w:rsid w:val="EF57336F"/>
    <w:rsid w:val="EF5E1CE4"/>
    <w:rsid w:val="EF6B2FA3"/>
    <w:rsid w:val="EF6FA6EF"/>
    <w:rsid w:val="EF6FCAC3"/>
    <w:rsid w:val="EF71A8DE"/>
    <w:rsid w:val="EF7F1D9B"/>
    <w:rsid w:val="EF7FD688"/>
    <w:rsid w:val="EF939F27"/>
    <w:rsid w:val="EF9FBFAC"/>
    <w:rsid w:val="EFAFE45C"/>
    <w:rsid w:val="EFBC7365"/>
    <w:rsid w:val="EFBD46FA"/>
    <w:rsid w:val="EFBE8F76"/>
    <w:rsid w:val="EFCA96B6"/>
    <w:rsid w:val="EFD5EDCF"/>
    <w:rsid w:val="EFDAF03B"/>
    <w:rsid w:val="EFDD27F9"/>
    <w:rsid w:val="EFDE5E5A"/>
    <w:rsid w:val="EFDED598"/>
    <w:rsid w:val="EFDFECCA"/>
    <w:rsid w:val="EFEA5723"/>
    <w:rsid w:val="EFEDA84D"/>
    <w:rsid w:val="EFEF29F2"/>
    <w:rsid w:val="EFEF4181"/>
    <w:rsid w:val="EFEF812A"/>
    <w:rsid w:val="EFEFFC6D"/>
    <w:rsid w:val="EFF24BB6"/>
    <w:rsid w:val="EFF3D10D"/>
    <w:rsid w:val="EFFAB738"/>
    <w:rsid w:val="EFFB627C"/>
    <w:rsid w:val="EFFC1B3E"/>
    <w:rsid w:val="EFFE08FB"/>
    <w:rsid w:val="EFFF2E59"/>
    <w:rsid w:val="EFFF7C04"/>
    <w:rsid w:val="EFFFB5A7"/>
    <w:rsid w:val="EFFFB8F4"/>
    <w:rsid w:val="EFFFC0F6"/>
    <w:rsid w:val="F0F7F93F"/>
    <w:rsid w:val="F15453CD"/>
    <w:rsid w:val="F1BF01DB"/>
    <w:rsid w:val="F1DD0C46"/>
    <w:rsid w:val="F1EFB49E"/>
    <w:rsid w:val="F2AF0856"/>
    <w:rsid w:val="F2BF6551"/>
    <w:rsid w:val="F2F761B9"/>
    <w:rsid w:val="F31FE5C0"/>
    <w:rsid w:val="F35E176F"/>
    <w:rsid w:val="F39B359D"/>
    <w:rsid w:val="F3BF8D4C"/>
    <w:rsid w:val="F3D579F8"/>
    <w:rsid w:val="F3DD9363"/>
    <w:rsid w:val="F3DDEED1"/>
    <w:rsid w:val="F3F7D507"/>
    <w:rsid w:val="F3FB13F3"/>
    <w:rsid w:val="F3FB87D9"/>
    <w:rsid w:val="F3FB932A"/>
    <w:rsid w:val="F3FBD9C3"/>
    <w:rsid w:val="F3FD518C"/>
    <w:rsid w:val="F3FEFD86"/>
    <w:rsid w:val="F3FF1C21"/>
    <w:rsid w:val="F47E1722"/>
    <w:rsid w:val="F4BE19C4"/>
    <w:rsid w:val="F4DD721B"/>
    <w:rsid w:val="F4EEF81F"/>
    <w:rsid w:val="F53EB607"/>
    <w:rsid w:val="F55E11EF"/>
    <w:rsid w:val="F55F47EC"/>
    <w:rsid w:val="F55FE16C"/>
    <w:rsid w:val="F56BA999"/>
    <w:rsid w:val="F57F72FF"/>
    <w:rsid w:val="F5BF0893"/>
    <w:rsid w:val="F5DD4FEB"/>
    <w:rsid w:val="F5EA07DB"/>
    <w:rsid w:val="F60C5288"/>
    <w:rsid w:val="F67769E7"/>
    <w:rsid w:val="F67E3DA2"/>
    <w:rsid w:val="F69908A2"/>
    <w:rsid w:val="F6B1568A"/>
    <w:rsid w:val="F6DF48ED"/>
    <w:rsid w:val="F6DF4E35"/>
    <w:rsid w:val="F6DF8F56"/>
    <w:rsid w:val="F6DFED71"/>
    <w:rsid w:val="F6E92AE0"/>
    <w:rsid w:val="F6F5B322"/>
    <w:rsid w:val="F6F7CF83"/>
    <w:rsid w:val="F6FA1E7A"/>
    <w:rsid w:val="F6FE25D4"/>
    <w:rsid w:val="F6FFAEDA"/>
    <w:rsid w:val="F70D647F"/>
    <w:rsid w:val="F71FCEDC"/>
    <w:rsid w:val="F72CC925"/>
    <w:rsid w:val="F73EE592"/>
    <w:rsid w:val="F73FBCFD"/>
    <w:rsid w:val="F73FCD0F"/>
    <w:rsid w:val="F7576536"/>
    <w:rsid w:val="F75EC778"/>
    <w:rsid w:val="F76F8D26"/>
    <w:rsid w:val="F76F9772"/>
    <w:rsid w:val="F773D76E"/>
    <w:rsid w:val="F77B9F98"/>
    <w:rsid w:val="F77D4E75"/>
    <w:rsid w:val="F77F09C5"/>
    <w:rsid w:val="F79D4637"/>
    <w:rsid w:val="F79E5238"/>
    <w:rsid w:val="F7B6EB56"/>
    <w:rsid w:val="F7BC1A07"/>
    <w:rsid w:val="F7BF33A8"/>
    <w:rsid w:val="F7BFD1E8"/>
    <w:rsid w:val="F7C33A90"/>
    <w:rsid w:val="F7CDA011"/>
    <w:rsid w:val="F7CF96F1"/>
    <w:rsid w:val="F7DA87EC"/>
    <w:rsid w:val="F7DDC0C9"/>
    <w:rsid w:val="F7DF128C"/>
    <w:rsid w:val="F7DF12CA"/>
    <w:rsid w:val="F7DF367A"/>
    <w:rsid w:val="F7EE4378"/>
    <w:rsid w:val="F7EF6800"/>
    <w:rsid w:val="F7F19A4F"/>
    <w:rsid w:val="F7FB4D1D"/>
    <w:rsid w:val="F7FBE1B8"/>
    <w:rsid w:val="F7FD9B9A"/>
    <w:rsid w:val="F7FDD981"/>
    <w:rsid w:val="F7FE2098"/>
    <w:rsid w:val="F7FE51E9"/>
    <w:rsid w:val="F7FE80A9"/>
    <w:rsid w:val="F7FEC1BA"/>
    <w:rsid w:val="F7FEFDFD"/>
    <w:rsid w:val="F7FF2AD7"/>
    <w:rsid w:val="F7FFCBB8"/>
    <w:rsid w:val="F8CCBEA3"/>
    <w:rsid w:val="F8F7AA42"/>
    <w:rsid w:val="F9238E4E"/>
    <w:rsid w:val="F92F7EE4"/>
    <w:rsid w:val="F930D1EB"/>
    <w:rsid w:val="F97338A9"/>
    <w:rsid w:val="F9788290"/>
    <w:rsid w:val="F97B2D06"/>
    <w:rsid w:val="F97DA793"/>
    <w:rsid w:val="F97ECC83"/>
    <w:rsid w:val="F9AF14BA"/>
    <w:rsid w:val="F9BE89C4"/>
    <w:rsid w:val="F9BEB6F8"/>
    <w:rsid w:val="F9BFAE27"/>
    <w:rsid w:val="F9C74293"/>
    <w:rsid w:val="F9D77C9A"/>
    <w:rsid w:val="F9EA4DF8"/>
    <w:rsid w:val="F9ED7312"/>
    <w:rsid w:val="F9EF7D3B"/>
    <w:rsid w:val="F9FF17F9"/>
    <w:rsid w:val="FA1F40C7"/>
    <w:rsid w:val="FA6C3836"/>
    <w:rsid w:val="FAB713A0"/>
    <w:rsid w:val="FACDFB27"/>
    <w:rsid w:val="FAD9F880"/>
    <w:rsid w:val="FADBA30C"/>
    <w:rsid w:val="FADF5F7C"/>
    <w:rsid w:val="FADF678E"/>
    <w:rsid w:val="FADF67EF"/>
    <w:rsid w:val="FADFF731"/>
    <w:rsid w:val="FAE7A057"/>
    <w:rsid w:val="FAEF4C7C"/>
    <w:rsid w:val="FAFB5F8E"/>
    <w:rsid w:val="FAFB6010"/>
    <w:rsid w:val="FAFF6DFC"/>
    <w:rsid w:val="FB1B2BED"/>
    <w:rsid w:val="FB5755F7"/>
    <w:rsid w:val="FB5F179F"/>
    <w:rsid w:val="FB6F44E8"/>
    <w:rsid w:val="FB7B997F"/>
    <w:rsid w:val="FB97BD21"/>
    <w:rsid w:val="FB9942BC"/>
    <w:rsid w:val="FB9FF5F9"/>
    <w:rsid w:val="FBBACD2B"/>
    <w:rsid w:val="FBBE7714"/>
    <w:rsid w:val="FBBEB597"/>
    <w:rsid w:val="FBBF984D"/>
    <w:rsid w:val="FBC3DD62"/>
    <w:rsid w:val="FBCCA582"/>
    <w:rsid w:val="FBDFAB47"/>
    <w:rsid w:val="FBE7C7A4"/>
    <w:rsid w:val="FBE7D0F2"/>
    <w:rsid w:val="FBEE1987"/>
    <w:rsid w:val="FBEEE063"/>
    <w:rsid w:val="FBEF4728"/>
    <w:rsid w:val="FBEF4FFF"/>
    <w:rsid w:val="FBEFD856"/>
    <w:rsid w:val="FBF33BC7"/>
    <w:rsid w:val="FBF62698"/>
    <w:rsid w:val="FBF9326D"/>
    <w:rsid w:val="FBFC75DC"/>
    <w:rsid w:val="FBFD441C"/>
    <w:rsid w:val="FBFF7562"/>
    <w:rsid w:val="FBFF8D41"/>
    <w:rsid w:val="FBFFB0E1"/>
    <w:rsid w:val="FBFFE3B5"/>
    <w:rsid w:val="FC0DB70D"/>
    <w:rsid w:val="FC2F53C2"/>
    <w:rsid w:val="FC963BB8"/>
    <w:rsid w:val="FCE9FAF4"/>
    <w:rsid w:val="FCEDB98D"/>
    <w:rsid w:val="FCEF2A98"/>
    <w:rsid w:val="FCEF3D4E"/>
    <w:rsid w:val="FCFF9401"/>
    <w:rsid w:val="FD368EFE"/>
    <w:rsid w:val="FD39DCF1"/>
    <w:rsid w:val="FD3F2286"/>
    <w:rsid w:val="FD3F22BD"/>
    <w:rsid w:val="FD55D07D"/>
    <w:rsid w:val="FD651833"/>
    <w:rsid w:val="FD6C589C"/>
    <w:rsid w:val="FD6F06CD"/>
    <w:rsid w:val="FD6F5363"/>
    <w:rsid w:val="FD7765E0"/>
    <w:rsid w:val="FD778D9F"/>
    <w:rsid w:val="FD7B8E4B"/>
    <w:rsid w:val="FD7C9616"/>
    <w:rsid w:val="FD8F726A"/>
    <w:rsid w:val="FDA81EFA"/>
    <w:rsid w:val="FDAECE6B"/>
    <w:rsid w:val="FDB25C2A"/>
    <w:rsid w:val="FDB3D59E"/>
    <w:rsid w:val="FDBACC2C"/>
    <w:rsid w:val="FDBB0573"/>
    <w:rsid w:val="FDBD7227"/>
    <w:rsid w:val="FDBE92F4"/>
    <w:rsid w:val="FDBFBAA2"/>
    <w:rsid w:val="FDBFD495"/>
    <w:rsid w:val="FDCED454"/>
    <w:rsid w:val="FDE93882"/>
    <w:rsid w:val="FDEF610A"/>
    <w:rsid w:val="FDEFBA92"/>
    <w:rsid w:val="FDEFD6EB"/>
    <w:rsid w:val="FDEFE7BF"/>
    <w:rsid w:val="FDF955E7"/>
    <w:rsid w:val="FDFA7456"/>
    <w:rsid w:val="FDFB585B"/>
    <w:rsid w:val="FDFB6D15"/>
    <w:rsid w:val="FDFD63B8"/>
    <w:rsid w:val="FDFD7E29"/>
    <w:rsid w:val="FDFD8709"/>
    <w:rsid w:val="FDFE522F"/>
    <w:rsid w:val="FDFEAF12"/>
    <w:rsid w:val="FDFED2D8"/>
    <w:rsid w:val="FDFF3431"/>
    <w:rsid w:val="FDFFE123"/>
    <w:rsid w:val="FE37DD82"/>
    <w:rsid w:val="FE3F7C60"/>
    <w:rsid w:val="FE671909"/>
    <w:rsid w:val="FE6B0DB0"/>
    <w:rsid w:val="FE734356"/>
    <w:rsid w:val="FE7AE341"/>
    <w:rsid w:val="FE7F4688"/>
    <w:rsid w:val="FE7F52A9"/>
    <w:rsid w:val="FE9ED090"/>
    <w:rsid w:val="FEAECBEF"/>
    <w:rsid w:val="FEAFCE25"/>
    <w:rsid w:val="FEB7DADD"/>
    <w:rsid w:val="FEB7E987"/>
    <w:rsid w:val="FEBC52FD"/>
    <w:rsid w:val="FEBD146F"/>
    <w:rsid w:val="FEBDF1F4"/>
    <w:rsid w:val="FEBE364B"/>
    <w:rsid w:val="FEBEE9BE"/>
    <w:rsid w:val="FEBF745E"/>
    <w:rsid w:val="FEBF7481"/>
    <w:rsid w:val="FEBFA54B"/>
    <w:rsid w:val="FEBFA9C3"/>
    <w:rsid w:val="FEBFF01F"/>
    <w:rsid w:val="FED77834"/>
    <w:rsid w:val="FED7ED24"/>
    <w:rsid w:val="FED8BA7E"/>
    <w:rsid w:val="FEDDC468"/>
    <w:rsid w:val="FEDE507E"/>
    <w:rsid w:val="FEEF528D"/>
    <w:rsid w:val="FEEF8B8C"/>
    <w:rsid w:val="FEF35D4B"/>
    <w:rsid w:val="FEF692FA"/>
    <w:rsid w:val="FEF6BD60"/>
    <w:rsid w:val="FEFB657F"/>
    <w:rsid w:val="FEFB8FB5"/>
    <w:rsid w:val="FEFB9844"/>
    <w:rsid w:val="FEFCAF25"/>
    <w:rsid w:val="FEFD077C"/>
    <w:rsid w:val="FEFD5439"/>
    <w:rsid w:val="FEFE9B06"/>
    <w:rsid w:val="FEFF15A3"/>
    <w:rsid w:val="FEFF70D6"/>
    <w:rsid w:val="FEFF9380"/>
    <w:rsid w:val="FEFFF96B"/>
    <w:rsid w:val="FF174CAD"/>
    <w:rsid w:val="FF1B7103"/>
    <w:rsid w:val="FF1FF64A"/>
    <w:rsid w:val="FF2D202F"/>
    <w:rsid w:val="FF379C39"/>
    <w:rsid w:val="FF3ED1FC"/>
    <w:rsid w:val="FF3EE88A"/>
    <w:rsid w:val="FF3F2274"/>
    <w:rsid w:val="FF3F98A1"/>
    <w:rsid w:val="FF4EE88D"/>
    <w:rsid w:val="FF523610"/>
    <w:rsid w:val="FF5B33F6"/>
    <w:rsid w:val="FF5BA8BC"/>
    <w:rsid w:val="FF5BBF95"/>
    <w:rsid w:val="FF5BCD85"/>
    <w:rsid w:val="FF5BFBA3"/>
    <w:rsid w:val="FF5D00A7"/>
    <w:rsid w:val="FF5E591D"/>
    <w:rsid w:val="FF682CD2"/>
    <w:rsid w:val="FF6BD618"/>
    <w:rsid w:val="FF73EDBA"/>
    <w:rsid w:val="FF791294"/>
    <w:rsid w:val="FF7ACBEB"/>
    <w:rsid w:val="FF7B6085"/>
    <w:rsid w:val="FF7B9BB5"/>
    <w:rsid w:val="FF7D655D"/>
    <w:rsid w:val="FF7F08BE"/>
    <w:rsid w:val="FF7FACA5"/>
    <w:rsid w:val="FF7FBEF0"/>
    <w:rsid w:val="FF7FDBAF"/>
    <w:rsid w:val="FF8A8E41"/>
    <w:rsid w:val="FF970D5E"/>
    <w:rsid w:val="FFA31D74"/>
    <w:rsid w:val="FFA7755A"/>
    <w:rsid w:val="FFAB704D"/>
    <w:rsid w:val="FFAD0289"/>
    <w:rsid w:val="FFB36AB8"/>
    <w:rsid w:val="FFB37ABB"/>
    <w:rsid w:val="FFB44BE2"/>
    <w:rsid w:val="FFB6B46F"/>
    <w:rsid w:val="FFB74813"/>
    <w:rsid w:val="FFBB86D0"/>
    <w:rsid w:val="FFBBD91B"/>
    <w:rsid w:val="FFBD7587"/>
    <w:rsid w:val="FFBDC828"/>
    <w:rsid w:val="FFBF62B7"/>
    <w:rsid w:val="FFBFB70A"/>
    <w:rsid w:val="FFBFBAFB"/>
    <w:rsid w:val="FFCCE2E2"/>
    <w:rsid w:val="FFCEC72B"/>
    <w:rsid w:val="FFD4BAA8"/>
    <w:rsid w:val="FFD55F07"/>
    <w:rsid w:val="FFD711E9"/>
    <w:rsid w:val="FFD77DEF"/>
    <w:rsid w:val="FFD90B8A"/>
    <w:rsid w:val="FFDDA49E"/>
    <w:rsid w:val="FFDDBEA7"/>
    <w:rsid w:val="FFDDFB51"/>
    <w:rsid w:val="FFDFBA5B"/>
    <w:rsid w:val="FFE510E3"/>
    <w:rsid w:val="FFE774AC"/>
    <w:rsid w:val="FFE7BB7C"/>
    <w:rsid w:val="FFE7BDEB"/>
    <w:rsid w:val="FFE7D865"/>
    <w:rsid w:val="FFE90B34"/>
    <w:rsid w:val="FFEBA054"/>
    <w:rsid w:val="FFED5FF7"/>
    <w:rsid w:val="FFEF5EC3"/>
    <w:rsid w:val="FFEFF6A9"/>
    <w:rsid w:val="FFF0B6F2"/>
    <w:rsid w:val="FFF2FA6C"/>
    <w:rsid w:val="FFF3DFCF"/>
    <w:rsid w:val="FFF57B4C"/>
    <w:rsid w:val="FFF5F597"/>
    <w:rsid w:val="FFF73D6D"/>
    <w:rsid w:val="FFF767A2"/>
    <w:rsid w:val="FFF76FB4"/>
    <w:rsid w:val="FFF77C51"/>
    <w:rsid w:val="FFF7B5E7"/>
    <w:rsid w:val="FFF7E040"/>
    <w:rsid w:val="FFF7E6E4"/>
    <w:rsid w:val="FFF8226C"/>
    <w:rsid w:val="FFF88662"/>
    <w:rsid w:val="FFF93C28"/>
    <w:rsid w:val="FFF9605E"/>
    <w:rsid w:val="FFFB5731"/>
    <w:rsid w:val="FFFBCC9F"/>
    <w:rsid w:val="FFFBCF60"/>
    <w:rsid w:val="FFFCE708"/>
    <w:rsid w:val="FFFD715A"/>
    <w:rsid w:val="FFFD90D9"/>
    <w:rsid w:val="FFFD928E"/>
    <w:rsid w:val="FFFDC3C1"/>
    <w:rsid w:val="FFFE2461"/>
    <w:rsid w:val="FFFE2A1F"/>
    <w:rsid w:val="FFFE78F4"/>
    <w:rsid w:val="FFFE9D38"/>
    <w:rsid w:val="FFFEA24B"/>
    <w:rsid w:val="FFFECDAC"/>
    <w:rsid w:val="FFFEF04F"/>
    <w:rsid w:val="FFFEF4BD"/>
    <w:rsid w:val="FFFF5D74"/>
    <w:rsid w:val="FFFF6672"/>
    <w:rsid w:val="FFFF7E15"/>
    <w:rsid w:val="FFFFAE1D"/>
    <w:rsid w:val="FFFFB30F"/>
    <w:rsid w:val="FFFFB947"/>
    <w:rsid w:val="FFFFBD95"/>
    <w:rsid w:val="FFFFC4FC"/>
    <w:rsid w:val="FFFFDFCF"/>
    <w:rsid w:val="FFFFF95F"/>
    <w:rsid w:val="FFFFF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ind w:firstLine="640"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300" w:lineRule="auto"/>
      <w:ind w:firstLine="640" w:firstLineChars="200"/>
      <w:jc w:val="both"/>
      <w:outlineLvl w:val="0"/>
    </w:pPr>
    <w:rPr>
      <w:rFonts w:eastAsia="黑体"/>
      <w:kern w:val="44"/>
      <w:sz w:val="28"/>
    </w:rPr>
  </w:style>
  <w:style w:type="paragraph" w:styleId="3">
    <w:name w:val="heading 2"/>
    <w:basedOn w:val="1"/>
    <w:next w:val="1"/>
    <w:unhideWhenUsed/>
    <w:qFormat/>
    <w:uiPriority w:val="0"/>
    <w:pPr>
      <w:keepNext/>
      <w:keepLines/>
      <w:spacing w:before="50" w:beforeLines="50" w:beforeAutospacing="0" w:after="50" w:afterLines="50" w:afterAutospacing="0" w:line="300" w:lineRule="auto"/>
      <w:outlineLvl w:val="1"/>
    </w:pPr>
    <w:rPr>
      <w:rFonts w:eastAsia="楷体"/>
    </w:rPr>
  </w:style>
  <w:style w:type="paragraph" w:styleId="4">
    <w:name w:val="heading 3"/>
    <w:basedOn w:val="1"/>
    <w:next w:val="1"/>
    <w:unhideWhenUsed/>
    <w:qFormat/>
    <w:uiPriority w:val="0"/>
    <w:pPr>
      <w:keepNext/>
      <w:keepLines/>
      <w:spacing w:beforeLines="0" w:beforeAutospacing="0" w:afterLines="0" w:afterAutospacing="0" w:line="300" w:lineRule="auto"/>
      <w:outlineLvl w:val="2"/>
    </w:pPr>
    <w:rPr>
      <w:rFonts w:eastAsia="宋体"/>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endnote text"/>
    <w:basedOn w:val="1"/>
    <w:uiPriority w:val="0"/>
    <w:pPr>
      <w:snapToGrid w:val="0"/>
      <w:jc w:val="both"/>
    </w:pPr>
    <w:rPr>
      <w:rFonts w:eastAsia="宋体"/>
    </w:rPr>
  </w:style>
  <w:style w:type="paragraph" w:styleId="7">
    <w:name w:val="footer"/>
    <w:basedOn w:val="1"/>
    <w:uiPriority w:val="0"/>
    <w:pPr>
      <w:tabs>
        <w:tab w:val="center" w:pos="4153"/>
        <w:tab w:val="right" w:pos="8306"/>
      </w:tabs>
      <w:snapToGrid w:val="0"/>
      <w:jc w:val="left"/>
    </w:pPr>
    <w:rPr>
      <w:sz w:val="18"/>
    </w:rPr>
  </w:style>
  <w:style w:type="paragraph" w:styleId="8">
    <w:name w:val="footnote text"/>
    <w:basedOn w:val="1"/>
    <w:link w:val="13"/>
    <w:uiPriority w:val="0"/>
    <w:pPr>
      <w:snapToGrid w:val="0"/>
      <w:spacing w:line="240" w:lineRule="auto"/>
      <w:ind w:left="0" w:firstLine="640" w:firstLineChars="200"/>
      <w:jc w:val="both"/>
    </w:pPr>
    <w:rPr>
      <w:rFonts w:ascii="Times New Roman" w:hAnsi="Times New Roman" w:eastAsia="宋体"/>
      <w:sz w:val="18"/>
    </w:rPr>
  </w:style>
  <w:style w:type="character" w:styleId="11">
    <w:name w:val="endnote reference"/>
    <w:basedOn w:val="10"/>
    <w:uiPriority w:val="0"/>
    <w:rPr>
      <w:vertAlign w:val="superscript"/>
    </w:rPr>
  </w:style>
  <w:style w:type="character" w:styleId="12">
    <w:name w:val="footnote reference"/>
    <w:basedOn w:val="10"/>
    <w:uiPriority w:val="0"/>
    <w:rPr>
      <w:vertAlign w:val="superscript"/>
    </w:rPr>
  </w:style>
  <w:style w:type="character" w:customStyle="1" w:styleId="13">
    <w:name w:val="脚注文本 Char"/>
    <w:link w:val="8"/>
    <w:uiPriority w:val="0"/>
    <w:rPr>
      <w:rFonts w:ascii="Times New Roman" w:hAnsi="Times New Roman" w:eastAsia="宋体"/>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14465</Words>
  <Characters>15098</Characters>
  <Lines>0</Lines>
  <Paragraphs>0</Paragraphs>
  <TotalTime>2</TotalTime>
  <ScaleCrop>false</ScaleCrop>
  <LinksUpToDate>false</LinksUpToDate>
  <CharactersWithSpaces>15149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2025-06-19T13:55:00Z</dcterms:created>
  <dc:creator>Jay＇zIron</dc:creator>
  <cp:lastModifiedBy>LAW</cp:lastModifiedBy>
  <dcterms:modified xsi:type="dcterms:W3CDTF">2026-04-06T13:58:48Z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4F58515A4F1C9CF99A1DB4696D22F0FE_43</vt:lpwstr>
  </property>
</Properties>
</file>