
<file path=[Content_Types].xml><?xml version="1.0" encoding="utf-8"?>
<Types xmlns="http://schemas.openxmlformats.org/package/2006/content-types">
  <Default Extension="xlsx" ContentType="application/vnd.openxmlformats-officedocument.spreadsheetml.shee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418B20">
      <w:pPr>
        <w:jc w:val="center"/>
        <w:rPr>
          <w:rFonts w:hint="default" w:ascii="黑体" w:hAnsi="黑体" w:eastAsia="黑体" w:cs="Times New Roman"/>
          <w:bCs/>
          <w:sz w:val="32"/>
          <w:szCs w:val="32"/>
          <w:lang w:val="en-US" w:eastAsia="zh-CN"/>
        </w:rPr>
      </w:pPr>
      <w:r>
        <w:rPr>
          <w:rFonts w:hint="eastAsia" w:ascii="黑体" w:hAnsi="黑体" w:eastAsia="黑体" w:cs="Times New Roman"/>
          <w:bCs/>
          <w:sz w:val="32"/>
          <w:szCs w:val="32"/>
        </w:rPr>
        <w:t>多元化纠纷解决视域下新时代“枫桥经验”</w:t>
      </w:r>
      <w:r>
        <w:rPr>
          <w:rFonts w:hint="eastAsia" w:ascii="黑体" w:hAnsi="黑体" w:eastAsia="黑体" w:cs="Times New Roman"/>
          <w:bCs/>
          <w:sz w:val="32"/>
          <w:szCs w:val="32"/>
          <w:lang w:val="en-US" w:eastAsia="zh-CN"/>
        </w:rPr>
        <w:t>对</w:t>
      </w:r>
      <w:r>
        <w:rPr>
          <w:rFonts w:hint="eastAsia" w:ascii="黑体" w:hAnsi="黑体" w:eastAsia="黑体" w:cs="Times New Roman"/>
          <w:bCs/>
          <w:sz w:val="32"/>
          <w:szCs w:val="32"/>
        </w:rPr>
        <w:t>家事调查员制度的</w:t>
      </w:r>
      <w:r>
        <w:rPr>
          <w:rFonts w:hint="eastAsia" w:ascii="黑体" w:hAnsi="黑体" w:eastAsia="黑体" w:cs="Times New Roman"/>
          <w:bCs/>
          <w:sz w:val="32"/>
          <w:szCs w:val="32"/>
          <w:lang w:val="en-US" w:eastAsia="zh-CN"/>
        </w:rPr>
        <w:t>启示与赋能</w:t>
      </w:r>
    </w:p>
    <w:p w14:paraId="3AE35675">
      <w:pPr>
        <w:jc w:val="center"/>
        <w:rPr>
          <w:rStyle w:val="11"/>
          <w:rFonts w:hint="eastAsia" w:ascii="Times New Roman" w:hAnsi="Times New Roman" w:eastAsia="宋体" w:cs="宋体"/>
          <w:b/>
          <w:bCs/>
          <w:i w:val="0"/>
          <w:iCs w:val="0"/>
          <w:caps w:val="0"/>
          <w:spacing w:val="0"/>
          <w:kern w:val="0"/>
          <w:sz w:val="21"/>
          <w:szCs w:val="21"/>
          <w:shd w:val="clear" w:fill="FFFFFF"/>
          <w:lang w:val="en-US" w:eastAsia="zh-CN" w:bidi="ar"/>
        </w:rPr>
      </w:pPr>
      <w:r>
        <w:rPr>
          <w:rFonts w:hint="eastAsia" w:ascii="楷体" w:hAnsi="楷体" w:eastAsia="楷体" w:cs="Times New Roman"/>
          <w:bCs/>
          <w:sz w:val="24"/>
          <w:szCs w:val="24"/>
          <w:lang w:val="en-US" w:eastAsia="zh-CN"/>
        </w:rPr>
        <w:t>毛雅婷</w:t>
      </w:r>
    </w:p>
    <w:p w14:paraId="03B601DC">
      <w:pPr>
        <w:ind w:firstLine="420" w:firstLineChars="200"/>
        <w:rPr>
          <w:rFonts w:hint="default" w:ascii="华文仿宋" w:hAnsi="华文仿宋" w:eastAsia="华文仿宋" w:cs="Times New Roman"/>
          <w:bCs/>
          <w:szCs w:val="22"/>
          <w:lang w:val="en-US" w:eastAsia="zh-CN"/>
        </w:rPr>
      </w:pPr>
      <w:r>
        <w:rPr>
          <w:rFonts w:hint="eastAsia" w:ascii="华文仿宋" w:hAnsi="华文仿宋" w:eastAsia="华文仿宋" w:cs="Times New Roman"/>
          <w:bCs/>
          <w:szCs w:val="22"/>
          <w:lang w:val="en-US" w:eastAsia="zh-CN"/>
        </w:rPr>
        <w:t>【摘  要】：基于多元化纠纷解决的法治原理，结合涉及家事调查裁判文书的实证分析，发现家事调查员制度在实践中存在调查主体专业性不高、保障机制不足、运行程序不规范、调解功能薄弱等问题。问题的根源在于未从社会治理现代化高度实现家事调查员制度的功能定位，导致新时代“枫桥经验”难以成为该制度的指导性理念与行动指南。新时代“枫桥经验”与家事调查员制度在价值理念、制度功能、实践原理上存在耦合，应通过确立社会治理为本的指导思想，打造多元共治的协同机制、培育“枫桥式”家事调查员队伍、优化家事调解的调查流程，将新时代“枫桥经验”全面嵌入家事调查员制度，推动其从司法辅助向社会治理的功能转向。</w:t>
      </w:r>
    </w:p>
    <w:p w14:paraId="1574430C">
      <w:pPr>
        <w:ind w:firstLine="420" w:firstLineChars="200"/>
        <w:rPr>
          <w:rFonts w:hint="eastAsia" w:ascii="华文仿宋" w:hAnsi="华文仿宋" w:eastAsia="华文仿宋" w:cs="Times New Roman"/>
          <w:bCs/>
          <w:szCs w:val="22"/>
          <w:lang w:val="en-US" w:eastAsia="zh-CN"/>
        </w:rPr>
      </w:pPr>
      <w:r>
        <w:rPr>
          <w:rFonts w:hint="eastAsia" w:ascii="华文仿宋" w:hAnsi="华文仿宋" w:eastAsia="华文仿宋" w:cs="Times New Roman"/>
          <w:bCs/>
          <w:szCs w:val="22"/>
          <w:lang w:val="en-US" w:eastAsia="zh-CN"/>
        </w:rPr>
        <w:t>【关键词】：</w:t>
      </w:r>
      <w:r>
        <w:rPr>
          <w:rFonts w:hint="eastAsia" w:ascii="华文仿宋" w:hAnsi="华文仿宋" w:eastAsia="华文仿宋" w:cs="Times New Roman"/>
          <w:bCs/>
          <w:szCs w:val="22"/>
          <w:lang w:val="en-US" w:eastAsia="zh-CN"/>
        </w:rPr>
        <w:t>社会治理现代化；多元化纠纷解决；新时代“枫桥经验”；家事调查员制度；家事纠纷</w:t>
      </w:r>
    </w:p>
    <w:p w14:paraId="7CB9EAB6">
      <w:pPr>
        <w:ind w:firstLine="420" w:firstLineChars="200"/>
        <w:rPr>
          <w:rFonts w:hint="eastAsia" w:ascii="华文仿宋" w:hAnsi="华文仿宋" w:eastAsia="华文仿宋" w:cs="Times New Roman"/>
          <w:bCs/>
          <w:szCs w:val="22"/>
          <w:lang w:val="en-US" w:eastAsia="zh-CN"/>
        </w:rPr>
      </w:pPr>
      <w:r>
        <w:rPr>
          <w:rFonts w:hint="eastAsia" w:ascii="华文仿宋" w:hAnsi="华文仿宋" w:eastAsia="华文仿宋" w:cs="Times New Roman"/>
          <w:bCs/>
          <w:szCs w:val="22"/>
          <w:lang w:val="en-US" w:eastAsia="zh-CN"/>
        </w:rPr>
        <w:t>【作者信息】：毛雅婷，南京师范大学法学院2024级硕士研究生。</w:t>
      </w:r>
    </w:p>
    <w:p w14:paraId="74E1A1E7">
      <w:pPr>
        <w:ind w:firstLine="420" w:firstLineChars="200"/>
        <w:rPr>
          <w:rFonts w:hint="eastAsia" w:ascii="华文仿宋" w:hAnsi="华文仿宋" w:eastAsia="华文仿宋" w:cs="Times New Roman"/>
          <w:bCs/>
          <w:szCs w:val="22"/>
          <w:lang w:val="en-US" w:eastAsia="zh-CN"/>
        </w:rPr>
      </w:pPr>
      <w:r>
        <w:rPr>
          <w:rFonts w:hint="eastAsia" w:ascii="华文仿宋" w:hAnsi="华文仿宋" w:eastAsia="华文仿宋" w:cs="Times New Roman"/>
          <w:bCs/>
          <w:szCs w:val="22"/>
          <w:lang w:val="en-US" w:eastAsia="zh-CN"/>
        </w:rPr>
        <w:t>【项目信息】：江苏省社科基金项目“民事争议焦点自动生成的程序法理与规则建构研究”（23FXB001）的</w:t>
      </w:r>
      <w:r>
        <w:rPr>
          <w:rFonts w:hint="eastAsia" w:ascii="华文仿宋" w:hAnsi="华文仿宋" w:eastAsia="华文仿宋" w:cs="Times New Roman"/>
          <w:bCs/>
        </w:rPr>
        <w:t>阶段性</w:t>
      </w:r>
      <w:r>
        <w:rPr>
          <w:rFonts w:ascii="华文仿宋" w:hAnsi="华文仿宋" w:eastAsia="华文仿宋" w:cs="Times New Roman"/>
          <w:bCs/>
        </w:rPr>
        <w:t>研究成果</w:t>
      </w:r>
      <w:r>
        <w:rPr>
          <w:rFonts w:hint="eastAsia" w:ascii="华文仿宋" w:hAnsi="华文仿宋" w:eastAsia="华文仿宋" w:cs="Times New Roman"/>
          <w:bCs/>
          <w:lang w:eastAsia="zh-CN"/>
        </w:rPr>
        <w:t>。</w:t>
      </w:r>
    </w:p>
    <w:p w14:paraId="66F74E41">
      <w:pPr>
        <w:spacing w:before="0" w:beforeLines="0" w:after="0" w:afterLines="0" w:line="240" w:lineRule="auto"/>
        <w:ind w:right="0" w:rightChars="0"/>
        <w:jc w:val="both"/>
        <w:rPr>
          <w:rFonts w:hint="eastAsia" w:ascii="Times New Roman" w:hAnsi="Times New Roman" w:eastAsia="宋体" w:cs="宋体"/>
          <w:sz w:val="21"/>
          <w:szCs w:val="21"/>
          <w:lang w:val="en-US" w:eastAsia="zh-CN"/>
        </w:rPr>
      </w:pPr>
    </w:p>
    <w:p w14:paraId="60CFC98F">
      <w:pPr>
        <w:rPr>
          <w:rFonts w:hint="eastAsia" w:ascii="黑体" w:hAnsi="黑体" w:eastAsia="黑体"/>
          <w:sz w:val="28"/>
          <w:szCs w:val="28"/>
          <w:lang w:val="en-US" w:eastAsia="zh-CN"/>
        </w:rPr>
      </w:pPr>
      <w:r>
        <w:rPr>
          <w:rFonts w:hint="eastAsia" w:ascii="黑体" w:hAnsi="黑体" w:eastAsia="黑体"/>
          <w:sz w:val="28"/>
          <w:szCs w:val="28"/>
          <w:lang w:val="en-US" w:eastAsia="zh-CN"/>
        </w:rPr>
        <w:t>引言</w:t>
      </w:r>
    </w:p>
    <w:p w14:paraId="689FF99F">
      <w:pPr>
        <w:ind w:firstLine="420" w:firstLineChars="200"/>
        <w:rPr>
          <w:rFonts w:hint="eastAsia" w:ascii="Times New Roman" w:hAnsi="Times New Roman" w:eastAsia="宋体" w:cs="宋体"/>
          <w:szCs w:val="21"/>
        </w:rPr>
      </w:pPr>
      <w:r>
        <w:rPr>
          <w:rFonts w:hint="eastAsia" w:ascii="Times New Roman" w:hAnsi="Times New Roman" w:eastAsia="宋体" w:cs="宋体"/>
          <w:szCs w:val="21"/>
        </w:rPr>
        <w:t>在社会转型加速期，家事纠纷呈现复杂化、多元化趋势，传统的家事审判模式在事实查明、情感修复与矛盾化解方面面临诸多困境</w:t>
      </w:r>
      <w:r>
        <w:rPr>
          <w:rFonts w:hint="eastAsia" w:ascii="Times New Roman" w:hAnsi="Times New Roman" w:eastAsia="宋体" w:cs="宋体"/>
          <w:szCs w:val="21"/>
          <w:lang w:eastAsia="zh-CN"/>
        </w:rPr>
        <w:t>，</w:t>
      </w:r>
      <w:r>
        <w:rPr>
          <w:rStyle w:val="14"/>
          <w:rFonts w:hint="eastAsia" w:ascii="Times New Roman" w:hAnsi="Times New Roman" w:eastAsia="宋体" w:cs="宋体"/>
          <w:szCs w:val="21"/>
        </w:rPr>
        <w:footnoteReference w:id="0"/>
      </w:r>
      <w:r>
        <w:rPr>
          <w:rFonts w:hint="eastAsia" w:ascii="Times New Roman" w:hAnsi="Times New Roman" w:eastAsia="宋体" w:cs="宋体"/>
          <w:szCs w:val="21"/>
        </w:rPr>
        <w:t>在此背景下构建一种更具弹性、更能修复家庭关系的多元化纠纷解决机制已成为家事审判改革乃至国家治理体系现代化的重要议题。作为多元化纠纷解决机制中的一项重要制度创新，家事调查员制度通过委派专业第三方对家事案件中的特定事实进行客观、中立、专业的调查，为法官裁判提供科学依据和重要参考</w:t>
      </w:r>
      <w:r>
        <w:rPr>
          <w:rFonts w:hint="eastAsia" w:ascii="Times New Roman" w:hAnsi="Times New Roman" w:eastAsia="宋体" w:cs="宋体"/>
          <w:szCs w:val="21"/>
          <w:lang w:eastAsia="zh-CN"/>
        </w:rPr>
        <w:t>，</w:t>
      </w:r>
      <w:r>
        <w:rPr>
          <w:rFonts w:hint="eastAsia" w:ascii="Times New Roman" w:hAnsi="Times New Roman" w:eastAsia="宋体" w:cs="宋体"/>
          <w:szCs w:val="21"/>
        </w:rPr>
        <w:t>提升司法决策的精准性与公信力</w:t>
      </w:r>
      <w:r>
        <w:rPr>
          <w:rFonts w:hint="eastAsia" w:ascii="Times New Roman" w:hAnsi="Times New Roman" w:eastAsia="宋体" w:cs="宋体"/>
          <w:szCs w:val="21"/>
          <w:lang w:eastAsia="zh-CN"/>
        </w:rPr>
        <w:t>。</w:t>
      </w:r>
      <w:r>
        <w:rPr>
          <w:rStyle w:val="14"/>
          <w:rFonts w:hint="eastAsia" w:ascii="Times New Roman" w:hAnsi="Times New Roman" w:eastAsia="宋体" w:cs="宋体"/>
          <w:szCs w:val="21"/>
        </w:rPr>
        <w:footnoteReference w:id="1"/>
      </w:r>
      <w:r>
        <w:rPr>
          <w:rFonts w:hint="eastAsia" w:ascii="Times New Roman" w:hAnsi="Times New Roman" w:eastAsia="宋体" w:cs="宋体"/>
          <w:szCs w:val="21"/>
        </w:rPr>
        <w:t>但是传统家事审判模式并未从社会治理现代化的高度认识家事审判的重要意义，这一认识局限的表现形式是多样的，对家事调查员制度功能与价值的忽视即是例证之一。当前，家事调查员制度多服务于审判工作，其作为独立纠纷化解手段、促成当事人沟通与和解的“前端”功能未能充分激活，难以全面因应并贯彻现代法治中的多元化纠纷解决理论。</w:t>
      </w:r>
    </w:p>
    <w:p w14:paraId="767D1F46">
      <w:pPr>
        <w:ind w:firstLine="420" w:firstLineChars="200"/>
        <w:rPr>
          <w:rFonts w:hint="eastAsia" w:ascii="Times New Roman" w:hAnsi="Times New Roman" w:eastAsia="宋体" w:cs="宋体"/>
          <w:szCs w:val="21"/>
          <w:lang w:eastAsia="zh-CN"/>
        </w:rPr>
      </w:pPr>
      <w:r>
        <w:rPr>
          <w:rFonts w:hint="eastAsia" w:ascii="Times New Roman" w:hAnsi="Times New Roman" w:eastAsia="宋体" w:cs="宋体"/>
          <w:szCs w:val="21"/>
        </w:rPr>
        <w:t>与此同时，发轫于上世纪60年代的“枫桥经验”已</w:t>
      </w:r>
      <w:r>
        <w:rPr>
          <w:rFonts w:hint="eastAsia" w:ascii="Times New Roman" w:hAnsi="Times New Roman" w:eastAsia="宋体" w:cs="宋体"/>
          <w:szCs w:val="21"/>
          <w:lang w:val="en-US" w:eastAsia="zh-CN"/>
        </w:rPr>
        <w:t>经</w:t>
      </w:r>
      <w:r>
        <w:rPr>
          <w:rFonts w:hint="eastAsia" w:ascii="Times New Roman" w:hAnsi="Times New Roman" w:eastAsia="宋体" w:cs="宋体"/>
          <w:szCs w:val="21"/>
          <w:highlight w:val="none"/>
        </w:rPr>
        <w:t>演进为新时代“党建统领、人民主体、三治融合、四防并举、共建共享”的多元化矛盾纠纷预防化解的中国方案与智慧结晶</w:t>
      </w:r>
      <w:r>
        <w:rPr>
          <w:rFonts w:hint="eastAsia" w:ascii="Times New Roman" w:hAnsi="Times New Roman" w:eastAsia="宋体" w:cs="宋体"/>
          <w:szCs w:val="21"/>
          <w:highlight w:val="none"/>
          <w:lang w:eastAsia="zh-CN"/>
        </w:rPr>
        <w:t>，</w:t>
      </w:r>
      <w:r>
        <w:rPr>
          <w:rStyle w:val="14"/>
          <w:rFonts w:hint="eastAsia" w:ascii="Times New Roman" w:hAnsi="Times New Roman" w:eastAsia="宋体" w:cs="宋体"/>
          <w:szCs w:val="21"/>
        </w:rPr>
        <w:footnoteReference w:id="2"/>
      </w:r>
      <w:r>
        <w:rPr>
          <w:rFonts w:hint="eastAsia" w:ascii="Times New Roman" w:hAnsi="Times New Roman" w:eastAsia="宋体" w:cs="宋体"/>
          <w:szCs w:val="21"/>
        </w:rPr>
        <w:t>这为解决传统家事审判模式面临的困境提供了有益思路。在新时代“枫桥经验”的视野下，家事调查员制度的功能定位有必要从司法辅助向社会治理转型，这就要求作为制度践行者的家事调查员应当重视新时代“枫桥经验”的理论智慧，在社会治理现代化的框架下适度转变工作重心。当家事调查员不再将自己单纯定位为法庭裁判的“辅助者”而是纠纷治理的“引导者”之时，家事纠纷的预防与化解就具备了更多的实现可能。此时，纠纷治理的力量也完成了从末端向前端的集结，这对于落实习近平总书记提出的“及时把矛盾纠纷化解在基层、化解在萌芽状态”</w:t>
      </w:r>
      <w:r>
        <w:rPr>
          <w:rStyle w:val="14"/>
          <w:rFonts w:hint="eastAsia" w:ascii="Times New Roman" w:hAnsi="Times New Roman" w:eastAsia="宋体" w:cs="宋体"/>
          <w:szCs w:val="21"/>
        </w:rPr>
        <w:footnoteReference w:id="3"/>
      </w:r>
      <w:r>
        <w:rPr>
          <w:rFonts w:hint="eastAsia" w:ascii="Times New Roman" w:hAnsi="Times New Roman" w:eastAsia="宋体" w:cs="宋体"/>
          <w:szCs w:val="21"/>
        </w:rPr>
        <w:t>具有重要意义。</w:t>
      </w:r>
    </w:p>
    <w:p w14:paraId="40BF42F3">
      <w:pPr>
        <w:ind w:firstLine="420" w:firstLineChars="200"/>
        <w:rPr>
          <w:rFonts w:hint="eastAsia" w:ascii="Times New Roman" w:hAnsi="Times New Roman" w:eastAsia="宋体" w:cs="宋体"/>
          <w:szCs w:val="21"/>
        </w:rPr>
      </w:pPr>
      <w:r>
        <w:rPr>
          <w:rFonts w:hint="eastAsia" w:ascii="Times New Roman" w:hAnsi="Times New Roman" w:eastAsia="宋体" w:cs="宋体"/>
          <w:szCs w:val="21"/>
        </w:rPr>
        <w:t>然而，现有研究并未</w:t>
      </w:r>
      <w:r>
        <w:rPr>
          <w:rFonts w:hint="eastAsia" w:ascii="Times New Roman" w:hAnsi="Times New Roman" w:eastAsia="宋体" w:cs="宋体"/>
          <w:szCs w:val="21"/>
          <w:lang w:val="en-US" w:eastAsia="zh-CN"/>
        </w:rPr>
        <w:t>全面</w:t>
      </w:r>
      <w:r>
        <w:rPr>
          <w:rFonts w:hint="eastAsia" w:ascii="Times New Roman" w:hAnsi="Times New Roman" w:eastAsia="宋体" w:cs="宋体"/>
          <w:szCs w:val="21"/>
        </w:rPr>
        <w:t>注意到新时代“枫桥经验”与家事调查员制度之间的紧密联系</w:t>
      </w:r>
      <w:r>
        <w:rPr>
          <w:rFonts w:hint="eastAsia" w:ascii="Times New Roman" w:hAnsi="Times New Roman" w:eastAsia="宋体" w:cs="宋体"/>
          <w:szCs w:val="21"/>
          <w:lang w:val="en-US" w:eastAsia="zh-CN"/>
        </w:rPr>
        <w:t>与互动关系</w:t>
      </w:r>
      <w:r>
        <w:rPr>
          <w:rFonts w:hint="eastAsia" w:ascii="Times New Roman" w:hAnsi="Times New Roman" w:eastAsia="宋体" w:cs="宋体"/>
          <w:szCs w:val="21"/>
        </w:rPr>
        <w:t>，或将其二者割裂予以研究，或缺乏对其二者间如何形成紧密衔接结构欠缺深入考察</w:t>
      </w:r>
      <w:r>
        <w:rPr>
          <w:rFonts w:hint="eastAsia" w:ascii="Times New Roman" w:hAnsi="Times New Roman" w:eastAsia="宋体" w:cs="宋体"/>
          <w:szCs w:val="21"/>
          <w:lang w:eastAsia="zh-CN"/>
        </w:rPr>
        <w:t>。</w:t>
      </w:r>
      <w:r>
        <w:rPr>
          <w:rStyle w:val="14"/>
          <w:rFonts w:hint="eastAsia" w:ascii="Times New Roman" w:hAnsi="Times New Roman" w:eastAsia="宋体" w:cs="宋体"/>
          <w:szCs w:val="21"/>
        </w:rPr>
        <w:footnoteReference w:id="4"/>
      </w:r>
      <w:r>
        <w:rPr>
          <w:rFonts w:hint="eastAsia" w:ascii="Times New Roman" w:hAnsi="Times New Roman" w:eastAsia="宋体" w:cs="宋体"/>
          <w:szCs w:val="21"/>
        </w:rPr>
        <w:t>这一方面不利于家事调查员制度内在功能与价值的全面发挥，也不利于新时代“枫桥经验”于家事审判体系及其制度中的有效嵌入。有鉴于此，本文拟在全面考察家事调查员制度实践问题的基础上，将新时代“枫桥经验”确立为相关制度优化的指导理念。为达成这一目标，需要从学理上论证新时代“枫桥经验”与家事调查员制度的内在耦合性，并对二者之间的结构性嵌入问题进行具体路径层面的探讨。</w:t>
      </w:r>
    </w:p>
    <w:p w14:paraId="6ACCC373">
      <w:pPr>
        <w:rPr>
          <w:rFonts w:hint="default" w:ascii="黑体" w:hAnsi="黑体" w:eastAsia="黑体"/>
          <w:sz w:val="28"/>
          <w:szCs w:val="28"/>
          <w:lang w:val="en-US" w:eastAsia="zh-CN"/>
        </w:rPr>
      </w:pPr>
      <w:r>
        <w:rPr>
          <w:rFonts w:hint="eastAsia" w:ascii="黑体" w:hAnsi="黑体" w:eastAsia="黑体"/>
          <w:sz w:val="28"/>
          <w:szCs w:val="28"/>
          <w:lang w:val="en-US" w:eastAsia="zh-CN"/>
        </w:rPr>
        <w:t>一、基于新时代“枫桥经验”的家事调查员制度的实践检视</w:t>
      </w:r>
    </w:p>
    <w:p w14:paraId="3A19CE8C">
      <w:pPr>
        <w:ind w:firstLine="420" w:firstLineChars="200"/>
        <w:rPr>
          <w:rFonts w:hint="eastAsia" w:ascii="Times New Roman" w:hAnsi="Times New Roman" w:eastAsia="宋体" w:cs="宋体"/>
          <w:szCs w:val="21"/>
          <w:lang w:val="en-US" w:eastAsia="zh-CN"/>
        </w:rPr>
      </w:pPr>
      <w:r>
        <w:rPr>
          <w:rFonts w:hint="eastAsia" w:ascii="Times New Roman" w:hAnsi="Times New Roman" w:eastAsia="宋体" w:cs="宋体"/>
          <w:szCs w:val="21"/>
          <w:lang w:val="en-US" w:eastAsia="zh-CN"/>
        </w:rPr>
        <w:t>为了更好地了解家事调查员的现状，通过“北大法宝”为数据依托，以“全文：家事调查员”“文书类型：判决书”进行类案检索，筛选出87篇与家事调查员制度密切关联的文书，</w:t>
      </w:r>
      <w:r>
        <w:rPr>
          <w:rStyle w:val="14"/>
          <w:rFonts w:hint="eastAsia" w:ascii="Times New Roman" w:hAnsi="Times New Roman" w:eastAsia="宋体" w:cs="宋体"/>
          <w:szCs w:val="21"/>
          <w:lang w:val="en-US" w:eastAsia="zh-CN"/>
        </w:rPr>
        <w:footnoteReference w:id="5"/>
      </w:r>
      <w:r>
        <w:rPr>
          <w:rFonts w:hint="eastAsia" w:ascii="Times New Roman" w:hAnsi="Times New Roman" w:eastAsia="宋体" w:cs="宋体"/>
          <w:szCs w:val="21"/>
          <w:lang w:val="en-US" w:eastAsia="zh-CN"/>
        </w:rPr>
        <w:t>并以此为主要分析样本。</w:t>
      </w:r>
      <w:r>
        <w:rPr>
          <w:rFonts w:hint="eastAsia" w:ascii="Times New Roman" w:hAnsi="Times New Roman" w:eastAsia="宋体" w:cs="宋体"/>
          <w:szCs w:val="21"/>
          <w:highlight w:val="none"/>
          <w:lang w:val="en-US" w:eastAsia="zh-CN"/>
        </w:rPr>
        <w:t>发现其在运行过程中虽取得一定成效，但仍存在</w:t>
      </w:r>
      <w:r>
        <w:rPr>
          <w:rFonts w:hint="eastAsia" w:ascii="Times New Roman" w:hAnsi="Times New Roman" w:eastAsia="宋体" w:cs="宋体"/>
          <w:sz w:val="21"/>
          <w:szCs w:val="21"/>
          <w:lang w:val="en-US" w:eastAsia="zh-CN"/>
        </w:rPr>
        <w:t>调查主体专业性不高、保障机制不足、运行程序不规范、调解功能薄弱等</w:t>
      </w:r>
      <w:r>
        <w:rPr>
          <w:rFonts w:hint="eastAsia" w:ascii="Times New Roman" w:hAnsi="Times New Roman" w:eastAsia="宋体" w:cs="宋体"/>
          <w:szCs w:val="21"/>
          <w:highlight w:val="none"/>
          <w:lang w:val="en-US" w:eastAsia="zh-CN"/>
        </w:rPr>
        <w:t>与新时代“枫桥经验”尚未深度契合的现实困境。</w:t>
      </w:r>
    </w:p>
    <w:p w14:paraId="29B83A4D">
      <w:pPr>
        <w:ind w:firstLine="480"/>
        <w:rPr>
          <w:rFonts w:hint="eastAsia" w:ascii="华文楷体" w:hAnsi="华文楷体" w:eastAsia="华文楷体"/>
          <w:sz w:val="24"/>
          <w:szCs w:val="24"/>
        </w:rPr>
      </w:pPr>
      <w:r>
        <w:rPr>
          <w:rFonts w:hint="eastAsia" w:ascii="华文楷体" w:hAnsi="华文楷体" w:eastAsia="华文楷体"/>
          <w:sz w:val="24"/>
          <w:szCs w:val="24"/>
          <w:lang w:val="en-US" w:eastAsia="zh-CN"/>
        </w:rPr>
        <w:t>（一）家事调查员制度的基本情况</w:t>
      </w:r>
    </w:p>
    <w:p w14:paraId="4C3F34D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宋体"/>
          <w:b w:val="0"/>
          <w:bCs w:val="0"/>
          <w:kern w:val="2"/>
          <w:sz w:val="21"/>
          <w:szCs w:val="21"/>
          <w:lang w:val="en-US" w:eastAsia="zh-CN" w:bidi="ar-SA"/>
        </w:rPr>
      </w:pPr>
      <w:r>
        <w:rPr>
          <w:rFonts w:hint="eastAsia" w:ascii="Times New Roman" w:hAnsi="Times New Roman" w:eastAsia="宋体" w:cs="宋体"/>
          <w:szCs w:val="21"/>
          <w:lang w:val="en-US" w:eastAsia="zh-CN"/>
        </w:rPr>
        <w:t>第一，</w:t>
      </w:r>
      <w:r>
        <w:rPr>
          <w:rFonts w:hint="eastAsia" w:ascii="Times New Roman" w:hAnsi="Times New Roman" w:eastAsia="宋体" w:cs="宋体"/>
          <w:szCs w:val="21"/>
        </w:rPr>
        <w:t>家事调查员制度呈现出明显的地域分化特色</w:t>
      </w:r>
      <w:r>
        <w:rPr>
          <w:rFonts w:hint="eastAsia" w:ascii="Times New Roman" w:hAnsi="Times New Roman" w:eastAsia="宋体" w:cs="宋体"/>
          <w:b w:val="0"/>
          <w:bCs w:val="0"/>
          <w:kern w:val="2"/>
          <w:sz w:val="21"/>
          <w:szCs w:val="21"/>
          <w:lang w:val="en-US" w:eastAsia="zh-CN" w:bidi="ar-SA"/>
        </w:rPr>
        <w:t>。</w:t>
      </w:r>
      <w:r>
        <w:rPr>
          <w:rFonts w:hint="eastAsia" w:ascii="Times New Roman" w:hAnsi="Times New Roman" w:eastAsia="宋体" w:cs="宋体"/>
          <w:szCs w:val="21"/>
        </w:rPr>
        <w:t>从87个案例的地域分布来看</w:t>
      </w:r>
      <w:r>
        <w:rPr>
          <w:rFonts w:hint="eastAsia" w:ascii="Times New Roman" w:hAnsi="Times New Roman" w:eastAsia="宋体" w:cs="宋体"/>
          <w:szCs w:val="21"/>
          <w:lang w:eastAsia="zh-CN"/>
        </w:rPr>
        <w:t>，</w:t>
      </w:r>
      <w:r>
        <w:rPr>
          <w:rFonts w:hint="eastAsia" w:ascii="Times New Roman" w:hAnsi="Times New Roman" w:eastAsia="宋体" w:cs="宋体"/>
          <w:b w:val="0"/>
          <w:bCs w:val="0"/>
          <w:kern w:val="2"/>
          <w:sz w:val="21"/>
          <w:szCs w:val="21"/>
          <w:lang w:val="en-US" w:eastAsia="zh-CN" w:bidi="ar-SA"/>
        </w:rPr>
        <w:t>广东作为改革开放前沿和司法改革试点大省，案例数量最多，覆盖广州、深圳、珠海、佛山等主要城市。江苏、上海等地的案例集中体现“三员机制”（家事调查员、调解员、心理疏导员）的协同创新，家事调查员联合社区、妇联开展走访，与心理疏导员配合评估当事人心理状态。</w:t>
      </w:r>
      <w:r>
        <w:rPr>
          <w:rStyle w:val="14"/>
          <w:rFonts w:hint="eastAsia" w:ascii="Times New Roman" w:hAnsi="Times New Roman" w:eastAsia="宋体" w:cs="宋体"/>
          <w:b w:val="0"/>
          <w:bCs w:val="0"/>
          <w:kern w:val="2"/>
          <w:sz w:val="21"/>
          <w:szCs w:val="21"/>
          <w:lang w:val="en-US" w:eastAsia="zh-CN" w:bidi="ar-SA"/>
        </w:rPr>
        <w:footnoteReference w:id="6"/>
      </w:r>
      <w:r>
        <w:rPr>
          <w:rFonts w:hint="eastAsia" w:ascii="Times New Roman" w:hAnsi="Times New Roman" w:eastAsia="宋体" w:cs="宋体"/>
          <w:b w:val="0"/>
          <w:bCs w:val="0"/>
          <w:kern w:val="2"/>
          <w:sz w:val="21"/>
          <w:szCs w:val="21"/>
          <w:lang w:val="en-US" w:eastAsia="zh-CN" w:bidi="ar-SA"/>
        </w:rPr>
        <w:t>内陆省份如江西、山东、安徽等地案例较少（合计8例）。从中可以看出，经济发达地区与试点省份引领实践，沿海与内陆地区在制度运行效果上的差距，也揭示出家事调查员制度的推广与当地社会治理能力、司法资源配备紧密相关。这种“沿海先行、内陆跟进”的格局，与新时代“枫桥经验”所强调的基层治理要因地制宜</w:t>
      </w:r>
      <w:r>
        <w:rPr>
          <w:rStyle w:val="14"/>
          <w:rFonts w:hint="eastAsia" w:ascii="Times New Roman" w:hAnsi="Times New Roman" w:eastAsia="宋体" w:cs="宋体"/>
          <w:b w:val="0"/>
          <w:bCs w:val="0"/>
          <w:kern w:val="2"/>
          <w:sz w:val="21"/>
          <w:szCs w:val="21"/>
          <w:lang w:val="en-US" w:eastAsia="zh-CN" w:bidi="ar-SA"/>
        </w:rPr>
        <w:footnoteReference w:id="7"/>
      </w:r>
      <w:r>
        <w:rPr>
          <w:rFonts w:hint="eastAsia" w:ascii="Times New Roman" w:hAnsi="Times New Roman" w:eastAsia="宋体" w:cs="宋体"/>
          <w:b w:val="0"/>
          <w:bCs w:val="0"/>
          <w:kern w:val="2"/>
          <w:sz w:val="21"/>
          <w:szCs w:val="21"/>
          <w:lang w:val="en-US" w:eastAsia="zh-CN" w:bidi="ar-SA"/>
        </w:rPr>
        <w:t>具有一定共通性。与此同时，前述样态也表明家事调查员参与调查的案件数量总体不足且尚未在全国范围内形成均衡化、常态化的运行模式。</w:t>
      </w:r>
    </w:p>
    <w:p w14:paraId="12BBEF2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200"/>
        <w:jc w:val="center"/>
        <w:textAlignment w:val="auto"/>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表1 家事调查案件</w:t>
      </w:r>
      <w:r>
        <w:rPr>
          <w:rFonts w:hint="eastAsia" w:ascii="Times New Roman" w:hAnsi="Times New Roman" w:eastAsia="宋体" w:cs="宋体"/>
          <w:szCs w:val="21"/>
        </w:rPr>
        <w:t>各区域数量分布</w:t>
      </w:r>
    </w:p>
    <w:tbl>
      <w:tblPr>
        <w:tblStyle w:val="9"/>
        <w:tblW w:w="9602" w:type="dxa"/>
        <w:tblInd w:w="-326"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0"/>
        <w:gridCol w:w="659"/>
        <w:gridCol w:w="687"/>
        <w:gridCol w:w="652"/>
        <w:gridCol w:w="701"/>
        <w:gridCol w:w="673"/>
        <w:gridCol w:w="693"/>
        <w:gridCol w:w="708"/>
        <w:gridCol w:w="715"/>
        <w:gridCol w:w="673"/>
        <w:gridCol w:w="715"/>
        <w:gridCol w:w="701"/>
        <w:gridCol w:w="1015"/>
      </w:tblGrid>
      <w:tr w14:paraId="222E71D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1010" w:type="dxa"/>
            <w:tcBorders>
              <w:top w:val="single" w:color="000000" w:sz="12" w:space="0"/>
              <w:bottom w:val="single" w:color="000000" w:sz="8" w:space="0"/>
            </w:tcBorders>
            <w:shd w:val="clear" w:color="auto" w:fill="FFFFFF"/>
            <w:vAlign w:val="center"/>
          </w:tcPr>
          <w:p w14:paraId="3619B364">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地域</w:t>
            </w:r>
          </w:p>
        </w:tc>
        <w:tc>
          <w:tcPr>
            <w:tcW w:w="659" w:type="dxa"/>
            <w:tcBorders>
              <w:top w:val="single" w:color="000000" w:sz="12" w:space="0"/>
              <w:bottom w:val="single" w:color="000000" w:sz="8" w:space="0"/>
            </w:tcBorders>
            <w:shd w:val="clear" w:color="auto" w:fill="FFFFFF"/>
            <w:vAlign w:val="center"/>
          </w:tcPr>
          <w:p w14:paraId="0CCCA6BA">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广东</w:t>
            </w:r>
          </w:p>
        </w:tc>
        <w:tc>
          <w:tcPr>
            <w:tcW w:w="687" w:type="dxa"/>
            <w:tcBorders>
              <w:top w:val="single" w:color="000000" w:sz="12" w:space="0"/>
              <w:bottom w:val="single" w:color="000000" w:sz="8" w:space="0"/>
            </w:tcBorders>
            <w:shd w:val="clear" w:color="auto" w:fill="FFFFFF"/>
            <w:vAlign w:val="center"/>
          </w:tcPr>
          <w:p w14:paraId="1B8BDAFF">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江苏</w:t>
            </w:r>
          </w:p>
        </w:tc>
        <w:tc>
          <w:tcPr>
            <w:tcW w:w="652" w:type="dxa"/>
            <w:tcBorders>
              <w:top w:val="single" w:color="000000" w:sz="12" w:space="0"/>
              <w:bottom w:val="single" w:color="000000" w:sz="8" w:space="0"/>
            </w:tcBorders>
            <w:shd w:val="clear" w:color="auto" w:fill="FFFFFF"/>
            <w:vAlign w:val="center"/>
          </w:tcPr>
          <w:p w14:paraId="7A04210F">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四川</w:t>
            </w:r>
          </w:p>
        </w:tc>
        <w:tc>
          <w:tcPr>
            <w:tcW w:w="701" w:type="dxa"/>
            <w:tcBorders>
              <w:top w:val="single" w:color="000000" w:sz="12" w:space="0"/>
              <w:bottom w:val="single" w:color="000000" w:sz="8" w:space="0"/>
            </w:tcBorders>
            <w:shd w:val="clear" w:color="auto" w:fill="FFFFFF"/>
            <w:vAlign w:val="center"/>
          </w:tcPr>
          <w:p w14:paraId="3DFF1E36">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上海</w:t>
            </w:r>
          </w:p>
        </w:tc>
        <w:tc>
          <w:tcPr>
            <w:tcW w:w="673" w:type="dxa"/>
            <w:tcBorders>
              <w:top w:val="single" w:color="000000" w:sz="12" w:space="0"/>
              <w:bottom w:val="single" w:color="000000" w:sz="8" w:space="0"/>
            </w:tcBorders>
            <w:shd w:val="clear" w:color="auto" w:fill="auto"/>
            <w:vAlign w:val="center"/>
          </w:tcPr>
          <w:p w14:paraId="0A059084">
            <w:pPr>
              <w:keepNext w:val="0"/>
              <w:keepLines w:val="0"/>
              <w:widowControl/>
              <w:suppressLineNumbers w:val="0"/>
              <w:jc w:val="left"/>
              <w:textAlignment w:val="center"/>
              <w:rPr>
                <w:rFonts w:hint="default" w:ascii="Times New Roman" w:hAnsi="Times New Roman" w:eastAsia="宋体" w:cs="宋体"/>
                <w:i w:val="0"/>
                <w:iCs w:val="0"/>
                <w:color w:val="000000"/>
                <w:kern w:val="2"/>
                <w:sz w:val="22"/>
                <w:szCs w:val="22"/>
                <w:u w:val="none"/>
                <w:lang w:val="en-US" w:eastAsia="zh-CN" w:bidi="ar-SA"/>
              </w:rPr>
            </w:pPr>
            <w:r>
              <w:rPr>
                <w:rFonts w:hint="eastAsia" w:ascii="Times New Roman" w:hAnsi="Times New Roman" w:eastAsia="宋体" w:cs="宋体"/>
                <w:i w:val="0"/>
                <w:iCs w:val="0"/>
                <w:color w:val="000000"/>
                <w:kern w:val="0"/>
                <w:sz w:val="22"/>
                <w:szCs w:val="22"/>
                <w:u w:val="none"/>
                <w:lang w:val="en-US" w:eastAsia="zh-CN" w:bidi="ar"/>
              </w:rPr>
              <w:t>广西</w:t>
            </w:r>
          </w:p>
        </w:tc>
        <w:tc>
          <w:tcPr>
            <w:tcW w:w="693" w:type="dxa"/>
            <w:tcBorders>
              <w:top w:val="single" w:color="000000" w:sz="12" w:space="0"/>
              <w:bottom w:val="single" w:color="000000" w:sz="8" w:space="0"/>
            </w:tcBorders>
            <w:shd w:val="clear" w:color="auto" w:fill="auto"/>
            <w:vAlign w:val="center"/>
          </w:tcPr>
          <w:p w14:paraId="6E190409">
            <w:pPr>
              <w:keepNext w:val="0"/>
              <w:keepLines w:val="0"/>
              <w:widowControl/>
              <w:suppressLineNumbers w:val="0"/>
              <w:jc w:val="left"/>
              <w:textAlignment w:val="center"/>
              <w:rPr>
                <w:rFonts w:hint="default" w:ascii="Times New Roman" w:hAnsi="Times New Roman" w:eastAsia="宋体" w:cs="宋体"/>
                <w:i w:val="0"/>
                <w:iCs w:val="0"/>
                <w:color w:val="000000"/>
                <w:kern w:val="0"/>
                <w:sz w:val="22"/>
                <w:szCs w:val="22"/>
                <w:u w:val="none"/>
                <w:lang w:val="en-US" w:eastAsia="zh-CN" w:bidi="ar"/>
              </w:rPr>
            </w:pPr>
            <w:r>
              <w:rPr>
                <w:rFonts w:hint="eastAsia" w:ascii="Times New Roman" w:hAnsi="Times New Roman" w:eastAsia="宋体" w:cs="宋体"/>
                <w:i w:val="0"/>
                <w:iCs w:val="0"/>
                <w:color w:val="000000"/>
                <w:kern w:val="0"/>
                <w:sz w:val="22"/>
                <w:szCs w:val="22"/>
                <w:u w:val="none"/>
                <w:lang w:val="en-US" w:eastAsia="zh-CN" w:bidi="ar"/>
              </w:rPr>
              <w:t>江西</w:t>
            </w:r>
          </w:p>
        </w:tc>
        <w:tc>
          <w:tcPr>
            <w:tcW w:w="708" w:type="dxa"/>
            <w:tcBorders>
              <w:top w:val="single" w:color="000000" w:sz="12" w:space="0"/>
              <w:bottom w:val="single" w:color="000000" w:sz="8" w:space="0"/>
            </w:tcBorders>
            <w:shd w:val="clear" w:color="auto" w:fill="auto"/>
            <w:vAlign w:val="center"/>
          </w:tcPr>
          <w:p w14:paraId="56E9036B">
            <w:pPr>
              <w:keepNext w:val="0"/>
              <w:keepLines w:val="0"/>
              <w:widowControl/>
              <w:suppressLineNumbers w:val="0"/>
              <w:jc w:val="left"/>
              <w:textAlignment w:val="center"/>
              <w:rPr>
                <w:rFonts w:hint="default" w:ascii="Times New Roman" w:hAnsi="Times New Roman" w:eastAsia="宋体" w:cs="宋体"/>
                <w:i w:val="0"/>
                <w:iCs w:val="0"/>
                <w:color w:val="000000"/>
                <w:kern w:val="0"/>
                <w:sz w:val="22"/>
                <w:szCs w:val="22"/>
                <w:u w:val="none"/>
                <w:lang w:val="en-US" w:eastAsia="zh-CN" w:bidi="ar"/>
              </w:rPr>
            </w:pPr>
            <w:r>
              <w:rPr>
                <w:rFonts w:hint="eastAsia" w:ascii="Times New Roman" w:hAnsi="Times New Roman" w:eastAsia="宋体" w:cs="宋体"/>
                <w:i w:val="0"/>
                <w:iCs w:val="0"/>
                <w:color w:val="000000"/>
                <w:kern w:val="0"/>
                <w:sz w:val="22"/>
                <w:szCs w:val="22"/>
                <w:u w:val="none"/>
                <w:lang w:val="en-US" w:eastAsia="zh-CN" w:bidi="ar"/>
              </w:rPr>
              <w:t>山东</w:t>
            </w:r>
          </w:p>
        </w:tc>
        <w:tc>
          <w:tcPr>
            <w:tcW w:w="715" w:type="dxa"/>
            <w:tcBorders>
              <w:top w:val="single" w:color="000000" w:sz="12" w:space="0"/>
              <w:bottom w:val="single" w:color="000000" w:sz="8" w:space="0"/>
            </w:tcBorders>
            <w:shd w:val="clear" w:color="auto" w:fill="auto"/>
            <w:vAlign w:val="center"/>
          </w:tcPr>
          <w:p w14:paraId="47C6540B">
            <w:pPr>
              <w:keepNext w:val="0"/>
              <w:keepLines w:val="0"/>
              <w:widowControl/>
              <w:suppressLineNumbers w:val="0"/>
              <w:jc w:val="left"/>
              <w:textAlignment w:val="center"/>
              <w:rPr>
                <w:rFonts w:hint="default" w:ascii="Times New Roman" w:hAnsi="Times New Roman" w:eastAsia="宋体" w:cs="宋体"/>
                <w:i w:val="0"/>
                <w:iCs w:val="0"/>
                <w:color w:val="000000"/>
                <w:kern w:val="0"/>
                <w:sz w:val="22"/>
                <w:szCs w:val="22"/>
                <w:u w:val="none"/>
                <w:lang w:val="en-US" w:eastAsia="zh-CN" w:bidi="ar"/>
              </w:rPr>
            </w:pPr>
            <w:r>
              <w:rPr>
                <w:rFonts w:hint="eastAsia" w:ascii="Times New Roman" w:hAnsi="Times New Roman" w:eastAsia="宋体" w:cs="宋体"/>
                <w:i w:val="0"/>
                <w:iCs w:val="0"/>
                <w:color w:val="000000"/>
                <w:kern w:val="0"/>
                <w:sz w:val="22"/>
                <w:szCs w:val="22"/>
                <w:u w:val="none"/>
                <w:lang w:val="en-US" w:eastAsia="zh-CN" w:bidi="ar"/>
              </w:rPr>
              <w:t>安徽</w:t>
            </w:r>
          </w:p>
        </w:tc>
        <w:tc>
          <w:tcPr>
            <w:tcW w:w="673" w:type="dxa"/>
            <w:tcBorders>
              <w:top w:val="single" w:color="000000" w:sz="12" w:space="0"/>
              <w:bottom w:val="single" w:color="000000" w:sz="8" w:space="0"/>
            </w:tcBorders>
            <w:shd w:val="clear" w:color="auto" w:fill="auto"/>
            <w:vAlign w:val="center"/>
          </w:tcPr>
          <w:p w14:paraId="22BB39FA">
            <w:pPr>
              <w:keepNext w:val="0"/>
              <w:keepLines w:val="0"/>
              <w:widowControl/>
              <w:suppressLineNumbers w:val="0"/>
              <w:jc w:val="left"/>
              <w:textAlignment w:val="center"/>
              <w:rPr>
                <w:rFonts w:hint="default" w:ascii="Times New Roman" w:hAnsi="Times New Roman" w:eastAsia="宋体" w:cs="宋体"/>
                <w:i w:val="0"/>
                <w:iCs w:val="0"/>
                <w:color w:val="000000"/>
                <w:kern w:val="0"/>
                <w:sz w:val="22"/>
                <w:szCs w:val="22"/>
                <w:u w:val="none"/>
                <w:lang w:val="en-US" w:eastAsia="zh-CN" w:bidi="ar"/>
              </w:rPr>
            </w:pPr>
            <w:r>
              <w:rPr>
                <w:rFonts w:hint="eastAsia" w:ascii="Times New Roman" w:hAnsi="Times New Roman" w:eastAsia="宋体" w:cs="宋体"/>
                <w:i w:val="0"/>
                <w:iCs w:val="0"/>
                <w:color w:val="000000"/>
                <w:kern w:val="0"/>
                <w:sz w:val="22"/>
                <w:szCs w:val="22"/>
                <w:u w:val="none"/>
                <w:lang w:val="en-US" w:eastAsia="zh-CN" w:bidi="ar"/>
              </w:rPr>
              <w:t>浙江</w:t>
            </w:r>
          </w:p>
        </w:tc>
        <w:tc>
          <w:tcPr>
            <w:tcW w:w="715" w:type="dxa"/>
            <w:tcBorders>
              <w:top w:val="single" w:color="000000" w:sz="12" w:space="0"/>
              <w:bottom w:val="single" w:color="000000" w:sz="8" w:space="0"/>
            </w:tcBorders>
            <w:shd w:val="clear" w:color="auto" w:fill="auto"/>
            <w:vAlign w:val="center"/>
          </w:tcPr>
          <w:p w14:paraId="4E819A7E">
            <w:pPr>
              <w:keepNext w:val="0"/>
              <w:keepLines w:val="0"/>
              <w:widowControl/>
              <w:suppressLineNumbers w:val="0"/>
              <w:jc w:val="left"/>
              <w:textAlignment w:val="center"/>
              <w:rPr>
                <w:rFonts w:hint="default" w:ascii="Times New Roman" w:hAnsi="Times New Roman" w:eastAsia="宋体" w:cs="宋体"/>
                <w:i w:val="0"/>
                <w:iCs w:val="0"/>
                <w:color w:val="000000"/>
                <w:kern w:val="0"/>
                <w:sz w:val="22"/>
                <w:szCs w:val="22"/>
                <w:u w:val="none"/>
                <w:lang w:val="en-US" w:eastAsia="zh-CN" w:bidi="ar"/>
              </w:rPr>
            </w:pPr>
            <w:r>
              <w:rPr>
                <w:rFonts w:hint="eastAsia" w:ascii="Times New Roman" w:hAnsi="Times New Roman" w:eastAsia="宋体" w:cs="宋体"/>
                <w:i w:val="0"/>
                <w:iCs w:val="0"/>
                <w:color w:val="000000"/>
                <w:kern w:val="0"/>
                <w:sz w:val="22"/>
                <w:szCs w:val="22"/>
                <w:u w:val="none"/>
                <w:lang w:val="en-US" w:eastAsia="zh-CN" w:bidi="ar"/>
              </w:rPr>
              <w:t>贵州</w:t>
            </w:r>
          </w:p>
        </w:tc>
        <w:tc>
          <w:tcPr>
            <w:tcW w:w="701" w:type="dxa"/>
            <w:tcBorders>
              <w:top w:val="single" w:color="000000" w:sz="12" w:space="0"/>
              <w:bottom w:val="single" w:color="000000" w:sz="8" w:space="0"/>
            </w:tcBorders>
            <w:shd w:val="clear" w:color="auto" w:fill="auto"/>
            <w:vAlign w:val="center"/>
          </w:tcPr>
          <w:p w14:paraId="5DA4AA12">
            <w:pPr>
              <w:keepNext w:val="0"/>
              <w:keepLines w:val="0"/>
              <w:widowControl/>
              <w:suppressLineNumbers w:val="0"/>
              <w:jc w:val="left"/>
              <w:textAlignment w:val="center"/>
              <w:rPr>
                <w:rFonts w:hint="default" w:ascii="Times New Roman" w:hAnsi="Times New Roman" w:eastAsia="宋体" w:cs="宋体"/>
                <w:i w:val="0"/>
                <w:iCs w:val="0"/>
                <w:color w:val="000000"/>
                <w:kern w:val="0"/>
                <w:sz w:val="22"/>
                <w:szCs w:val="22"/>
                <w:u w:val="none"/>
                <w:lang w:val="en-US" w:eastAsia="zh-CN" w:bidi="ar"/>
              </w:rPr>
            </w:pPr>
            <w:r>
              <w:rPr>
                <w:rFonts w:hint="eastAsia" w:ascii="Times New Roman" w:hAnsi="Times New Roman" w:eastAsia="宋体" w:cs="宋体"/>
                <w:i w:val="0"/>
                <w:iCs w:val="0"/>
                <w:color w:val="000000"/>
                <w:kern w:val="0"/>
                <w:sz w:val="22"/>
                <w:szCs w:val="22"/>
                <w:u w:val="none"/>
                <w:lang w:val="en-US" w:eastAsia="zh-CN" w:bidi="ar"/>
              </w:rPr>
              <w:t>宁夏</w:t>
            </w:r>
          </w:p>
        </w:tc>
        <w:tc>
          <w:tcPr>
            <w:tcW w:w="1015" w:type="dxa"/>
            <w:tcBorders>
              <w:top w:val="single" w:color="000000" w:sz="12" w:space="0"/>
              <w:bottom w:val="single" w:color="000000" w:sz="8" w:space="0"/>
            </w:tcBorders>
            <w:shd w:val="clear" w:color="auto" w:fill="auto"/>
            <w:vAlign w:val="center"/>
          </w:tcPr>
          <w:p w14:paraId="09F002B5">
            <w:pPr>
              <w:keepNext w:val="0"/>
              <w:keepLines w:val="0"/>
              <w:widowControl/>
              <w:suppressLineNumbers w:val="0"/>
              <w:jc w:val="left"/>
              <w:textAlignment w:val="center"/>
              <w:rPr>
                <w:rFonts w:hint="default" w:ascii="Times New Roman" w:hAnsi="Times New Roman" w:eastAsia="宋体" w:cs="宋体"/>
                <w:i w:val="0"/>
                <w:iCs w:val="0"/>
                <w:color w:val="000000"/>
                <w:kern w:val="0"/>
                <w:sz w:val="22"/>
                <w:szCs w:val="22"/>
                <w:u w:val="none"/>
                <w:lang w:val="en-US" w:eastAsia="zh-CN" w:bidi="ar"/>
              </w:rPr>
            </w:pPr>
            <w:r>
              <w:rPr>
                <w:rFonts w:hint="eastAsia" w:ascii="Times New Roman" w:hAnsi="Times New Roman" w:eastAsia="宋体" w:cs="宋体"/>
                <w:i w:val="0"/>
                <w:iCs w:val="0"/>
                <w:color w:val="000000"/>
                <w:kern w:val="0"/>
                <w:sz w:val="22"/>
                <w:szCs w:val="22"/>
                <w:u w:val="none"/>
                <w:lang w:val="en-US" w:eastAsia="zh-CN" w:bidi="ar"/>
              </w:rPr>
              <w:t>合计/个</w:t>
            </w:r>
          </w:p>
        </w:tc>
      </w:tr>
      <w:tr w14:paraId="2E623A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10" w:type="dxa"/>
            <w:tcBorders>
              <w:top w:val="single" w:color="000000" w:sz="8" w:space="0"/>
              <w:tl2br w:val="nil"/>
              <w:tr2bl w:val="nil"/>
            </w:tcBorders>
            <w:shd w:val="clear" w:color="auto" w:fill="FFFFFF"/>
            <w:vAlign w:val="center"/>
          </w:tcPr>
          <w:p w14:paraId="3C904CAA">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数量/个</w:t>
            </w:r>
          </w:p>
        </w:tc>
        <w:tc>
          <w:tcPr>
            <w:tcW w:w="659" w:type="dxa"/>
            <w:tcBorders>
              <w:top w:val="single" w:color="000000" w:sz="8" w:space="0"/>
              <w:tl2br w:val="nil"/>
              <w:tr2bl w:val="nil"/>
            </w:tcBorders>
            <w:shd w:val="clear" w:color="auto" w:fill="FFFFFF"/>
            <w:vAlign w:val="center"/>
          </w:tcPr>
          <w:p w14:paraId="4FBEA59B">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39</w:t>
            </w:r>
          </w:p>
        </w:tc>
        <w:tc>
          <w:tcPr>
            <w:tcW w:w="687" w:type="dxa"/>
            <w:tcBorders>
              <w:top w:val="single" w:color="000000" w:sz="8" w:space="0"/>
              <w:tl2br w:val="nil"/>
              <w:tr2bl w:val="nil"/>
            </w:tcBorders>
            <w:shd w:val="clear" w:color="auto" w:fill="FFFFFF"/>
            <w:vAlign w:val="center"/>
          </w:tcPr>
          <w:p w14:paraId="74C62DBF">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18</w:t>
            </w:r>
          </w:p>
        </w:tc>
        <w:tc>
          <w:tcPr>
            <w:tcW w:w="652" w:type="dxa"/>
            <w:tcBorders>
              <w:top w:val="single" w:color="000000" w:sz="8" w:space="0"/>
              <w:tl2br w:val="nil"/>
              <w:tr2bl w:val="nil"/>
            </w:tcBorders>
            <w:shd w:val="clear" w:color="auto" w:fill="FFFFFF"/>
            <w:vAlign w:val="center"/>
          </w:tcPr>
          <w:p w14:paraId="417CF081">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9</w:t>
            </w:r>
          </w:p>
        </w:tc>
        <w:tc>
          <w:tcPr>
            <w:tcW w:w="701" w:type="dxa"/>
            <w:tcBorders>
              <w:top w:val="single" w:color="000000" w:sz="8" w:space="0"/>
              <w:tl2br w:val="nil"/>
              <w:tr2bl w:val="nil"/>
            </w:tcBorders>
            <w:shd w:val="clear" w:color="auto" w:fill="FFFFFF"/>
            <w:vAlign w:val="center"/>
          </w:tcPr>
          <w:p w14:paraId="592DA424">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5</w:t>
            </w:r>
          </w:p>
        </w:tc>
        <w:tc>
          <w:tcPr>
            <w:tcW w:w="673" w:type="dxa"/>
            <w:tcBorders>
              <w:top w:val="single" w:color="000000" w:sz="8" w:space="0"/>
              <w:tl2br w:val="nil"/>
              <w:tr2bl w:val="nil"/>
            </w:tcBorders>
            <w:shd w:val="clear" w:color="auto" w:fill="FFFFFF"/>
            <w:vAlign w:val="center"/>
          </w:tcPr>
          <w:p w14:paraId="62A93BD8">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5</w:t>
            </w:r>
          </w:p>
        </w:tc>
        <w:tc>
          <w:tcPr>
            <w:tcW w:w="693" w:type="dxa"/>
            <w:tcBorders>
              <w:top w:val="single" w:color="000000" w:sz="8" w:space="0"/>
              <w:tl2br w:val="nil"/>
              <w:tr2bl w:val="nil"/>
            </w:tcBorders>
            <w:shd w:val="clear" w:color="auto" w:fill="FFFFFF"/>
            <w:vAlign w:val="center"/>
          </w:tcPr>
          <w:p w14:paraId="3D2160C3">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4</w:t>
            </w:r>
          </w:p>
        </w:tc>
        <w:tc>
          <w:tcPr>
            <w:tcW w:w="708" w:type="dxa"/>
            <w:tcBorders>
              <w:top w:val="single" w:color="000000" w:sz="8" w:space="0"/>
              <w:tl2br w:val="nil"/>
              <w:tr2bl w:val="nil"/>
            </w:tcBorders>
            <w:shd w:val="clear" w:color="auto" w:fill="FFFFFF"/>
            <w:vAlign w:val="center"/>
          </w:tcPr>
          <w:p w14:paraId="110FD346">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3</w:t>
            </w:r>
          </w:p>
        </w:tc>
        <w:tc>
          <w:tcPr>
            <w:tcW w:w="715" w:type="dxa"/>
            <w:tcBorders>
              <w:top w:val="single" w:color="000000" w:sz="8" w:space="0"/>
              <w:tl2br w:val="nil"/>
              <w:tr2bl w:val="nil"/>
            </w:tcBorders>
            <w:shd w:val="clear" w:color="auto" w:fill="FFFFFF"/>
            <w:vAlign w:val="center"/>
          </w:tcPr>
          <w:p w14:paraId="72D114EE">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1</w:t>
            </w:r>
          </w:p>
        </w:tc>
        <w:tc>
          <w:tcPr>
            <w:tcW w:w="673" w:type="dxa"/>
            <w:tcBorders>
              <w:top w:val="single" w:color="000000" w:sz="8" w:space="0"/>
              <w:tl2br w:val="nil"/>
              <w:tr2bl w:val="nil"/>
            </w:tcBorders>
            <w:shd w:val="clear" w:color="auto" w:fill="FFFFFF"/>
            <w:vAlign w:val="center"/>
          </w:tcPr>
          <w:p w14:paraId="0F9E504B">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1</w:t>
            </w:r>
          </w:p>
        </w:tc>
        <w:tc>
          <w:tcPr>
            <w:tcW w:w="715" w:type="dxa"/>
            <w:tcBorders>
              <w:top w:val="single" w:color="000000" w:sz="8" w:space="0"/>
              <w:tl2br w:val="nil"/>
              <w:tr2bl w:val="nil"/>
            </w:tcBorders>
            <w:shd w:val="clear" w:color="auto" w:fill="FFFFFF"/>
            <w:vAlign w:val="center"/>
          </w:tcPr>
          <w:p w14:paraId="5E48E16A">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1</w:t>
            </w:r>
          </w:p>
        </w:tc>
        <w:tc>
          <w:tcPr>
            <w:tcW w:w="701" w:type="dxa"/>
            <w:tcBorders>
              <w:top w:val="single" w:color="000000" w:sz="8" w:space="0"/>
              <w:tl2br w:val="nil"/>
              <w:tr2bl w:val="nil"/>
            </w:tcBorders>
            <w:shd w:val="clear" w:color="auto" w:fill="FFFFFF"/>
            <w:vAlign w:val="center"/>
          </w:tcPr>
          <w:p w14:paraId="3627E99A">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1</w:t>
            </w:r>
          </w:p>
        </w:tc>
        <w:tc>
          <w:tcPr>
            <w:tcW w:w="1015" w:type="dxa"/>
            <w:tcBorders>
              <w:top w:val="single" w:color="000000" w:sz="8" w:space="0"/>
              <w:tl2br w:val="nil"/>
              <w:tr2bl w:val="nil"/>
            </w:tcBorders>
            <w:shd w:val="clear" w:color="auto" w:fill="FFFFFF"/>
            <w:vAlign w:val="center"/>
          </w:tcPr>
          <w:p w14:paraId="56CF6034">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87</w:t>
            </w:r>
          </w:p>
        </w:tc>
      </w:tr>
    </w:tbl>
    <w:p w14:paraId="40C2CAF5">
      <w:pPr>
        <w:keepNext w:val="0"/>
        <w:keepLines w:val="0"/>
        <w:pageBreakBefore w:val="0"/>
        <w:widowControl w:val="0"/>
        <w:numPr>
          <w:ilvl w:val="0"/>
          <w:numId w:val="1"/>
        </w:numPr>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宋体"/>
          <w:szCs w:val="21"/>
        </w:rPr>
      </w:pPr>
      <w:r>
        <w:rPr>
          <w:rFonts w:hint="eastAsia" w:ascii="Times New Roman" w:hAnsi="Times New Roman" w:eastAsia="宋体" w:cs="宋体"/>
          <w:b w:val="0"/>
          <w:bCs w:val="0"/>
          <w:kern w:val="2"/>
          <w:sz w:val="21"/>
          <w:szCs w:val="21"/>
          <w:lang w:val="en-US" w:eastAsia="zh-CN" w:bidi="ar-SA"/>
        </w:rPr>
        <w:t>家事调查员制度多应用于婚姻家庭继承类案件，带有鲜明的权益保护特征。传统婚姻家庭继承类纠纷占据主导地位，其中继承纠纷数量最多，具体涵盖法定继承、遗嘱继承、分家析产等细分领域，家事调查的重点集中于被继承人赡养状况、遗嘱真实性、房产归属等核心事实；离婚及衍生纠纷次之，包括离婚、抚养、财产分割等</w:t>
      </w:r>
      <w:r>
        <w:rPr>
          <w:rFonts w:hint="eastAsia" w:ascii="Times New Roman" w:hAnsi="Times New Roman" w:eastAsia="宋体" w:cs="宋体"/>
          <w:szCs w:val="21"/>
        </w:rPr>
        <w:t>，家事调查内容涉及夫妻感情破裂程度、子女抚养意愿、家暴事实；赡养与监护纠纷并列第三，赡养纠纷调查聚焦于被赡养人经济状况、子女赡养能力，监护权案件则侧重被监护人生活环境、监护人履职情况。此外，案件类型呈现多元化拓展趋势，反家暴案件有5例，家事调查员通过走访社区、邻居固定家暴证据，为保护令签发提供关键支持</w:t>
      </w:r>
      <w:r>
        <w:rPr>
          <w:rStyle w:val="14"/>
          <w:rFonts w:hint="eastAsia" w:ascii="Times New Roman" w:hAnsi="Times New Roman" w:eastAsia="宋体" w:cs="宋体"/>
          <w:szCs w:val="21"/>
        </w:rPr>
        <w:footnoteReference w:id="8"/>
      </w:r>
      <w:r>
        <w:rPr>
          <w:rFonts w:hint="eastAsia" w:ascii="Times New Roman" w:hAnsi="Times New Roman" w:eastAsia="宋体" w:cs="宋体"/>
          <w:szCs w:val="21"/>
        </w:rPr>
        <w:t>；特殊程序案件有6例，包括宣告死亡、认定无民事行为能力等，家事调查员会核实被申请人出走多年的事实</w:t>
      </w:r>
      <w:r>
        <w:rPr>
          <w:rStyle w:val="14"/>
          <w:rFonts w:hint="eastAsia" w:ascii="Times New Roman" w:hAnsi="Times New Roman" w:eastAsia="宋体" w:cs="宋体"/>
          <w:szCs w:val="21"/>
        </w:rPr>
        <w:footnoteReference w:id="9"/>
      </w:r>
      <w:r>
        <w:rPr>
          <w:rFonts w:hint="eastAsia" w:ascii="Times New Roman" w:hAnsi="Times New Roman" w:eastAsia="宋体" w:cs="宋体"/>
          <w:szCs w:val="21"/>
        </w:rPr>
        <w:t>、查明被继承人精神疾病史</w:t>
      </w:r>
      <w:r>
        <w:rPr>
          <w:rStyle w:val="14"/>
          <w:rFonts w:hint="eastAsia" w:ascii="Times New Roman" w:hAnsi="Times New Roman" w:eastAsia="宋体" w:cs="宋体"/>
          <w:szCs w:val="21"/>
        </w:rPr>
        <w:footnoteReference w:id="10"/>
      </w:r>
      <w:r>
        <w:rPr>
          <w:rFonts w:hint="eastAsia" w:ascii="Times New Roman" w:hAnsi="Times New Roman" w:eastAsia="宋体" w:cs="宋体"/>
          <w:szCs w:val="21"/>
        </w:rPr>
        <w:t>等；共有与合同纠纷有5例，家事调查员会核实拆迁补偿款的计算依据</w:t>
      </w:r>
      <w:r>
        <w:rPr>
          <w:rStyle w:val="14"/>
          <w:rFonts w:hint="eastAsia" w:ascii="Times New Roman" w:hAnsi="Times New Roman" w:eastAsia="宋体" w:cs="宋体"/>
          <w:szCs w:val="21"/>
        </w:rPr>
        <w:footnoteReference w:id="11"/>
      </w:r>
      <w:r>
        <w:rPr>
          <w:rFonts w:hint="eastAsia" w:ascii="Times New Roman" w:hAnsi="Times New Roman" w:eastAsia="宋体" w:cs="宋体"/>
          <w:szCs w:val="21"/>
        </w:rPr>
        <w:t>、查明被继承人的丧事料理情况从而为储蓄存款分配提供参考</w:t>
      </w:r>
      <w:r>
        <w:rPr>
          <w:rStyle w:val="14"/>
          <w:rFonts w:hint="eastAsia" w:ascii="Times New Roman" w:hAnsi="Times New Roman" w:eastAsia="宋体" w:cs="宋体"/>
          <w:szCs w:val="21"/>
        </w:rPr>
        <w:footnoteReference w:id="12"/>
      </w:r>
      <w:r>
        <w:rPr>
          <w:rFonts w:hint="eastAsia" w:ascii="Times New Roman" w:hAnsi="Times New Roman" w:eastAsia="宋体" w:cs="宋体"/>
          <w:szCs w:val="21"/>
        </w:rPr>
        <w:t>。尽管如此，家事调查所涵盖的前述领域，本质上均意在诉讼程序的末端发挥纠纷解决功能，因为家事调查仅是作为法院受理相关案件之后的补充性程序而存在的。在新时代“枫桥经验”历久弥新的当下，纠纷解决如若仅止步于诉讼程序之末端，将导致“一纸判决，或许能够给当事人正义，却不一定能解开当事人的‘心结’，‘心结’没有解开，案件也就没有真正了解”</w:t>
      </w:r>
      <w:r>
        <w:rPr>
          <w:rStyle w:val="14"/>
          <w:rFonts w:hint="eastAsia" w:ascii="Times New Roman" w:hAnsi="Times New Roman" w:eastAsia="宋体" w:cs="宋体"/>
          <w:szCs w:val="21"/>
        </w:rPr>
        <w:footnoteReference w:id="13"/>
      </w:r>
      <w:r>
        <w:rPr>
          <w:rFonts w:hint="eastAsia" w:ascii="Times New Roman" w:hAnsi="Times New Roman" w:eastAsia="宋体" w:cs="宋体"/>
          <w:szCs w:val="21"/>
        </w:rPr>
        <w:t>的问题。正因如此，将家事调查员制度的预设功能从末端纠纷解决前移至前端的纠纷预防就存在必要，这要求我们不能只关注到该制度附属于司法程序的工具属性，而是要从社会治理的高度确证其制度逻辑。</w:t>
      </w:r>
    </w:p>
    <w:p w14:paraId="26095EE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200"/>
        <w:jc w:val="center"/>
        <w:textAlignment w:val="auto"/>
        <w:rPr>
          <w:rFonts w:hint="eastAsia" w:ascii="Times New Roman" w:hAnsi="Times New Roman" w:eastAsia="宋体" w:cs="宋体"/>
          <w:szCs w:val="21"/>
        </w:rPr>
      </w:pPr>
      <w:r>
        <w:rPr>
          <w:rFonts w:hint="eastAsia" w:ascii="Times New Roman" w:hAnsi="Times New Roman" w:eastAsia="宋体" w:cs="宋体"/>
          <w:color w:val="auto"/>
          <w:sz w:val="21"/>
          <w:szCs w:val="21"/>
          <w:lang w:val="en-US" w:eastAsia="zh-CN"/>
        </w:rPr>
        <w:t>表2 家事调查</w:t>
      </w:r>
      <w:r>
        <w:rPr>
          <w:rFonts w:hint="eastAsia" w:ascii="Times New Roman" w:hAnsi="Times New Roman" w:eastAsia="宋体" w:cs="宋体"/>
          <w:szCs w:val="21"/>
        </w:rPr>
        <w:t>案件类型及数量</w:t>
      </w:r>
    </w:p>
    <w:p w14:paraId="5AB001A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Cs w:val="21"/>
        </w:rPr>
      </w:pPr>
      <w:r>
        <w:rPr>
          <w:rFonts w:hint="eastAsia" w:ascii="Times New Roman" w:hAnsi="Times New Roman" w:eastAsia="宋体" w:cs="宋体"/>
          <w:sz w:val="24"/>
        </w:rPr>
        <w:drawing>
          <wp:inline distT="0" distB="0" distL="114300" distR="114300">
            <wp:extent cx="4630420" cy="2300605"/>
            <wp:effectExtent l="4445" t="5080" r="13335" b="8890"/>
            <wp:docPr id="4"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2E263CFD">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420" w:firstLineChars="200"/>
        <w:textAlignment w:val="auto"/>
        <w:rPr>
          <w:rFonts w:hint="eastAsia" w:ascii="Times New Roman" w:hAnsi="Times New Roman"/>
        </w:rPr>
      </w:pPr>
      <w:r>
        <w:rPr>
          <w:rFonts w:hint="eastAsia" w:ascii="Times New Roman" w:hAnsi="Times New Roman" w:eastAsia="宋体" w:cs="宋体"/>
          <w:szCs w:val="21"/>
        </w:rPr>
        <w:t>家事调查员制度形成了灵活多元的实践举措，能够根据不同的案件类型选用差异化的实践举措。</w:t>
      </w:r>
      <w:r>
        <w:rPr>
          <w:rFonts w:hint="eastAsia" w:ascii="Times New Roman" w:hAnsi="Times New Roman" w:eastAsia="宋体" w:cs="宋体"/>
          <w:szCs w:val="21"/>
          <w:lang w:val="en-US" w:eastAsia="zh-CN"/>
        </w:rPr>
        <w:t>其中，走访调查为核心手段，走访对象包括当事人亲属、邻居、社区工作人员、单位同事等，走访内容涵盖生活起居、经</w:t>
      </w:r>
      <w:r>
        <w:rPr>
          <w:rFonts w:hint="eastAsia" w:ascii="Times New Roman" w:hAnsi="Times New Roman" w:eastAsia="宋体" w:cs="宋体"/>
          <w:b w:val="0"/>
          <w:bCs w:val="0"/>
          <w:kern w:val="2"/>
          <w:sz w:val="21"/>
          <w:szCs w:val="21"/>
          <w:lang w:val="en-US" w:eastAsia="zh-CN" w:bidi="ar-SA"/>
        </w:rPr>
        <w:t>济状况、家庭关系等多维信息。询问谈话为关键方法，在变更抚养关系纠纷中，家事调查员特别注重未成年人意愿调查，会单独询问小孩的被抚养意愿</w:t>
      </w:r>
      <w:r>
        <w:rPr>
          <w:rStyle w:val="14"/>
          <w:rFonts w:hint="eastAsia" w:ascii="Times New Roman" w:hAnsi="Times New Roman" w:eastAsia="宋体" w:cs="宋体"/>
          <w:b w:val="0"/>
          <w:bCs w:val="0"/>
          <w:kern w:val="2"/>
          <w:sz w:val="21"/>
          <w:szCs w:val="21"/>
          <w:lang w:val="en-US" w:eastAsia="zh-CN" w:bidi="ar-SA"/>
        </w:rPr>
        <w:footnoteReference w:id="14"/>
      </w:r>
      <w:r>
        <w:rPr>
          <w:rFonts w:hint="eastAsia" w:ascii="Times New Roman" w:hAnsi="Times New Roman" w:eastAsia="宋体" w:cs="宋体"/>
          <w:b w:val="0"/>
          <w:bCs w:val="0"/>
          <w:kern w:val="2"/>
          <w:sz w:val="21"/>
          <w:szCs w:val="21"/>
          <w:lang w:val="en-US" w:eastAsia="zh-CN" w:bidi="ar-SA"/>
        </w:rPr>
        <w:t>；在赡养纠纷中，家事调查员会核实被赡养人诉讼意愿的真实性，起诉系其真实意思表示</w:t>
      </w:r>
      <w:r>
        <w:rPr>
          <w:rStyle w:val="14"/>
          <w:rFonts w:hint="eastAsia" w:ascii="Times New Roman" w:hAnsi="Times New Roman" w:eastAsia="宋体" w:cs="宋体"/>
          <w:b w:val="0"/>
          <w:bCs w:val="0"/>
          <w:kern w:val="2"/>
          <w:sz w:val="21"/>
          <w:szCs w:val="21"/>
          <w:lang w:val="en-US" w:eastAsia="zh-CN" w:bidi="ar-SA"/>
        </w:rPr>
        <w:footnoteReference w:id="15"/>
      </w:r>
      <w:r>
        <w:rPr>
          <w:rFonts w:hint="eastAsia" w:ascii="Times New Roman" w:hAnsi="Times New Roman" w:eastAsia="宋体" w:cs="宋体"/>
          <w:b w:val="0"/>
          <w:bCs w:val="0"/>
          <w:kern w:val="2"/>
          <w:sz w:val="21"/>
          <w:szCs w:val="21"/>
          <w:lang w:val="en-US" w:eastAsia="zh-CN" w:bidi="ar-SA"/>
        </w:rPr>
        <w:t>。书证核查为重要辅助，涉及对水电费、医药费、遗嘱、拆迁协议等书证的核查。联动调查成创新模式，常见联动主体包括妇联、社区居委会、司法所等，如法院与妇联联合调查</w:t>
      </w:r>
      <w:r>
        <w:rPr>
          <w:rStyle w:val="14"/>
          <w:rFonts w:hint="eastAsia" w:ascii="Times New Roman" w:hAnsi="Times New Roman" w:eastAsia="宋体" w:cs="宋体"/>
          <w:b w:val="0"/>
          <w:bCs w:val="0"/>
          <w:kern w:val="2"/>
          <w:sz w:val="21"/>
          <w:szCs w:val="21"/>
          <w:lang w:val="en-US" w:eastAsia="zh-CN" w:bidi="ar-SA"/>
        </w:rPr>
        <w:footnoteReference w:id="16"/>
      </w:r>
      <w:r>
        <w:rPr>
          <w:rFonts w:hint="eastAsia" w:ascii="Times New Roman" w:hAnsi="Times New Roman" w:eastAsia="宋体" w:cs="宋体"/>
          <w:b w:val="0"/>
          <w:bCs w:val="0"/>
          <w:kern w:val="2"/>
          <w:sz w:val="21"/>
          <w:szCs w:val="21"/>
          <w:lang w:val="en-US" w:eastAsia="zh-CN" w:bidi="ar-SA"/>
        </w:rPr>
        <w:t>、家事调查员与敬老院对接核实费用</w:t>
      </w:r>
      <w:r>
        <w:rPr>
          <w:rStyle w:val="14"/>
          <w:rFonts w:hint="eastAsia" w:ascii="Times New Roman" w:hAnsi="Times New Roman" w:eastAsia="宋体" w:cs="宋体"/>
          <w:b w:val="0"/>
          <w:bCs w:val="0"/>
          <w:kern w:val="2"/>
          <w:sz w:val="21"/>
          <w:szCs w:val="21"/>
          <w:lang w:val="en-US" w:eastAsia="zh-CN" w:bidi="ar-SA"/>
        </w:rPr>
        <w:footnoteReference w:id="17"/>
      </w:r>
      <w:r>
        <w:rPr>
          <w:rFonts w:hint="eastAsia" w:ascii="Times New Roman" w:hAnsi="Times New Roman" w:eastAsia="宋体" w:cs="宋体"/>
          <w:b w:val="0"/>
          <w:bCs w:val="0"/>
          <w:kern w:val="2"/>
          <w:sz w:val="21"/>
          <w:szCs w:val="21"/>
          <w:lang w:val="en-US" w:eastAsia="zh-CN" w:bidi="ar-SA"/>
        </w:rPr>
        <w:t>。6例复杂案件进行了家事调解，部分引入心理专家等专业力量，家事调查员会联合心理专家对当事人进行测评疏导。</w:t>
      </w:r>
      <w:r>
        <w:rPr>
          <w:rStyle w:val="14"/>
          <w:rFonts w:hint="eastAsia" w:ascii="Times New Roman" w:hAnsi="Times New Roman" w:eastAsia="宋体" w:cs="宋体"/>
          <w:b w:val="0"/>
          <w:bCs w:val="0"/>
          <w:kern w:val="2"/>
          <w:sz w:val="21"/>
          <w:szCs w:val="21"/>
          <w:lang w:val="en-US" w:eastAsia="zh-CN" w:bidi="ar-SA"/>
        </w:rPr>
        <w:footnoteReference w:id="18"/>
      </w:r>
      <w:r>
        <w:rPr>
          <w:rFonts w:hint="eastAsia" w:ascii="Times New Roman" w:hAnsi="Times New Roman"/>
        </w:rPr>
        <w:t>值得注意的是，</w:t>
      </w:r>
      <w:r>
        <w:rPr>
          <w:rFonts w:hint="eastAsia" w:ascii="Times New Roman" w:hAnsi="Times New Roman"/>
          <w:lang w:val="en-US" w:eastAsia="zh-CN"/>
        </w:rPr>
        <w:t>家事</w:t>
      </w:r>
      <w:r>
        <w:rPr>
          <w:rFonts w:hint="eastAsia" w:ascii="Times New Roman" w:hAnsi="Times New Roman"/>
        </w:rPr>
        <w:t>调查员的调查范围多局限于个案事实的查明，缺乏对家庭矛盾深层次社会原因的系统诊断</w:t>
      </w:r>
      <w:r>
        <w:rPr>
          <w:rFonts w:hint="eastAsia" w:ascii="Times New Roman" w:hAnsi="Times New Roman"/>
          <w:lang w:eastAsia="zh-CN"/>
        </w:rPr>
        <w:t>，</w:t>
      </w:r>
      <w:r>
        <w:rPr>
          <w:rFonts w:hint="eastAsia" w:ascii="Times New Roman" w:hAnsi="Times New Roman"/>
        </w:rPr>
        <w:t>调查往往停留在房产归属、遗嘱真实性等</w:t>
      </w:r>
      <w:r>
        <w:rPr>
          <w:rFonts w:hint="eastAsia" w:ascii="Times New Roman" w:hAnsi="Times New Roman"/>
          <w:lang w:val="en-US" w:eastAsia="zh-CN"/>
        </w:rPr>
        <w:t>具体个案</w:t>
      </w:r>
      <w:r>
        <w:rPr>
          <w:rFonts w:hint="eastAsia" w:ascii="Times New Roman" w:hAnsi="Times New Roman"/>
        </w:rPr>
        <w:t>层面，而未能深入分析</w:t>
      </w:r>
      <w:r>
        <w:rPr>
          <w:rFonts w:hint="eastAsia" w:ascii="Times New Roman" w:hAnsi="Times New Roman"/>
          <w:lang w:val="en-US" w:eastAsia="zh-CN"/>
        </w:rPr>
        <w:t>个案背后</w:t>
      </w:r>
      <w:r>
        <w:rPr>
          <w:rFonts w:hint="eastAsia" w:ascii="Times New Roman" w:hAnsi="Times New Roman"/>
        </w:rPr>
        <w:t>家庭关系失衡、赡养责任缺位等社会背景</w:t>
      </w:r>
      <w:r>
        <w:rPr>
          <w:rFonts w:hint="eastAsia" w:ascii="Times New Roman" w:hAnsi="Times New Roman"/>
          <w:lang w:eastAsia="zh-CN"/>
        </w:rPr>
        <w:t>，</w:t>
      </w:r>
      <w:r>
        <w:rPr>
          <w:rFonts w:hint="eastAsia" w:ascii="Times New Roman" w:hAnsi="Times New Roman"/>
        </w:rPr>
        <w:t>这种偏差</w:t>
      </w:r>
      <w:r>
        <w:rPr>
          <w:rFonts w:hint="eastAsia" w:ascii="Times New Roman" w:hAnsi="Times New Roman"/>
          <w:lang w:val="en-US" w:eastAsia="zh-CN"/>
        </w:rPr>
        <w:t>限制</w:t>
      </w:r>
      <w:r>
        <w:rPr>
          <w:rFonts w:hint="eastAsia" w:ascii="Times New Roman" w:hAnsi="Times New Roman"/>
        </w:rPr>
        <w:t>了家事调查员制度</w:t>
      </w:r>
      <w:r>
        <w:rPr>
          <w:rFonts w:hint="eastAsia" w:ascii="Times New Roman" w:hAnsi="Times New Roman"/>
          <w:lang w:val="en-US" w:eastAsia="zh-CN"/>
        </w:rPr>
        <w:t>向</w:t>
      </w:r>
      <w:r>
        <w:rPr>
          <w:rFonts w:hint="eastAsia" w:ascii="Times New Roman" w:hAnsi="Times New Roman"/>
        </w:rPr>
        <w:t>社会治理层面的功能拓展。</w:t>
      </w:r>
    </w:p>
    <w:p w14:paraId="77F4622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200"/>
        <w:jc w:val="center"/>
        <w:textAlignment w:val="auto"/>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 xml:space="preserve">表3 </w:t>
      </w:r>
      <w:r>
        <w:rPr>
          <w:rFonts w:hint="eastAsia" w:ascii="Times New Roman" w:hAnsi="Times New Roman" w:eastAsia="宋体" w:cs="宋体"/>
          <w:szCs w:val="21"/>
        </w:rPr>
        <w:t>家事</w:t>
      </w:r>
      <w:r>
        <w:rPr>
          <w:rFonts w:hint="eastAsia" w:ascii="Times New Roman" w:hAnsi="Times New Roman" w:eastAsia="宋体" w:cs="宋体"/>
          <w:szCs w:val="21"/>
          <w:lang w:val="en-US" w:eastAsia="zh-CN"/>
        </w:rPr>
        <w:t>调查员</w:t>
      </w:r>
      <w:r>
        <w:rPr>
          <w:rFonts w:hint="eastAsia" w:ascii="Times New Roman" w:hAnsi="Times New Roman" w:eastAsia="宋体" w:cs="宋体"/>
          <w:szCs w:val="21"/>
        </w:rPr>
        <w:t>调查举措及数量分布</w:t>
      </w:r>
    </w:p>
    <w:tbl>
      <w:tblPr>
        <w:tblStyle w:val="9"/>
        <w:tblW w:w="8582"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22"/>
        <w:gridCol w:w="1360"/>
        <w:gridCol w:w="1451"/>
        <w:gridCol w:w="1486"/>
        <w:gridCol w:w="1563"/>
        <w:gridCol w:w="1500"/>
      </w:tblGrid>
      <w:tr w14:paraId="114495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blHeader/>
        </w:trPr>
        <w:tc>
          <w:tcPr>
            <w:tcW w:w="1222" w:type="dxa"/>
            <w:tcBorders>
              <w:top w:val="single" w:color="000000" w:sz="12" w:space="0"/>
              <w:bottom w:val="single" w:color="000000" w:sz="8" w:space="0"/>
            </w:tcBorders>
            <w:shd w:val="clear" w:color="auto" w:fill="FFFFFF"/>
            <w:vAlign w:val="center"/>
          </w:tcPr>
          <w:p w14:paraId="155A88DB">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调查举措</w:t>
            </w:r>
          </w:p>
        </w:tc>
        <w:tc>
          <w:tcPr>
            <w:tcW w:w="1360" w:type="dxa"/>
            <w:tcBorders>
              <w:top w:val="single" w:color="000000" w:sz="12" w:space="0"/>
              <w:bottom w:val="single" w:color="000000" w:sz="8" w:space="0"/>
            </w:tcBorders>
            <w:shd w:val="clear" w:color="auto" w:fill="FFFFFF"/>
            <w:vAlign w:val="center"/>
          </w:tcPr>
          <w:p w14:paraId="0556D311">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走访调查</w:t>
            </w:r>
          </w:p>
        </w:tc>
        <w:tc>
          <w:tcPr>
            <w:tcW w:w="1451" w:type="dxa"/>
            <w:tcBorders>
              <w:top w:val="single" w:color="000000" w:sz="12" w:space="0"/>
              <w:bottom w:val="single" w:color="000000" w:sz="8" w:space="0"/>
            </w:tcBorders>
            <w:shd w:val="clear" w:color="auto" w:fill="FFFFFF"/>
            <w:vAlign w:val="center"/>
          </w:tcPr>
          <w:p w14:paraId="5AEFCBE5">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询问谈话</w:t>
            </w:r>
          </w:p>
        </w:tc>
        <w:tc>
          <w:tcPr>
            <w:tcW w:w="1486" w:type="dxa"/>
            <w:tcBorders>
              <w:top w:val="single" w:color="000000" w:sz="12" w:space="0"/>
              <w:bottom w:val="single" w:color="000000" w:sz="8" w:space="0"/>
            </w:tcBorders>
            <w:shd w:val="clear" w:color="auto" w:fill="FFFFFF"/>
            <w:vAlign w:val="center"/>
          </w:tcPr>
          <w:p w14:paraId="6E309DE9">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书证核查</w:t>
            </w:r>
          </w:p>
        </w:tc>
        <w:tc>
          <w:tcPr>
            <w:tcW w:w="1563" w:type="dxa"/>
            <w:tcBorders>
              <w:top w:val="single" w:color="000000" w:sz="12" w:space="0"/>
              <w:bottom w:val="single" w:color="000000" w:sz="8" w:space="0"/>
            </w:tcBorders>
            <w:shd w:val="clear" w:color="auto" w:fill="FFFFFF"/>
            <w:vAlign w:val="center"/>
          </w:tcPr>
          <w:p w14:paraId="47E0A507">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联动调查</w:t>
            </w:r>
          </w:p>
        </w:tc>
        <w:tc>
          <w:tcPr>
            <w:tcW w:w="1500" w:type="dxa"/>
            <w:tcBorders>
              <w:top w:val="single" w:color="000000" w:sz="12" w:space="0"/>
              <w:bottom w:val="single" w:color="000000" w:sz="8" w:space="0"/>
            </w:tcBorders>
            <w:shd w:val="clear" w:color="auto" w:fill="FFFFFF"/>
            <w:vAlign w:val="center"/>
          </w:tcPr>
          <w:p w14:paraId="178518D9">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家事调解</w:t>
            </w:r>
          </w:p>
        </w:tc>
      </w:tr>
      <w:tr w14:paraId="056406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22" w:type="dxa"/>
            <w:tcBorders>
              <w:top w:val="single" w:color="000000" w:sz="8" w:space="0"/>
              <w:tl2br w:val="nil"/>
              <w:tr2bl w:val="nil"/>
            </w:tcBorders>
            <w:shd w:val="clear" w:color="auto" w:fill="FFFFFF"/>
            <w:vAlign w:val="center"/>
          </w:tcPr>
          <w:p w14:paraId="4D8C7CB1">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bCs w:val="0"/>
                <w:kern w:val="2"/>
                <w:sz w:val="21"/>
                <w:szCs w:val="21"/>
                <w:lang w:val="en-US" w:eastAsia="zh-CN" w:bidi="ar-SA"/>
              </w:rPr>
              <w:t>数量/个</w:t>
            </w:r>
          </w:p>
        </w:tc>
        <w:tc>
          <w:tcPr>
            <w:tcW w:w="1360" w:type="dxa"/>
            <w:tcBorders>
              <w:top w:val="single" w:color="000000" w:sz="8" w:space="0"/>
              <w:tl2br w:val="nil"/>
              <w:tr2bl w:val="nil"/>
            </w:tcBorders>
            <w:shd w:val="clear" w:color="auto" w:fill="FFFFFF"/>
            <w:vAlign w:val="center"/>
          </w:tcPr>
          <w:p w14:paraId="05416E3A">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76</w:t>
            </w:r>
          </w:p>
        </w:tc>
        <w:tc>
          <w:tcPr>
            <w:tcW w:w="1451" w:type="dxa"/>
            <w:tcBorders>
              <w:top w:val="single" w:color="000000" w:sz="8" w:space="0"/>
              <w:tl2br w:val="nil"/>
              <w:tr2bl w:val="nil"/>
            </w:tcBorders>
            <w:shd w:val="clear" w:color="auto" w:fill="FFFFFF"/>
            <w:vAlign w:val="center"/>
          </w:tcPr>
          <w:p w14:paraId="333CFA40">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65</w:t>
            </w:r>
          </w:p>
        </w:tc>
        <w:tc>
          <w:tcPr>
            <w:tcW w:w="1486" w:type="dxa"/>
            <w:tcBorders>
              <w:top w:val="single" w:color="000000" w:sz="8" w:space="0"/>
              <w:tl2br w:val="nil"/>
              <w:tr2bl w:val="nil"/>
            </w:tcBorders>
            <w:shd w:val="clear" w:color="auto" w:fill="FFFFFF"/>
            <w:vAlign w:val="center"/>
          </w:tcPr>
          <w:p w14:paraId="7A8BDE19">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43</w:t>
            </w:r>
          </w:p>
        </w:tc>
        <w:tc>
          <w:tcPr>
            <w:tcW w:w="1563" w:type="dxa"/>
            <w:tcBorders>
              <w:top w:val="single" w:color="000000" w:sz="8" w:space="0"/>
              <w:tl2br w:val="nil"/>
              <w:tr2bl w:val="nil"/>
            </w:tcBorders>
            <w:shd w:val="clear" w:color="auto" w:fill="FFFFFF"/>
            <w:vAlign w:val="center"/>
          </w:tcPr>
          <w:p w14:paraId="49ADF2BB">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21</w:t>
            </w:r>
          </w:p>
        </w:tc>
        <w:tc>
          <w:tcPr>
            <w:tcW w:w="1500" w:type="dxa"/>
            <w:tcBorders>
              <w:top w:val="single" w:color="000000" w:sz="8" w:space="0"/>
              <w:tl2br w:val="nil"/>
              <w:tr2bl w:val="nil"/>
            </w:tcBorders>
            <w:shd w:val="clear" w:color="auto" w:fill="FFFFFF"/>
            <w:vAlign w:val="center"/>
          </w:tcPr>
          <w:p w14:paraId="67A63C60">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6</w:t>
            </w:r>
          </w:p>
        </w:tc>
      </w:tr>
      <w:tr w14:paraId="57D394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222" w:type="dxa"/>
            <w:tcBorders>
              <w:tl2br w:val="nil"/>
              <w:tr2bl w:val="nil"/>
            </w:tcBorders>
            <w:shd w:val="clear" w:color="auto" w:fill="FFFFFF"/>
            <w:vAlign w:val="center"/>
          </w:tcPr>
          <w:p w14:paraId="5293520B">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占比/%</w:t>
            </w:r>
          </w:p>
        </w:tc>
        <w:tc>
          <w:tcPr>
            <w:tcW w:w="1360" w:type="dxa"/>
            <w:tcBorders>
              <w:tl2br w:val="nil"/>
              <w:tr2bl w:val="nil"/>
            </w:tcBorders>
            <w:shd w:val="clear" w:color="auto" w:fill="FFFFFF"/>
            <w:vAlign w:val="center"/>
          </w:tcPr>
          <w:p w14:paraId="5A170D6C">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87.4</w:t>
            </w:r>
          </w:p>
        </w:tc>
        <w:tc>
          <w:tcPr>
            <w:tcW w:w="1451" w:type="dxa"/>
            <w:tcBorders>
              <w:tl2br w:val="nil"/>
              <w:tr2bl w:val="nil"/>
            </w:tcBorders>
            <w:shd w:val="clear" w:color="auto" w:fill="FFFFFF"/>
            <w:vAlign w:val="center"/>
          </w:tcPr>
          <w:p w14:paraId="053E7931">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74.7</w:t>
            </w:r>
          </w:p>
        </w:tc>
        <w:tc>
          <w:tcPr>
            <w:tcW w:w="1486" w:type="dxa"/>
            <w:tcBorders>
              <w:tl2br w:val="nil"/>
              <w:tr2bl w:val="nil"/>
            </w:tcBorders>
            <w:shd w:val="clear" w:color="auto" w:fill="FFFFFF"/>
            <w:vAlign w:val="center"/>
          </w:tcPr>
          <w:p w14:paraId="6722241B">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49.4</w:t>
            </w:r>
          </w:p>
        </w:tc>
        <w:tc>
          <w:tcPr>
            <w:tcW w:w="1563" w:type="dxa"/>
            <w:tcBorders>
              <w:tl2br w:val="nil"/>
              <w:tr2bl w:val="nil"/>
            </w:tcBorders>
            <w:shd w:val="clear" w:color="auto" w:fill="FFFFFF"/>
            <w:vAlign w:val="center"/>
          </w:tcPr>
          <w:p w14:paraId="69CCA172">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24.1</w:t>
            </w:r>
          </w:p>
        </w:tc>
        <w:tc>
          <w:tcPr>
            <w:tcW w:w="1500" w:type="dxa"/>
            <w:tcBorders>
              <w:tl2br w:val="nil"/>
              <w:tr2bl w:val="nil"/>
            </w:tcBorders>
            <w:shd w:val="clear" w:color="auto" w:fill="FFFFFF"/>
            <w:vAlign w:val="center"/>
          </w:tcPr>
          <w:p w14:paraId="40C679FE">
            <w:pPr>
              <w:keepNext w:val="0"/>
              <w:keepLines w:val="0"/>
              <w:pageBreakBefore w:val="0"/>
              <w:widowControl w:val="0"/>
              <w:numPr>
                <w:ilvl w:val="0"/>
                <w:numId w:val="0"/>
              </w:numPr>
              <w:kinsoku/>
              <w:wordWrap/>
              <w:overflowPunct/>
              <w:topLinePunct w:val="0"/>
              <w:autoSpaceDE/>
              <w:autoSpaceDN/>
              <w:bidi w:val="0"/>
              <w:adjustRightInd/>
              <w:snapToGrid/>
              <w:spacing w:before="60" w:after="60" w:line="240" w:lineRule="auto"/>
              <w:jc w:val="center"/>
              <w:textAlignment w:val="auto"/>
              <w:rPr>
                <w:rFonts w:hint="default" w:ascii="Times New Roman" w:hAnsi="Times New Roman" w:eastAsia="宋体" w:cs="宋体"/>
                <w:b w:val="0"/>
                <w:color w:val="000000"/>
                <w:sz w:val="21"/>
                <w:szCs w:val="21"/>
                <w:vertAlign w:val="baseline"/>
                <w:lang w:val="en-US" w:eastAsia="zh-CN"/>
              </w:rPr>
            </w:pPr>
            <w:r>
              <w:rPr>
                <w:rFonts w:hint="eastAsia" w:ascii="Times New Roman" w:hAnsi="Times New Roman" w:eastAsia="宋体" w:cs="宋体"/>
                <w:b w:val="0"/>
                <w:color w:val="000000"/>
                <w:sz w:val="21"/>
                <w:szCs w:val="21"/>
                <w:vertAlign w:val="baseline"/>
                <w:lang w:val="en-US" w:eastAsia="zh-CN"/>
              </w:rPr>
              <w:t>6.9</w:t>
            </w:r>
          </w:p>
        </w:tc>
      </w:tr>
    </w:tbl>
    <w:p w14:paraId="0AD3E276">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（二）家事调查员制度的实践问题</w:t>
      </w:r>
    </w:p>
    <w:p w14:paraId="7F843C52">
      <w:pPr>
        <w:ind w:firstLine="420" w:firstLineChars="200"/>
        <w:rPr>
          <w:rFonts w:ascii="Times New Roman" w:hAnsi="Times New Roman"/>
        </w:rPr>
      </w:pPr>
      <w:r>
        <w:rPr>
          <w:rFonts w:hint="eastAsia" w:ascii="Times New Roman" w:hAnsi="Times New Roman" w:eastAsia="宋体" w:cs="宋体"/>
          <w:b w:val="0"/>
          <w:bCs w:val="0"/>
          <w:kern w:val="2"/>
          <w:sz w:val="21"/>
          <w:szCs w:val="21"/>
          <w:lang w:val="en-US" w:eastAsia="zh-CN" w:bidi="ar-SA"/>
        </w:rPr>
        <w:t>其一，调查主体资质混沌且保障机制薄弱。当前各地对家事调查员的准入标准缺乏统一规范，实践中既有社区工作者、人民</w:t>
      </w:r>
      <w:r>
        <w:rPr>
          <w:rFonts w:hint="eastAsia" w:ascii="Times New Roman" w:hAnsi="Times New Roman"/>
        </w:rPr>
        <w:t>调解员等基层群众自治组织成员，也有律师、心理咨询师等专业人士，甚至包含退休人员、志愿者等非专业群体，这种泛化的准入模式导致家事调查队伍专业化程度参差不齐。</w:t>
      </w:r>
      <w:r>
        <w:rPr>
          <w:rFonts w:hint="eastAsia" w:ascii="Times New Roman" w:hAnsi="Times New Roman"/>
          <w:lang w:val="en-US" w:eastAsia="zh-CN"/>
        </w:rPr>
        <w:t>同时，</w:t>
      </w:r>
      <w:r>
        <w:rPr>
          <w:rFonts w:hint="eastAsia" w:ascii="Times New Roman" w:hAnsi="Times New Roman"/>
        </w:rPr>
        <w:t>家事调查员多以兼职的形式参与工作，缺乏稳定的薪酬保障和职业激励，部分地区仅给予象征性补贴，难以覆盖交通、时间等成本。除此以外，家事调查员的履职风险也缺乏制度兜底，在涉及家庭暴力、精神疾病等案件时，家事调查员的人身安全保障不足。在新时代“枫桥经验”的视域下，家事调查员制度虽然并未得到法律规范的统一设立而获得“正式制度”的地位，但正式制度在纠纷解决时可能存在的成本高昂、难以回应纠纷解决实践复杂性的问题，将促成法院的纠纷解决需要依靠家事调查员制度而进行一定的非正式运作。以此而言，给予家事调查员财力、履职安全等方面的保障，将有效制度的实践运作。正如美国学者埃里克森所言：“法律制定者如果对那些促成非正式合作的社会条件缺乏眼力，他们就可能造就一个法律更多但秩序更少的世界。”</w:t>
      </w:r>
      <w:r>
        <w:rPr>
          <w:rStyle w:val="14"/>
          <w:rFonts w:hint="eastAsia" w:ascii="Times New Roman" w:hAnsi="Times New Roman"/>
        </w:rPr>
        <w:footnoteReference w:id="19"/>
      </w:r>
      <w:r>
        <w:rPr>
          <w:rFonts w:hint="eastAsia" w:ascii="Times New Roman" w:hAnsi="Times New Roman"/>
        </w:rPr>
        <w:t>另外，新时代“枫桥经验”本就带有强调常态化依靠群众力量</w:t>
      </w:r>
      <w:r>
        <w:rPr>
          <w:rStyle w:val="14"/>
          <w:rFonts w:hint="eastAsia" w:ascii="Times New Roman" w:hAnsi="Times New Roman"/>
        </w:rPr>
        <w:footnoteReference w:id="20"/>
      </w:r>
      <w:r>
        <w:rPr>
          <w:rFonts w:hint="eastAsia" w:ascii="Times New Roman" w:hAnsi="Times New Roman"/>
        </w:rPr>
        <w:t>的意蕴，而家事调查员又是群众力量的重要组成部分，如果家事调查员队伍因缺乏专业认同和职业荣誉感而流动性较大，将难以形成专业化、长效性从事纠纷治理工作的群众力量。</w:t>
      </w:r>
    </w:p>
    <w:p w14:paraId="3DBA6171">
      <w:pPr>
        <w:ind w:firstLine="420" w:firstLineChars="200"/>
        <w:rPr>
          <w:rFonts w:hint="eastAsia" w:ascii="Times New Roman" w:hAnsi="Times New Roman" w:eastAsia="宋体" w:cs="宋体"/>
          <w:b w:val="0"/>
          <w:bCs w:val="0"/>
          <w:color w:val="auto"/>
          <w:kern w:val="2"/>
          <w:sz w:val="21"/>
          <w:szCs w:val="21"/>
          <w:lang w:val="en-US" w:eastAsia="zh-CN" w:bidi="ar-SA"/>
        </w:rPr>
      </w:pPr>
      <w:r>
        <w:rPr>
          <w:rFonts w:hint="eastAsia" w:ascii="Times New Roman" w:hAnsi="Times New Roman"/>
        </w:rPr>
        <w:t>其二，调查程序缺乏规范性与联动性。</w:t>
      </w:r>
      <w:r>
        <w:rPr>
          <w:rFonts w:hint="eastAsia" w:ascii="Times New Roman" w:hAnsi="Times New Roman" w:eastAsia="宋体" w:cs="宋体"/>
          <w:szCs w:val="21"/>
        </w:rPr>
        <w:t>案例中既有法院依职权启动调查，如法院主动委托调查赡养情况</w:t>
      </w:r>
      <w:r>
        <w:rPr>
          <w:rStyle w:val="14"/>
          <w:rFonts w:hint="eastAsia" w:ascii="Times New Roman" w:hAnsi="Times New Roman" w:eastAsia="宋体" w:cs="宋体"/>
          <w:szCs w:val="21"/>
        </w:rPr>
        <w:footnoteReference w:id="21"/>
      </w:r>
      <w:r>
        <w:rPr>
          <w:rFonts w:hint="eastAsia" w:ascii="Times New Roman" w:hAnsi="Times New Roman" w:eastAsia="宋体" w:cs="宋体"/>
          <w:szCs w:val="21"/>
        </w:rPr>
        <w:t>，也有当事人申请启动，如当事人申请调查被继承人写字能力获准许</w:t>
      </w:r>
      <w:r>
        <w:rPr>
          <w:rStyle w:val="14"/>
          <w:rFonts w:hint="eastAsia" w:ascii="Times New Roman" w:hAnsi="Times New Roman" w:eastAsia="宋体" w:cs="宋体"/>
          <w:szCs w:val="21"/>
        </w:rPr>
        <w:footnoteReference w:id="22"/>
      </w:r>
      <w:r>
        <w:rPr>
          <w:rFonts w:hint="eastAsia" w:ascii="Times New Roman" w:hAnsi="Times New Roman" w:eastAsia="宋体" w:cs="宋体"/>
          <w:szCs w:val="21"/>
        </w:rPr>
        <w:t>，但缺乏明确的启动条件指引。简单案件（如分家析产纠纷），调查员1周内即可完成房屋产权调查</w:t>
      </w:r>
      <w:r>
        <w:rPr>
          <w:rStyle w:val="14"/>
          <w:rFonts w:hint="eastAsia" w:ascii="Times New Roman" w:hAnsi="Times New Roman" w:eastAsia="宋体" w:cs="宋体"/>
          <w:szCs w:val="21"/>
        </w:rPr>
        <w:footnoteReference w:id="23"/>
      </w:r>
      <w:r>
        <w:rPr>
          <w:rFonts w:hint="eastAsia" w:ascii="Times New Roman" w:hAnsi="Times New Roman" w:eastAsia="宋体" w:cs="宋体"/>
          <w:szCs w:val="21"/>
        </w:rPr>
        <w:t>，复杂案件（如继承纠纷），调查被继承人多年生活轨迹耗时近2个月</w:t>
      </w:r>
      <w:r>
        <w:rPr>
          <w:rStyle w:val="14"/>
          <w:rFonts w:hint="eastAsia" w:ascii="Times New Roman" w:hAnsi="Times New Roman" w:eastAsia="宋体" w:cs="宋体"/>
          <w:szCs w:val="21"/>
        </w:rPr>
        <w:footnoteReference w:id="24"/>
      </w:r>
      <w:r>
        <w:rPr>
          <w:rFonts w:hint="eastAsia" w:ascii="Times New Roman" w:hAnsi="Times New Roman" w:eastAsia="宋体" w:cs="宋体"/>
          <w:szCs w:val="21"/>
        </w:rPr>
        <w:t>，缺乏明确的时限规定导致案件审理周期延长。</w:t>
      </w:r>
      <w:r>
        <w:rPr>
          <w:rFonts w:hint="eastAsia" w:ascii="Times New Roman" w:hAnsi="Times New Roman"/>
        </w:rPr>
        <w:t>家事调查的调查范围、权限边界及家事调查员与其他部门之间的合作关系没有明确规范，也缺乏跨部门之间的联动，导致调查工作易陷入被动启动或随意开展的状态。新时代“枫桥经验”在强调吸收多元主体形成纠纷解决的合力时，也注重以法治方式和法治手段解决纠纷。对此，习近平总书记曾明确指出：“要始终坚持把学习推广‘枫桥经验’与贯彻依法治国基本方略，推进依法治省各项工作，加强基层民主政治建设有机结合起来。”</w:t>
      </w:r>
      <w:r>
        <w:rPr>
          <w:rStyle w:val="14"/>
          <w:rFonts w:hint="eastAsia" w:ascii="Times New Roman" w:hAnsi="Times New Roman"/>
        </w:rPr>
        <w:footnoteReference w:id="25"/>
      </w:r>
      <w:r>
        <w:rPr>
          <w:rFonts w:hint="eastAsia" w:ascii="Times New Roman" w:hAnsi="Times New Roman"/>
        </w:rPr>
        <w:t>这对家事调查员制度在程序规范性运转、调查员调查工作开展环节等方面提出了规范性的要求。</w:t>
      </w:r>
    </w:p>
    <w:p w14:paraId="5ECA1C2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lang w:val="en-US" w:eastAsia="zh-CN"/>
        </w:rPr>
      </w:pPr>
      <w:r>
        <w:rPr>
          <w:rFonts w:hint="eastAsia" w:ascii="Times New Roman" w:hAnsi="Times New Roman" w:eastAsia="宋体" w:cs="宋体"/>
          <w:b w:val="0"/>
          <w:bCs w:val="0"/>
          <w:color w:val="auto"/>
          <w:kern w:val="2"/>
          <w:sz w:val="21"/>
          <w:szCs w:val="21"/>
          <w:lang w:val="en-US" w:eastAsia="zh-CN" w:bidi="ar-SA"/>
        </w:rPr>
        <w:t>其三，调查报告效力模糊且救济途径缺失。有学者指出：“‘</w:t>
      </w:r>
      <w:r>
        <w:rPr>
          <w:rFonts w:hint="eastAsia" w:ascii="Times New Roman" w:hAnsi="Times New Roman"/>
          <w:color w:val="auto"/>
          <w:lang w:val="en-US" w:eastAsia="zh-CN"/>
        </w:rPr>
        <w:t>枫桥经验’包含了三个有机统一的基本取向，即在化解基层矛盾的各项机制中需要贯彻的参与取向、成本取向与文明取向。”</w:t>
      </w:r>
      <w:r>
        <w:rPr>
          <w:rStyle w:val="14"/>
          <w:rFonts w:hint="eastAsia" w:ascii="Times New Roman" w:hAnsi="Times New Roman"/>
          <w:color w:val="auto"/>
          <w:lang w:val="en-US" w:eastAsia="zh-CN"/>
        </w:rPr>
        <w:footnoteReference w:id="26"/>
      </w:r>
      <w:r>
        <w:rPr>
          <w:rFonts w:hint="eastAsia" w:ascii="Times New Roman" w:hAnsi="Times New Roman"/>
          <w:color w:val="auto"/>
          <w:lang w:val="en-US" w:eastAsia="zh-CN"/>
        </w:rPr>
        <w:t>其中，</w:t>
      </w:r>
      <w:r>
        <w:rPr>
          <w:rFonts w:hint="eastAsia" w:ascii="Times New Roman" w:hAnsi="Times New Roman" w:eastAsia="宋体" w:cs="宋体"/>
          <w:b w:val="0"/>
          <w:bCs w:val="0"/>
          <w:color w:val="auto"/>
          <w:kern w:val="2"/>
          <w:sz w:val="21"/>
          <w:szCs w:val="21"/>
          <w:lang w:val="en-US" w:eastAsia="zh-CN" w:bidi="ar-SA"/>
        </w:rPr>
        <w:t>参与取向指的是在纠纷解决的过程中群众广泛参与，但现行法律未明确家事调查报告的证据属性</w:t>
      </w:r>
      <w:bookmarkStart w:id="0" w:name="_Ref30218"/>
      <w:r>
        <w:rPr>
          <w:rFonts w:hint="eastAsia" w:ascii="Times New Roman" w:hAnsi="Times New Roman" w:eastAsia="宋体" w:cs="宋体"/>
          <w:b w:val="0"/>
          <w:bCs w:val="0"/>
          <w:color w:val="auto"/>
          <w:kern w:val="2"/>
          <w:sz w:val="21"/>
          <w:szCs w:val="21"/>
          <w:lang w:val="en-US" w:eastAsia="zh-CN" w:bidi="ar-SA"/>
        </w:rPr>
        <w:t>，</w:t>
      </w:r>
      <w:r>
        <w:rPr>
          <w:rFonts w:hint="eastAsia" w:ascii="Times New Roman" w:hAnsi="Times New Roman" w:eastAsia="宋体" w:cs="宋体"/>
          <w:b w:val="0"/>
          <w:bCs w:val="0"/>
          <w:color w:val="auto"/>
          <w:kern w:val="2"/>
          <w:sz w:val="21"/>
          <w:szCs w:val="21"/>
          <w:vertAlign w:val="superscript"/>
          <w:lang w:val="en-US" w:eastAsia="zh-CN" w:bidi="ar-SA"/>
        </w:rPr>
        <w:footnoteReference w:id="27"/>
      </w:r>
      <w:bookmarkEnd w:id="0"/>
      <w:r>
        <w:rPr>
          <w:rFonts w:hint="eastAsia" w:ascii="Times New Roman" w:hAnsi="Times New Roman" w:eastAsia="宋体" w:cs="宋体"/>
          <w:b w:val="0"/>
          <w:bCs w:val="0"/>
          <w:color w:val="auto"/>
          <w:kern w:val="2"/>
          <w:sz w:val="21"/>
          <w:szCs w:val="21"/>
          <w:lang w:val="en-US" w:eastAsia="zh-CN" w:bidi="ar-SA"/>
        </w:rPr>
        <w:t>既未界定其是否属于法定证据种类，也未规范证明力的判断标准，案例中当事人认为家事调查报告仅依据调查对象的陈述是无法判定调查对象订立遗嘱时是否具备订立遗嘱的能力</w:t>
      </w:r>
      <w:r>
        <w:rPr>
          <w:rStyle w:val="14"/>
          <w:rFonts w:hint="eastAsia" w:ascii="Times New Roman" w:hAnsi="Times New Roman" w:eastAsia="宋体" w:cs="宋体"/>
          <w:b w:val="0"/>
          <w:bCs w:val="0"/>
          <w:color w:val="auto"/>
          <w:kern w:val="2"/>
          <w:sz w:val="21"/>
          <w:szCs w:val="21"/>
          <w:lang w:val="en-US" w:eastAsia="zh-CN" w:bidi="ar-SA"/>
        </w:rPr>
        <w:footnoteReference w:id="28"/>
      </w:r>
      <w:r>
        <w:rPr>
          <w:rFonts w:hint="eastAsia" w:ascii="Times New Roman" w:hAnsi="Times New Roman" w:eastAsia="宋体" w:cs="宋体"/>
          <w:b w:val="0"/>
          <w:bCs w:val="0"/>
          <w:color w:val="auto"/>
          <w:kern w:val="2"/>
          <w:sz w:val="21"/>
          <w:szCs w:val="21"/>
          <w:lang w:val="en-US" w:eastAsia="zh-CN" w:bidi="ar-SA"/>
        </w:rPr>
        <w:t>，仍然应当以司法鉴定机构或专业诊疗机构的为准。调查报告效力模糊的现状，会逐步消解家事调查员的参与热情，若无法形成调查工作能切实影响纠纷走向的稳定预期，群众（尤其是兼职的社区工作者、退休法律工作者等家事调查员群体）将不愿再投入精力参与调查，最终导致新时代“枫桥经验”依靠群众解纷的根基被削弱。成本取向指的是用尽可能少的资源实现纠纷的高效解决，当事人对家事调查报告内容有异议时缺乏申请重新调查或补充调查的法定程序，案例中当事人认为在家事调查报告中两个目击者的陈述不一致</w:t>
      </w:r>
      <w:r>
        <w:rPr>
          <w:rStyle w:val="14"/>
          <w:rFonts w:hint="eastAsia" w:ascii="Times New Roman" w:hAnsi="Times New Roman" w:eastAsia="宋体" w:cs="宋体"/>
          <w:b w:val="0"/>
          <w:bCs w:val="0"/>
          <w:color w:val="auto"/>
          <w:kern w:val="2"/>
          <w:sz w:val="21"/>
          <w:szCs w:val="21"/>
          <w:lang w:val="en-US" w:eastAsia="zh-CN" w:bidi="ar-SA"/>
        </w:rPr>
        <w:footnoteReference w:id="29"/>
      </w:r>
      <w:r>
        <w:rPr>
          <w:rFonts w:hint="eastAsia" w:ascii="Times New Roman" w:hAnsi="Times New Roman" w:eastAsia="宋体" w:cs="宋体"/>
          <w:b w:val="0"/>
          <w:bCs w:val="0"/>
          <w:color w:val="auto"/>
          <w:kern w:val="2"/>
          <w:sz w:val="21"/>
          <w:szCs w:val="21"/>
          <w:lang w:val="en-US" w:eastAsia="zh-CN" w:bidi="ar-SA"/>
        </w:rPr>
        <w:t>，对此报告有异议但未获救济机会。救济途径的缺失导致</w:t>
      </w:r>
      <w:r>
        <w:rPr>
          <w:rFonts w:hint="eastAsia" w:ascii="Times New Roman" w:hAnsi="Times New Roman"/>
        </w:rPr>
        <w:t>当事人会转而寻求</w:t>
      </w:r>
      <w:r>
        <w:rPr>
          <w:rFonts w:hint="eastAsia" w:ascii="Times New Roman" w:hAnsi="Times New Roman"/>
          <w:color w:val="auto"/>
          <w:lang w:val="en-US" w:eastAsia="zh-CN"/>
        </w:rPr>
        <w:t>司法程序之外的帮助</w:t>
      </w:r>
      <w:r>
        <w:rPr>
          <w:rFonts w:hint="eastAsia" w:ascii="Times New Roman" w:hAnsi="Times New Roman"/>
          <w:lang w:eastAsia="zh-CN"/>
        </w:rPr>
        <w:t>，</w:t>
      </w:r>
      <w:r>
        <w:rPr>
          <w:rFonts w:hint="eastAsia" w:ascii="Times New Roman" w:hAnsi="Times New Roman"/>
          <w:color w:val="auto"/>
          <w:lang w:val="en-US" w:eastAsia="zh-CN"/>
        </w:rPr>
        <w:t>因徒增了其他司法程序而使纠纷解决的成本增加，这也</w:t>
      </w:r>
      <w:r>
        <w:rPr>
          <w:rFonts w:hint="eastAsia" w:ascii="Times New Roman" w:hAnsi="Times New Roman" w:eastAsia="宋体" w:cs="宋体"/>
          <w:b w:val="0"/>
          <w:bCs w:val="0"/>
          <w:color w:val="auto"/>
          <w:kern w:val="2"/>
          <w:sz w:val="21"/>
          <w:szCs w:val="21"/>
          <w:lang w:val="en-US" w:eastAsia="zh-CN" w:bidi="ar-SA"/>
        </w:rPr>
        <w:t>与新时代“枫桥经验”注重群众诉求表达的追求</w:t>
      </w:r>
      <w:r>
        <w:rPr>
          <w:rStyle w:val="14"/>
          <w:rFonts w:hint="eastAsia" w:ascii="Times New Roman" w:hAnsi="Times New Roman" w:eastAsia="宋体" w:cs="宋体"/>
          <w:b w:val="0"/>
          <w:bCs w:val="0"/>
          <w:color w:val="auto"/>
          <w:kern w:val="2"/>
          <w:sz w:val="21"/>
          <w:szCs w:val="21"/>
          <w:lang w:val="en-US" w:eastAsia="zh-CN" w:bidi="ar-SA"/>
        </w:rPr>
        <w:footnoteReference w:id="30"/>
      </w:r>
      <w:r>
        <w:rPr>
          <w:rFonts w:hint="eastAsia" w:ascii="Times New Roman" w:hAnsi="Times New Roman" w:eastAsia="宋体" w:cs="宋体"/>
          <w:b w:val="0"/>
          <w:bCs w:val="0"/>
          <w:color w:val="auto"/>
          <w:kern w:val="2"/>
          <w:sz w:val="21"/>
          <w:szCs w:val="21"/>
          <w:lang w:val="en-US" w:eastAsia="zh-CN" w:bidi="ar-SA"/>
        </w:rPr>
        <w:t>相违背。</w:t>
      </w:r>
    </w:p>
    <w:p w14:paraId="20634FF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宋体"/>
          <w:b w:val="0"/>
          <w:bCs w:val="0"/>
          <w:kern w:val="2"/>
          <w:sz w:val="21"/>
          <w:szCs w:val="21"/>
          <w:lang w:val="en-US" w:eastAsia="zh-CN" w:bidi="ar-SA"/>
        </w:rPr>
      </w:pPr>
      <w:r>
        <w:rPr>
          <w:rFonts w:hint="eastAsia" w:ascii="Times New Roman" w:hAnsi="Times New Roman"/>
          <w:lang w:val="en-US" w:eastAsia="zh-CN"/>
        </w:rPr>
        <w:t>其四，家事调查实践中调解功能不足。随着我国进入多元化纠纷解决机制结构调整的新阶段，新时代“枫桥经验”在顶层设计层面和基层社会层面都和人民调解制度关联了起来，</w:t>
      </w:r>
      <w:r>
        <w:rPr>
          <w:rStyle w:val="14"/>
          <w:rFonts w:hint="eastAsia" w:ascii="Times New Roman" w:hAnsi="Times New Roman"/>
          <w:lang w:val="en-US" w:eastAsia="zh-CN"/>
        </w:rPr>
        <w:footnoteReference w:id="31"/>
      </w:r>
      <w:r>
        <w:rPr>
          <w:rFonts w:hint="eastAsia" w:ascii="Times New Roman" w:hAnsi="Times New Roman"/>
          <w:lang w:val="en-US" w:eastAsia="zh-CN"/>
        </w:rPr>
        <w:t>其强调以调解为抓手将非诉讼解纷机制嵌入社会治理前端。在家事调查中运用调解制度是践行将调解贯穿案件审判全过程的具体实践，也是家事案件强调先行调解和实行调解前置的重要举措。</w:t>
      </w:r>
      <w:r>
        <w:rPr>
          <w:rStyle w:val="14"/>
          <w:rFonts w:hint="eastAsia" w:ascii="Times New Roman" w:hAnsi="Times New Roman"/>
          <w:lang w:val="en-US" w:eastAsia="zh-CN"/>
        </w:rPr>
        <w:footnoteReference w:id="32"/>
      </w:r>
      <w:r>
        <w:rPr>
          <w:rFonts w:hint="eastAsia" w:ascii="Times New Roman" w:hAnsi="Times New Roman"/>
          <w:lang w:val="en-US" w:eastAsia="zh-CN"/>
        </w:rPr>
        <w:t>但案例数据显示家事调查员主要依靠走访谈话等传统方式进行调查，家事调查员进行调解的案例有6例，其中3例案件由专业的家事调解员进行调解，3例案件由家事调查员进行调解，在裁判文书中被称为“家事调查调解员”</w:t>
      </w:r>
      <w:r>
        <w:rPr>
          <w:rStyle w:val="14"/>
          <w:rFonts w:hint="eastAsia" w:ascii="Times New Roman" w:hAnsi="Times New Roman"/>
          <w:lang w:val="en-US" w:eastAsia="zh-CN"/>
        </w:rPr>
        <w:footnoteReference w:id="33"/>
      </w:r>
      <w:r>
        <w:rPr>
          <w:rFonts w:hint="eastAsia" w:ascii="Times New Roman" w:hAnsi="Times New Roman"/>
          <w:lang w:val="en-US" w:eastAsia="zh-CN"/>
        </w:rPr>
        <w:t>，占比较低。其原因有三：一是多数家事调查员将自身角色定位于事实查明者，在调查过程中缺乏主动介入纠纷化解的意识；二是缺乏家事调查与调解程序衔接的明确规定，何时可启动调解、调解的时限、调解结果的确认方式等均存在制度空白，导致调解工作随意性大，甚至可能因程序失范而引发新的争议；三是调解能力不足，家事纠纷调解需要具备心理学、社会工作等多学科知识和丰富的实践经验，缺乏系统化的调解技能培训，导致本可通过专业调解化解的纠纷最终仍需回归裁判路径。由此可得出在司法实践中家事调查员制度常见于嵌入司法程序末端，强调其对案件事实查明和裁判效率的贡献，制度的司法附属性过强，导致其未能在调查中实现“以查促调”的前端治理链条。</w:t>
      </w:r>
    </w:p>
    <w:p w14:paraId="658B8A3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宋体"/>
          <w:b w:val="0"/>
          <w:bCs w:val="0"/>
          <w:kern w:val="2"/>
          <w:sz w:val="21"/>
          <w:szCs w:val="21"/>
          <w:lang w:val="en-US" w:eastAsia="zh-CN" w:bidi="ar-SA"/>
        </w:rPr>
      </w:pPr>
      <w:r>
        <w:rPr>
          <w:rFonts w:hint="eastAsia" w:ascii="Times New Roman" w:hAnsi="Times New Roman" w:eastAsia="宋体" w:cs="宋体"/>
          <w:b w:val="0"/>
          <w:bCs w:val="0"/>
          <w:kern w:val="2"/>
          <w:sz w:val="21"/>
          <w:szCs w:val="21"/>
          <w:lang w:val="en-US" w:eastAsia="zh-CN" w:bidi="ar-SA"/>
        </w:rPr>
        <w:t>上述实践问题的根源，在于未能从社会治理现代化的高度审视家事调查员制度的价值。家事调查不仅是事实查明过程，更是对社会关系的诊断和修复过程，其成功依赖于对社区资源的动员能力和对群众路线的践行程度。新时代“枫桥经验”作为中国基层社会治理的典范，通过多元共治实现矛盾就地化解，这与家事调查员制度亟需的治理转型高度契合，能使家事调查员制度从司法辅助工具提升为社会治理的重要载体。</w:t>
      </w:r>
    </w:p>
    <w:p w14:paraId="6B0D71C7">
      <w:pPr>
        <w:rPr>
          <w:rFonts w:hint="default" w:ascii="黑体" w:hAnsi="黑体" w:eastAsia="黑体"/>
          <w:sz w:val="28"/>
          <w:szCs w:val="28"/>
          <w:lang w:val="en-US" w:eastAsia="zh-CN"/>
        </w:rPr>
      </w:pPr>
      <w:r>
        <w:rPr>
          <w:rFonts w:hint="eastAsia" w:ascii="黑体" w:hAnsi="黑体" w:eastAsia="黑体"/>
          <w:sz w:val="28"/>
          <w:szCs w:val="28"/>
          <w:lang w:val="en-US" w:eastAsia="zh-CN"/>
        </w:rPr>
        <w:t>二、新时代“枫桥经验”嵌入家事调查员制度的理论基础</w:t>
      </w:r>
    </w:p>
    <w:p w14:paraId="2F35703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宋体"/>
          <w:b w:val="0"/>
          <w:bCs w:val="0"/>
          <w:kern w:val="2"/>
          <w:sz w:val="21"/>
          <w:szCs w:val="21"/>
          <w:lang w:val="en-US" w:eastAsia="zh-CN" w:bidi="ar-SA"/>
        </w:rPr>
      </w:pPr>
      <w:r>
        <w:rPr>
          <w:rFonts w:hint="eastAsia" w:ascii="Times New Roman" w:hAnsi="Times New Roman" w:eastAsia="宋体" w:cs="宋体"/>
          <w:b w:val="0"/>
          <w:bCs w:val="0"/>
          <w:kern w:val="2"/>
          <w:sz w:val="21"/>
          <w:szCs w:val="21"/>
          <w:lang w:val="en-US" w:eastAsia="zh-CN" w:bidi="ar-SA"/>
        </w:rPr>
        <w:t>“嵌入”概念最初源自经济社会学领域的制度嵌入性理论，强调经济行为内嵌于具体的社会关系网络与制度环境之中，</w:t>
      </w:r>
      <w:r>
        <w:rPr>
          <w:rStyle w:val="14"/>
          <w:rFonts w:hint="eastAsia" w:ascii="Times New Roman" w:hAnsi="Times New Roman" w:eastAsia="宋体" w:cs="宋体"/>
          <w:b w:val="0"/>
          <w:bCs w:val="0"/>
          <w:kern w:val="2"/>
          <w:sz w:val="21"/>
          <w:szCs w:val="21"/>
          <w:lang w:val="en-US" w:eastAsia="zh-CN" w:bidi="ar-SA"/>
        </w:rPr>
        <w:footnoteReference w:id="34"/>
      </w:r>
      <w:r>
        <w:rPr>
          <w:rFonts w:hint="eastAsia" w:ascii="Times New Roman" w:hAnsi="Times New Roman" w:eastAsia="宋体" w:cs="宋体"/>
          <w:b w:val="0"/>
          <w:bCs w:val="0"/>
          <w:kern w:val="2"/>
          <w:sz w:val="21"/>
          <w:szCs w:val="21"/>
          <w:lang w:val="en-US" w:eastAsia="zh-CN" w:bidi="ar-SA"/>
        </w:rPr>
        <w:t>在社会矛盾纠纷治理领域，制度嵌入性视角被用于审视特定治理机制与制度环境之间的关联。</w:t>
      </w:r>
      <w:r>
        <w:rPr>
          <w:rStyle w:val="14"/>
          <w:rFonts w:hint="eastAsia" w:ascii="Times New Roman" w:hAnsi="Times New Roman" w:eastAsia="宋体" w:cs="宋体"/>
          <w:b w:val="0"/>
          <w:bCs w:val="0"/>
          <w:kern w:val="2"/>
          <w:sz w:val="21"/>
          <w:szCs w:val="21"/>
          <w:lang w:val="en-US" w:eastAsia="zh-CN" w:bidi="ar-SA"/>
        </w:rPr>
        <w:footnoteReference w:id="35"/>
      </w:r>
      <w:r>
        <w:rPr>
          <w:rFonts w:hint="eastAsia" w:ascii="Times New Roman" w:hAnsi="Times New Roman" w:eastAsia="宋体" w:cs="宋体"/>
          <w:b w:val="0"/>
          <w:bCs w:val="0"/>
          <w:kern w:val="2"/>
          <w:sz w:val="21"/>
          <w:szCs w:val="21"/>
          <w:lang w:val="en-US" w:eastAsia="zh-CN" w:bidi="ar-SA"/>
        </w:rPr>
        <w:t>将这一理论框架运用于新时代“枫桥经验”与家事调查员制度的关系分析，可以发现二者不仅是价值理念上的“适配”关系，更是在制度功能与实践原理上存在深层的“嵌入”需求。这种“嵌入”的正当性，源于法经济学维度的制度成本节约、治理维度的效能提升以及制度演进维度的规范需求。家事调查员制度的引入与发展，初衷在于弥补传统家事审判在事实查明、关系修复上的不足，而新时代“枫桥经验”则强调矛盾纠纷的前端化解与社会协同治理，二者在运行机制与治理逻辑上的结合不仅可以缓解司法办案压力，更有助于推动基层治理现代化。</w:t>
      </w:r>
    </w:p>
    <w:p w14:paraId="1EDFE0BD">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（一）价值理念基础：运行逻辑相互契合</w:t>
      </w:r>
    </w:p>
    <w:p w14:paraId="09026F2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宋体"/>
          <w:b w:val="0"/>
          <w:bCs w:val="0"/>
          <w:kern w:val="2"/>
          <w:sz w:val="21"/>
          <w:szCs w:val="21"/>
          <w:lang w:val="en-US" w:eastAsia="zh-CN" w:bidi="ar-SA"/>
        </w:rPr>
      </w:pPr>
      <w:r>
        <w:rPr>
          <w:rFonts w:hint="eastAsia" w:ascii="Times New Roman" w:hAnsi="Times New Roman" w:eastAsia="宋体" w:cs="宋体"/>
          <w:b w:val="0"/>
          <w:bCs w:val="0"/>
          <w:kern w:val="2"/>
          <w:sz w:val="21"/>
          <w:szCs w:val="21"/>
          <w:lang w:val="en-US" w:eastAsia="zh-CN" w:bidi="ar-SA"/>
        </w:rPr>
        <w:t>新时代“枫桥经验”的核心价值在于坚持以人民为中心，通过发动群众、依靠群众实现矛盾就地化解</w:t>
      </w:r>
      <w:bookmarkStart w:id="1" w:name="_Ref30257"/>
      <w:r>
        <w:rPr>
          <w:rFonts w:hint="eastAsia" w:ascii="Times New Roman" w:hAnsi="Times New Roman" w:eastAsia="宋体" w:cs="宋体"/>
          <w:b w:val="0"/>
          <w:bCs w:val="0"/>
          <w:kern w:val="2"/>
          <w:sz w:val="21"/>
          <w:szCs w:val="21"/>
          <w:lang w:val="en-US" w:eastAsia="zh-CN" w:bidi="ar-SA"/>
        </w:rPr>
        <w:t>，</w:t>
      </w:r>
      <w:r>
        <w:rPr>
          <w:rFonts w:hint="eastAsia" w:ascii="Times New Roman" w:hAnsi="Times New Roman" w:eastAsia="宋体" w:cs="宋体"/>
          <w:b w:val="0"/>
          <w:bCs w:val="0"/>
          <w:kern w:val="2"/>
          <w:sz w:val="21"/>
          <w:szCs w:val="21"/>
          <w:vertAlign w:val="superscript"/>
          <w:lang w:val="en-US" w:eastAsia="zh-CN" w:bidi="ar-SA"/>
        </w:rPr>
        <w:footnoteReference w:id="36"/>
      </w:r>
      <w:bookmarkEnd w:id="1"/>
      <w:r>
        <w:rPr>
          <w:rFonts w:hint="eastAsia" w:ascii="Times New Roman" w:hAnsi="Times New Roman" w:eastAsia="宋体" w:cs="宋体"/>
          <w:b w:val="0"/>
          <w:bCs w:val="0"/>
          <w:kern w:val="2"/>
          <w:sz w:val="21"/>
          <w:szCs w:val="21"/>
          <w:lang w:val="en-US" w:eastAsia="zh-CN" w:bidi="ar-SA"/>
        </w:rPr>
        <w:t>它强调治理主体的人民性、治理过程的人民参与、治理成果的人民共享，这一理念与家事调查员制度的价值追求形成深度契合。家事调查员多从基层社区选聘离退休干部、妇女工作者、法律明白人等群体担任</w:t>
      </w:r>
      <w:bookmarkStart w:id="2" w:name="_Ref30286"/>
      <w:r>
        <w:rPr>
          <w:rFonts w:hint="eastAsia" w:ascii="Times New Roman" w:hAnsi="Times New Roman" w:eastAsia="宋体" w:cs="宋体"/>
          <w:b w:val="0"/>
          <w:bCs w:val="0"/>
          <w:kern w:val="2"/>
          <w:sz w:val="21"/>
          <w:szCs w:val="21"/>
          <w:lang w:val="en-US" w:eastAsia="zh-CN" w:bidi="ar-SA"/>
        </w:rPr>
        <w:t>，</w:t>
      </w:r>
      <w:r>
        <w:rPr>
          <w:rFonts w:hint="eastAsia" w:ascii="Times New Roman" w:hAnsi="Times New Roman" w:eastAsia="宋体" w:cs="宋体"/>
          <w:b w:val="0"/>
          <w:bCs w:val="0"/>
          <w:kern w:val="2"/>
          <w:sz w:val="21"/>
          <w:szCs w:val="21"/>
          <w:vertAlign w:val="superscript"/>
          <w:lang w:val="en-US" w:eastAsia="zh-CN" w:bidi="ar-SA"/>
        </w:rPr>
        <w:footnoteReference w:id="37"/>
      </w:r>
      <w:bookmarkEnd w:id="2"/>
      <w:r>
        <w:rPr>
          <w:rFonts w:hint="eastAsia" w:ascii="Times New Roman" w:hAnsi="Times New Roman" w:eastAsia="宋体" w:cs="宋体"/>
          <w:b w:val="0"/>
          <w:bCs w:val="0"/>
          <w:kern w:val="2"/>
          <w:sz w:val="21"/>
          <w:szCs w:val="21"/>
          <w:lang w:val="en-US" w:eastAsia="zh-CN" w:bidi="ar-SA"/>
        </w:rPr>
        <w:t>如合肥市首批聘任的60名家事调查员，</w:t>
      </w:r>
      <w:r>
        <w:rPr>
          <w:rStyle w:val="14"/>
          <w:rFonts w:hint="eastAsia" w:ascii="Times New Roman" w:hAnsi="Times New Roman" w:eastAsia="宋体" w:cs="宋体"/>
          <w:b w:val="0"/>
          <w:bCs w:val="0"/>
          <w:kern w:val="2"/>
          <w:sz w:val="21"/>
          <w:szCs w:val="21"/>
          <w:lang w:val="en-US" w:eastAsia="zh-CN" w:bidi="ar-SA"/>
        </w:rPr>
        <w:footnoteReference w:id="38"/>
      </w:r>
      <w:r>
        <w:rPr>
          <w:rFonts w:hint="eastAsia" w:ascii="Times New Roman" w:hAnsi="Times New Roman" w:eastAsia="宋体" w:cs="宋体"/>
          <w:b w:val="0"/>
          <w:bCs w:val="0"/>
          <w:kern w:val="2"/>
          <w:sz w:val="21"/>
          <w:szCs w:val="21"/>
          <w:lang w:val="en-US" w:eastAsia="zh-CN" w:bidi="ar-SA"/>
        </w:rPr>
        <w:t>即由妇联及基层组织推荐产生，他们凭借地缘和人缘优势，深入家庭、社区和学校开展调查，将司法触角延伸至社会治理末梢。同时，新时代“枫桥经验”秉承人民至上的理念，在基层社会治理中营造出的和谐稳定的大环境为人民能够安心工作、生活、发展提供了有力保障，而家事调查员制度则将目光聚焦于家庭成员这一特殊群体的权益保障，尤其关注在家庭关系中处于相对弱势地位的妇女、儿童和老年人的合法权益。</w:t>
      </w:r>
    </w:p>
    <w:p w14:paraId="4E03188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宋体"/>
          <w:b w:val="0"/>
          <w:bCs w:val="0"/>
          <w:kern w:val="2"/>
          <w:sz w:val="21"/>
          <w:szCs w:val="21"/>
          <w:lang w:val="en-US" w:eastAsia="zh-CN" w:bidi="ar-SA"/>
        </w:rPr>
      </w:pPr>
      <w:r>
        <w:rPr>
          <w:rFonts w:hint="eastAsia" w:ascii="Times New Roman" w:hAnsi="Times New Roman" w:eastAsia="宋体" w:cs="宋体"/>
          <w:b w:val="0"/>
          <w:bCs w:val="0"/>
          <w:kern w:val="2"/>
          <w:sz w:val="21"/>
          <w:szCs w:val="21"/>
          <w:lang w:val="en-US" w:eastAsia="zh-CN" w:bidi="ar-SA"/>
        </w:rPr>
        <w:t>新时代“枫桥经验”强调“调解优先”，注重运用情理法相结合的方式化解矛盾，</w:t>
      </w:r>
      <w:r>
        <w:rPr>
          <w:rStyle w:val="14"/>
          <w:rFonts w:hint="eastAsia" w:ascii="Times New Roman" w:hAnsi="Times New Roman" w:eastAsia="宋体" w:cs="宋体"/>
          <w:b w:val="0"/>
          <w:bCs w:val="0"/>
          <w:kern w:val="2"/>
          <w:sz w:val="21"/>
          <w:szCs w:val="21"/>
          <w:lang w:val="en-US" w:eastAsia="zh-CN" w:bidi="ar-SA"/>
        </w:rPr>
        <w:footnoteReference w:id="39"/>
      </w:r>
      <w:r>
        <w:rPr>
          <w:rFonts w:hint="eastAsia" w:ascii="Times New Roman" w:hAnsi="Times New Roman" w:eastAsia="宋体" w:cs="宋体"/>
          <w:b w:val="0"/>
          <w:bCs w:val="0"/>
          <w:kern w:val="2"/>
          <w:sz w:val="21"/>
          <w:szCs w:val="21"/>
          <w:lang w:val="en-US" w:eastAsia="zh-CN" w:bidi="ar-SA"/>
        </w:rPr>
        <w:t>追求修复关系、维护和谐的治理效果，体现了对基层社会复杂人际关系和情感需求的尊重，是一种柔性治理智慧。家事纠纷具有高度的人身性、伦理性和情感性</w:t>
      </w:r>
      <w:bookmarkStart w:id="3" w:name="_Ref30487"/>
      <w:r>
        <w:rPr>
          <w:rFonts w:hint="eastAsia" w:ascii="Times New Roman" w:hAnsi="Times New Roman" w:eastAsia="宋体" w:cs="宋体"/>
          <w:b w:val="0"/>
          <w:bCs w:val="0"/>
          <w:kern w:val="2"/>
          <w:sz w:val="21"/>
          <w:szCs w:val="21"/>
          <w:lang w:val="en-US" w:eastAsia="zh-CN" w:bidi="ar-SA"/>
        </w:rPr>
        <w:t>，</w:t>
      </w:r>
      <w:r>
        <w:rPr>
          <w:rFonts w:hint="eastAsia" w:ascii="Times New Roman" w:hAnsi="Times New Roman" w:eastAsia="宋体" w:cs="宋体"/>
          <w:b w:val="0"/>
          <w:bCs w:val="0"/>
          <w:kern w:val="2"/>
          <w:sz w:val="21"/>
          <w:szCs w:val="21"/>
          <w:vertAlign w:val="superscript"/>
          <w:lang w:val="en-US" w:eastAsia="zh-CN" w:bidi="ar-SA"/>
        </w:rPr>
        <w:footnoteReference w:id="40"/>
      </w:r>
      <w:bookmarkEnd w:id="3"/>
      <w:r>
        <w:rPr>
          <w:rFonts w:hint="eastAsia" w:ascii="Times New Roman" w:hAnsi="Times New Roman" w:eastAsia="宋体" w:cs="宋体"/>
          <w:b w:val="0"/>
          <w:bCs w:val="0"/>
          <w:kern w:val="2"/>
          <w:sz w:val="21"/>
          <w:szCs w:val="21"/>
          <w:lang w:val="en-US" w:eastAsia="zh-CN" w:bidi="ar-SA"/>
        </w:rPr>
        <w:t>单纯依靠刚性裁判规则往往“案结事不了”，家事调查员制度的核心优势在于其柔性的调查，凭借家事调查员的社会经验、沟通技巧等能更平和地接触当事人，倾听其真实诉求，查明情感状况、抚养能力等法律难以直接认定但对裁判至关重要的事实。江苏省南通市的实践表明，2024年全市两级法院创新工作方式，不断完善家事调查、家事调解、家庭回访等制度，以调解、撤回起诉、撤回上诉方式结案6276件，调撤率达69.84%。</w:t>
      </w:r>
      <w:r>
        <w:rPr>
          <w:rStyle w:val="14"/>
          <w:rFonts w:hint="eastAsia" w:ascii="Times New Roman" w:hAnsi="Times New Roman" w:eastAsia="宋体" w:cs="宋体"/>
          <w:b w:val="0"/>
          <w:bCs w:val="0"/>
          <w:kern w:val="2"/>
          <w:sz w:val="21"/>
          <w:szCs w:val="21"/>
          <w:lang w:val="en-US" w:eastAsia="zh-CN" w:bidi="ar-SA"/>
        </w:rPr>
        <w:footnoteReference w:id="41"/>
      </w:r>
    </w:p>
    <w:p w14:paraId="7EBC7A1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宋体"/>
          <w:b w:val="0"/>
          <w:bCs w:val="0"/>
          <w:kern w:val="2"/>
          <w:sz w:val="21"/>
          <w:szCs w:val="21"/>
          <w:lang w:val="en-US" w:eastAsia="zh-CN" w:bidi="ar-SA"/>
        </w:rPr>
      </w:pPr>
      <w:r>
        <w:rPr>
          <w:rFonts w:hint="eastAsia" w:ascii="Times New Roman" w:hAnsi="Times New Roman" w:eastAsia="宋体" w:cs="宋体"/>
          <w:b w:val="0"/>
          <w:bCs w:val="0"/>
          <w:kern w:val="2"/>
          <w:sz w:val="21"/>
          <w:szCs w:val="21"/>
          <w:lang w:val="en-US" w:eastAsia="zh-CN" w:bidi="ar-SA"/>
        </w:rPr>
        <w:t>新时代“枫桥经验”的纠纷治理思路是抓早抓小、防微杜渐，注重从源头预防和化解矛盾纠纷，通过网格化管理、信息预警、早期干预，将矛盾消解于萌芽状态。家事调查员介入家事纠纷的核心任务之一是探明纠纷根源，如双方感情基础、子女真实意愿、老人实际需求、是否存在家暴隐患等，这种深入家庭内部的调查，本身就是一种司法场域的“抓早抓小”。家事调查员凭借专业素养和对家庭内部复杂关系的敏锐洞察力，能够深入挖掘隐藏在家庭内部的深层次矛盾和风险因素并及时向相关部门反馈，以便采取针对性的防控措施，其出具的调查报告不仅服务于裁判，更应揭示家庭功能失调的深层原因，为后续的调解、心理疏导、社会帮扶乃至司法裁判提供精准靶向。</w:t>
      </w:r>
    </w:p>
    <w:p w14:paraId="1B4F0FE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宋体"/>
          <w:b w:val="0"/>
          <w:bCs w:val="0"/>
          <w:kern w:val="2"/>
          <w:sz w:val="21"/>
          <w:szCs w:val="21"/>
          <w:lang w:val="en-US" w:eastAsia="zh-CN" w:bidi="ar-SA"/>
        </w:rPr>
      </w:pPr>
      <w:r>
        <w:rPr>
          <w:rFonts w:hint="eastAsia" w:ascii="Times New Roman" w:hAnsi="Times New Roman" w:eastAsia="宋体" w:cs="宋体"/>
          <w:b w:val="0"/>
          <w:bCs w:val="0"/>
          <w:kern w:val="2"/>
          <w:sz w:val="21"/>
          <w:szCs w:val="21"/>
          <w:lang w:val="en-US" w:eastAsia="zh-CN" w:bidi="ar-SA"/>
        </w:rPr>
        <w:t>由此可见，新时代“枫桥经验”嵌入家事调查员制度在于实现家庭正义与基层善治的统一。通过柔性司法手段修复破裂的家庭关系，切实保障妇女、儿童、老年人等弱势成员的合法权益，也借助群众参与和前端化解机制，将家庭矛盾消弭于萌芽状态，减轻司法系统的末端压力。最终，这一嵌入让家事审判不仅成为定分止争的场所，更成为传递司法温度的平台。</w:t>
      </w:r>
    </w:p>
    <w:p w14:paraId="6B07B359">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（二）制度功能基础：治理价值互补协同</w:t>
      </w:r>
    </w:p>
    <w:p w14:paraId="023F552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宋体"/>
          <w:b w:val="0"/>
          <w:bCs w:val="0"/>
          <w:kern w:val="2"/>
          <w:sz w:val="21"/>
          <w:szCs w:val="21"/>
          <w:lang w:val="en-US" w:eastAsia="zh-CN" w:bidi="ar-SA"/>
        </w:rPr>
      </w:pPr>
      <w:r>
        <w:rPr>
          <w:rFonts w:hint="eastAsia" w:ascii="Times New Roman" w:hAnsi="Times New Roman" w:eastAsia="宋体" w:cs="宋体"/>
          <w:b w:val="0"/>
          <w:bCs w:val="0"/>
          <w:kern w:val="2"/>
          <w:sz w:val="21"/>
          <w:szCs w:val="21"/>
          <w:lang w:val="en-US" w:eastAsia="zh-CN" w:bidi="ar-SA"/>
        </w:rPr>
        <w:t>新时代“枫桥经验”的基层社会治理网络能够为家事调查员制度提供丰富的社会资源与信息支持。其优势在于强大的基层动员能力和广泛的群众参与基础，能够在纠纷萌芽阶段及时发现并介入。总体而言，新时代“枫桥经验”侧重于从</w:t>
      </w:r>
      <w:r>
        <w:rPr>
          <w:rFonts w:hint="eastAsia" w:ascii="Times New Roman" w:hAnsi="Times New Roman" w:eastAsia="宋体" w:cs="宋体"/>
          <w:b w:val="0"/>
          <w:bCs w:val="0"/>
          <w:color w:val="auto"/>
          <w:kern w:val="2"/>
          <w:sz w:val="21"/>
          <w:szCs w:val="21"/>
          <w:lang w:val="en-US" w:eastAsia="zh-CN" w:bidi="ar-SA"/>
        </w:rPr>
        <w:t>宏观层面</w:t>
      </w:r>
      <w:r>
        <w:rPr>
          <w:rFonts w:hint="eastAsia" w:ascii="Times New Roman" w:hAnsi="Times New Roman" w:eastAsia="宋体" w:cs="宋体"/>
          <w:b w:val="0"/>
          <w:bCs w:val="0"/>
          <w:kern w:val="2"/>
          <w:sz w:val="21"/>
          <w:szCs w:val="21"/>
          <w:lang w:val="en-US" w:eastAsia="zh-CN" w:bidi="ar-SA"/>
        </w:rPr>
        <w:t>构建多元主体参与、源头治理的基层社会治理模式，其功能主要体现在社区整体矛盾的排查、预警与初步化解，依靠群众力量与基层组织网络，形成全方位、广覆盖的社会治理格局。其构建的严密高效的基层治理组织网络具有覆盖全、反应快、信息灵的优势，</w:t>
      </w:r>
      <w:r>
        <w:rPr>
          <w:rStyle w:val="14"/>
          <w:rFonts w:hint="eastAsia" w:ascii="Times New Roman" w:hAnsi="Times New Roman" w:eastAsia="宋体" w:cs="宋体"/>
          <w:b w:val="0"/>
          <w:bCs w:val="0"/>
          <w:kern w:val="2"/>
          <w:sz w:val="21"/>
          <w:szCs w:val="21"/>
          <w:lang w:val="en-US" w:eastAsia="zh-CN" w:bidi="ar-SA"/>
        </w:rPr>
        <w:footnoteReference w:id="42"/>
      </w:r>
      <w:r>
        <w:rPr>
          <w:rFonts w:hint="eastAsia" w:ascii="Times New Roman" w:hAnsi="Times New Roman" w:eastAsia="宋体" w:cs="宋体"/>
          <w:b w:val="0"/>
          <w:bCs w:val="0"/>
          <w:kern w:val="2"/>
          <w:sz w:val="21"/>
          <w:szCs w:val="21"/>
          <w:lang w:val="en-US" w:eastAsia="zh-CN" w:bidi="ar-SA"/>
        </w:rPr>
        <w:t>为社会的和谐稳定奠定坚实基础。家事调查员在开展调查工作时，可以借助新时代“枫桥经验”所构建的社区网格员、人民调解员等基层力量，深入了解家庭在社区中的生活状况、邻里评价等外围信息，拓宽调查渠道，提高调查效率与准确性。在涉及反家暴的5个案例中，家事调查员通过与基层妇联、社区的协同，不仅固定了家暴证据，还推动了后续的心理干预和社区帮扶，促成社区为受害人建立了帮扶档案</w:t>
      </w:r>
      <w:r>
        <w:rPr>
          <w:rStyle w:val="14"/>
          <w:rFonts w:hint="eastAsia" w:ascii="Times New Roman" w:hAnsi="Times New Roman" w:eastAsia="宋体" w:cs="宋体"/>
          <w:b w:val="0"/>
          <w:bCs w:val="0"/>
          <w:kern w:val="2"/>
          <w:sz w:val="21"/>
          <w:szCs w:val="21"/>
          <w:lang w:val="en-US" w:eastAsia="zh-CN" w:bidi="ar-SA"/>
        </w:rPr>
        <w:footnoteReference w:id="43"/>
      </w:r>
      <w:r>
        <w:rPr>
          <w:rFonts w:hint="eastAsia" w:ascii="Times New Roman" w:hAnsi="Times New Roman" w:eastAsia="宋体" w:cs="宋体"/>
          <w:b w:val="0"/>
          <w:bCs w:val="0"/>
          <w:kern w:val="2"/>
          <w:sz w:val="21"/>
          <w:szCs w:val="21"/>
          <w:lang w:val="en-US" w:eastAsia="zh-CN" w:bidi="ar-SA"/>
        </w:rPr>
        <w:t>，实现了司法干预与基层治理的有机衔接。</w:t>
      </w:r>
    </w:p>
    <w:p w14:paraId="17E981F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宋体"/>
          <w:b w:val="0"/>
          <w:bCs w:val="0"/>
          <w:kern w:val="2"/>
          <w:sz w:val="21"/>
          <w:szCs w:val="21"/>
          <w:lang w:val="en-US" w:eastAsia="zh-CN" w:bidi="ar-SA"/>
        </w:rPr>
      </w:pPr>
      <w:r>
        <w:rPr>
          <w:rFonts w:hint="eastAsia" w:ascii="Times New Roman" w:hAnsi="Times New Roman" w:eastAsia="宋体" w:cs="宋体"/>
          <w:b w:val="0"/>
          <w:bCs w:val="0"/>
          <w:kern w:val="2"/>
          <w:sz w:val="21"/>
          <w:szCs w:val="21"/>
          <w:lang w:val="en-US" w:eastAsia="zh-CN" w:bidi="ar-SA"/>
        </w:rPr>
        <w:t>家事调查员制度的专业调查功能则是对新时代“枫桥经验”在家事领域矛盾化解的有力深化与辅助。家事调查员制度聚焦于家事案件这一特殊领域，着眼于</w:t>
      </w:r>
      <w:r>
        <w:rPr>
          <w:rFonts w:hint="eastAsia" w:ascii="Times New Roman" w:hAnsi="Times New Roman" w:eastAsia="宋体" w:cs="宋体"/>
          <w:b w:val="0"/>
          <w:bCs w:val="0"/>
          <w:color w:val="auto"/>
          <w:kern w:val="2"/>
          <w:sz w:val="21"/>
          <w:szCs w:val="21"/>
          <w:lang w:val="en-US" w:eastAsia="zh-CN" w:bidi="ar-SA"/>
        </w:rPr>
        <w:t>微观层面</w:t>
      </w:r>
      <w:r>
        <w:rPr>
          <w:rFonts w:hint="eastAsia" w:ascii="Times New Roman" w:hAnsi="Times New Roman" w:eastAsia="宋体" w:cs="宋体"/>
          <w:b w:val="0"/>
          <w:bCs w:val="0"/>
          <w:kern w:val="2"/>
          <w:sz w:val="21"/>
          <w:szCs w:val="21"/>
          <w:lang w:val="en-US" w:eastAsia="zh-CN" w:bidi="ar-SA"/>
        </w:rPr>
        <w:t>家庭内部矛盾的精准调查与妥善处理。家事调查员制度的优势则在于其专业性和中立性</w:t>
      </w:r>
      <w:bookmarkStart w:id="4" w:name="_Ref30352"/>
      <w:r>
        <w:rPr>
          <w:rFonts w:hint="eastAsia" w:ascii="Times New Roman" w:hAnsi="Times New Roman" w:eastAsia="宋体" w:cs="宋体"/>
          <w:b w:val="0"/>
          <w:bCs w:val="0"/>
          <w:kern w:val="2"/>
          <w:sz w:val="21"/>
          <w:szCs w:val="21"/>
          <w:lang w:val="en-US" w:eastAsia="zh-CN" w:bidi="ar-SA"/>
        </w:rPr>
        <w:t>，</w:t>
      </w:r>
      <w:r>
        <w:rPr>
          <w:rFonts w:hint="eastAsia" w:ascii="Times New Roman" w:hAnsi="Times New Roman" w:eastAsia="宋体" w:cs="宋体"/>
          <w:b w:val="0"/>
          <w:bCs w:val="0"/>
          <w:kern w:val="2"/>
          <w:sz w:val="21"/>
          <w:szCs w:val="21"/>
          <w:vertAlign w:val="superscript"/>
          <w:lang w:val="en-US" w:eastAsia="zh-CN" w:bidi="ar-SA"/>
        </w:rPr>
        <w:footnoteReference w:id="44"/>
      </w:r>
      <w:bookmarkEnd w:id="4"/>
      <w:r>
        <w:rPr>
          <w:rFonts w:hint="eastAsia" w:ascii="Times New Roman" w:hAnsi="Times New Roman" w:eastAsia="宋体" w:cs="宋体"/>
          <w:b w:val="0"/>
          <w:bCs w:val="0"/>
          <w:kern w:val="2"/>
          <w:sz w:val="21"/>
          <w:szCs w:val="21"/>
          <w:lang w:val="en-US" w:eastAsia="zh-CN" w:bidi="ar-SA"/>
        </w:rPr>
        <w:t>引入了法律、社会工作、心理学等专业力量，提升了纠纷解决的专业性和规范性，能够为纠纷解决提供事实支撑和法律指引。在家庭矛盾通过新时代“枫桥经验”的前端排查进入初步调解阶段后，若遇到涉及复杂财产分割、子女监护权归属等专业性较强的问题，家事调查员的介入能够深入挖掘事实真相，为后续的精准调解或司法裁判提供关键依据。在76例采用走访调查的案件中，家事调查员不仅走访了社区居委会、村委会等基层组织，也与社区工作人员共同走访当事人家庭，全面了解其生活状况，这种协同使得家事调查员能够突破司法机关“单兵作战”的局限，充分利用基层组织的信息优势和群众工作经验，提升调查效率和准确性。</w:t>
      </w:r>
    </w:p>
    <w:p w14:paraId="530BBDCD">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（三）实践原理基础：法治化与社会化追求内在一致</w:t>
      </w:r>
    </w:p>
    <w:p w14:paraId="213539C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宋体"/>
          <w:b w:val="0"/>
          <w:bCs w:val="0"/>
          <w:kern w:val="2"/>
          <w:sz w:val="21"/>
          <w:szCs w:val="21"/>
          <w:lang w:val="en-US" w:eastAsia="zh-CN" w:bidi="ar-SA"/>
        </w:rPr>
      </w:pPr>
      <w:r>
        <w:rPr>
          <w:rFonts w:hint="eastAsia" w:ascii="Times New Roman" w:hAnsi="Times New Roman" w:eastAsia="宋体" w:cs="宋体"/>
          <w:b w:val="0"/>
          <w:bCs w:val="0"/>
          <w:kern w:val="2"/>
          <w:sz w:val="21"/>
          <w:szCs w:val="21"/>
          <w:lang w:val="en-US" w:eastAsia="zh-CN" w:bidi="ar-SA"/>
        </w:rPr>
        <w:t>从法治化的角度看，新时代“枫桥经验”与家事调查员制度的结合，意味着社会治理逻辑正在发生深层次转型。传统意义上的“枫桥经验”强调群众自治、依靠社会力量解决矛盾，但在法治社会的要求下，这种经验必须通过制度化安排实现规范运行。换言之，群众工作不能停留在经验主义与人情化处理的层面，而必须转化为可预期、可监督、可复制的制度化实践。家事调查员制度恰恰承担了这一功能，其调查结果可以被纳入法庭审理的证据链条之中，从而使群众经验与法治逻辑实现有机衔接。这种制度化进路使得新时代“枫桥经验”成为“刚性规则”与“柔性调适”相结合的法治机制，符合法治社会对“善治”的追求。</w:t>
      </w:r>
      <w:r>
        <w:rPr>
          <w:rStyle w:val="14"/>
          <w:rFonts w:hint="eastAsia" w:ascii="Times New Roman" w:hAnsi="Times New Roman" w:eastAsia="宋体" w:cs="宋体"/>
          <w:b w:val="0"/>
          <w:bCs w:val="0"/>
          <w:kern w:val="2"/>
          <w:sz w:val="21"/>
          <w:szCs w:val="21"/>
          <w:lang w:val="en-US" w:eastAsia="zh-CN" w:bidi="ar-SA"/>
        </w:rPr>
        <w:footnoteReference w:id="45"/>
      </w:r>
      <w:r>
        <w:rPr>
          <w:rFonts w:hint="eastAsia" w:ascii="Times New Roman" w:hAnsi="Times New Roman" w:eastAsia="宋体" w:cs="宋体"/>
          <w:b w:val="0"/>
          <w:bCs w:val="0"/>
          <w:kern w:val="2"/>
          <w:sz w:val="21"/>
          <w:szCs w:val="21"/>
          <w:highlight w:val="none"/>
          <w:lang w:val="en-US" w:eastAsia="zh-CN" w:bidi="ar-SA"/>
        </w:rPr>
        <w:t>在实践中坚持好、发展好新时代“枫桥经验”，必须立足法治，把法治思维和法治方式融入基层社会治理全过程各方面，</w:t>
      </w:r>
      <w:r>
        <w:rPr>
          <w:rStyle w:val="14"/>
          <w:rFonts w:hint="eastAsia" w:ascii="Times New Roman" w:hAnsi="Times New Roman" w:eastAsia="宋体" w:cs="宋体"/>
          <w:b w:val="0"/>
          <w:bCs w:val="0"/>
          <w:kern w:val="2"/>
          <w:sz w:val="21"/>
          <w:szCs w:val="21"/>
          <w:highlight w:val="none"/>
          <w:lang w:val="en-US" w:eastAsia="zh-CN" w:bidi="ar-SA"/>
        </w:rPr>
        <w:footnoteReference w:id="46"/>
      </w:r>
      <w:r>
        <w:rPr>
          <w:rFonts w:hint="eastAsia" w:ascii="Times New Roman" w:hAnsi="Times New Roman" w:eastAsia="宋体" w:cs="宋体"/>
          <w:b w:val="0"/>
          <w:bCs w:val="0"/>
          <w:kern w:val="2"/>
          <w:sz w:val="21"/>
          <w:szCs w:val="21"/>
          <w:lang w:val="en-US" w:eastAsia="zh-CN" w:bidi="ar-SA"/>
        </w:rPr>
        <w:t>新时代“枫桥经验”嵌入家事调查员制度的过程本质上体现了法治社会建构中的制度化取向，二者都致力于实现“系统治理、依法治理、综合治理、源头治理”</w:t>
      </w:r>
      <w:bookmarkStart w:id="5" w:name="_Ref30381"/>
      <w:r>
        <w:rPr>
          <w:rFonts w:hint="eastAsia" w:ascii="Times New Roman" w:hAnsi="Times New Roman" w:eastAsia="宋体" w:cs="宋体"/>
          <w:b w:val="0"/>
          <w:bCs w:val="0"/>
          <w:kern w:val="2"/>
          <w:sz w:val="21"/>
          <w:szCs w:val="21"/>
          <w:vertAlign w:val="superscript"/>
          <w:lang w:val="en-US" w:eastAsia="zh-CN" w:bidi="ar-SA"/>
        </w:rPr>
        <w:footnoteReference w:id="47"/>
      </w:r>
      <w:bookmarkEnd w:id="5"/>
      <w:r>
        <w:rPr>
          <w:rFonts w:hint="eastAsia" w:ascii="Times New Roman" w:hAnsi="Times New Roman" w:eastAsia="宋体" w:cs="宋体"/>
          <w:b w:val="0"/>
          <w:bCs w:val="0"/>
          <w:kern w:val="2"/>
          <w:sz w:val="21"/>
          <w:szCs w:val="21"/>
          <w:lang w:val="en-US" w:eastAsia="zh-CN" w:bidi="ar-SA"/>
        </w:rPr>
        <w:t>的目标，这与法治社会的基本功能“解决纠纷、稳定预期、保障权益”也是一致的。</w:t>
      </w:r>
    </w:p>
    <w:p w14:paraId="0F8E933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宋体"/>
          <w:b w:val="0"/>
          <w:bCs w:val="0"/>
          <w:kern w:val="2"/>
          <w:sz w:val="21"/>
          <w:szCs w:val="21"/>
          <w:lang w:val="en-US" w:eastAsia="zh-CN" w:bidi="ar-SA"/>
        </w:rPr>
      </w:pPr>
      <w:r>
        <w:rPr>
          <w:rFonts w:hint="eastAsia" w:ascii="Times New Roman" w:hAnsi="Times New Roman" w:eastAsia="宋体" w:cs="宋体"/>
          <w:b w:val="0"/>
          <w:bCs w:val="0"/>
          <w:kern w:val="2"/>
          <w:sz w:val="21"/>
          <w:szCs w:val="21"/>
          <w:lang w:val="en-US" w:eastAsia="zh-CN" w:bidi="ar-SA"/>
        </w:rPr>
        <w:t>从社会化的角度看，新时代“枫桥经验”与家事调查员制度的结合使司法能与家庭、社区、社会组织等亚系统形成互动与耦合。新时代“枫桥经验”通过构建全覆盖的基层治理网络将矛盾化解在萌芽状态。家事调查员制度则通过介入司法程序，为案件裁判提供事实基础</w:t>
      </w:r>
      <w:bookmarkStart w:id="6" w:name="_Ref30407"/>
      <w:r>
        <w:rPr>
          <w:rFonts w:hint="eastAsia" w:ascii="Times New Roman" w:hAnsi="Times New Roman" w:eastAsia="宋体" w:cs="宋体"/>
          <w:b w:val="0"/>
          <w:bCs w:val="0"/>
          <w:kern w:val="2"/>
          <w:sz w:val="21"/>
          <w:szCs w:val="21"/>
          <w:lang w:val="en-US" w:eastAsia="zh-CN" w:bidi="ar-SA"/>
        </w:rPr>
        <w:t>，</w:t>
      </w:r>
      <w:r>
        <w:rPr>
          <w:rFonts w:hint="eastAsia" w:ascii="Times New Roman" w:hAnsi="Times New Roman" w:eastAsia="宋体" w:cs="宋体"/>
          <w:b w:val="0"/>
          <w:bCs w:val="0"/>
          <w:kern w:val="2"/>
          <w:sz w:val="21"/>
          <w:szCs w:val="21"/>
          <w:vertAlign w:val="superscript"/>
          <w:lang w:val="en-US" w:eastAsia="zh-CN" w:bidi="ar-SA"/>
        </w:rPr>
        <w:footnoteReference w:id="48"/>
      </w:r>
      <w:bookmarkEnd w:id="6"/>
      <w:r>
        <w:rPr>
          <w:rFonts w:hint="eastAsia" w:ascii="Times New Roman" w:hAnsi="Times New Roman" w:eastAsia="宋体" w:cs="宋体"/>
          <w:b w:val="0"/>
          <w:bCs w:val="0"/>
          <w:kern w:val="2"/>
          <w:sz w:val="21"/>
          <w:szCs w:val="21"/>
          <w:lang w:val="en-US" w:eastAsia="zh-CN" w:bidi="ar-SA"/>
        </w:rPr>
        <w:t>两者共同构成了家事纠纷治理的完整链条。如此一来，司法不再是一个封闭的裁判系统，</w:t>
      </w:r>
      <w:r>
        <w:rPr>
          <w:rStyle w:val="14"/>
          <w:rFonts w:hint="eastAsia" w:ascii="Times New Roman" w:hAnsi="Times New Roman" w:eastAsia="宋体" w:cs="宋体"/>
          <w:b w:val="0"/>
          <w:bCs w:val="0"/>
          <w:kern w:val="2"/>
          <w:sz w:val="21"/>
          <w:szCs w:val="21"/>
          <w:lang w:val="en-US" w:eastAsia="zh-CN" w:bidi="ar-SA"/>
        </w:rPr>
        <w:footnoteReference w:id="49"/>
      </w:r>
      <w:r>
        <w:rPr>
          <w:rFonts w:hint="eastAsia" w:ascii="Times New Roman" w:hAnsi="Times New Roman" w:eastAsia="宋体" w:cs="宋体"/>
          <w:b w:val="0"/>
          <w:bCs w:val="0"/>
          <w:kern w:val="2"/>
          <w:sz w:val="21"/>
          <w:szCs w:val="21"/>
          <w:lang w:val="en-US" w:eastAsia="zh-CN" w:bidi="ar-SA"/>
        </w:rPr>
        <w:t>而是通过家事调查员制度与社会其他子系统形成了动态互动的整体网络，也不再局限于庭审证据，而是可以实现对家庭系统、社区系统的多元信息整合，这种跨系统的信息交换与反馈机制，有助于司法裁判能够公正地平衡各方利益，实现实质正义。具体来说，在家事纠纷中前端依托新时代“枫桥经验”构建的基层治理网络实现矛盾的早期预警与介入，中端由家事调查员以中立、专业身份开展规范化调查并出具报告，后端由法官依据法律对报告进行审查、质证并作出最终裁判，三个环节相互配合，使得经验能够落地、制度可以持续运行。</w:t>
      </w:r>
    </w:p>
    <w:p w14:paraId="24088DA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宋体"/>
          <w:b w:val="0"/>
          <w:bCs w:val="0"/>
          <w:kern w:val="2"/>
          <w:sz w:val="21"/>
          <w:szCs w:val="21"/>
          <w:lang w:val="en-US" w:eastAsia="zh-CN" w:bidi="ar-SA"/>
        </w:rPr>
      </w:pPr>
      <w:r>
        <w:rPr>
          <w:rFonts w:hint="eastAsia" w:ascii="Times New Roman" w:hAnsi="Times New Roman" w:eastAsia="宋体" w:cs="宋体"/>
          <w:b w:val="0"/>
          <w:bCs w:val="0"/>
          <w:kern w:val="2"/>
          <w:sz w:val="21"/>
          <w:szCs w:val="21"/>
          <w:lang w:val="en-US" w:eastAsia="zh-CN" w:bidi="ar-SA"/>
        </w:rPr>
        <w:t>值得注意的是，家事调查员制度虽然是司法社会化的产物，体现了司法的社会化原理，</w:t>
      </w:r>
      <w:r>
        <w:rPr>
          <w:rFonts w:hint="eastAsia" w:ascii="Times New Roman" w:hAnsi="Times New Roman" w:eastAsia="宋体" w:cs="宋体"/>
          <w:b w:val="0"/>
          <w:bCs w:val="0"/>
          <w:kern w:val="2"/>
          <w:sz w:val="21"/>
          <w:szCs w:val="21"/>
          <w:highlight w:val="none"/>
          <w:lang w:val="en-US" w:eastAsia="zh-CN" w:bidi="ar-SA"/>
        </w:rPr>
        <w:t>但司法的社会化不能替代法治化原理，</w:t>
      </w:r>
      <w:r>
        <w:rPr>
          <w:rFonts w:hint="eastAsia" w:ascii="Times New Roman" w:hAnsi="Times New Roman" w:eastAsia="宋体" w:cs="宋体"/>
          <w:b w:val="0"/>
          <w:bCs w:val="0"/>
          <w:kern w:val="2"/>
          <w:sz w:val="21"/>
          <w:szCs w:val="21"/>
          <w:lang w:val="en-US" w:eastAsia="zh-CN" w:bidi="ar-SA"/>
        </w:rPr>
        <w:t>案件裁判的最终定夺仍需由具备专业素养与法律权威的法官完成</w:t>
      </w:r>
      <w:r>
        <w:rPr>
          <w:rFonts w:hint="eastAsia" w:ascii="Times New Roman" w:hAnsi="Times New Roman" w:eastAsia="宋体" w:cs="宋体"/>
          <w:b w:val="0"/>
          <w:bCs w:val="0"/>
          <w:kern w:val="2"/>
          <w:sz w:val="21"/>
          <w:szCs w:val="21"/>
          <w:highlight w:val="none"/>
          <w:lang w:val="en-US" w:eastAsia="zh-CN" w:bidi="ar-SA"/>
        </w:rPr>
        <w:t>，从而实现法治化与社会化的有机统一。</w:t>
      </w:r>
      <w:r>
        <w:rPr>
          <w:rFonts w:hint="eastAsia" w:ascii="Times New Roman" w:hAnsi="Times New Roman" w:eastAsia="宋体" w:cs="宋体"/>
          <w:b w:val="0"/>
          <w:bCs w:val="0"/>
          <w:kern w:val="2"/>
          <w:sz w:val="21"/>
          <w:szCs w:val="21"/>
          <w:lang w:val="en-US" w:eastAsia="zh-CN" w:bidi="ar-SA"/>
        </w:rPr>
        <w:t>这揭示出家事调查员制度理应遵循的双重原理：一方面，通过新时代“枫桥经验”与家事调查员制度的结合发挥司法社会化的优势，使制度能够回应社会现实的复杂性；另一方面，也要坚守司法专业化与法治化的基本立场，以保证司法裁判的正当性、稳定性与权威性，只有在这两种原理的互动中，家事调查员制度才能真正发挥应有的制度价值。由此可以看出家事调查员制度在法治化与社会化的实践中扮演着连接点的角色，既有助于新时代“枫桥经验”在司法领域的落地，也是司法裁判吸纳并反映社会经验的有效渠道。</w:t>
      </w:r>
    </w:p>
    <w:p w14:paraId="4C57643E">
      <w:pPr>
        <w:rPr>
          <w:rFonts w:hint="eastAsia" w:ascii="黑体" w:hAnsi="黑体" w:eastAsia="黑体"/>
          <w:sz w:val="28"/>
          <w:szCs w:val="28"/>
          <w:lang w:val="en-US" w:eastAsia="zh-CN"/>
        </w:rPr>
      </w:pPr>
      <w:r>
        <w:rPr>
          <w:rFonts w:hint="eastAsia" w:ascii="黑体" w:hAnsi="黑体" w:eastAsia="黑体"/>
          <w:sz w:val="28"/>
          <w:szCs w:val="28"/>
          <w:lang w:val="en-US" w:eastAsia="zh-CN"/>
        </w:rPr>
        <w:t>三、新时代“枫桥经验”嵌入家事调查员制度的实践路径</w:t>
      </w:r>
    </w:p>
    <w:p w14:paraId="33B4853D">
      <w:pPr>
        <w:ind w:firstLine="420" w:firstLineChars="200"/>
        <w:rPr>
          <w:rFonts w:hint="eastAsia" w:ascii="Times New Roman" w:hAnsi="Times New Roman" w:cs="楷体" w:eastAsiaTheme="minorEastAsia"/>
          <w:b/>
          <w:bCs/>
          <w:i w:val="0"/>
          <w:iCs w:val="0"/>
          <w:caps w:val="0"/>
          <w:spacing w:val="0"/>
          <w:kern w:val="0"/>
          <w:sz w:val="24"/>
          <w:szCs w:val="24"/>
          <w:shd w:val="clear" w:fill="FFFFFF"/>
          <w:lang w:val="en-US" w:eastAsia="zh-CN" w:bidi="ar"/>
        </w:rPr>
      </w:pPr>
      <w:r>
        <w:rPr>
          <w:rFonts w:hint="eastAsia" w:ascii="Times New Roman" w:hAnsi="Times New Roman"/>
        </w:rPr>
        <w:t>将新时代“枫桥经验”的核心要义</w:t>
      </w:r>
      <w:r>
        <w:rPr>
          <w:rFonts w:hint="eastAsia" w:ascii="Times New Roman" w:hAnsi="Times New Roman"/>
          <w:lang w:val="en-US" w:eastAsia="zh-CN"/>
        </w:rPr>
        <w:t>嵌入</w:t>
      </w:r>
      <w:r>
        <w:rPr>
          <w:rFonts w:hint="eastAsia" w:ascii="Times New Roman" w:hAnsi="Times New Roman"/>
        </w:rPr>
        <w:t>家事调查员制度的具体运行机制，其路径在于推动家事调查员角色从司法事实调查</w:t>
      </w:r>
      <w:r>
        <w:rPr>
          <w:rFonts w:hint="eastAsia" w:ascii="Times New Roman" w:hAnsi="Times New Roman"/>
          <w:lang w:val="en-US" w:eastAsia="zh-CN"/>
        </w:rPr>
        <w:t>员</w:t>
      </w:r>
      <w:r>
        <w:rPr>
          <w:rFonts w:hint="eastAsia" w:ascii="Times New Roman" w:hAnsi="Times New Roman"/>
        </w:rPr>
        <w:t>向多元的家事社会治理</w:t>
      </w:r>
      <w:r>
        <w:rPr>
          <w:rFonts w:hint="eastAsia" w:ascii="Times New Roman" w:hAnsi="Times New Roman"/>
          <w:lang w:val="en-US" w:eastAsia="zh-CN"/>
        </w:rPr>
        <w:t>者</w:t>
      </w:r>
      <w:r>
        <w:rPr>
          <w:rFonts w:hint="eastAsia" w:ascii="Times New Roman" w:hAnsi="Times New Roman"/>
        </w:rPr>
        <w:t>转型，使其成为嵌入基层社会治理网络的关键节点，实现家事纠纷的源头发现、早期干预和</w:t>
      </w:r>
      <w:r>
        <w:rPr>
          <w:rFonts w:hint="eastAsia" w:ascii="Times New Roman" w:hAnsi="Times New Roman"/>
          <w:lang w:val="en-US" w:eastAsia="zh-CN"/>
        </w:rPr>
        <w:t>柔性化</w:t>
      </w:r>
      <w:r>
        <w:rPr>
          <w:rFonts w:hint="eastAsia" w:ascii="Times New Roman" w:hAnsi="Times New Roman"/>
        </w:rPr>
        <w:t>化解</w:t>
      </w:r>
      <w:bookmarkStart w:id="7" w:name="_Ref30482"/>
      <w:r>
        <w:rPr>
          <w:rFonts w:hint="eastAsia" w:ascii="Times New Roman" w:hAnsi="Times New Roman"/>
          <w:lang w:eastAsia="zh-CN"/>
        </w:rPr>
        <w:t>。</w:t>
      </w:r>
      <w:r>
        <w:rPr>
          <w:rFonts w:hint="eastAsia" w:ascii="Times New Roman" w:hAnsi="Times New Roman" w:eastAsia="宋体" w:cs="宋体"/>
          <w:b w:val="0"/>
          <w:bCs w:val="0"/>
          <w:color w:val="auto"/>
          <w:kern w:val="2"/>
          <w:sz w:val="21"/>
          <w:szCs w:val="21"/>
          <w:vertAlign w:val="superscript"/>
          <w:lang w:val="en-US" w:eastAsia="zh-CN" w:bidi="ar-SA"/>
        </w:rPr>
        <w:footnoteReference w:id="50"/>
      </w:r>
      <w:bookmarkEnd w:id="7"/>
      <w:r>
        <w:rPr>
          <w:rFonts w:hint="eastAsia" w:ascii="Times New Roman" w:hAnsi="Times New Roman"/>
        </w:rPr>
        <w:t>这一嵌入</w:t>
      </w:r>
      <w:r>
        <w:rPr>
          <w:rFonts w:hint="eastAsia" w:ascii="Times New Roman" w:hAnsi="Times New Roman"/>
          <w:lang w:val="en-US" w:eastAsia="zh-CN"/>
        </w:rPr>
        <w:t>路径</w:t>
      </w:r>
      <w:r>
        <w:rPr>
          <w:rFonts w:hint="eastAsia" w:ascii="Times New Roman" w:hAnsi="Times New Roman"/>
        </w:rPr>
        <w:t>需从</w:t>
      </w:r>
      <w:r>
        <w:rPr>
          <w:rFonts w:hint="eastAsia" w:ascii="Times New Roman" w:hAnsi="Times New Roman"/>
          <w:lang w:val="en-US" w:eastAsia="zh-CN"/>
        </w:rPr>
        <w:t>指导理念</w:t>
      </w:r>
      <w:r>
        <w:rPr>
          <w:rFonts w:hint="eastAsia" w:ascii="Times New Roman" w:hAnsi="Times New Roman"/>
        </w:rPr>
        <w:t>重塑</w:t>
      </w:r>
      <w:r>
        <w:rPr>
          <w:rFonts w:hint="eastAsia" w:ascii="Times New Roman" w:hAnsi="Times New Roman"/>
          <w:lang w:eastAsia="zh-CN"/>
        </w:rPr>
        <w:t>、</w:t>
      </w:r>
      <w:r>
        <w:rPr>
          <w:rFonts w:hint="eastAsia" w:ascii="Times New Roman" w:hAnsi="Times New Roman"/>
          <w:lang w:val="en-US" w:eastAsia="zh-CN"/>
        </w:rPr>
        <w:t>多元</w:t>
      </w:r>
      <w:r>
        <w:rPr>
          <w:rFonts w:hint="eastAsia" w:ascii="Times New Roman" w:hAnsi="Times New Roman"/>
        </w:rPr>
        <w:t>主体协同、能力建设</w:t>
      </w:r>
      <w:r>
        <w:rPr>
          <w:rFonts w:hint="eastAsia" w:ascii="Times New Roman" w:hAnsi="Times New Roman"/>
          <w:lang w:val="en-US" w:eastAsia="zh-CN"/>
        </w:rPr>
        <w:t>与</w:t>
      </w:r>
      <w:r>
        <w:rPr>
          <w:rFonts w:hint="eastAsia" w:ascii="Times New Roman" w:hAnsi="Times New Roman"/>
        </w:rPr>
        <w:t>保障支撑</w:t>
      </w:r>
      <w:r>
        <w:rPr>
          <w:rFonts w:hint="eastAsia" w:ascii="Times New Roman" w:hAnsi="Times New Roman"/>
          <w:lang w:eastAsia="zh-CN"/>
        </w:rPr>
        <w:t>、</w:t>
      </w:r>
      <w:r>
        <w:rPr>
          <w:rFonts w:hint="eastAsia" w:ascii="Times New Roman" w:hAnsi="Times New Roman"/>
          <w:lang w:val="en-US" w:eastAsia="zh-CN"/>
        </w:rPr>
        <w:t>调解</w:t>
      </w:r>
      <w:r>
        <w:rPr>
          <w:rFonts w:hint="eastAsia" w:ascii="Times New Roman" w:hAnsi="Times New Roman"/>
        </w:rPr>
        <w:t>流程优化</w:t>
      </w:r>
      <w:r>
        <w:rPr>
          <w:rFonts w:hint="eastAsia" w:ascii="Times New Roman" w:hAnsi="Times New Roman"/>
          <w:lang w:val="en-US" w:eastAsia="zh-CN"/>
        </w:rPr>
        <w:t>四</w:t>
      </w:r>
      <w:r>
        <w:rPr>
          <w:rFonts w:hint="eastAsia" w:ascii="Times New Roman" w:hAnsi="Times New Roman"/>
        </w:rPr>
        <w:t>个维度系统推进</w:t>
      </w:r>
      <w:r>
        <w:rPr>
          <w:rFonts w:hint="eastAsia" w:ascii="Times New Roman" w:hAnsi="Times New Roman"/>
          <w:lang w:eastAsia="zh-CN"/>
        </w:rPr>
        <w:t>。</w:t>
      </w:r>
    </w:p>
    <w:p w14:paraId="4F826574">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（一）社会治理坐标下家事调查员制度的理念转向</w:t>
      </w:r>
    </w:p>
    <w:p w14:paraId="3E6A53A3">
      <w:pPr>
        <w:ind w:firstLine="420" w:firstLineChars="200"/>
        <w:rPr>
          <w:rFonts w:hint="eastAsia" w:ascii="Times New Roman" w:hAnsi="Times New Roman"/>
        </w:rPr>
      </w:pPr>
      <w:r>
        <w:rPr>
          <w:rFonts w:hint="eastAsia" w:ascii="Times New Roman" w:hAnsi="Times New Roman"/>
          <w:lang w:val="en-US" w:eastAsia="zh-CN"/>
        </w:rPr>
        <w:t>一方面，</w:t>
      </w:r>
      <w:r>
        <w:rPr>
          <w:rFonts w:hint="eastAsia" w:ascii="Times New Roman" w:hAnsi="Times New Roman"/>
        </w:rPr>
        <w:t>革新家事调查员制度立法与制度设计的价值导向</w:t>
      </w:r>
      <w:r>
        <w:rPr>
          <w:rFonts w:hint="eastAsia" w:ascii="Times New Roman" w:hAnsi="Times New Roman"/>
          <w:lang w:eastAsia="zh-CN"/>
        </w:rPr>
        <w:t>。</w:t>
      </w:r>
      <w:r>
        <w:rPr>
          <w:rFonts w:hint="eastAsia" w:ascii="Times New Roman" w:hAnsi="Times New Roman"/>
          <w:lang w:val="en-US" w:eastAsia="zh-CN"/>
        </w:rPr>
        <w:t>2016年最高人民法院出台的《关于开展家事审判方式和工作机制改革试点工作的意见》</w:t>
      </w:r>
      <w:r>
        <w:rPr>
          <w:rFonts w:hint="eastAsia" w:ascii="Times New Roman" w:hAnsi="Times New Roman"/>
        </w:rPr>
        <w:t>（以下简称《家事审判意见》）</w:t>
      </w:r>
      <w:r>
        <w:rPr>
          <w:rFonts w:hint="eastAsia" w:ascii="Times New Roman" w:hAnsi="Times New Roman"/>
          <w:lang w:val="en-US" w:eastAsia="zh-CN"/>
        </w:rPr>
        <w:t>中关于家事调查员的表述具体为“探索引入家事调查员、社工陪护及儿童心理专家等多种方式，不断提高家事审判的司法服务和保障水平”。由此可见，</w:t>
      </w:r>
      <w:r>
        <w:rPr>
          <w:rFonts w:hint="eastAsia" w:ascii="Times New Roman" w:hAnsi="Times New Roman"/>
        </w:rPr>
        <w:t>《家事审判意见》</w:t>
      </w:r>
      <w:r>
        <w:rPr>
          <w:rFonts w:hint="eastAsia" w:ascii="Times New Roman" w:hAnsi="Times New Roman"/>
          <w:lang w:val="en-US" w:eastAsia="zh-CN"/>
        </w:rPr>
        <w:t>意见将家事调查员制度定位于司法审判的辅助工具，而非社会治理体系的重要组成。建议</w:t>
      </w:r>
      <w:r>
        <w:rPr>
          <w:rFonts w:hint="eastAsia" w:ascii="Times New Roman" w:hAnsi="Times New Roman" w:eastAsia="宋体" w:cs="宋体"/>
          <w:b w:val="0"/>
          <w:bCs w:val="0"/>
          <w:kern w:val="2"/>
          <w:sz w:val="21"/>
          <w:szCs w:val="21"/>
          <w:lang w:val="en-US" w:eastAsia="zh-CN" w:bidi="ar-SA"/>
        </w:rPr>
        <w:t>在提及家事调查员的条款中写入“促进家庭和谐、维护社会稳定、提升社会治理效能”等价值目标，为制度运行提供明确的价值导向。</w:t>
      </w:r>
      <w:r>
        <w:rPr>
          <w:rFonts w:hint="eastAsia" w:ascii="Times New Roman" w:hAnsi="Times New Roman"/>
        </w:rPr>
        <w:t>这一立法表述的革新，将从根本上确立家事调查员制度的双重目标：既服务于司法裁判的事实查明，更致力于社会治理的效能提升。同时，应推动各地方法院制定《家事调查员工作实施细则》，在细则中进一步细化家事调查员的社会治理职能，包括但不限于：家庭关系诊断评估、社会风险排查预警、社会治理资源链接、家庭修复方案建议等职能，为</w:t>
      </w:r>
      <w:r>
        <w:rPr>
          <w:rFonts w:hint="eastAsia" w:ascii="Times New Roman" w:hAnsi="Times New Roman"/>
          <w:lang w:val="en-US" w:eastAsia="zh-CN"/>
        </w:rPr>
        <w:t>家事</w:t>
      </w:r>
      <w:r>
        <w:rPr>
          <w:rFonts w:hint="eastAsia" w:ascii="Times New Roman" w:hAnsi="Times New Roman"/>
        </w:rPr>
        <w:t>调查员实践提供明确的制度依据。</w:t>
      </w:r>
    </w:p>
    <w:p w14:paraId="74A09DF6">
      <w:pPr>
        <w:ind w:firstLine="420" w:firstLineChars="200"/>
        <w:rPr>
          <w:rFonts w:hint="eastAsia" w:ascii="Times New Roman" w:hAnsi="Times New Roman"/>
        </w:rPr>
      </w:pPr>
      <w:r>
        <w:rPr>
          <w:rFonts w:hint="eastAsia" w:ascii="Times New Roman" w:hAnsi="Times New Roman"/>
          <w:lang w:val="en-US" w:eastAsia="zh-CN"/>
        </w:rPr>
        <w:t>另一方面</w:t>
      </w:r>
      <w:r>
        <w:rPr>
          <w:rFonts w:hint="eastAsia" w:ascii="Times New Roman" w:hAnsi="Times New Roman"/>
        </w:rPr>
        <w:t>，以当事人本位形塑家事调查员制度的内在机理。面向法官</w:t>
      </w:r>
      <w:r>
        <w:rPr>
          <w:rFonts w:hint="eastAsia" w:ascii="Times New Roman" w:hAnsi="Times New Roman"/>
          <w:lang w:eastAsia="zh-CN"/>
        </w:rPr>
        <w:t>、</w:t>
      </w:r>
      <w:r>
        <w:rPr>
          <w:rFonts w:hint="eastAsia" w:ascii="Times New Roman" w:hAnsi="Times New Roman"/>
          <w:lang w:val="en-US" w:eastAsia="zh-CN"/>
        </w:rPr>
        <w:t>社区组织、民众等群体，</w:t>
      </w:r>
      <w:r>
        <w:rPr>
          <w:rFonts w:hint="eastAsia" w:ascii="Times New Roman" w:hAnsi="Times New Roman"/>
        </w:rPr>
        <w:t>应当通过专项</w:t>
      </w:r>
      <w:r>
        <w:rPr>
          <w:rFonts w:hint="eastAsia" w:ascii="Times New Roman" w:hAnsi="Times New Roman"/>
          <w:lang w:val="en-US" w:eastAsia="zh-CN"/>
        </w:rPr>
        <w:t>宣传教育</w:t>
      </w:r>
      <w:r>
        <w:rPr>
          <w:rFonts w:hint="eastAsia" w:ascii="Times New Roman" w:hAnsi="Times New Roman"/>
        </w:rPr>
        <w:t>使其认识到家事调查员作为社会治理专业力量的重要价值，尊重</w:t>
      </w:r>
      <w:r>
        <w:rPr>
          <w:rFonts w:hint="eastAsia" w:ascii="Times New Roman" w:hAnsi="Times New Roman"/>
          <w:lang w:val="en-US" w:eastAsia="zh-CN"/>
        </w:rPr>
        <w:t>家事</w:t>
      </w:r>
      <w:r>
        <w:rPr>
          <w:rFonts w:hint="eastAsia" w:ascii="Times New Roman" w:hAnsi="Times New Roman"/>
        </w:rPr>
        <w:t>调查员的专业判断，重视</w:t>
      </w:r>
      <w:r>
        <w:rPr>
          <w:rFonts w:hint="eastAsia" w:ascii="Times New Roman" w:hAnsi="Times New Roman"/>
          <w:lang w:val="en-US" w:eastAsia="zh-CN"/>
        </w:rPr>
        <w:t>家事</w:t>
      </w:r>
      <w:r>
        <w:rPr>
          <w:rFonts w:hint="eastAsia" w:ascii="Times New Roman" w:hAnsi="Times New Roman"/>
        </w:rPr>
        <w:t>调查报告中的社会治理建议。</w:t>
      </w:r>
      <w:r>
        <w:rPr>
          <w:rFonts w:hint="eastAsia" w:ascii="Times New Roman" w:hAnsi="Times New Roman"/>
          <w:lang w:val="en-US" w:eastAsia="zh-CN"/>
        </w:rPr>
        <w:t>同时，</w:t>
      </w:r>
      <w:r>
        <w:rPr>
          <w:rFonts w:hint="eastAsia" w:ascii="Times New Roman" w:hAnsi="Times New Roman"/>
        </w:rPr>
        <w:t>需要在家事司法文书中嵌入社会治理导向</w:t>
      </w:r>
      <w:r>
        <w:rPr>
          <w:rFonts w:hint="eastAsia" w:ascii="Times New Roman" w:hAnsi="Times New Roman"/>
          <w:lang w:eastAsia="zh-CN"/>
        </w:rPr>
        <w:t>。</w:t>
      </w:r>
      <w:r>
        <w:rPr>
          <w:rFonts w:hint="eastAsia" w:ascii="Times New Roman" w:hAnsi="Times New Roman"/>
          <w:lang w:val="en-US" w:eastAsia="zh-CN"/>
        </w:rPr>
        <w:t>具体的要求是，</w:t>
      </w:r>
      <w:r>
        <w:rPr>
          <w:rFonts w:hint="eastAsia" w:ascii="Times New Roman" w:hAnsi="Times New Roman"/>
        </w:rPr>
        <w:t>法院向家事调查员发出的《委托调查函》不应仅限于列明待查事实问题，</w:t>
      </w:r>
      <w:r>
        <w:rPr>
          <w:rFonts w:hint="eastAsia" w:ascii="Times New Roman" w:hAnsi="Times New Roman"/>
          <w:lang w:val="en-US" w:eastAsia="zh-CN"/>
        </w:rPr>
        <w:t>可以</w:t>
      </w:r>
      <w:r>
        <w:rPr>
          <w:rFonts w:hint="eastAsia" w:ascii="Times New Roman" w:hAnsi="Times New Roman"/>
        </w:rPr>
        <w:t>增加社会</w:t>
      </w:r>
      <w:r>
        <w:rPr>
          <w:rFonts w:hint="eastAsia" w:ascii="Times New Roman" w:hAnsi="Times New Roman"/>
          <w:lang w:val="en-US" w:eastAsia="zh-CN"/>
        </w:rPr>
        <w:t>治理</w:t>
      </w:r>
      <w:r>
        <w:rPr>
          <w:rFonts w:hint="eastAsia" w:ascii="Times New Roman" w:hAnsi="Times New Roman"/>
        </w:rPr>
        <w:t>栏目，要求调查员在</w:t>
      </w:r>
      <w:r>
        <w:rPr>
          <w:rFonts w:hint="eastAsia" w:ascii="Times New Roman" w:hAnsi="Times New Roman"/>
          <w:lang w:val="en-US" w:eastAsia="zh-CN"/>
        </w:rPr>
        <w:t>家事调查</w:t>
      </w:r>
      <w:r>
        <w:rPr>
          <w:rFonts w:hint="eastAsia" w:ascii="Times New Roman" w:hAnsi="Times New Roman"/>
        </w:rPr>
        <w:t>报告中</w:t>
      </w:r>
      <w:r>
        <w:rPr>
          <w:rFonts w:hint="eastAsia" w:ascii="Times New Roman" w:hAnsi="Times New Roman"/>
          <w:lang w:val="en-US" w:eastAsia="zh-CN"/>
        </w:rPr>
        <w:t>写明</w:t>
      </w:r>
      <w:r>
        <w:rPr>
          <w:rFonts w:hint="eastAsia" w:ascii="Times New Roman" w:hAnsi="Times New Roman"/>
        </w:rPr>
        <w:t>以下内容：一是纠纷产生的深层社会原因分析，包括经济、教育、心理、环境等多维因素；二是家庭关系现状评估及修复可能性判断；三是是否存在涉及未成年人权益保护、家庭暴力等需要其他社会组织介入的高风险情形；四是基于调查发现向社区、相关职能部门提出的协同治理建议。通过</w:t>
      </w:r>
      <w:r>
        <w:rPr>
          <w:rFonts w:hint="eastAsia" w:ascii="Times New Roman" w:hAnsi="Times New Roman"/>
          <w:lang w:val="en-US" w:eastAsia="zh-CN"/>
        </w:rPr>
        <w:t>调查报告</w:t>
      </w:r>
      <w:r>
        <w:rPr>
          <w:rFonts w:hint="eastAsia" w:ascii="Times New Roman" w:hAnsi="Times New Roman"/>
        </w:rPr>
        <w:t>文书范式的革新，从操作层面引导家事调查员超越个案事实收集者的角色局限，转向家庭社会治理者的角色定位。</w:t>
      </w:r>
    </w:p>
    <w:p w14:paraId="0948CAFB">
      <w:pPr>
        <w:ind w:firstLine="420" w:firstLineChars="200"/>
        <w:rPr>
          <w:rFonts w:hint="eastAsia" w:ascii="Times New Roman" w:hAnsi="Times New Roman"/>
        </w:rPr>
      </w:pPr>
      <w:r>
        <w:rPr>
          <w:rFonts w:hint="eastAsia"/>
        </w:rPr>
        <w:t>尤为关键的是，要在程序法中明确家事调查报告的法律地位与审查规则。首先，应明确家事调查报告的证据资格。学界通说及多地试点经验表明，将符合条件的调查报告纳入证据范畴，并准用关于鉴定意见或证人证言的质证规则，是保障程序正义的必要选择</w:t>
      </w:r>
      <w:r>
        <w:rPr>
          <w:rFonts w:hint="eastAsia"/>
          <w:lang w:eastAsia="zh-CN"/>
        </w:rPr>
        <w:t>。</w:t>
      </w:r>
      <w:r>
        <w:rPr>
          <w:rStyle w:val="14"/>
          <w:rFonts w:hint="eastAsia"/>
        </w:rPr>
        <w:footnoteReference w:id="51"/>
      </w:r>
      <w:r>
        <w:rPr>
          <w:rFonts w:hint="eastAsia"/>
        </w:rPr>
        <w:t>调查员出庭接受双方当事人质询，应对其调查方法的科学性、信息的来源、结论的推论过程进行说明，这既是保障当事人辩论权与知情权的体现，也是法官审查其证明力、形成内心确信的前提。其次，建立程序性救济通道。应规定当事人对调查报告内容有实质性异议时，享有申请重新调查、补充调查或通知调查员出庭作证的权利。法院对是否准许的裁定应说明理由，从而将当事人的异议纳入法定救济渠道，这正是新时代“枫桥经验”所强调的“推进矛盾纠纷法治化实质性化解”的程序体现。</w:t>
      </w:r>
    </w:p>
    <w:p w14:paraId="60FBB10A">
      <w:pPr>
        <w:ind w:firstLine="480"/>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（二）以多元共治的协同机制优化家事调查员体系结构</w:t>
      </w:r>
    </w:p>
    <w:p w14:paraId="29853B2A">
      <w:pPr>
        <w:ind w:firstLine="420" w:firstLineChars="200"/>
        <w:rPr>
          <w:rFonts w:hint="eastAsia" w:ascii="Times New Roman" w:hAnsi="Times New Roman" w:eastAsiaTheme="minorEastAsia"/>
          <w:lang w:eastAsia="zh-CN"/>
        </w:rPr>
      </w:pPr>
      <w:r>
        <w:rPr>
          <w:rFonts w:hint="eastAsia" w:ascii="Times New Roman" w:hAnsi="Times New Roman"/>
        </w:rPr>
        <w:t>在组织架构层面，应在县（区）一级成立实体化运作的家事纠纷协同治理中心，</w:t>
      </w:r>
      <w:r>
        <w:rPr>
          <w:rFonts w:hint="eastAsia" w:ascii="Times New Roman" w:hAnsi="Times New Roman"/>
          <w:lang w:val="en-US" w:eastAsia="zh-CN"/>
        </w:rPr>
        <w:t>可参考近年在各地</w:t>
      </w:r>
      <w:r>
        <w:rPr>
          <w:rFonts w:hint="eastAsia" w:ascii="Times New Roman" w:hAnsi="Times New Roman"/>
        </w:rPr>
        <w:t>成立</w:t>
      </w:r>
      <w:r>
        <w:rPr>
          <w:rFonts w:hint="eastAsia" w:ascii="Times New Roman" w:hAnsi="Times New Roman"/>
          <w:lang w:val="en-US" w:eastAsia="zh-CN"/>
        </w:rPr>
        <w:t>的</w:t>
      </w:r>
      <w:r>
        <w:rPr>
          <w:rFonts w:hint="eastAsia" w:ascii="Times New Roman" w:hAnsi="Times New Roman"/>
        </w:rPr>
        <w:t>综治中心、联调中心等</w:t>
      </w:r>
      <w:r>
        <w:rPr>
          <w:rFonts w:hint="eastAsia" w:ascii="Times New Roman" w:hAnsi="Times New Roman"/>
          <w:lang w:eastAsia="zh-CN"/>
        </w:rPr>
        <w:t>“</w:t>
      </w:r>
      <w:r>
        <w:rPr>
          <w:rFonts w:hint="eastAsia" w:ascii="Times New Roman" w:hAnsi="Times New Roman"/>
        </w:rPr>
        <w:t>一站式</w:t>
      </w:r>
      <w:r>
        <w:rPr>
          <w:rFonts w:hint="eastAsia" w:ascii="Times New Roman" w:hAnsi="Times New Roman"/>
          <w:lang w:eastAsia="zh-CN"/>
        </w:rPr>
        <w:t>”</w:t>
      </w:r>
      <w:r>
        <w:rPr>
          <w:rFonts w:hint="eastAsia" w:ascii="Times New Roman" w:hAnsi="Times New Roman"/>
        </w:rPr>
        <w:t>解纷机构</w:t>
      </w:r>
      <w:r>
        <w:rPr>
          <w:rFonts w:hint="eastAsia" w:ascii="Times New Roman" w:hAnsi="Times New Roman"/>
          <w:lang w:eastAsia="zh-CN"/>
        </w:rPr>
        <w:t>。</w:t>
      </w:r>
      <w:r>
        <w:rPr>
          <w:rFonts w:hint="eastAsia" w:ascii="Times New Roman" w:hAnsi="Times New Roman"/>
        </w:rPr>
        <w:t>家事纠纷协同治理中心由党委政法委牵头，法院、检察院、公安局、司法局、民政局、教育局、卫健委、妇联、团委、残联等作为固定成员单位，并吸纳优秀社会组织、心理咨询机构、律师事务所等作为协作单位。该中心应设立常设办公室，配备专职工作人员，负责日常协调、信息汇总、任务分派和督导考核。中心最重要的职能之一是统一管理本区域家事调查员队伍，应建立联席会议制度，每月定期召开会议，研判本地区家事纠纷态势，协调解决跨部门协作中的难题</w:t>
      </w:r>
      <w:r>
        <w:rPr>
          <w:rFonts w:hint="eastAsia" w:ascii="Times New Roman" w:hAnsi="Times New Roman"/>
          <w:lang w:eastAsia="zh-CN"/>
        </w:rPr>
        <w:t>。</w:t>
      </w:r>
    </w:p>
    <w:p w14:paraId="7C530F7B">
      <w:pPr>
        <w:ind w:firstLine="420" w:firstLineChars="200"/>
        <w:rPr>
          <w:rFonts w:hint="eastAsia" w:ascii="Times New Roman" w:hAnsi="Times New Roman"/>
        </w:rPr>
      </w:pPr>
      <w:r>
        <w:rPr>
          <w:rFonts w:hint="eastAsia" w:ascii="Times New Roman" w:hAnsi="Times New Roman"/>
        </w:rPr>
        <w:t>在运行机制层面，</w:t>
      </w:r>
      <w:r>
        <w:rPr>
          <w:rFonts w:hint="eastAsia" w:ascii="Times New Roman" w:hAnsi="Times New Roman" w:eastAsia="宋体" w:cs="宋体"/>
          <w:b w:val="0"/>
          <w:bCs w:val="0"/>
          <w:kern w:val="2"/>
          <w:sz w:val="21"/>
          <w:szCs w:val="21"/>
          <w:lang w:val="en-US" w:eastAsia="zh-CN" w:bidi="ar-SA"/>
        </w:rPr>
        <w:t>构建法院、家事调查员、基层治理主体协同的联动体系。法院通过委托调查、规范流程实现对家事纠纷的司法介入，</w:t>
      </w:r>
      <w:r>
        <w:rPr>
          <w:rFonts w:hint="eastAsia" w:ascii="Times New Roman" w:hAnsi="Times New Roman"/>
        </w:rPr>
        <w:t>当法院受理家事案件后，承办法官认为需要启动家事调查时，</w:t>
      </w:r>
      <w:r>
        <w:rPr>
          <w:rFonts w:hint="eastAsia" w:ascii="Times New Roman" w:hAnsi="Times New Roman"/>
          <w:lang w:val="en-US" w:eastAsia="zh-CN"/>
        </w:rPr>
        <w:t>出具《委托调查函》，可以自行</w:t>
      </w:r>
      <w:r>
        <w:rPr>
          <w:rFonts w:hint="eastAsia" w:ascii="Times New Roman" w:hAnsi="Times New Roman"/>
        </w:rPr>
        <w:t>根据案件类型和所需专业知识匹配合适的</w:t>
      </w:r>
      <w:r>
        <w:rPr>
          <w:rFonts w:hint="eastAsia" w:ascii="Times New Roman" w:hAnsi="Times New Roman"/>
          <w:lang w:val="en-US" w:eastAsia="zh-CN"/>
        </w:rPr>
        <w:t>家事</w:t>
      </w:r>
      <w:r>
        <w:rPr>
          <w:rFonts w:hint="eastAsia" w:ascii="Times New Roman" w:hAnsi="Times New Roman"/>
        </w:rPr>
        <w:t>调查员组成调查小组，同时将任务信息同步推送给案件可能涉及的相关部门</w:t>
      </w:r>
      <w:r>
        <w:rPr>
          <w:rFonts w:hint="eastAsia" w:ascii="Times New Roman" w:hAnsi="Times New Roman"/>
          <w:lang w:eastAsia="zh-CN"/>
        </w:rPr>
        <w:t>；</w:t>
      </w:r>
      <w:r>
        <w:rPr>
          <w:rFonts w:hint="eastAsia" w:ascii="Times New Roman" w:hAnsi="Times New Roman"/>
          <w:lang w:val="en-US" w:eastAsia="zh-CN"/>
        </w:rPr>
        <w:t>也可以</w:t>
      </w:r>
      <w:r>
        <w:rPr>
          <w:rFonts w:hint="eastAsia" w:ascii="Times New Roman" w:hAnsi="Times New Roman"/>
        </w:rPr>
        <w:t>依托</w:t>
      </w:r>
      <w:r>
        <w:rPr>
          <w:rFonts w:hint="eastAsia" w:ascii="Times New Roman" w:hAnsi="Times New Roman"/>
          <w:lang w:eastAsia="zh-CN"/>
        </w:rPr>
        <w:t>“</w:t>
      </w:r>
      <w:r>
        <w:rPr>
          <w:rFonts w:hint="eastAsia" w:ascii="Times New Roman" w:hAnsi="Times New Roman"/>
        </w:rPr>
        <w:t>一站式</w:t>
      </w:r>
      <w:r>
        <w:rPr>
          <w:rFonts w:hint="eastAsia" w:ascii="Times New Roman" w:hAnsi="Times New Roman"/>
          <w:lang w:eastAsia="zh-CN"/>
        </w:rPr>
        <w:t>”</w:t>
      </w:r>
      <w:r>
        <w:rPr>
          <w:rFonts w:hint="eastAsia" w:ascii="Times New Roman" w:hAnsi="Times New Roman"/>
        </w:rPr>
        <w:t>解纷机构开展诉前</w:t>
      </w:r>
      <w:r>
        <w:rPr>
          <w:rFonts w:hint="eastAsia" w:ascii="Times New Roman" w:hAnsi="Times New Roman"/>
          <w:lang w:val="en-US" w:eastAsia="zh-CN"/>
        </w:rPr>
        <w:t>调查和</w:t>
      </w:r>
      <w:r>
        <w:rPr>
          <w:rFonts w:hint="eastAsia" w:ascii="Times New Roman" w:hAnsi="Times New Roman"/>
        </w:rPr>
        <w:t>调解</w:t>
      </w:r>
      <w:r>
        <w:rPr>
          <w:rFonts w:hint="eastAsia" w:ascii="Times New Roman" w:hAnsi="Times New Roman"/>
          <w:lang w:eastAsia="zh-CN"/>
        </w:rPr>
        <w:t>，</w:t>
      </w:r>
      <w:r>
        <w:rPr>
          <w:rStyle w:val="14"/>
          <w:rFonts w:hint="eastAsia" w:ascii="Times New Roman" w:hAnsi="Times New Roman"/>
        </w:rPr>
        <w:footnoteReference w:id="52"/>
      </w:r>
      <w:r>
        <w:rPr>
          <w:rFonts w:hint="eastAsia" w:ascii="Times New Roman" w:hAnsi="Times New Roman"/>
        </w:rPr>
        <w:t>由</w:t>
      </w:r>
      <w:r>
        <w:rPr>
          <w:rFonts w:hint="eastAsia" w:ascii="Times New Roman" w:hAnsi="Times New Roman"/>
          <w:lang w:eastAsia="zh-CN"/>
        </w:rPr>
        <w:t>“</w:t>
      </w:r>
      <w:r>
        <w:rPr>
          <w:rFonts w:hint="eastAsia" w:ascii="Times New Roman" w:hAnsi="Times New Roman"/>
        </w:rPr>
        <w:t>一站式</w:t>
      </w:r>
      <w:r>
        <w:rPr>
          <w:rFonts w:hint="eastAsia" w:ascii="Times New Roman" w:hAnsi="Times New Roman"/>
          <w:lang w:eastAsia="zh-CN"/>
        </w:rPr>
        <w:t>”</w:t>
      </w:r>
      <w:r>
        <w:rPr>
          <w:rFonts w:hint="eastAsia" w:ascii="Times New Roman" w:hAnsi="Times New Roman"/>
        </w:rPr>
        <w:t>解纷机构分流案件和督导解纷</w:t>
      </w:r>
      <w:r>
        <w:rPr>
          <w:rFonts w:hint="eastAsia" w:ascii="Times New Roman" w:hAnsi="Times New Roman"/>
          <w:lang w:eastAsia="zh-CN"/>
        </w:rPr>
        <w:t>，</w:t>
      </w:r>
      <w:r>
        <w:rPr>
          <w:rFonts w:hint="eastAsia" w:ascii="Times New Roman" w:hAnsi="Times New Roman"/>
        </w:rPr>
        <w:t>提升纠纷化解的实际效果。</w:t>
      </w:r>
      <w:r>
        <w:rPr>
          <w:rFonts w:hint="eastAsia" w:ascii="Times New Roman" w:hAnsi="Times New Roman" w:eastAsia="宋体" w:cs="宋体"/>
          <w:b w:val="0"/>
          <w:bCs w:val="0"/>
          <w:kern w:val="2"/>
          <w:sz w:val="21"/>
          <w:szCs w:val="21"/>
          <w:lang w:val="en-US" w:eastAsia="zh-CN" w:bidi="ar-SA"/>
        </w:rPr>
        <w:t>家事调查员则以中立第三方身份承担事实调查职能，实现家事司法正义</w:t>
      </w:r>
      <w:bookmarkStart w:id="8" w:name="_Ref30433"/>
      <w:r>
        <w:rPr>
          <w:rFonts w:hint="eastAsia" w:ascii="Times New Roman" w:hAnsi="Times New Roman" w:eastAsia="宋体" w:cs="宋体"/>
          <w:b w:val="0"/>
          <w:bCs w:val="0"/>
          <w:kern w:val="2"/>
          <w:sz w:val="21"/>
          <w:szCs w:val="21"/>
          <w:lang w:val="en-US" w:eastAsia="zh-CN" w:bidi="ar-SA"/>
        </w:rPr>
        <w:t>，</w:t>
      </w:r>
      <w:r>
        <w:rPr>
          <w:rFonts w:hint="eastAsia" w:ascii="Times New Roman" w:hAnsi="Times New Roman" w:eastAsia="宋体" w:cs="宋体"/>
          <w:b w:val="0"/>
          <w:bCs w:val="0"/>
          <w:kern w:val="2"/>
          <w:sz w:val="21"/>
          <w:szCs w:val="21"/>
          <w:vertAlign w:val="superscript"/>
          <w:lang w:val="en-US" w:eastAsia="zh-CN" w:bidi="ar-SA"/>
        </w:rPr>
        <w:footnoteReference w:id="53"/>
      </w:r>
      <w:bookmarkEnd w:id="8"/>
      <w:r>
        <w:rPr>
          <w:rFonts w:hint="eastAsia" w:ascii="Times New Roman" w:hAnsi="Times New Roman" w:eastAsia="宋体" w:cs="宋体"/>
          <w:b w:val="0"/>
          <w:bCs w:val="0"/>
          <w:kern w:val="2"/>
          <w:sz w:val="21"/>
          <w:szCs w:val="21"/>
          <w:lang w:val="en-US" w:eastAsia="zh-CN" w:bidi="ar-SA"/>
        </w:rPr>
        <w:t>其调查范围涵盖从财产状况到情感意愿的多元维度，</w:t>
      </w:r>
      <w:r>
        <w:rPr>
          <w:rFonts w:hint="eastAsia" w:ascii="Times New Roman" w:hAnsi="Times New Roman"/>
          <w:lang w:val="en-US" w:eastAsia="zh-CN"/>
        </w:rPr>
        <w:t>家事</w:t>
      </w:r>
      <w:r>
        <w:rPr>
          <w:rFonts w:hint="eastAsia" w:ascii="Times New Roman" w:hAnsi="Times New Roman"/>
        </w:rPr>
        <w:t>调查员接受任务后，可向各协作单位发起《协助调查函》，各单位需在规定时间内提供相关信息或派员协同调查。</w:t>
      </w:r>
    </w:p>
    <w:p w14:paraId="7939E1EB">
      <w:pPr>
        <w:ind w:firstLine="420" w:firstLineChars="200"/>
        <w:rPr>
          <w:rFonts w:hint="eastAsia" w:ascii="Times New Roman" w:hAnsi="Times New Roman" w:eastAsia="楷体" w:cs="楷体"/>
          <w:b/>
          <w:bCs/>
          <w:i w:val="0"/>
          <w:iCs w:val="0"/>
          <w:caps w:val="0"/>
          <w:spacing w:val="0"/>
          <w:kern w:val="0"/>
          <w:sz w:val="24"/>
          <w:szCs w:val="24"/>
          <w:shd w:val="clear" w:fill="FFFFFF"/>
          <w:lang w:val="en-US" w:eastAsia="zh-CN" w:bidi="ar"/>
        </w:rPr>
      </w:pPr>
      <w:r>
        <w:rPr>
          <w:rFonts w:hint="eastAsia" w:ascii="Times New Roman" w:hAnsi="Times New Roman"/>
          <w:color w:val="auto"/>
        </w:rPr>
        <w:t>在权责划分层面，须明确各参与主体的权利义务边界。</w:t>
      </w:r>
      <w:r>
        <w:rPr>
          <w:rFonts w:hint="eastAsia" w:ascii="Times New Roman" w:hAnsi="Times New Roman"/>
          <w:color w:val="auto"/>
          <w:lang w:val="en-US" w:eastAsia="zh-CN"/>
        </w:rPr>
        <w:t>应当</w:t>
      </w:r>
      <w:r>
        <w:rPr>
          <w:rFonts w:hint="eastAsia" w:ascii="Times New Roman" w:hAnsi="Times New Roman"/>
          <w:color w:val="auto"/>
        </w:rPr>
        <w:t>详细规定公安机关负责提供家庭暴力报警记录、处置情况等信息；民政部门负责提供社会救助、婚姻登记等信息；教育部门负责提供涉案未成年人就学情况等信息；社区组织负责提供家庭日常生活表现、邻里关系等信息；医疗机构负责提供心理健康评估等服务</w:t>
      </w:r>
      <w:r>
        <w:rPr>
          <w:rFonts w:hint="eastAsia" w:ascii="Times New Roman" w:hAnsi="Times New Roman"/>
          <w:color w:val="auto"/>
          <w:lang w:val="en-US" w:eastAsia="zh-CN"/>
        </w:rPr>
        <w:t>等</w:t>
      </w:r>
      <w:r>
        <w:rPr>
          <w:rFonts w:hint="eastAsia" w:ascii="Times New Roman" w:hAnsi="Times New Roman"/>
          <w:color w:val="auto"/>
        </w:rPr>
        <w:t>。同时，明确哪些信息因涉及隐私或国家安全不得共享，确保</w:t>
      </w:r>
      <w:r>
        <w:rPr>
          <w:rFonts w:hint="eastAsia" w:ascii="Times New Roman" w:hAnsi="Times New Roman"/>
          <w:color w:val="auto"/>
          <w:lang w:val="en-US" w:eastAsia="zh-CN"/>
        </w:rPr>
        <w:t>各部门</w:t>
      </w:r>
      <w:r>
        <w:rPr>
          <w:rFonts w:hint="eastAsia" w:ascii="Times New Roman" w:hAnsi="Times New Roman"/>
          <w:color w:val="auto"/>
        </w:rPr>
        <w:t>协同</w:t>
      </w:r>
      <w:r>
        <w:rPr>
          <w:rFonts w:hint="eastAsia" w:ascii="Times New Roman" w:hAnsi="Times New Roman"/>
          <w:color w:val="auto"/>
          <w:lang w:val="en-US" w:eastAsia="zh-CN"/>
        </w:rPr>
        <w:t>的</w:t>
      </w:r>
      <w:r>
        <w:rPr>
          <w:rFonts w:hint="eastAsia" w:ascii="Times New Roman" w:hAnsi="Times New Roman"/>
          <w:color w:val="auto"/>
        </w:rPr>
        <w:t>过程中不逾越法律红线</w:t>
      </w:r>
      <w:r>
        <w:rPr>
          <w:rFonts w:hint="eastAsia" w:ascii="Times New Roman" w:hAnsi="Times New Roman"/>
          <w:color w:val="auto"/>
          <w:lang w:eastAsia="zh-CN"/>
        </w:rPr>
        <w:t>；</w:t>
      </w:r>
      <w:r>
        <w:rPr>
          <w:rFonts w:hint="eastAsia" w:ascii="Times New Roman" w:hAnsi="Times New Roman"/>
          <w:color w:val="auto"/>
        </w:rPr>
        <w:t>对无正当理由不配合调查、提供虚假信息、泄露隐私等行为，明确规定追责方式，保障协同网络的权威性和有效性。</w:t>
      </w:r>
    </w:p>
    <w:p w14:paraId="6F186568">
      <w:pPr>
        <w:ind w:firstLine="480"/>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（三）以创新群众工作方法指引家事调查员队伍建设</w:t>
      </w:r>
    </w:p>
    <w:p w14:paraId="6610E1CE">
      <w:pPr>
        <w:ind w:firstLine="420" w:firstLineChars="200"/>
        <w:rPr>
          <w:rFonts w:hint="eastAsia" w:ascii="Times New Roman" w:hAnsi="Times New Roman"/>
          <w:lang w:val="en-US" w:eastAsia="zh-CN"/>
        </w:rPr>
      </w:pPr>
      <w:r>
        <w:rPr>
          <w:rFonts w:hint="eastAsia" w:ascii="Times New Roman" w:hAnsi="Times New Roman"/>
          <w:lang w:val="en-US" w:eastAsia="zh-CN"/>
        </w:rPr>
        <w:t>新时代“枫桥经验”本质上是一种将群众动员机制制度化的治理经验，其成功在于深度嵌入了中国基层社会的熟人网络与道德规范，落脚点仍然是践行群众路线、提升群众工作能力，</w:t>
      </w:r>
      <w:r>
        <w:rPr>
          <w:rStyle w:val="14"/>
          <w:rFonts w:hint="eastAsia" w:ascii="Times New Roman" w:hAnsi="Times New Roman"/>
          <w:lang w:val="en-US" w:eastAsia="zh-CN"/>
        </w:rPr>
        <w:footnoteReference w:id="54"/>
      </w:r>
      <w:r>
        <w:rPr>
          <w:rFonts w:hint="eastAsia" w:ascii="Times New Roman" w:hAnsi="Times New Roman"/>
          <w:lang w:val="en-US" w:eastAsia="zh-CN"/>
        </w:rPr>
        <w:t>因此要在创新群众工作方法的维度下优化家事调查员队伍建设。应当明确担任家事调查员需要具备的基本条件、专业要求和能力标准。在基本条件方面，除要求具备中华人民共和国国籍、拥护宪法、品行良好等基本条件外，应特别强调具有基层工作经验和群众工作能力。在专业要求方面，规定需具备法学、社会学、心理学、社会工作等专业本科以上学历，或具有相关领域的专业技术职称，对特别优秀的社区工作者、人民调解员等实践经验丰富的人员，可适当放宽学历要求。建立分级认证制度，设置初级、中级、高级家事调查员等级，每个等级对应不同的职责权限和薪酬待遇。选拔过程应采用笔试、面试、实务模拟等多维考核方式，重点考察候选人的法律素养、调查能力、沟通技巧和矛盾调处能力。同时建立区域统一的家事调查员人才库，实行动态管理和资源共享。</w:t>
      </w:r>
    </w:p>
    <w:p w14:paraId="7C870241">
      <w:pPr>
        <w:ind w:firstLine="420" w:firstLineChars="200"/>
        <w:rPr>
          <w:rFonts w:hint="eastAsia" w:ascii="Times New Roman" w:hAnsi="Times New Roman"/>
          <w:lang w:val="en-US" w:eastAsia="zh-CN"/>
        </w:rPr>
      </w:pPr>
      <w:r>
        <w:rPr>
          <w:rFonts w:hint="eastAsia" w:ascii="Times New Roman" w:hAnsi="Times New Roman"/>
          <w:lang w:val="en-US" w:eastAsia="zh-CN"/>
        </w:rPr>
        <w:t>另外，可以依托政法类高校或党校行政学院，开发标准化的培训课程体系。培训内容应包含四个模块：一是法律知识模块，包括家事法律规范、证据规则、程序规范等；二是调查技能模块，包括访谈技巧、现场勘查、证据固定、报告撰写等；三是社会治理模块，重点培训新时代“枫桥经验”理论与实践、群众工作方法、资源链接能力等；四是专业知识模块，根据不同类型案件需求，培训心理学、社会学、家庭教育等方面专业知识，培训方式采用理论授课、案例教学、实地见习相结合的模式。以此形成可预期的职业发展路径，打破家事调查员作为临时性、辅助性人员的定位，将其纳入专业技术人才队伍管理序列。允许优秀家事调查员向多个方向发展，建立其与法院、司法行政、民政等部门的人才交流机制，同时建立继续教育制度，内容涵盖新法律法规、新型案例和工作方法，并且创新导师制度，由经验丰富的高级家事调查员担任导师，对新人进行为期一年的传帮带指导。</w:t>
      </w:r>
    </w:p>
    <w:p w14:paraId="7C846704">
      <w:pPr>
        <w:numPr>
          <w:ilvl w:val="0"/>
          <w:numId w:val="0"/>
        </w:numPr>
        <w:ind w:firstLine="420" w:firstLineChars="200"/>
        <w:rPr>
          <w:rFonts w:hint="eastAsia" w:ascii="Times New Roman" w:hAnsi="Times New Roman"/>
          <w:lang w:val="en-US" w:eastAsia="zh-CN"/>
        </w:rPr>
      </w:pPr>
      <w:r>
        <w:rPr>
          <w:rFonts w:hint="eastAsia" w:ascii="Times New Roman" w:hAnsi="Times New Roman"/>
          <w:lang w:val="en-US" w:eastAsia="zh-CN"/>
        </w:rPr>
        <w:t>在此基础上，应当完善科学的考核激励制度。建立以质量为导向的多元评价体系，考核指标应包括调查质量指标、纠纷化解指标、社会治理指标、专业成长指标等。考核方式采取多元主体评价，包括法院评价、协同单位评价、当事人评价和同行评价相结合，考核结果与薪酬待遇、职称晋升、评优评先等挂钩。同时要建立激励保障机制，确保家事调查员的薪酬待遇不低于当地事业单位专业技术人员平均水平，并按规定缴纳社会保险和住房公积金。对工作表现突出、成效显著的家事调查员给予物质和精神奖励，增强职业荣誉感和归属感。</w:t>
      </w:r>
    </w:p>
    <w:p w14:paraId="4423BE86">
      <w:pPr>
        <w:ind w:firstLine="480"/>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（四）以家事调解推动家事调查员工作方法变革</w:t>
      </w:r>
    </w:p>
    <w:p w14:paraId="0B06F4A2">
      <w:pPr>
        <w:ind w:firstLine="420" w:firstLineChars="200"/>
        <w:rPr>
          <w:rFonts w:hint="eastAsia" w:ascii="Times New Roman" w:hAnsi="Times New Roman"/>
        </w:rPr>
      </w:pPr>
      <w:r>
        <w:rPr>
          <w:rFonts w:hint="eastAsia"/>
        </w:rPr>
        <w:t>家事调解是追求以和为贵的解纷之道，通过调解确定矛盾纷争的真正因果关系而实现根源治理</w:t>
      </w:r>
      <w:r>
        <w:rPr>
          <w:rFonts w:hint="eastAsia"/>
          <w:lang w:eastAsia="zh-CN"/>
        </w:rPr>
        <w:t>，</w:t>
      </w:r>
      <w:r>
        <w:rPr>
          <w:rStyle w:val="14"/>
          <w:rFonts w:hint="eastAsia"/>
        </w:rPr>
        <w:footnoteReference w:id="55"/>
      </w:r>
      <w:r>
        <w:rPr>
          <w:rFonts w:hint="eastAsia"/>
        </w:rPr>
        <w:t>其关键在于将新时代“枫桥经验”中的调解</w:t>
      </w:r>
      <w:r>
        <w:rPr>
          <w:rFonts w:hint="eastAsia"/>
          <w:lang w:val="en-US" w:eastAsia="zh-CN"/>
        </w:rPr>
        <w:t>理念</w:t>
      </w:r>
      <w:r>
        <w:rPr>
          <w:rFonts w:hint="eastAsia"/>
        </w:rPr>
        <w:t>融入家事调查全过程。当然，在我国逐步从职权主义诉讼模式向当事人主义诉讼模式转型的当下，应当审慎看待民事诉讼程序中的“调解优先”等做法，须重视当事人的自愿原则，调解不成的应当及时判决。</w:t>
      </w:r>
      <w:r>
        <w:rPr>
          <w:rFonts w:hint="eastAsia" w:ascii="Times New Roman" w:hAnsi="Times New Roman"/>
          <w:lang w:val="en-US" w:eastAsia="zh-CN"/>
        </w:rPr>
        <w:t>可以推行“边调查边调解”的交互式工作方法，家事调查员应接受系统的调解技能培训，在调查过程中发现当事人有调解意愿且案件适宜调解时，家事调查员可经当事人同意后即时启动调解程序。具体而言，</w:t>
      </w:r>
      <w:r>
        <w:rPr>
          <w:rFonts w:hint="eastAsia" w:ascii="Times New Roman" w:hAnsi="Times New Roman"/>
        </w:rPr>
        <w:t>家事调查员可以按照以下步骤开展调解工作：</w:t>
      </w:r>
      <w:r>
        <w:rPr>
          <w:rFonts w:hint="eastAsia" w:ascii="Times New Roman" w:hAnsi="Times New Roman"/>
          <w:lang w:val="en-US" w:eastAsia="zh-CN"/>
        </w:rPr>
        <w:t>在首次接触当事人时进行情绪疏导式调解，通过倾听、共情等技巧缓解对立情绪；在事实调查过程中进行焦点澄清式调解，帮助当事人认清争议核心和自身需求；在调查尾声进行方案构建式调解，引导当事人基于调查发现共同探讨解决方案。为提高调解成功率，还可建立家事调查员和专业调解员的搭档机制，邀请人民调解员、心理咨询师、家事律师等专业人士参与关键环节的调解工作。同时，</w:t>
      </w:r>
      <w:r>
        <w:rPr>
          <w:rFonts w:hint="eastAsia" w:ascii="Times New Roman" w:hAnsi="Times New Roman"/>
        </w:rPr>
        <w:t>支持家事调查员与当地的综合治理中心相互合作，利用中心提供的远程调解平台等利于调解推进的资源。</w:t>
      </w:r>
    </w:p>
    <w:p w14:paraId="0CBB3148">
      <w:pPr>
        <w:ind w:firstLine="420" w:firstLineChars="200"/>
        <w:rPr>
          <w:rFonts w:hint="eastAsia" w:ascii="Times New Roman" w:hAnsi="Times New Roman"/>
          <w:lang w:val="en-US" w:eastAsia="zh-CN"/>
        </w:rPr>
      </w:pPr>
      <w:r>
        <w:rPr>
          <w:rFonts w:hint="eastAsia"/>
        </w:rPr>
        <w:t>这一路径的实施</w:t>
      </w:r>
      <w:r>
        <w:rPr>
          <w:rFonts w:hint="eastAsia"/>
          <w:lang w:val="en-US" w:eastAsia="zh-CN"/>
        </w:rPr>
        <w:t>也需要</w:t>
      </w:r>
      <w:r>
        <w:rPr>
          <w:rFonts w:hint="eastAsia" w:ascii="Times New Roman" w:hAnsi="Times New Roman"/>
        </w:rPr>
        <w:t>为家事调查员开展调解提供基础保障</w:t>
      </w:r>
      <w:r>
        <w:rPr>
          <w:rFonts w:hint="eastAsia" w:ascii="Times New Roman" w:hAnsi="Times New Roman"/>
          <w:lang w:val="en-US" w:eastAsia="zh-CN"/>
        </w:rPr>
        <w:t>。应当统一规范各级家事调查机构的工作场所、设备配置和安全保障要求，设置独立的接待室、调解室和心理辅导室，配备必要的录音录像、安全报警、证据保管等设备，调解室应采用暖色调装修，营造温馨、宽松的环境氛围，减轻当事人的心理压力。另外，为家事调查员配备标准化调查工具包，包含便携式打印机、执法记录仪、身份识别设备、应急药品等必要装备；针对家庭暴力等高风险调查场景，制定应急预案，配备必要的安全防护设备和警务保障支持。</w:t>
      </w:r>
    </w:p>
    <w:p w14:paraId="51CBECDA">
      <w:pPr>
        <w:ind w:firstLine="420" w:firstLineChars="200"/>
        <w:rPr>
          <w:rFonts w:hint="eastAsia" w:ascii="Times New Roman" w:hAnsi="Times New Roman"/>
          <w:lang w:val="en-US" w:eastAsia="zh-CN"/>
        </w:rPr>
      </w:pPr>
      <w:r>
        <w:rPr>
          <w:rFonts w:hint="eastAsia" w:ascii="Times New Roman" w:hAnsi="Times New Roman"/>
          <w:lang w:val="en-US" w:eastAsia="zh-CN"/>
        </w:rPr>
        <w:t>最后，</w:t>
      </w:r>
      <w:r>
        <w:rPr>
          <w:rFonts w:hint="eastAsia"/>
        </w:rPr>
        <w:t>通过建立调查与调解的深度融合机制、调查结果的社会转化机制以及闭环式的跟踪反馈机制，构建起集预防、调查、调解、治理于一体的新型工作模式。</w:t>
      </w:r>
      <w:r>
        <w:rPr>
          <w:rFonts w:hint="eastAsia"/>
          <w:lang w:val="en-US" w:eastAsia="zh-CN"/>
        </w:rPr>
        <w:t>家事调查员的</w:t>
      </w:r>
      <w:r>
        <w:rPr>
          <w:rFonts w:hint="eastAsia" w:ascii="Times New Roman" w:hAnsi="Times New Roman"/>
        </w:rPr>
        <w:t>回访制度</w:t>
      </w:r>
      <w:r>
        <w:rPr>
          <w:rFonts w:hint="eastAsia" w:ascii="Times New Roman" w:hAnsi="Times New Roman"/>
          <w:lang w:val="en-US" w:eastAsia="zh-CN"/>
        </w:rPr>
        <w:t>利于</w:t>
      </w:r>
      <w:r>
        <w:rPr>
          <w:rFonts w:hint="eastAsia" w:ascii="Times New Roman" w:hAnsi="Times New Roman"/>
        </w:rPr>
        <w:t>强化调解实效</w:t>
      </w:r>
      <w:r>
        <w:rPr>
          <w:rFonts w:hint="eastAsia" w:ascii="Times New Roman" w:hAnsi="Times New Roman"/>
          <w:lang w:eastAsia="zh-CN"/>
        </w:rPr>
        <w:t>，</w:t>
      </w:r>
      <w:r>
        <w:rPr>
          <w:rFonts w:hint="eastAsia" w:ascii="Times New Roman" w:hAnsi="Times New Roman"/>
          <w:lang w:val="en-US" w:eastAsia="zh-CN"/>
        </w:rPr>
        <w:t>根据案件风险等级设定不同的回访周期，回访不仅关注协议履行情况，更要评估家庭关系改善程度、未成年人成长环境变化、老年人生活质量等深层指标。采用量化指标（如纠纷化解率、家庭关系改善度、再诉率等）与质性评估（如当事人满意度、社区评价等）相结合的方法，对案件的治理效果进行综合评估。同时，建立评估结果的应用机制，将回访评估发现的新问题及时反馈给相关单位进行二次干预，将典型案例和经验教训提炼成培训教材和政策建议，持续优化家事调查工作流程和方法，确保治理成效可持续。</w:t>
      </w:r>
    </w:p>
    <w:p w14:paraId="16D501BD">
      <w:pPr>
        <w:rPr>
          <w:rFonts w:hint="default" w:ascii="黑体" w:hAnsi="黑体" w:eastAsia="黑体"/>
          <w:sz w:val="28"/>
          <w:szCs w:val="28"/>
          <w:lang w:val="en-US" w:eastAsia="zh-CN"/>
        </w:rPr>
      </w:pPr>
      <w:r>
        <w:rPr>
          <w:rFonts w:hint="eastAsia" w:ascii="黑体" w:hAnsi="黑体" w:eastAsia="黑体"/>
          <w:sz w:val="28"/>
          <w:szCs w:val="28"/>
          <w:lang w:val="en-US" w:eastAsia="zh-CN"/>
        </w:rPr>
        <w:t>结论</w:t>
      </w:r>
    </w:p>
    <w:p w14:paraId="2188AC5D">
      <w:pPr>
        <w:ind w:firstLine="420" w:firstLineChars="200"/>
        <w:rPr>
          <w:rFonts w:hint="default" w:ascii="Times New Roman" w:hAnsi="Times New Roman"/>
          <w:lang w:val="en-US" w:eastAsia="zh-CN"/>
        </w:rPr>
      </w:pPr>
      <w:r>
        <w:rPr>
          <w:rFonts w:hint="eastAsia" w:ascii="宋体" w:hAnsi="宋体" w:eastAsia="宋体" w:cs="宋体"/>
          <w:szCs w:val="21"/>
        </w:rPr>
        <w:t>家事调查员制度是探索建立多元化纠纷解决机制的重要内容之一。从理论上看，新时代“枫桥经验”与家事调查员制度在价值理念上深度契合，二者均以人民为中心、追求柔性治理；在制度功能上互补协同，基层治理资源与专业调查力量形成合力；在治理目标上高度统一，共同服务于基层治理现代化。将新时代“枫桥经验”</w:t>
      </w:r>
      <w:r>
        <w:rPr>
          <w:rFonts w:hint="eastAsia" w:ascii="宋体" w:hAnsi="宋体" w:eastAsia="宋体" w:cs="宋体"/>
          <w:szCs w:val="21"/>
          <w:lang w:val="en-US" w:eastAsia="zh-CN"/>
        </w:rPr>
        <w:t>融入</w:t>
      </w:r>
      <w:r>
        <w:rPr>
          <w:rFonts w:hint="eastAsia" w:ascii="宋体" w:hAnsi="宋体" w:eastAsia="宋体" w:cs="宋体"/>
          <w:szCs w:val="21"/>
        </w:rPr>
        <w:t>家事调查员制度，本质是从治理哲学层面对家事调查员制度的重构，推动其从司法事实调查工具转型为嵌入基层社会治理网络的家事治理主体。这不仅破解了家事案件事实查明的专业性难题，又实现了家事矛盾从司法末端处置向源头防控的转变，修复了家庭功能与社会关系。当前，推动新时代“枫桥经验”与家事调查员制度从初步协同走向深度融合，仍需在实践中持续发力。既要通过理念重塑确立社会治理为本的家事调查指导思想，也要通过形成“枫桥式”家事调查员队伍、多元共治的协同机制、调解优先的调查流程，对家事纠纷治理模式进行创新。</w:t>
      </w:r>
      <w:bookmarkStart w:id="9" w:name="_GoBack"/>
      <w:bookmarkEnd w:id="9"/>
    </w:p>
    <w:sectPr>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12">
    <w:p>
      <w:r>
        <w:separator/>
      </w:r>
    </w:p>
  </w:footnote>
  <w:footnote w:type="continuationSeparator" w:id="113">
    <w:p>
      <w:r>
        <w:continuationSeparator/>
      </w:r>
    </w:p>
  </w:footnote>
  <w:footnote w:id="0">
    <w:p w14:paraId="784449D9">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rPr>
        <w:t>参见陈爱武：《家事诉讼立法的理论阐释与制度构建》，载《中国政法大学学报》2025年第2期。</w:t>
      </w:r>
    </w:p>
  </w:footnote>
  <w:footnote w:id="1">
    <w:p w14:paraId="6ED203E3">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rPr>
        <w:t>参见朱丽梅：《当下深化家事审判专业化规范化改革若干问题研究》，载《中国应用法学》2024年第3期。</w:t>
      </w:r>
    </w:p>
  </w:footnote>
  <w:footnote w:id="2">
    <w:p w14:paraId="09EC17A0">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lang w:val="en-US" w:eastAsia="zh-CN"/>
        </w:rPr>
        <w:t>参见</w:t>
      </w:r>
      <w:r>
        <w:rPr>
          <w:rFonts w:hint="default" w:ascii="仿宋" w:hAnsi="仿宋" w:eastAsia="仿宋"/>
          <w:szCs w:val="18"/>
        </w:rPr>
        <w:t>彭小龙</w:t>
      </w:r>
      <w:r>
        <w:rPr>
          <w:rFonts w:hint="default" w:ascii="仿宋" w:hAnsi="仿宋" w:eastAsia="仿宋"/>
          <w:szCs w:val="18"/>
          <w:lang w:eastAsia="zh-CN"/>
        </w:rPr>
        <w:t>：《</w:t>
      </w:r>
      <w:r>
        <w:rPr>
          <w:rFonts w:hint="eastAsia" w:ascii="仿宋" w:hAnsi="仿宋" w:eastAsia="仿宋"/>
          <w:szCs w:val="18"/>
          <w:lang w:eastAsia="zh-CN"/>
        </w:rPr>
        <w:t>“</w:t>
      </w:r>
      <w:r>
        <w:rPr>
          <w:rFonts w:hint="default" w:ascii="仿宋" w:hAnsi="仿宋" w:eastAsia="仿宋"/>
          <w:szCs w:val="18"/>
        </w:rPr>
        <w:t>枫桥经验</w:t>
      </w:r>
      <w:r>
        <w:rPr>
          <w:rFonts w:hint="eastAsia" w:ascii="仿宋" w:hAnsi="仿宋" w:eastAsia="仿宋"/>
          <w:szCs w:val="18"/>
          <w:lang w:eastAsia="zh-CN"/>
        </w:rPr>
        <w:t>”</w:t>
      </w:r>
      <w:r>
        <w:rPr>
          <w:rFonts w:hint="default" w:ascii="仿宋" w:hAnsi="仿宋" w:eastAsia="仿宋"/>
          <w:szCs w:val="18"/>
        </w:rPr>
        <w:t>与当代中国纠纷解决机制结构变迁</w:t>
      </w:r>
      <w:r>
        <w:rPr>
          <w:rFonts w:hint="default" w:ascii="仿宋" w:hAnsi="仿宋" w:eastAsia="仿宋"/>
          <w:szCs w:val="18"/>
          <w:lang w:eastAsia="zh-CN"/>
        </w:rPr>
        <w:t>》，</w:t>
      </w:r>
      <w:r>
        <w:rPr>
          <w:rFonts w:hint="default" w:ascii="仿宋" w:hAnsi="仿宋" w:eastAsia="仿宋"/>
          <w:szCs w:val="18"/>
          <w:lang w:val="en-US" w:eastAsia="zh-CN"/>
        </w:rPr>
        <w:t>载《</w:t>
      </w:r>
      <w:r>
        <w:rPr>
          <w:rFonts w:hint="default" w:ascii="仿宋" w:hAnsi="仿宋" w:eastAsia="仿宋"/>
          <w:szCs w:val="18"/>
        </w:rPr>
        <w:t>中国法学</w:t>
      </w:r>
      <w:r>
        <w:rPr>
          <w:rFonts w:hint="default" w:ascii="仿宋" w:hAnsi="仿宋" w:eastAsia="仿宋"/>
          <w:szCs w:val="18"/>
          <w:lang w:eastAsia="zh-CN"/>
        </w:rPr>
        <w:t>》</w:t>
      </w:r>
      <w:r>
        <w:rPr>
          <w:rFonts w:hint="default" w:ascii="仿宋" w:hAnsi="仿宋" w:eastAsia="仿宋"/>
          <w:szCs w:val="18"/>
          <w:lang w:val="en-US" w:eastAsia="zh-CN"/>
        </w:rPr>
        <w:t>2023年第6期。</w:t>
      </w:r>
    </w:p>
  </w:footnote>
  <w:footnote w:id="3">
    <w:p w14:paraId="28E3659F">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rPr>
        <w:t>参见习近平：《高举中国特色社会主义伟大旗帜为全面建设社会主义现代化国家而团结奋斗》，载《人民日报》2022年10月26日，第1版。</w:t>
      </w:r>
    </w:p>
  </w:footnote>
  <w:footnote w:id="4">
    <w:p w14:paraId="6610C61D">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rPr>
        <w:t>国内外关于家事纠纷治理的研究主要集中在三个维度：一是司法程序优化，如家事法院设置、调解机制创新等；二是社会力量参与，强调社区、社会组织在纠纷化解中的作用；三是治理模式比较，分析不同国家和地区的家事治理经验。关于新时代</w:t>
      </w:r>
      <w:r>
        <w:rPr>
          <w:rFonts w:hint="eastAsia" w:ascii="仿宋" w:hAnsi="仿宋" w:eastAsia="仿宋"/>
          <w:szCs w:val="18"/>
          <w:lang w:eastAsia="zh-CN"/>
        </w:rPr>
        <w:t>“</w:t>
      </w:r>
      <w:r>
        <w:rPr>
          <w:rFonts w:hint="default" w:ascii="仿宋" w:hAnsi="仿宋" w:eastAsia="仿宋"/>
          <w:szCs w:val="18"/>
        </w:rPr>
        <w:t>枫桥经验</w:t>
      </w:r>
      <w:r>
        <w:rPr>
          <w:rFonts w:hint="eastAsia" w:ascii="仿宋" w:hAnsi="仿宋" w:eastAsia="仿宋"/>
          <w:szCs w:val="18"/>
          <w:lang w:eastAsia="zh-CN"/>
        </w:rPr>
        <w:t>”</w:t>
      </w:r>
      <w:r>
        <w:rPr>
          <w:rFonts w:hint="default" w:ascii="仿宋" w:hAnsi="仿宋" w:eastAsia="仿宋"/>
          <w:szCs w:val="18"/>
        </w:rPr>
        <w:t>的研究，多聚焦于其在基层社会治理中的价值，而对其在家事纠纷领域的应用探讨不足。家事调查员制度的研究则侧重制度设计、实践效果等方面，对其与基层治理体系的衔接问题关注较少。少数文献提及社会力量参与家事调查，但未形成系统化的协同理论框架。论及三种</w:t>
      </w:r>
      <w:r>
        <w:rPr>
          <w:rFonts w:hint="default" w:ascii="仿宋" w:hAnsi="仿宋" w:eastAsia="仿宋"/>
          <w:szCs w:val="18"/>
          <w:lang w:val="en-US" w:eastAsia="zh-CN"/>
        </w:rPr>
        <w:t>研究</w:t>
      </w:r>
      <w:r>
        <w:rPr>
          <w:rFonts w:hint="default" w:ascii="仿宋" w:hAnsi="仿宋" w:eastAsia="仿宋"/>
          <w:szCs w:val="18"/>
        </w:rPr>
        <w:t>的典型文献，主要参见汤鸣：《家事纠纷法院调解的范围与限度——基于比较法的分析》，载《南京航空航天大学学报》2015年第2期；张翼杰：《社区家事纠纷解决机制研究》，中国法治出版社2016年出版，第372页；徐文海、陈俊：《日本家事调解制度新动向及启示》，载《中国应用法学》2017年第5期。</w:t>
      </w:r>
    </w:p>
  </w:footnote>
  <w:footnote w:id="5">
    <w:p w14:paraId="181FB8EF">
      <w:pPr>
        <w:pStyle w:val="5"/>
        <w:ind w:firstLine="360" w:firstLineChars="200"/>
        <w:rPr>
          <w:rFonts w:hint="default" w:ascii="仿宋" w:hAnsi="仿宋" w:eastAsia="仿宋"/>
          <w:szCs w:val="18"/>
          <w:lang w:val="en-US"/>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lang w:val="en-US" w:eastAsia="zh-CN"/>
        </w:rPr>
        <w:t>检索时间截至2025年8月。通过逐案阅读的方式，共检索出116篇文书，其中刑事案由3起，民事案由108起，行政案由3起，其他2起。在检索得到的116篇文书中剔除重复等因素，筛选出87篇与家事调查员制度密切关联的文书，并以此为主要分析样本。</w:t>
      </w:r>
    </w:p>
  </w:footnote>
  <w:footnote w:id="6">
    <w:p w14:paraId="69308E17">
      <w:pPr>
        <w:pStyle w:val="5"/>
        <w:ind w:firstLine="360" w:firstLineChars="200"/>
        <w:rPr>
          <w:rFonts w:hint="default" w:ascii="仿宋" w:hAnsi="仿宋" w:eastAsia="仿宋"/>
          <w:szCs w:val="18"/>
          <w:lang w:val="en-US"/>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lang w:val="en-US" w:eastAsia="zh-CN"/>
        </w:rPr>
        <w:t>参见</w:t>
      </w:r>
      <w:r>
        <w:rPr>
          <w:rFonts w:hint="default" w:ascii="仿宋" w:hAnsi="仿宋" w:eastAsia="仿宋"/>
          <w:szCs w:val="18"/>
        </w:rPr>
        <w:t>江苏省南通市崇川区人民法院</w:t>
      </w:r>
      <w:r>
        <w:rPr>
          <w:rFonts w:hint="default" w:ascii="仿宋" w:hAnsi="仿宋" w:eastAsia="仿宋"/>
          <w:szCs w:val="18"/>
          <w:lang w:val="en-US" w:eastAsia="zh-CN"/>
        </w:rPr>
        <w:t>（2019）苏0602民初2876号民事判决书。</w:t>
      </w:r>
    </w:p>
  </w:footnote>
  <w:footnote w:id="7">
    <w:p w14:paraId="65CC5C10">
      <w:pPr>
        <w:pStyle w:val="5"/>
        <w:ind w:firstLine="360" w:firstLineChars="200"/>
        <w:rPr>
          <w:rFonts w:hint="default" w:ascii="仿宋" w:hAnsi="仿宋" w:eastAsia="仿宋"/>
          <w:szCs w:val="18"/>
          <w:lang w:val="en-US" w:eastAsia="zh-CN"/>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lang w:val="en-US" w:eastAsia="zh-CN"/>
        </w:rPr>
        <w:t>参见</w:t>
      </w:r>
      <w:r>
        <w:rPr>
          <w:rFonts w:hint="default" w:ascii="仿宋" w:hAnsi="仿宋" w:eastAsia="仿宋"/>
          <w:szCs w:val="18"/>
        </w:rPr>
        <w:t>王斌通</w:t>
      </w:r>
      <w:r>
        <w:rPr>
          <w:rFonts w:hint="default" w:ascii="仿宋" w:hAnsi="仿宋" w:eastAsia="仿宋"/>
          <w:szCs w:val="18"/>
          <w:lang w:eastAsia="zh-CN"/>
        </w:rPr>
        <w:t>、</w:t>
      </w:r>
      <w:r>
        <w:rPr>
          <w:rFonts w:hint="default" w:ascii="仿宋" w:hAnsi="仿宋" w:eastAsia="仿宋"/>
          <w:szCs w:val="18"/>
        </w:rPr>
        <w:t>仝孟玥</w:t>
      </w:r>
      <w:r>
        <w:rPr>
          <w:rFonts w:hint="default" w:ascii="仿宋" w:hAnsi="仿宋" w:eastAsia="仿宋"/>
          <w:szCs w:val="18"/>
          <w:lang w:eastAsia="zh-CN"/>
        </w:rPr>
        <w:t>：《</w:t>
      </w:r>
      <w:r>
        <w:rPr>
          <w:rFonts w:hint="eastAsia" w:ascii="仿宋" w:hAnsi="仿宋" w:eastAsia="仿宋"/>
          <w:szCs w:val="18"/>
          <w:lang w:eastAsia="zh-CN"/>
        </w:rPr>
        <w:t>“</w:t>
      </w:r>
      <w:r>
        <w:rPr>
          <w:rFonts w:hint="default" w:ascii="仿宋" w:hAnsi="仿宋" w:eastAsia="仿宋"/>
          <w:szCs w:val="18"/>
        </w:rPr>
        <w:t>枫桥式</w:t>
      </w:r>
      <w:r>
        <w:rPr>
          <w:rFonts w:hint="eastAsia" w:ascii="仿宋" w:hAnsi="仿宋" w:eastAsia="仿宋"/>
          <w:szCs w:val="18"/>
          <w:lang w:eastAsia="zh-CN"/>
        </w:rPr>
        <w:t>”</w:t>
      </w:r>
      <w:r>
        <w:rPr>
          <w:rFonts w:hint="default" w:ascii="仿宋" w:hAnsi="仿宋" w:eastAsia="仿宋"/>
          <w:szCs w:val="18"/>
        </w:rPr>
        <w:t>特色创建的理论阐释与效能提升</w:t>
      </w:r>
      <w:r>
        <w:rPr>
          <w:rFonts w:hint="default" w:ascii="仿宋" w:hAnsi="仿宋" w:eastAsia="仿宋"/>
          <w:szCs w:val="18"/>
          <w:lang w:eastAsia="zh-CN"/>
        </w:rPr>
        <w:t>》，</w:t>
      </w:r>
      <w:r>
        <w:rPr>
          <w:rFonts w:hint="default" w:ascii="仿宋" w:hAnsi="仿宋" w:eastAsia="仿宋"/>
          <w:szCs w:val="18"/>
          <w:lang w:val="en-US" w:eastAsia="zh-CN"/>
        </w:rPr>
        <w:t>载《</w:t>
      </w:r>
      <w:r>
        <w:rPr>
          <w:rFonts w:hint="default" w:ascii="仿宋" w:hAnsi="仿宋" w:eastAsia="仿宋"/>
          <w:szCs w:val="18"/>
        </w:rPr>
        <w:t>民间法</w:t>
      </w:r>
      <w:r>
        <w:rPr>
          <w:rFonts w:hint="default" w:ascii="仿宋" w:hAnsi="仿宋" w:eastAsia="仿宋"/>
          <w:szCs w:val="18"/>
          <w:lang w:eastAsia="zh-CN"/>
        </w:rPr>
        <w:t>》</w:t>
      </w:r>
      <w:r>
        <w:rPr>
          <w:rFonts w:hint="default" w:ascii="仿宋" w:hAnsi="仿宋" w:eastAsia="仿宋"/>
          <w:szCs w:val="18"/>
        </w:rPr>
        <w:t>2024</w:t>
      </w:r>
      <w:r>
        <w:rPr>
          <w:rFonts w:hint="default" w:ascii="仿宋" w:hAnsi="仿宋" w:eastAsia="仿宋"/>
          <w:szCs w:val="18"/>
          <w:lang w:val="en-US" w:eastAsia="zh-CN"/>
        </w:rPr>
        <w:t>年第3期。</w:t>
      </w:r>
    </w:p>
  </w:footnote>
  <w:footnote w:id="8">
    <w:p w14:paraId="6B8BE0BB">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rPr>
        <w:t>参见广西省高级人民法院公布反家暴10大典型案例之三：黄某申请人身安全保护裁定纠纷案。</w:t>
      </w:r>
    </w:p>
  </w:footnote>
  <w:footnote w:id="9">
    <w:p w14:paraId="70396682">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rPr>
        <w:t>参见四川省成都市武侯区人民法院（2018）川0107民特116号民事判决书。</w:t>
      </w:r>
    </w:p>
  </w:footnote>
  <w:footnote w:id="10">
    <w:p w14:paraId="651E7DBD">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rPr>
        <w:t>参见四川省成都市武侯区人民法院（2020）川0107民特115号民事判决书。</w:t>
      </w:r>
    </w:p>
  </w:footnote>
  <w:footnote w:id="11">
    <w:p w14:paraId="5DCAA6E2">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rPr>
        <w:t>参见江苏省盐城市中级人民法院（2021）苏09民终3233号民事判决书。</w:t>
      </w:r>
    </w:p>
  </w:footnote>
  <w:footnote w:id="12">
    <w:p w14:paraId="4271032B">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rPr>
        <w:t>参见江苏省南通市崇川区人民法院（2019）苏0602民初1252号民事判决书。</w:t>
      </w:r>
    </w:p>
  </w:footnote>
  <w:footnote w:id="13">
    <w:p w14:paraId="43CD22CB">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rPr>
        <w:t>中共中央文献研究室编：《习近平关于全面依法治国论述摘编》，中央文献出版社2015年版，第69页。</w:t>
      </w:r>
    </w:p>
  </w:footnote>
  <w:footnote w:id="14">
    <w:p w14:paraId="04DE0F4F">
      <w:pPr>
        <w:pStyle w:val="5"/>
        <w:ind w:firstLine="360" w:firstLineChars="200"/>
        <w:rPr>
          <w:rFonts w:hint="default" w:ascii="仿宋" w:hAnsi="仿宋" w:eastAsia="仿宋"/>
          <w:szCs w:val="18"/>
          <w:lang w:val="en-US" w:eastAsia="zh-CN"/>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lang w:val="en-US" w:eastAsia="zh-CN"/>
        </w:rPr>
        <w:t>参见广东省深圳市龙岗区人民法院（2024）粤0307民初40511号民事判决书。</w:t>
      </w:r>
    </w:p>
  </w:footnote>
  <w:footnote w:id="15">
    <w:p w14:paraId="2F2F347D">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lang w:val="en-US" w:eastAsia="zh-CN"/>
        </w:rPr>
        <w:t>参见广东省佛山市中级人民法院（2021）粤06民终18307号民事判决书。</w:t>
      </w:r>
    </w:p>
  </w:footnote>
  <w:footnote w:id="16">
    <w:p w14:paraId="2260A0B5">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lang w:val="en-US" w:eastAsia="zh-CN"/>
        </w:rPr>
        <w:t>参见广西壮族自治区南宁市江南区人民法院（2018）桂0105民初3968号民事判决书。</w:t>
      </w:r>
    </w:p>
  </w:footnote>
  <w:footnote w:id="17">
    <w:p w14:paraId="59BF61AD">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lang w:val="en-US" w:eastAsia="zh-CN"/>
        </w:rPr>
        <w:t>参见广东省佛山市中级人民法院（2022）粤06民终16502号民事判决书。</w:t>
      </w:r>
    </w:p>
  </w:footnote>
  <w:footnote w:id="18">
    <w:p w14:paraId="04CF1037">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lang w:val="en-US" w:eastAsia="zh-CN"/>
        </w:rPr>
        <w:t>参见江西省高级人民法院发布12起维护妇女儿童合法权益典型案例之六：乐平市民政局申请撤销罗某庆监护权案。</w:t>
      </w:r>
    </w:p>
  </w:footnote>
  <w:footnote w:id="19">
    <w:p w14:paraId="34287263">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[美]</w:t>
      </w:r>
      <w:r>
        <w:rPr>
          <w:rFonts w:hint="default" w:ascii="仿宋" w:hAnsi="仿宋" w:eastAsia="仿宋"/>
          <w:szCs w:val="18"/>
        </w:rPr>
        <w:t>埃里克森：《无需法律的秩序——邻人如何解决纠纷》，苏力译，中国政法大学出版社2003年版，第354页。</w:t>
      </w:r>
    </w:p>
  </w:footnote>
  <w:footnote w:id="20">
    <w:p w14:paraId="55E5A711">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rPr>
        <w:t>参见贺雪峰：《技术治理、群众工作与</w:t>
      </w:r>
      <w:r>
        <w:rPr>
          <w:rFonts w:hint="eastAsia" w:ascii="仿宋" w:hAnsi="仿宋" w:eastAsia="仿宋"/>
          <w:szCs w:val="18"/>
          <w:lang w:eastAsia="zh-CN"/>
        </w:rPr>
        <w:t>“</w:t>
      </w:r>
      <w:r>
        <w:rPr>
          <w:rFonts w:hint="default" w:ascii="仿宋" w:hAnsi="仿宋" w:eastAsia="仿宋"/>
          <w:szCs w:val="18"/>
        </w:rPr>
        <w:t>枫桥经验</w:t>
      </w:r>
      <w:r>
        <w:rPr>
          <w:rFonts w:hint="eastAsia" w:ascii="仿宋" w:hAnsi="仿宋" w:eastAsia="仿宋"/>
          <w:szCs w:val="18"/>
          <w:lang w:eastAsia="zh-CN"/>
        </w:rPr>
        <w:t>”</w:t>
      </w:r>
      <w:r>
        <w:rPr>
          <w:rFonts w:hint="default" w:ascii="仿宋" w:hAnsi="仿宋" w:eastAsia="仿宋"/>
          <w:szCs w:val="18"/>
        </w:rPr>
        <w:t>》，载《四川大学学报（哲学社会科学版）》2025年第2期。</w:t>
      </w:r>
    </w:p>
  </w:footnote>
  <w:footnote w:id="21">
    <w:p w14:paraId="66470B05">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rPr>
        <w:t>参见广东省深圳市中级人民法院（2017）粤03民终15871号民事判决书。</w:t>
      </w:r>
    </w:p>
  </w:footnote>
  <w:footnote w:id="22">
    <w:p w14:paraId="4E7EA278">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rPr>
        <w:t>参见广东省深圳市宝安区人民法院（2018）粤0306民初14428号民事判决书。</w:t>
      </w:r>
    </w:p>
  </w:footnote>
  <w:footnote w:id="23">
    <w:p w14:paraId="6B2BC5C2">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rPr>
        <w:t>参见广东省东莞市第二人民法院（2020）粤1972民初15977号民事判决书。</w:t>
      </w:r>
    </w:p>
  </w:footnote>
  <w:footnote w:id="24">
    <w:p w14:paraId="094EA076">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rPr>
        <w:t>参见广东省深圳市宝安区人民法院（2018）粤0306民初875号民事判决书。</w:t>
      </w:r>
    </w:p>
  </w:footnote>
  <w:footnote w:id="25">
    <w:p w14:paraId="12EE0C80">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rPr>
        <w:t>习近平：《创新</w:t>
      </w:r>
      <w:r>
        <w:rPr>
          <w:rFonts w:hint="eastAsia" w:ascii="仿宋" w:hAnsi="仿宋" w:eastAsia="仿宋"/>
          <w:szCs w:val="18"/>
          <w:lang w:eastAsia="zh-CN"/>
        </w:rPr>
        <w:t>“</w:t>
      </w:r>
      <w:r>
        <w:rPr>
          <w:rFonts w:hint="default" w:ascii="仿宋" w:hAnsi="仿宋" w:eastAsia="仿宋"/>
          <w:szCs w:val="18"/>
        </w:rPr>
        <w:t>枫桥经验</w:t>
      </w:r>
      <w:r>
        <w:rPr>
          <w:rFonts w:hint="eastAsia" w:ascii="仿宋" w:hAnsi="仿宋" w:eastAsia="仿宋"/>
          <w:szCs w:val="18"/>
          <w:lang w:eastAsia="zh-CN"/>
        </w:rPr>
        <w:t>”</w:t>
      </w:r>
      <w:r>
        <w:rPr>
          <w:rFonts w:hint="default" w:ascii="仿宋" w:hAnsi="仿宋" w:eastAsia="仿宋"/>
          <w:szCs w:val="18"/>
        </w:rPr>
        <w:t>维护社会稳定》，载《法制日报》2004年2月8日，第1版。</w:t>
      </w:r>
    </w:p>
  </w:footnote>
  <w:footnote w:id="26">
    <w:p w14:paraId="72A1942A">
      <w:pPr>
        <w:pStyle w:val="5"/>
        <w:ind w:firstLine="360" w:firstLineChars="200"/>
        <w:rPr>
          <w:rFonts w:hint="default" w:ascii="仿宋" w:hAnsi="仿宋" w:eastAsia="仿宋"/>
          <w:szCs w:val="18"/>
          <w:lang w:val="en-US"/>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lang w:val="en-US" w:eastAsia="zh-CN"/>
        </w:rPr>
        <w:t>王国勤：《</w:t>
      </w:r>
      <w:r>
        <w:rPr>
          <w:rFonts w:hint="eastAsia" w:ascii="仿宋" w:hAnsi="仿宋" w:eastAsia="仿宋"/>
          <w:szCs w:val="18"/>
          <w:lang w:val="en-US" w:eastAsia="zh-CN"/>
        </w:rPr>
        <w:t>“</w:t>
      </w:r>
      <w:r>
        <w:rPr>
          <w:rFonts w:hint="default" w:ascii="仿宋" w:hAnsi="仿宋" w:eastAsia="仿宋"/>
          <w:szCs w:val="18"/>
          <w:lang w:val="en-US" w:eastAsia="zh-CN"/>
        </w:rPr>
        <w:t>枫桥经验</w:t>
      </w:r>
      <w:r>
        <w:rPr>
          <w:rFonts w:hint="eastAsia" w:ascii="仿宋" w:hAnsi="仿宋" w:eastAsia="仿宋"/>
          <w:szCs w:val="18"/>
          <w:lang w:val="en-US" w:eastAsia="zh-CN"/>
        </w:rPr>
        <w:t>”</w:t>
      </w:r>
      <w:r>
        <w:rPr>
          <w:rFonts w:hint="default" w:ascii="仿宋" w:hAnsi="仿宋" w:eastAsia="仿宋"/>
          <w:szCs w:val="18"/>
          <w:lang w:val="en-US" w:eastAsia="zh-CN"/>
        </w:rPr>
        <w:t>的话语实践与治理图景》，载《江西师范大学学报（哲学社会科学版）》2020年第3期。</w:t>
      </w:r>
    </w:p>
  </w:footnote>
  <w:footnote w:id="27">
    <w:p w14:paraId="1CF665D5">
      <w:pPr>
        <w:pStyle w:val="5"/>
        <w:ind w:firstLine="360" w:firstLineChars="200"/>
        <w:rPr>
          <w:rFonts w:hint="default" w:ascii="仿宋" w:hAnsi="仿宋" w:eastAsia="仿宋"/>
          <w:szCs w:val="18"/>
          <w:lang w:val="en-US" w:eastAsia="zh-CN"/>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lang w:val="en-US" w:eastAsia="zh-CN"/>
        </w:rPr>
        <w:t>参见</w:t>
      </w:r>
      <w:r>
        <w:rPr>
          <w:rFonts w:hint="default" w:ascii="仿宋" w:hAnsi="仿宋" w:eastAsia="仿宋"/>
          <w:szCs w:val="18"/>
        </w:rPr>
        <w:t>王晓桐</w:t>
      </w:r>
      <w:r>
        <w:rPr>
          <w:rFonts w:hint="default" w:ascii="仿宋" w:hAnsi="仿宋" w:eastAsia="仿宋"/>
          <w:szCs w:val="18"/>
          <w:lang w:eastAsia="zh-CN"/>
        </w:rPr>
        <w:t>：《</w:t>
      </w:r>
      <w:r>
        <w:rPr>
          <w:rFonts w:hint="default" w:ascii="仿宋" w:hAnsi="仿宋" w:eastAsia="仿宋"/>
          <w:szCs w:val="18"/>
        </w:rPr>
        <w:t>家事调查报告的证据效力——基于2016—2022年61份裁判文书的实证分析</w:t>
      </w:r>
      <w:r>
        <w:rPr>
          <w:rFonts w:hint="default" w:ascii="仿宋" w:hAnsi="仿宋" w:eastAsia="仿宋"/>
          <w:szCs w:val="18"/>
          <w:lang w:eastAsia="zh-CN"/>
        </w:rPr>
        <w:t>》，</w:t>
      </w:r>
      <w:r>
        <w:rPr>
          <w:rFonts w:hint="default" w:ascii="仿宋" w:hAnsi="仿宋" w:eastAsia="仿宋"/>
          <w:szCs w:val="18"/>
          <w:lang w:val="en-US" w:eastAsia="zh-CN"/>
        </w:rPr>
        <w:t>载《</w:t>
      </w:r>
      <w:r>
        <w:rPr>
          <w:rFonts w:hint="default" w:ascii="仿宋" w:hAnsi="仿宋" w:eastAsia="仿宋"/>
          <w:szCs w:val="18"/>
        </w:rPr>
        <w:t>昆明理工大学学报</w:t>
      </w:r>
      <w:r>
        <w:rPr>
          <w:rFonts w:hint="default" w:ascii="仿宋" w:hAnsi="仿宋" w:eastAsia="仿宋"/>
          <w:szCs w:val="18"/>
          <w:lang w:eastAsia="zh-CN"/>
        </w:rPr>
        <w:t>》</w:t>
      </w:r>
      <w:r>
        <w:rPr>
          <w:rFonts w:hint="default" w:ascii="仿宋" w:hAnsi="仿宋" w:eastAsia="仿宋"/>
          <w:szCs w:val="18"/>
        </w:rPr>
        <w:t>2022</w:t>
      </w:r>
      <w:r>
        <w:rPr>
          <w:rFonts w:hint="default" w:ascii="仿宋" w:hAnsi="仿宋" w:eastAsia="仿宋"/>
          <w:szCs w:val="18"/>
          <w:lang w:val="en-US" w:eastAsia="zh-CN"/>
        </w:rPr>
        <w:t>年第5期。</w:t>
      </w:r>
    </w:p>
  </w:footnote>
  <w:footnote w:id="28">
    <w:p w14:paraId="2791FEA7">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lang w:val="en-US" w:eastAsia="zh-CN"/>
        </w:rPr>
        <w:t>参见广东省广州市中级人民法院（2022）粤01民终24307号民事判决书。</w:t>
      </w:r>
    </w:p>
  </w:footnote>
  <w:footnote w:id="29">
    <w:p w14:paraId="31EE2B36">
      <w:pPr>
        <w:pStyle w:val="5"/>
        <w:ind w:firstLine="360" w:firstLineChars="200"/>
        <w:rPr>
          <w:rFonts w:hint="default" w:ascii="仿宋" w:hAnsi="仿宋" w:eastAsia="仿宋"/>
          <w:szCs w:val="18"/>
          <w:lang w:val="en-US" w:eastAsia="zh-CN"/>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lang w:val="en-US" w:eastAsia="zh-CN"/>
        </w:rPr>
        <w:t>参见广东省佛山市顺德区人民法院（2019）粤0606民初13167号民事判决书。</w:t>
      </w:r>
    </w:p>
  </w:footnote>
  <w:footnote w:id="30">
    <w:p w14:paraId="421F5FDF">
      <w:pPr>
        <w:pStyle w:val="5"/>
        <w:ind w:firstLine="360" w:firstLineChars="200"/>
        <w:rPr>
          <w:rFonts w:hint="default" w:ascii="仿宋" w:hAnsi="仿宋" w:eastAsia="仿宋"/>
          <w:szCs w:val="18"/>
          <w:lang w:val="en-US"/>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lang w:val="en-US" w:eastAsia="zh-CN"/>
        </w:rPr>
        <w:t>参见董储超、方瑜雪、方乐：《新时代</w:t>
      </w:r>
      <w:r>
        <w:rPr>
          <w:rFonts w:hint="eastAsia" w:ascii="仿宋" w:hAnsi="仿宋" w:eastAsia="仿宋"/>
          <w:szCs w:val="18"/>
          <w:lang w:val="en-US" w:eastAsia="zh-CN"/>
        </w:rPr>
        <w:t>“</w:t>
      </w:r>
      <w:r>
        <w:rPr>
          <w:rFonts w:hint="default" w:ascii="仿宋" w:hAnsi="仿宋" w:eastAsia="仿宋"/>
          <w:szCs w:val="18"/>
          <w:lang w:val="en-US" w:eastAsia="zh-CN"/>
        </w:rPr>
        <w:t>枫桥经验</w:t>
      </w:r>
      <w:r>
        <w:rPr>
          <w:rFonts w:hint="eastAsia" w:ascii="仿宋" w:hAnsi="仿宋" w:eastAsia="仿宋"/>
          <w:szCs w:val="18"/>
          <w:lang w:val="en-US" w:eastAsia="zh-CN"/>
        </w:rPr>
        <w:t>”</w:t>
      </w:r>
      <w:r>
        <w:rPr>
          <w:rFonts w:hint="default" w:ascii="仿宋" w:hAnsi="仿宋" w:eastAsia="仿宋"/>
          <w:szCs w:val="18"/>
          <w:lang w:val="en-US" w:eastAsia="zh-CN"/>
        </w:rPr>
        <w:t>视阈下群众诉求表达机制的法治化型构》，载《浙江警察学院学报》2023年第4期。</w:t>
      </w:r>
    </w:p>
  </w:footnote>
  <w:footnote w:id="31">
    <w:p w14:paraId="1693DE05">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lang w:val="en-US" w:eastAsia="zh-CN"/>
        </w:rPr>
        <w:t>参见刘坤轮：《</w:t>
      </w:r>
      <w:r>
        <w:rPr>
          <w:rFonts w:hint="eastAsia" w:ascii="仿宋" w:hAnsi="仿宋" w:eastAsia="仿宋"/>
          <w:szCs w:val="18"/>
          <w:lang w:val="en-US" w:eastAsia="zh-CN"/>
        </w:rPr>
        <w:t>“</w:t>
      </w:r>
      <w:r>
        <w:rPr>
          <w:rFonts w:hint="default" w:ascii="仿宋" w:hAnsi="仿宋" w:eastAsia="仿宋"/>
          <w:szCs w:val="18"/>
          <w:lang w:val="en-US" w:eastAsia="zh-CN"/>
        </w:rPr>
        <w:t>枫桥经验</w:t>
      </w:r>
      <w:r>
        <w:rPr>
          <w:rFonts w:hint="eastAsia" w:ascii="仿宋" w:hAnsi="仿宋" w:eastAsia="仿宋"/>
          <w:szCs w:val="18"/>
          <w:lang w:val="en-US" w:eastAsia="zh-CN"/>
        </w:rPr>
        <w:t>”</w:t>
      </w:r>
      <w:r>
        <w:rPr>
          <w:rFonts w:hint="default" w:ascii="仿宋" w:hAnsi="仿宋" w:eastAsia="仿宋"/>
          <w:szCs w:val="18"/>
          <w:lang w:val="en-US" w:eastAsia="zh-CN"/>
        </w:rPr>
        <w:t>与人民调解关系省思》，载《齐鲁学刊》2024年第6期。</w:t>
      </w:r>
    </w:p>
  </w:footnote>
  <w:footnote w:id="32">
    <w:p w14:paraId="6CBAD234">
      <w:pPr>
        <w:pStyle w:val="5"/>
        <w:ind w:firstLine="360" w:firstLineChars="200"/>
        <w:rPr>
          <w:rFonts w:hint="default" w:ascii="仿宋" w:hAnsi="仿宋" w:eastAsia="仿宋"/>
          <w:szCs w:val="18"/>
          <w:lang w:eastAsia="zh-CN"/>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lang w:val="en-US" w:eastAsia="zh-CN"/>
        </w:rPr>
        <w:t>参见张艳丽：《我国家事调解程序前置的立法设计》，载《河北法学》2019年第10期。</w:t>
      </w:r>
    </w:p>
  </w:footnote>
  <w:footnote w:id="33">
    <w:p w14:paraId="2F04F5E4">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lang w:val="en-US" w:eastAsia="zh-CN"/>
        </w:rPr>
        <w:t>参见江苏省法院、省妇联联合发布2019年度江苏法院婚姻家庭十大典型案例之二。</w:t>
      </w:r>
    </w:p>
  </w:footnote>
  <w:footnote w:id="34">
    <w:p w14:paraId="7C498E08">
      <w:pPr>
        <w:pStyle w:val="5"/>
        <w:snapToGrid w:val="0"/>
        <w:ind w:firstLine="360" w:firstLineChars="200"/>
      </w:pPr>
      <w:r>
        <w:rPr>
          <w:rFonts w:hint="default" w:ascii="仿宋" w:hAnsi="仿宋" w:eastAsia="仿宋"/>
          <w:szCs w:val="18"/>
        </w:rPr>
        <w:footnoteRef/>
      </w:r>
      <w:r>
        <w:rPr>
          <w:rFonts w:hint="eastAsia" w:ascii="仿宋" w:hAnsi="仿宋" w:eastAsia="仿宋"/>
          <w:szCs w:val="18"/>
          <w:lang w:val="en-US" w:eastAsia="zh-CN"/>
        </w:rPr>
        <w:t xml:space="preserve"> [英]</w:t>
      </w:r>
      <w:r>
        <w:rPr>
          <w:rFonts w:hint="default" w:ascii="仿宋" w:hAnsi="仿宋" w:eastAsia="仿宋"/>
          <w:szCs w:val="18"/>
        </w:rPr>
        <w:t>卡尔·波兰尼:《大转型:我们时代的政治与经济起源》，冯钢、刘阳译，浙江人民出版社2007年</w:t>
      </w:r>
      <w:r>
        <w:rPr>
          <w:rFonts w:hint="eastAsia" w:ascii="仿宋" w:hAnsi="仿宋" w:eastAsia="仿宋"/>
          <w:szCs w:val="18"/>
          <w:lang w:val="en-US" w:eastAsia="zh-CN"/>
        </w:rPr>
        <w:t>版</w:t>
      </w:r>
      <w:r>
        <w:rPr>
          <w:rFonts w:hint="default" w:ascii="仿宋" w:hAnsi="仿宋" w:eastAsia="仿宋"/>
          <w:szCs w:val="18"/>
        </w:rPr>
        <w:t>，第50页。</w:t>
      </w:r>
    </w:p>
  </w:footnote>
  <w:footnote w:id="35">
    <w:p w14:paraId="66737BEB">
      <w:pPr>
        <w:pStyle w:val="5"/>
        <w:snapToGrid w:val="0"/>
        <w:ind w:firstLine="360" w:firstLineChars="200"/>
      </w:pPr>
      <w:r>
        <w:rPr>
          <w:rFonts w:hint="default" w:ascii="仿宋" w:hAnsi="仿宋" w:eastAsia="仿宋"/>
          <w:szCs w:val="18"/>
        </w:rPr>
        <w:footnoteRef/>
      </w:r>
      <w:r>
        <w:rPr>
          <w:rFonts w:hint="eastAsia"/>
          <w:lang w:val="en-US" w:eastAsia="zh-CN"/>
        </w:rPr>
        <w:t xml:space="preserve"> </w:t>
      </w:r>
      <w:r>
        <w:rPr>
          <w:rFonts w:hint="eastAsia" w:ascii="仿宋" w:hAnsi="仿宋" w:eastAsia="仿宋"/>
          <w:szCs w:val="18"/>
          <w:lang w:val="en-US" w:eastAsia="zh-CN"/>
        </w:rPr>
        <w:t>参加</w:t>
      </w:r>
      <w:r>
        <w:rPr>
          <w:rFonts w:hint="eastAsia" w:ascii="仿宋" w:hAnsi="仿宋" w:eastAsia="仿宋"/>
          <w:szCs w:val="18"/>
        </w:rPr>
        <w:t>王思斌</w:t>
      </w:r>
      <w:r>
        <w:rPr>
          <w:rFonts w:hint="eastAsia" w:ascii="仿宋" w:hAnsi="仿宋" w:eastAsia="仿宋"/>
          <w:szCs w:val="18"/>
          <w:lang w:eastAsia="zh-CN"/>
        </w:rPr>
        <w:t>：《</w:t>
      </w:r>
      <w:r>
        <w:rPr>
          <w:rFonts w:hint="eastAsia" w:ascii="仿宋" w:hAnsi="仿宋" w:eastAsia="仿宋"/>
          <w:szCs w:val="18"/>
        </w:rPr>
        <w:t>中国社会工作的嵌入性发展</w:t>
      </w:r>
      <w:r>
        <w:rPr>
          <w:rFonts w:hint="eastAsia" w:ascii="仿宋" w:hAnsi="仿宋" w:eastAsia="仿宋"/>
          <w:szCs w:val="18"/>
          <w:lang w:eastAsia="zh-CN"/>
        </w:rPr>
        <w:t>》，</w:t>
      </w:r>
      <w:r>
        <w:rPr>
          <w:rFonts w:hint="eastAsia" w:ascii="仿宋" w:hAnsi="仿宋" w:eastAsia="仿宋"/>
          <w:szCs w:val="18"/>
          <w:lang w:val="en-US" w:eastAsia="zh-CN"/>
        </w:rPr>
        <w:t>载《</w:t>
      </w:r>
      <w:r>
        <w:rPr>
          <w:rFonts w:hint="eastAsia" w:ascii="仿宋" w:hAnsi="仿宋" w:eastAsia="仿宋"/>
          <w:szCs w:val="18"/>
        </w:rPr>
        <w:t>社会科学战线</w:t>
      </w:r>
      <w:r>
        <w:rPr>
          <w:rFonts w:hint="eastAsia" w:ascii="仿宋" w:hAnsi="仿宋" w:eastAsia="仿宋"/>
          <w:szCs w:val="18"/>
          <w:lang w:eastAsia="zh-CN"/>
        </w:rPr>
        <w:t>》</w:t>
      </w:r>
      <w:r>
        <w:rPr>
          <w:rFonts w:hint="eastAsia" w:ascii="仿宋" w:hAnsi="仿宋" w:eastAsia="仿宋"/>
          <w:szCs w:val="18"/>
        </w:rPr>
        <w:t>2011</w:t>
      </w:r>
      <w:r>
        <w:rPr>
          <w:rFonts w:hint="eastAsia" w:ascii="仿宋" w:hAnsi="仿宋" w:eastAsia="仿宋"/>
          <w:szCs w:val="18"/>
          <w:lang w:val="en-US" w:eastAsia="zh-CN"/>
        </w:rPr>
        <w:t>年第2期。</w:t>
      </w:r>
    </w:p>
  </w:footnote>
  <w:footnote w:id="36">
    <w:p w14:paraId="60E68248">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lang w:val="en-US" w:eastAsia="zh-CN"/>
        </w:rPr>
        <w:t xml:space="preserve"> </w:t>
      </w:r>
      <w:r>
        <w:rPr>
          <w:rFonts w:hint="default" w:ascii="仿宋" w:hAnsi="仿宋" w:eastAsia="仿宋"/>
          <w:szCs w:val="18"/>
          <w:lang w:val="en-US" w:eastAsia="zh-CN"/>
        </w:rPr>
        <w:t>参见</w:t>
      </w:r>
      <w:r>
        <w:rPr>
          <w:rFonts w:hint="default" w:ascii="仿宋" w:hAnsi="仿宋" w:eastAsia="仿宋"/>
          <w:szCs w:val="18"/>
        </w:rPr>
        <w:t>胡铭</w:t>
      </w:r>
      <w:r>
        <w:rPr>
          <w:rFonts w:hint="default" w:ascii="仿宋" w:hAnsi="仿宋" w:eastAsia="仿宋"/>
          <w:szCs w:val="18"/>
          <w:lang w:eastAsia="zh-CN"/>
        </w:rPr>
        <w:t>、</w:t>
      </w:r>
      <w:r>
        <w:rPr>
          <w:rFonts w:hint="default" w:ascii="仿宋" w:hAnsi="仿宋" w:eastAsia="仿宋"/>
          <w:szCs w:val="18"/>
        </w:rPr>
        <w:t>仇塍迪</w:t>
      </w:r>
      <w:r>
        <w:rPr>
          <w:rFonts w:hint="default" w:ascii="仿宋" w:hAnsi="仿宋" w:eastAsia="仿宋"/>
          <w:szCs w:val="18"/>
          <w:lang w:eastAsia="zh-CN"/>
        </w:rPr>
        <w:t>：《</w:t>
      </w:r>
      <w:r>
        <w:rPr>
          <w:rFonts w:hint="default" w:ascii="仿宋" w:hAnsi="仿宋" w:eastAsia="仿宋"/>
          <w:szCs w:val="18"/>
        </w:rPr>
        <w:t>新时代</w:t>
      </w:r>
      <w:r>
        <w:rPr>
          <w:rFonts w:hint="eastAsia" w:ascii="仿宋" w:hAnsi="仿宋" w:eastAsia="仿宋"/>
          <w:szCs w:val="18"/>
          <w:lang w:eastAsia="zh-CN"/>
        </w:rPr>
        <w:t>“</w:t>
      </w:r>
      <w:r>
        <w:rPr>
          <w:rFonts w:hint="default" w:ascii="仿宋" w:hAnsi="仿宋" w:eastAsia="仿宋"/>
          <w:szCs w:val="18"/>
        </w:rPr>
        <w:t>枫桥经验</w:t>
      </w:r>
      <w:r>
        <w:rPr>
          <w:rFonts w:hint="eastAsia" w:ascii="仿宋" w:hAnsi="仿宋" w:eastAsia="仿宋"/>
          <w:szCs w:val="18"/>
          <w:lang w:eastAsia="zh-CN"/>
        </w:rPr>
        <w:t>”</w:t>
      </w:r>
      <w:r>
        <w:rPr>
          <w:rFonts w:hint="default" w:ascii="仿宋" w:hAnsi="仿宋" w:eastAsia="仿宋"/>
          <w:szCs w:val="18"/>
        </w:rPr>
        <w:t>的法治基因与治理创新</w:t>
      </w:r>
      <w:r>
        <w:rPr>
          <w:rFonts w:hint="default" w:ascii="仿宋" w:hAnsi="仿宋" w:eastAsia="仿宋"/>
          <w:szCs w:val="18"/>
          <w:lang w:eastAsia="zh-CN"/>
        </w:rPr>
        <w:t>》，</w:t>
      </w:r>
      <w:r>
        <w:rPr>
          <w:rFonts w:hint="default" w:ascii="仿宋" w:hAnsi="仿宋" w:eastAsia="仿宋"/>
          <w:szCs w:val="18"/>
          <w:lang w:val="en-US" w:eastAsia="zh-CN"/>
        </w:rPr>
        <w:t>载《</w:t>
      </w:r>
      <w:r>
        <w:rPr>
          <w:rFonts w:hint="default" w:ascii="仿宋" w:hAnsi="仿宋" w:eastAsia="仿宋"/>
          <w:szCs w:val="18"/>
        </w:rPr>
        <w:t>学习论坛</w:t>
      </w:r>
      <w:r>
        <w:rPr>
          <w:rFonts w:hint="default" w:ascii="仿宋" w:hAnsi="仿宋" w:eastAsia="仿宋"/>
          <w:szCs w:val="18"/>
          <w:lang w:eastAsia="zh-CN"/>
        </w:rPr>
        <w:t>》</w:t>
      </w:r>
      <w:r>
        <w:rPr>
          <w:rFonts w:hint="default" w:ascii="仿宋" w:hAnsi="仿宋" w:eastAsia="仿宋"/>
          <w:szCs w:val="18"/>
        </w:rPr>
        <w:t>2022</w:t>
      </w:r>
      <w:r>
        <w:rPr>
          <w:rFonts w:hint="default" w:ascii="仿宋" w:hAnsi="仿宋" w:eastAsia="仿宋"/>
          <w:szCs w:val="18"/>
          <w:lang w:val="en-US" w:eastAsia="zh-CN"/>
        </w:rPr>
        <w:t>年第6期。</w:t>
      </w:r>
    </w:p>
  </w:footnote>
  <w:footnote w:id="37">
    <w:p w14:paraId="24F66E49">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lang w:val="en-US" w:eastAsia="zh-CN"/>
        </w:rPr>
        <w:t>参见</w:t>
      </w:r>
      <w:r>
        <w:rPr>
          <w:rFonts w:hint="default" w:ascii="仿宋" w:hAnsi="仿宋" w:eastAsia="仿宋"/>
          <w:szCs w:val="18"/>
        </w:rPr>
        <w:t>刘敏</w:t>
      </w:r>
      <w:r>
        <w:rPr>
          <w:rFonts w:hint="default" w:ascii="仿宋" w:hAnsi="仿宋" w:eastAsia="仿宋"/>
          <w:szCs w:val="18"/>
          <w:lang w:eastAsia="zh-CN"/>
        </w:rPr>
        <w:t>：《</w:t>
      </w:r>
      <w:r>
        <w:rPr>
          <w:rFonts w:hint="default" w:ascii="仿宋" w:hAnsi="仿宋" w:eastAsia="仿宋"/>
          <w:szCs w:val="18"/>
        </w:rPr>
        <w:t>论家事司法中的家事调查员制度</w:t>
      </w:r>
      <w:r>
        <w:rPr>
          <w:rFonts w:hint="default" w:ascii="仿宋" w:hAnsi="仿宋" w:eastAsia="仿宋"/>
          <w:szCs w:val="18"/>
          <w:lang w:eastAsia="zh-CN"/>
        </w:rPr>
        <w:t>》，</w:t>
      </w:r>
      <w:r>
        <w:rPr>
          <w:rFonts w:hint="default" w:ascii="仿宋" w:hAnsi="仿宋" w:eastAsia="仿宋"/>
          <w:szCs w:val="18"/>
          <w:lang w:val="en-US" w:eastAsia="zh-CN"/>
        </w:rPr>
        <w:t>载《</w:t>
      </w:r>
      <w:r>
        <w:rPr>
          <w:rFonts w:hint="default" w:ascii="仿宋" w:hAnsi="仿宋" w:eastAsia="仿宋"/>
          <w:szCs w:val="18"/>
        </w:rPr>
        <w:t>法治现代化研究</w:t>
      </w:r>
      <w:r>
        <w:rPr>
          <w:rFonts w:hint="default" w:ascii="仿宋" w:hAnsi="仿宋" w:eastAsia="仿宋"/>
          <w:szCs w:val="18"/>
          <w:lang w:eastAsia="zh-CN"/>
        </w:rPr>
        <w:t>》</w:t>
      </w:r>
      <w:r>
        <w:rPr>
          <w:rFonts w:hint="default" w:ascii="仿宋" w:hAnsi="仿宋" w:eastAsia="仿宋"/>
          <w:szCs w:val="18"/>
        </w:rPr>
        <w:t>2020</w:t>
      </w:r>
      <w:r>
        <w:rPr>
          <w:rFonts w:hint="default" w:ascii="仿宋" w:hAnsi="仿宋" w:eastAsia="仿宋"/>
          <w:szCs w:val="18"/>
          <w:lang w:val="en-US" w:eastAsia="zh-CN"/>
        </w:rPr>
        <w:t>年第4期。</w:t>
      </w:r>
    </w:p>
  </w:footnote>
  <w:footnote w:id="38">
    <w:p w14:paraId="7A5A2113">
      <w:pPr>
        <w:pStyle w:val="5"/>
        <w:ind w:firstLine="360" w:firstLineChars="200"/>
        <w:rPr>
          <w:rFonts w:hint="default" w:ascii="仿宋" w:hAnsi="仿宋" w:eastAsia="仿宋"/>
          <w:szCs w:val="18"/>
          <w:lang w:val="en-US" w:eastAsia="zh-CN"/>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rPr>
        <w:t>周瑞平</w:t>
      </w:r>
      <w:r>
        <w:rPr>
          <w:rFonts w:hint="default" w:ascii="仿宋" w:hAnsi="仿宋" w:eastAsia="仿宋"/>
          <w:szCs w:val="18"/>
          <w:lang w:eastAsia="zh-CN"/>
        </w:rPr>
        <w:t>：《</w:t>
      </w:r>
      <w:r>
        <w:rPr>
          <w:rFonts w:hint="default" w:ascii="仿宋" w:hAnsi="仿宋" w:eastAsia="仿宋"/>
          <w:szCs w:val="18"/>
        </w:rPr>
        <w:t>合肥中院与妇联联合推广家事调查员制度</w:t>
      </w:r>
      <w:r>
        <w:rPr>
          <w:rFonts w:hint="default" w:ascii="仿宋" w:hAnsi="仿宋" w:eastAsia="仿宋"/>
          <w:szCs w:val="18"/>
          <w:lang w:eastAsia="zh-CN"/>
        </w:rPr>
        <w:t>》，</w:t>
      </w:r>
      <w:r>
        <w:rPr>
          <w:rFonts w:hint="default" w:ascii="仿宋" w:hAnsi="仿宋" w:eastAsia="仿宋"/>
          <w:szCs w:val="18"/>
          <w:lang w:val="en-US" w:eastAsia="zh-CN"/>
        </w:rPr>
        <w:t>安徽长安网，2025年6月12日，http://www.ahcaw.com/ahcaw/content/2025-06/12/content_9198471.htm。访问日期：2025年9月28日。</w:t>
      </w:r>
    </w:p>
  </w:footnote>
  <w:footnote w:id="39">
    <w:p w14:paraId="0B8FD9A9">
      <w:pPr>
        <w:pStyle w:val="5"/>
        <w:ind w:firstLine="360" w:firstLineChars="200"/>
        <w:rPr>
          <w:rFonts w:hint="default" w:ascii="仿宋" w:hAnsi="仿宋" w:eastAsia="仿宋"/>
          <w:szCs w:val="18"/>
          <w:lang w:val="en-US" w:eastAsia="zh-CN"/>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lang w:val="en-US" w:eastAsia="zh-CN"/>
        </w:rPr>
        <w:t>参见</w:t>
      </w:r>
      <w:r>
        <w:rPr>
          <w:rFonts w:hint="default" w:ascii="仿宋" w:hAnsi="仿宋" w:eastAsia="仿宋"/>
          <w:szCs w:val="18"/>
        </w:rPr>
        <w:t>胡铭</w:t>
      </w:r>
      <w:r>
        <w:rPr>
          <w:rFonts w:hint="default" w:ascii="仿宋" w:hAnsi="仿宋" w:eastAsia="仿宋"/>
          <w:szCs w:val="18"/>
          <w:lang w:eastAsia="zh-CN"/>
        </w:rPr>
        <w:t>、</w:t>
      </w:r>
      <w:r>
        <w:rPr>
          <w:rFonts w:hint="default" w:ascii="仿宋" w:hAnsi="仿宋" w:eastAsia="仿宋"/>
          <w:szCs w:val="18"/>
        </w:rPr>
        <w:t>徐翼</w:t>
      </w:r>
      <w:r>
        <w:rPr>
          <w:rFonts w:hint="default" w:ascii="仿宋" w:hAnsi="仿宋" w:eastAsia="仿宋"/>
          <w:szCs w:val="18"/>
          <w:lang w:eastAsia="zh-CN"/>
        </w:rPr>
        <w:t>：《</w:t>
      </w:r>
      <w:r>
        <w:rPr>
          <w:rFonts w:hint="default" w:ascii="仿宋" w:hAnsi="仿宋" w:eastAsia="仿宋"/>
          <w:szCs w:val="18"/>
        </w:rPr>
        <w:t>新时代</w:t>
      </w:r>
      <w:r>
        <w:rPr>
          <w:rFonts w:hint="eastAsia" w:ascii="仿宋" w:hAnsi="仿宋" w:eastAsia="仿宋"/>
          <w:szCs w:val="18"/>
          <w:lang w:eastAsia="zh-CN"/>
        </w:rPr>
        <w:t>“</w:t>
      </w:r>
      <w:r>
        <w:rPr>
          <w:rFonts w:hint="default" w:ascii="仿宋" w:hAnsi="仿宋" w:eastAsia="仿宋"/>
          <w:szCs w:val="18"/>
        </w:rPr>
        <w:t>枫桥经验</w:t>
      </w:r>
      <w:r>
        <w:rPr>
          <w:rFonts w:hint="eastAsia" w:ascii="仿宋" w:hAnsi="仿宋" w:eastAsia="仿宋"/>
          <w:szCs w:val="18"/>
          <w:lang w:eastAsia="zh-CN"/>
        </w:rPr>
        <w:t>”</w:t>
      </w:r>
      <w:r>
        <w:rPr>
          <w:rFonts w:hint="default" w:ascii="仿宋" w:hAnsi="仿宋" w:eastAsia="仿宋"/>
          <w:szCs w:val="18"/>
        </w:rPr>
        <w:t>与立足法治预防化解矛盾纠纷</w:t>
      </w:r>
      <w:r>
        <w:rPr>
          <w:rFonts w:hint="default" w:ascii="仿宋" w:hAnsi="仿宋" w:eastAsia="仿宋"/>
          <w:szCs w:val="18"/>
          <w:lang w:eastAsia="zh-CN"/>
        </w:rPr>
        <w:t>》，</w:t>
      </w:r>
      <w:r>
        <w:rPr>
          <w:rFonts w:hint="default" w:ascii="仿宋" w:hAnsi="仿宋" w:eastAsia="仿宋"/>
          <w:szCs w:val="18"/>
          <w:lang w:val="en-US" w:eastAsia="zh-CN"/>
        </w:rPr>
        <w:t>载《</w:t>
      </w:r>
      <w:r>
        <w:rPr>
          <w:rFonts w:hint="default" w:ascii="仿宋" w:hAnsi="仿宋" w:eastAsia="仿宋"/>
          <w:szCs w:val="18"/>
        </w:rPr>
        <w:t>河北法学</w:t>
      </w:r>
      <w:r>
        <w:rPr>
          <w:rFonts w:hint="default" w:ascii="仿宋" w:hAnsi="仿宋" w:eastAsia="仿宋"/>
          <w:szCs w:val="18"/>
          <w:lang w:eastAsia="zh-CN"/>
        </w:rPr>
        <w:t>》</w:t>
      </w:r>
      <w:r>
        <w:rPr>
          <w:rFonts w:hint="default" w:ascii="仿宋" w:hAnsi="仿宋" w:eastAsia="仿宋"/>
          <w:szCs w:val="18"/>
          <w:lang w:val="en-US" w:eastAsia="zh-CN"/>
        </w:rPr>
        <w:t>2024年第7期。</w:t>
      </w:r>
    </w:p>
  </w:footnote>
  <w:footnote w:id="40">
    <w:p w14:paraId="2A8AC9B3">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lang w:val="en-US" w:eastAsia="zh-CN"/>
        </w:rPr>
        <w:t>参见</w:t>
      </w:r>
      <w:r>
        <w:rPr>
          <w:rFonts w:hint="default" w:ascii="仿宋" w:hAnsi="仿宋" w:eastAsia="仿宋"/>
          <w:szCs w:val="18"/>
        </w:rPr>
        <w:t>李拥军</w:t>
      </w:r>
      <w:r>
        <w:rPr>
          <w:rFonts w:hint="default" w:ascii="仿宋" w:hAnsi="仿宋" w:eastAsia="仿宋"/>
          <w:szCs w:val="18"/>
          <w:lang w:eastAsia="zh-CN"/>
        </w:rPr>
        <w:t>：《</w:t>
      </w:r>
      <w:r>
        <w:rPr>
          <w:rFonts w:hint="default" w:ascii="仿宋" w:hAnsi="仿宋" w:eastAsia="仿宋"/>
          <w:szCs w:val="18"/>
        </w:rPr>
        <w:t>家事司法运作的实质主义逻辑及其应然面向</w:t>
      </w:r>
      <w:r>
        <w:rPr>
          <w:rFonts w:hint="default" w:ascii="仿宋" w:hAnsi="仿宋" w:eastAsia="仿宋"/>
          <w:szCs w:val="18"/>
          <w:lang w:eastAsia="zh-CN"/>
        </w:rPr>
        <w:t>》，</w:t>
      </w:r>
      <w:r>
        <w:rPr>
          <w:rFonts w:hint="default" w:ascii="仿宋" w:hAnsi="仿宋" w:eastAsia="仿宋"/>
          <w:szCs w:val="18"/>
          <w:lang w:val="en-US" w:eastAsia="zh-CN"/>
        </w:rPr>
        <w:t>载《</w:t>
      </w:r>
      <w:r>
        <w:rPr>
          <w:rFonts w:hint="default" w:ascii="仿宋" w:hAnsi="仿宋" w:eastAsia="仿宋"/>
          <w:szCs w:val="18"/>
        </w:rPr>
        <w:t>法学研究</w:t>
      </w:r>
      <w:r>
        <w:rPr>
          <w:rFonts w:hint="default" w:ascii="仿宋" w:hAnsi="仿宋" w:eastAsia="仿宋"/>
          <w:szCs w:val="18"/>
          <w:lang w:eastAsia="zh-CN"/>
        </w:rPr>
        <w:t>》</w:t>
      </w:r>
      <w:r>
        <w:rPr>
          <w:rFonts w:hint="default" w:ascii="仿宋" w:hAnsi="仿宋" w:eastAsia="仿宋"/>
          <w:szCs w:val="18"/>
        </w:rPr>
        <w:t>2025</w:t>
      </w:r>
      <w:r>
        <w:rPr>
          <w:rFonts w:hint="default" w:ascii="仿宋" w:hAnsi="仿宋" w:eastAsia="仿宋"/>
          <w:szCs w:val="18"/>
          <w:lang w:val="en-US" w:eastAsia="zh-CN"/>
        </w:rPr>
        <w:t>年第3期。</w:t>
      </w:r>
    </w:p>
  </w:footnote>
  <w:footnote w:id="41">
    <w:p w14:paraId="6039ECE2">
      <w:pPr>
        <w:pStyle w:val="5"/>
        <w:ind w:firstLine="360" w:firstLineChars="200"/>
        <w:rPr>
          <w:rFonts w:hint="default" w:ascii="仿宋" w:hAnsi="仿宋" w:eastAsia="仿宋"/>
          <w:szCs w:val="18"/>
          <w:lang w:val="en-US" w:eastAsia="zh-CN"/>
        </w:rPr>
      </w:pPr>
      <w:r>
        <w:rPr>
          <w:rFonts w:hint="default" w:ascii="仿宋" w:hAnsi="仿宋" w:eastAsia="仿宋"/>
          <w:szCs w:val="18"/>
        </w:rPr>
        <w:footnoteRef/>
      </w:r>
      <w:r>
        <w:rPr>
          <w:rFonts w:hint="eastAsia" w:ascii="仿宋" w:hAnsi="仿宋" w:eastAsia="仿宋"/>
          <w:szCs w:val="18"/>
          <w:lang w:val="en-US" w:eastAsia="zh-CN"/>
        </w:rPr>
        <w:t xml:space="preserve"> </w:t>
      </w:r>
      <w:r>
        <w:rPr>
          <w:rFonts w:hint="default" w:ascii="仿宋" w:hAnsi="仿宋" w:eastAsia="仿宋"/>
          <w:szCs w:val="18"/>
        </w:rPr>
        <w:t>王玮丽</w:t>
      </w:r>
      <w:r>
        <w:rPr>
          <w:rFonts w:hint="default" w:ascii="仿宋" w:hAnsi="仿宋" w:eastAsia="仿宋"/>
          <w:szCs w:val="18"/>
          <w:lang w:eastAsia="zh-CN"/>
        </w:rPr>
        <w:t>：《</w:t>
      </w:r>
      <w:r>
        <w:rPr>
          <w:rFonts w:hint="default" w:ascii="仿宋" w:hAnsi="仿宋" w:eastAsia="仿宋"/>
          <w:szCs w:val="18"/>
        </w:rPr>
        <w:t>全市法院2024年审结婚姻家庭类案件8986件</w:t>
      </w:r>
      <w:r>
        <w:rPr>
          <w:rFonts w:hint="default" w:ascii="仿宋" w:hAnsi="仿宋" w:eastAsia="仿宋"/>
          <w:szCs w:val="18"/>
          <w:lang w:eastAsia="zh-CN"/>
        </w:rPr>
        <w:t>，</w:t>
      </w:r>
      <w:r>
        <w:rPr>
          <w:rFonts w:hint="default" w:ascii="仿宋" w:hAnsi="仿宋" w:eastAsia="仿宋"/>
          <w:szCs w:val="18"/>
        </w:rPr>
        <w:t>调撤率达69.84%</w:t>
      </w:r>
      <w:r>
        <w:rPr>
          <w:rFonts w:hint="default" w:ascii="仿宋" w:hAnsi="仿宋" w:eastAsia="仿宋"/>
          <w:szCs w:val="18"/>
          <w:lang w:eastAsia="zh-CN"/>
        </w:rPr>
        <w:t>》，</w:t>
      </w:r>
      <w:r>
        <w:rPr>
          <w:rFonts w:hint="default" w:ascii="仿宋" w:hAnsi="仿宋" w:eastAsia="仿宋"/>
          <w:szCs w:val="18"/>
        </w:rPr>
        <w:fldChar w:fldCharType="begin"/>
      </w:r>
      <w:r>
        <w:rPr>
          <w:rFonts w:hint="default" w:ascii="仿宋" w:hAnsi="仿宋" w:eastAsia="仿宋"/>
          <w:szCs w:val="18"/>
        </w:rPr>
        <w:instrText xml:space="preserve"> HYPERLINK "https://www.nantong.gov.cn/ntsrmzf/ntxw/content/99bc7e33-a953-4236-9fdb-1688c2b66979.html" </w:instrText>
      </w:r>
      <w:r>
        <w:rPr>
          <w:rFonts w:hint="default" w:ascii="仿宋" w:hAnsi="仿宋" w:eastAsia="仿宋"/>
          <w:szCs w:val="18"/>
        </w:rPr>
        <w:fldChar w:fldCharType="separate"/>
      </w:r>
      <w:r>
        <w:rPr>
          <w:rFonts w:hint="default" w:ascii="仿宋" w:hAnsi="仿宋" w:eastAsia="仿宋"/>
          <w:szCs w:val="18"/>
        </w:rPr>
        <w:t>南通市人民政府</w:t>
      </w:r>
      <w:r>
        <w:rPr>
          <w:rFonts w:hint="default" w:ascii="仿宋" w:hAnsi="仿宋" w:eastAsia="仿宋"/>
          <w:szCs w:val="18"/>
        </w:rPr>
        <w:fldChar w:fldCharType="end"/>
      </w:r>
      <w:r>
        <w:rPr>
          <w:rFonts w:hint="default" w:ascii="仿宋" w:hAnsi="仿宋" w:eastAsia="仿宋"/>
          <w:szCs w:val="18"/>
          <w:lang w:val="en-US" w:eastAsia="zh-CN"/>
        </w:rPr>
        <w:t>网，2025年5月16日</w:t>
      </w:r>
      <w:r>
        <w:rPr>
          <w:rFonts w:hint="eastAsia" w:ascii="仿宋" w:hAnsi="仿宋" w:eastAsia="仿宋"/>
          <w:szCs w:val="18"/>
          <w:lang w:val="en-US" w:eastAsia="zh-CN"/>
        </w:rPr>
        <w:t>，</w:t>
      </w:r>
      <w:r>
        <w:rPr>
          <w:rFonts w:hint="default" w:ascii="仿宋" w:hAnsi="仿宋" w:eastAsia="仿宋"/>
          <w:szCs w:val="18"/>
          <w:lang w:val="en-US" w:eastAsia="zh-CN"/>
        </w:rPr>
        <w:t>https://www.nantong.gov.cn/ntsrmzf/ntxw/content/99bc7e33-a953-4236-9fdb-1688c2b66979.html。访问日期：2025年9月28日。</w:t>
      </w:r>
    </w:p>
  </w:footnote>
  <w:footnote w:id="42">
    <w:p w14:paraId="006C7311">
      <w:pPr>
        <w:pStyle w:val="5"/>
        <w:ind w:firstLine="360" w:firstLineChars="200"/>
        <w:rPr>
          <w:rFonts w:hint="default"/>
          <w:lang w:val="en-US"/>
        </w:rPr>
      </w:pPr>
      <w:r>
        <w:rPr>
          <w:rFonts w:hint="eastAsia" w:ascii="仿宋" w:hAnsi="仿宋" w:eastAsia="仿宋"/>
          <w:szCs w:val="18"/>
          <w:lang w:val="en-US" w:eastAsia="zh-CN"/>
        </w:rPr>
        <w:footnoteRef/>
      </w:r>
      <w:r>
        <w:rPr>
          <w:rFonts w:hint="eastAsia" w:ascii="仿宋" w:hAnsi="仿宋" w:eastAsia="仿宋"/>
          <w:szCs w:val="18"/>
          <w:lang w:val="en-US" w:eastAsia="zh-CN"/>
        </w:rPr>
        <w:t xml:space="preserve"> 参加严嘉悦、何晶：《媒介技术赋能治理创新的过程性逻辑研究——基于广东“电子政务—数字政府”转型的考察》，载《中国政法大学研究生学报》2025年第1期。</w:t>
      </w:r>
    </w:p>
  </w:footnote>
  <w:footnote w:id="43">
    <w:p w14:paraId="688C2FF5">
      <w:pPr>
        <w:pStyle w:val="5"/>
        <w:ind w:firstLine="360" w:firstLineChars="200"/>
        <w:rPr>
          <w:rFonts w:hint="default" w:ascii="仿宋" w:hAnsi="仿宋" w:eastAsia="仿宋"/>
          <w:szCs w:val="18"/>
          <w:lang w:val="en-US" w:eastAsia="zh-CN"/>
        </w:rPr>
      </w:pPr>
      <w:r>
        <w:rPr>
          <w:rFonts w:hint="default" w:ascii="仿宋" w:hAnsi="仿宋" w:eastAsia="仿宋"/>
          <w:szCs w:val="18"/>
        </w:rPr>
        <w:footnoteRef/>
      </w:r>
      <w:r>
        <w:rPr>
          <w:rFonts w:hint="eastAsia"/>
          <w:lang w:val="en-US" w:eastAsia="zh-CN"/>
        </w:rPr>
        <w:t xml:space="preserve"> </w:t>
      </w:r>
      <w:r>
        <w:rPr>
          <w:rFonts w:hint="eastAsia" w:ascii="仿宋" w:hAnsi="仿宋" w:eastAsia="仿宋"/>
          <w:szCs w:val="18"/>
          <w:lang w:val="en-US" w:eastAsia="zh-CN"/>
        </w:rPr>
        <w:t>参见广西壮族自治区南宁市江南区人民法院（2018）桂0105民初3968号民事判决书。</w:t>
      </w:r>
    </w:p>
  </w:footnote>
  <w:footnote w:id="44">
    <w:p w14:paraId="3030383F">
      <w:pPr>
        <w:pStyle w:val="5"/>
        <w:ind w:firstLine="360" w:firstLineChars="200"/>
        <w:rPr>
          <w:rFonts w:hint="default" w:ascii="仿宋" w:hAnsi="仿宋" w:eastAsia="仿宋"/>
          <w:szCs w:val="18"/>
          <w:lang w:val="en-US" w:eastAsia="zh-CN"/>
        </w:rPr>
      </w:pPr>
      <w:r>
        <w:rPr>
          <w:rFonts w:hint="default" w:ascii="仿宋" w:hAnsi="仿宋" w:eastAsia="仿宋"/>
          <w:szCs w:val="18"/>
        </w:rPr>
        <w:footnoteRef/>
      </w:r>
      <w:r>
        <w:rPr>
          <w:rFonts w:hint="eastAsia" w:ascii="仿宋" w:hAnsi="仿宋" w:eastAsia="仿宋"/>
          <w:szCs w:val="18"/>
          <w:lang w:val="en-US" w:eastAsia="zh-CN"/>
        </w:rPr>
        <w:t xml:space="preserve"> 参见</w:t>
      </w:r>
      <w:r>
        <w:rPr>
          <w:rFonts w:hint="eastAsia" w:ascii="仿宋" w:hAnsi="仿宋" w:eastAsia="仿宋"/>
          <w:szCs w:val="18"/>
        </w:rPr>
        <w:t>最高人民法院咨询委员会第七调研组</w:t>
      </w:r>
      <w:r>
        <w:rPr>
          <w:rFonts w:hint="eastAsia" w:ascii="仿宋" w:hAnsi="仿宋" w:eastAsia="仿宋"/>
          <w:szCs w:val="18"/>
          <w:lang w:eastAsia="zh-CN"/>
        </w:rPr>
        <w:t>：《</w:t>
      </w:r>
      <w:r>
        <w:rPr>
          <w:rFonts w:hint="eastAsia" w:ascii="仿宋" w:hAnsi="仿宋" w:eastAsia="仿宋"/>
          <w:szCs w:val="18"/>
        </w:rPr>
        <w:t>当下深化家事审判专业化规范化改革若干问题研究</w:t>
      </w:r>
      <w:r>
        <w:rPr>
          <w:rFonts w:hint="eastAsia" w:ascii="仿宋" w:hAnsi="仿宋" w:eastAsia="仿宋"/>
          <w:szCs w:val="18"/>
          <w:lang w:eastAsia="zh-CN"/>
        </w:rPr>
        <w:t>》，</w:t>
      </w:r>
      <w:r>
        <w:rPr>
          <w:rFonts w:hint="eastAsia" w:ascii="仿宋" w:hAnsi="仿宋" w:eastAsia="仿宋"/>
          <w:szCs w:val="18"/>
          <w:lang w:val="en-US" w:eastAsia="zh-CN"/>
        </w:rPr>
        <w:t>载《</w:t>
      </w:r>
      <w:r>
        <w:rPr>
          <w:rFonts w:hint="eastAsia" w:ascii="仿宋" w:hAnsi="仿宋" w:eastAsia="仿宋"/>
          <w:szCs w:val="18"/>
        </w:rPr>
        <w:t>中国应用法学</w:t>
      </w:r>
      <w:r>
        <w:rPr>
          <w:rFonts w:hint="eastAsia" w:ascii="仿宋" w:hAnsi="仿宋" w:eastAsia="仿宋"/>
          <w:szCs w:val="18"/>
          <w:lang w:eastAsia="zh-CN"/>
        </w:rPr>
        <w:t>》</w:t>
      </w:r>
      <w:r>
        <w:rPr>
          <w:rFonts w:hint="eastAsia" w:ascii="仿宋" w:hAnsi="仿宋" w:eastAsia="仿宋"/>
          <w:szCs w:val="18"/>
          <w:lang w:val="en-US" w:eastAsia="zh-CN"/>
        </w:rPr>
        <w:t>2024年第3期。</w:t>
      </w:r>
    </w:p>
  </w:footnote>
  <w:footnote w:id="45">
    <w:p w14:paraId="6AC1E15E">
      <w:pPr>
        <w:pStyle w:val="5"/>
        <w:snapToGrid w:val="0"/>
        <w:ind w:firstLine="360" w:firstLineChars="200"/>
        <w:rPr>
          <w:rFonts w:hint="default"/>
          <w:lang w:val="en-US"/>
        </w:rPr>
      </w:pPr>
      <w:r>
        <w:rPr>
          <w:rFonts w:hint="eastAsia" w:ascii="仿宋" w:hAnsi="仿宋" w:eastAsia="仿宋"/>
          <w:szCs w:val="18"/>
          <w:lang w:val="en-US" w:eastAsia="zh-CN"/>
        </w:rPr>
        <w:footnoteRef/>
      </w:r>
      <w:r>
        <w:rPr>
          <w:rFonts w:hint="eastAsia" w:ascii="仿宋" w:hAnsi="仿宋" w:eastAsia="仿宋"/>
          <w:szCs w:val="18"/>
          <w:lang w:val="en-US" w:eastAsia="zh-CN"/>
        </w:rPr>
        <w:t xml:space="preserve"> 参加李彦明：《从法律道德主义理论迈向合理的道德立法》，载《法大法律评论》2024年第2期。</w:t>
      </w:r>
    </w:p>
  </w:footnote>
  <w:footnote w:id="46">
    <w:p w14:paraId="01F38681">
      <w:pPr>
        <w:pStyle w:val="5"/>
        <w:ind w:firstLine="360" w:firstLineChars="200"/>
        <w:rPr>
          <w:rFonts w:hint="eastAsia" w:ascii="仿宋" w:hAnsi="仿宋" w:eastAsia="仿宋"/>
          <w:szCs w:val="18"/>
          <w:lang w:val="en-US" w:eastAsia="zh-CN"/>
        </w:rPr>
      </w:pPr>
      <w:r>
        <w:rPr>
          <w:rFonts w:hint="default" w:ascii="仿宋" w:hAnsi="仿宋" w:eastAsia="仿宋"/>
          <w:szCs w:val="18"/>
        </w:rPr>
        <w:footnoteRef/>
      </w:r>
      <w:r>
        <w:rPr>
          <w:rFonts w:hint="eastAsia"/>
          <w:lang w:val="en-US" w:eastAsia="zh-CN"/>
        </w:rPr>
        <w:t xml:space="preserve"> </w:t>
      </w:r>
      <w:r>
        <w:rPr>
          <w:rFonts w:hint="eastAsia" w:ascii="仿宋" w:hAnsi="仿宋" w:eastAsia="仿宋"/>
          <w:szCs w:val="18"/>
          <w:lang w:val="en-US" w:eastAsia="zh-CN"/>
        </w:rPr>
        <w:t>参见景汉朝：《新时代“枫桥经验”的基本问题与法治化构建》，载《政法论坛》2024年第2期。</w:t>
      </w:r>
    </w:p>
  </w:footnote>
  <w:footnote w:id="47">
    <w:p w14:paraId="03738967">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参见《</w:t>
      </w:r>
      <w:r>
        <w:rPr>
          <w:rFonts w:hint="eastAsia" w:ascii="仿宋" w:hAnsi="仿宋" w:eastAsia="仿宋"/>
          <w:szCs w:val="18"/>
        </w:rPr>
        <w:t>中共中央关于坚持和完善中国特色社会主义制度推进国家治理体系和治理能力现代化若干重大问题的决定</w:t>
      </w:r>
      <w:r>
        <w:rPr>
          <w:rFonts w:hint="eastAsia" w:ascii="仿宋" w:hAnsi="仿宋" w:eastAsia="仿宋"/>
          <w:szCs w:val="18"/>
          <w:lang w:eastAsia="zh-CN"/>
        </w:rPr>
        <w:t>》，</w:t>
      </w:r>
      <w:r>
        <w:rPr>
          <w:rFonts w:hint="eastAsia" w:ascii="仿宋" w:hAnsi="仿宋" w:eastAsia="仿宋"/>
          <w:szCs w:val="18"/>
          <w:lang w:val="en-US" w:eastAsia="zh-CN"/>
        </w:rPr>
        <w:t>载2019年11月6日《</w:t>
      </w:r>
      <w:r>
        <w:rPr>
          <w:rFonts w:hint="eastAsia" w:ascii="仿宋" w:hAnsi="仿宋" w:eastAsia="仿宋"/>
          <w:szCs w:val="18"/>
        </w:rPr>
        <w:t>人民日报</w:t>
      </w:r>
      <w:r>
        <w:rPr>
          <w:rFonts w:hint="eastAsia" w:ascii="仿宋" w:hAnsi="仿宋" w:eastAsia="仿宋"/>
          <w:szCs w:val="18"/>
          <w:lang w:eastAsia="zh-CN"/>
        </w:rPr>
        <w:t>》。</w:t>
      </w:r>
    </w:p>
  </w:footnote>
  <w:footnote w:id="48">
    <w:p w14:paraId="72A27169">
      <w:pPr>
        <w:pStyle w:val="5"/>
        <w:ind w:firstLine="360" w:firstLineChars="200"/>
        <w:rPr>
          <w:rFonts w:hint="default" w:ascii="仿宋" w:hAnsi="仿宋" w:eastAsia="仿宋"/>
          <w:szCs w:val="18"/>
          <w:lang w:val="en-US" w:eastAsia="zh-CN"/>
        </w:rPr>
      </w:pPr>
      <w:r>
        <w:rPr>
          <w:rFonts w:hint="default" w:ascii="仿宋" w:hAnsi="仿宋" w:eastAsia="仿宋"/>
          <w:szCs w:val="18"/>
        </w:rPr>
        <w:footnoteRef/>
      </w:r>
      <w:r>
        <w:rPr>
          <w:rFonts w:hint="eastAsia" w:ascii="仿宋" w:hAnsi="仿宋" w:eastAsia="仿宋"/>
          <w:szCs w:val="18"/>
          <w:lang w:val="en-US" w:eastAsia="zh-CN"/>
        </w:rPr>
        <w:t xml:space="preserve"> 参见</w:t>
      </w:r>
      <w:r>
        <w:rPr>
          <w:rFonts w:hint="eastAsia" w:ascii="仿宋" w:hAnsi="仿宋" w:eastAsia="仿宋"/>
          <w:szCs w:val="18"/>
        </w:rPr>
        <w:t>刘敏</w:t>
      </w:r>
      <w:r>
        <w:rPr>
          <w:rFonts w:hint="eastAsia" w:ascii="仿宋" w:hAnsi="仿宋" w:eastAsia="仿宋"/>
          <w:szCs w:val="18"/>
          <w:lang w:eastAsia="zh-CN"/>
        </w:rPr>
        <w:t>：《</w:t>
      </w:r>
      <w:r>
        <w:rPr>
          <w:rFonts w:hint="eastAsia" w:ascii="仿宋" w:hAnsi="仿宋" w:eastAsia="仿宋"/>
          <w:szCs w:val="18"/>
        </w:rPr>
        <w:t>论家事司法的社会化</w:t>
      </w:r>
      <w:r>
        <w:rPr>
          <w:rFonts w:hint="eastAsia" w:ascii="仿宋" w:hAnsi="仿宋" w:eastAsia="仿宋"/>
          <w:szCs w:val="18"/>
          <w:lang w:eastAsia="zh-CN"/>
        </w:rPr>
        <w:t>》，</w:t>
      </w:r>
      <w:r>
        <w:rPr>
          <w:rFonts w:hint="eastAsia" w:ascii="仿宋" w:hAnsi="仿宋" w:eastAsia="仿宋"/>
          <w:szCs w:val="18"/>
          <w:lang w:val="en-US" w:eastAsia="zh-CN"/>
        </w:rPr>
        <w:t>载《</w:t>
      </w:r>
      <w:r>
        <w:rPr>
          <w:rFonts w:hint="eastAsia" w:ascii="仿宋" w:hAnsi="仿宋" w:eastAsia="仿宋"/>
          <w:szCs w:val="18"/>
        </w:rPr>
        <w:t>辽宁师范大学学报</w:t>
      </w:r>
      <w:r>
        <w:rPr>
          <w:rFonts w:hint="eastAsia" w:ascii="仿宋" w:hAnsi="仿宋" w:eastAsia="仿宋"/>
          <w:szCs w:val="18"/>
          <w:lang w:eastAsia="zh-CN"/>
        </w:rPr>
        <w:t>（</w:t>
      </w:r>
      <w:r>
        <w:rPr>
          <w:rFonts w:hint="eastAsia" w:ascii="仿宋" w:hAnsi="仿宋" w:eastAsia="仿宋"/>
          <w:szCs w:val="18"/>
          <w:lang w:val="en-US" w:eastAsia="zh-CN"/>
        </w:rPr>
        <w:t>社会科学版</w:t>
      </w:r>
      <w:r>
        <w:rPr>
          <w:rFonts w:hint="eastAsia" w:ascii="仿宋" w:hAnsi="仿宋" w:eastAsia="仿宋"/>
          <w:szCs w:val="18"/>
          <w:lang w:eastAsia="zh-CN"/>
        </w:rPr>
        <w:t>）》</w:t>
      </w:r>
      <w:r>
        <w:rPr>
          <w:rFonts w:hint="eastAsia" w:ascii="仿宋" w:hAnsi="仿宋" w:eastAsia="仿宋"/>
          <w:szCs w:val="18"/>
        </w:rPr>
        <w:t>2019</w:t>
      </w:r>
      <w:r>
        <w:rPr>
          <w:rFonts w:hint="eastAsia" w:ascii="仿宋" w:hAnsi="仿宋" w:eastAsia="仿宋"/>
          <w:szCs w:val="18"/>
          <w:lang w:val="en-US" w:eastAsia="zh-CN"/>
        </w:rPr>
        <w:t>年第5期。</w:t>
      </w:r>
    </w:p>
  </w:footnote>
  <w:footnote w:id="49">
    <w:p w14:paraId="0AD479F7">
      <w:pPr>
        <w:pStyle w:val="5"/>
        <w:ind w:firstLine="360" w:firstLineChars="200"/>
        <w:rPr>
          <w:rFonts w:hint="default" w:ascii="仿宋" w:hAnsi="仿宋" w:eastAsia="仿宋"/>
          <w:szCs w:val="18"/>
          <w:lang w:val="en-US"/>
        </w:rPr>
      </w:pPr>
      <w:r>
        <w:rPr>
          <w:rFonts w:hint="default" w:ascii="仿宋" w:hAnsi="仿宋" w:eastAsia="仿宋"/>
          <w:szCs w:val="18"/>
        </w:rPr>
        <w:footnoteRef/>
      </w:r>
      <w:r>
        <w:rPr>
          <w:rFonts w:hint="eastAsia" w:ascii="仿宋" w:hAnsi="仿宋" w:eastAsia="仿宋"/>
          <w:szCs w:val="18"/>
          <w:lang w:val="en-US" w:eastAsia="zh-CN"/>
        </w:rPr>
        <w:t xml:space="preserve"> 参见陈锦波：《法治中国建设进程中的思维方式演进——一个社会系统论的视角》，载《内蒙古社会科学（汉文版）》2019年第6期。</w:t>
      </w:r>
    </w:p>
  </w:footnote>
  <w:footnote w:id="50">
    <w:p w14:paraId="0553F958">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参见</w:t>
      </w:r>
      <w:r>
        <w:rPr>
          <w:rFonts w:hint="eastAsia" w:ascii="仿宋" w:hAnsi="仿宋" w:eastAsia="仿宋"/>
          <w:szCs w:val="18"/>
        </w:rPr>
        <w:t>刘敏</w:t>
      </w:r>
      <w:r>
        <w:rPr>
          <w:rFonts w:hint="eastAsia" w:ascii="仿宋" w:hAnsi="仿宋" w:eastAsia="仿宋"/>
          <w:szCs w:val="18"/>
          <w:lang w:eastAsia="zh-CN"/>
        </w:rPr>
        <w:t>：《</w:t>
      </w:r>
      <w:r>
        <w:rPr>
          <w:rFonts w:hint="eastAsia" w:ascii="仿宋" w:hAnsi="仿宋" w:eastAsia="仿宋"/>
          <w:szCs w:val="18"/>
        </w:rPr>
        <w:t>论家事司法的愈疗功能</w:t>
      </w:r>
      <w:r>
        <w:rPr>
          <w:rFonts w:hint="eastAsia" w:ascii="仿宋" w:hAnsi="仿宋" w:eastAsia="仿宋"/>
          <w:szCs w:val="18"/>
          <w:lang w:eastAsia="zh-CN"/>
        </w:rPr>
        <w:t>》，</w:t>
      </w:r>
      <w:r>
        <w:rPr>
          <w:rFonts w:hint="eastAsia" w:ascii="仿宋" w:hAnsi="仿宋" w:eastAsia="仿宋"/>
          <w:szCs w:val="18"/>
          <w:lang w:val="en-US" w:eastAsia="zh-CN"/>
        </w:rPr>
        <w:t>载《</w:t>
      </w:r>
      <w:r>
        <w:rPr>
          <w:rFonts w:hint="eastAsia" w:ascii="仿宋" w:hAnsi="仿宋" w:eastAsia="仿宋"/>
          <w:szCs w:val="18"/>
        </w:rPr>
        <w:t>河北法学</w:t>
      </w:r>
      <w:r>
        <w:rPr>
          <w:rFonts w:hint="eastAsia" w:ascii="仿宋" w:hAnsi="仿宋" w:eastAsia="仿宋"/>
          <w:szCs w:val="18"/>
          <w:lang w:eastAsia="zh-CN"/>
        </w:rPr>
        <w:t>》</w:t>
      </w:r>
      <w:r>
        <w:rPr>
          <w:rFonts w:hint="eastAsia" w:ascii="仿宋" w:hAnsi="仿宋" w:eastAsia="仿宋"/>
          <w:szCs w:val="18"/>
        </w:rPr>
        <w:t>2024</w:t>
      </w:r>
      <w:r>
        <w:rPr>
          <w:rFonts w:hint="eastAsia" w:ascii="仿宋" w:hAnsi="仿宋" w:eastAsia="仿宋"/>
          <w:szCs w:val="18"/>
          <w:lang w:val="en-US" w:eastAsia="zh-CN"/>
        </w:rPr>
        <w:t>年第8期。</w:t>
      </w:r>
    </w:p>
  </w:footnote>
  <w:footnote w:id="51">
    <w:p w14:paraId="310FB88C">
      <w:pPr>
        <w:pStyle w:val="5"/>
        <w:ind w:firstLine="360" w:firstLineChars="200"/>
        <w:rPr>
          <w:rFonts w:hint="eastAsia" w:ascii="仿宋" w:hAnsi="仿宋" w:eastAsia="仿宋"/>
          <w:szCs w:val="18"/>
          <w:lang w:val="en-US" w:eastAsia="zh-CN"/>
        </w:rPr>
      </w:pPr>
      <w:r>
        <w:rPr>
          <w:rFonts w:hint="eastAsia" w:ascii="仿宋" w:hAnsi="仿宋" w:eastAsia="仿宋"/>
          <w:szCs w:val="18"/>
        </w:rPr>
        <w:footnoteRef/>
      </w:r>
      <w:r>
        <w:rPr>
          <w:rFonts w:hint="eastAsia" w:ascii="仿宋" w:hAnsi="仿宋" w:eastAsia="仿宋"/>
          <w:szCs w:val="18"/>
          <w:lang w:val="en-US" w:eastAsia="zh-CN"/>
        </w:rPr>
        <w:t xml:space="preserve"> 参见</w:t>
      </w:r>
      <w:r>
        <w:rPr>
          <w:rFonts w:hint="eastAsia" w:ascii="仿宋" w:hAnsi="仿宋" w:eastAsia="仿宋"/>
          <w:szCs w:val="18"/>
        </w:rPr>
        <w:t>王晓桐</w:t>
      </w:r>
      <w:r>
        <w:rPr>
          <w:rFonts w:hint="eastAsia" w:ascii="仿宋" w:hAnsi="仿宋" w:eastAsia="仿宋"/>
          <w:szCs w:val="18"/>
          <w:lang w:eastAsia="zh-CN"/>
        </w:rPr>
        <w:t>：《</w:t>
      </w:r>
      <w:r>
        <w:rPr>
          <w:rFonts w:hint="eastAsia" w:ascii="仿宋" w:hAnsi="仿宋" w:eastAsia="仿宋"/>
          <w:szCs w:val="18"/>
        </w:rPr>
        <w:t>家事调查报告司法运用的实践检讨与路径优化</w:t>
      </w:r>
      <w:r>
        <w:rPr>
          <w:rFonts w:hint="eastAsia" w:ascii="仿宋" w:hAnsi="仿宋" w:eastAsia="仿宋"/>
          <w:szCs w:val="18"/>
          <w:lang w:eastAsia="zh-CN"/>
        </w:rPr>
        <w:t>》，</w:t>
      </w:r>
      <w:r>
        <w:rPr>
          <w:rFonts w:hint="eastAsia" w:ascii="仿宋" w:hAnsi="仿宋" w:eastAsia="仿宋"/>
          <w:szCs w:val="18"/>
          <w:lang w:val="en-US" w:eastAsia="zh-CN"/>
        </w:rPr>
        <w:t>载《</w:t>
      </w:r>
      <w:r>
        <w:rPr>
          <w:rFonts w:hint="eastAsia" w:ascii="仿宋" w:hAnsi="仿宋" w:eastAsia="仿宋"/>
          <w:szCs w:val="18"/>
        </w:rPr>
        <w:t>民间法</w:t>
      </w:r>
      <w:r>
        <w:rPr>
          <w:rFonts w:hint="eastAsia" w:ascii="仿宋" w:hAnsi="仿宋" w:eastAsia="仿宋"/>
          <w:szCs w:val="18"/>
          <w:lang w:eastAsia="zh-CN"/>
        </w:rPr>
        <w:t>》</w:t>
      </w:r>
      <w:r>
        <w:rPr>
          <w:rFonts w:hint="eastAsia" w:ascii="仿宋" w:hAnsi="仿宋" w:eastAsia="仿宋"/>
          <w:szCs w:val="18"/>
        </w:rPr>
        <w:t>2025</w:t>
      </w:r>
      <w:r>
        <w:rPr>
          <w:rFonts w:hint="eastAsia" w:ascii="仿宋" w:hAnsi="仿宋" w:eastAsia="仿宋"/>
          <w:szCs w:val="18"/>
          <w:lang w:val="en-US" w:eastAsia="zh-CN"/>
        </w:rPr>
        <w:t>年第2期</w:t>
      </w:r>
      <w:r>
        <w:rPr>
          <w:rFonts w:hint="eastAsia" w:ascii="仿宋" w:hAnsi="仿宋" w:eastAsia="仿宋"/>
          <w:szCs w:val="18"/>
        </w:rPr>
        <w:t>287-305</w:t>
      </w:r>
      <w:r>
        <w:rPr>
          <w:rFonts w:hint="eastAsia" w:ascii="仿宋" w:hAnsi="仿宋" w:eastAsia="仿宋"/>
          <w:szCs w:val="18"/>
          <w:lang w:val="en-US" w:eastAsia="zh-CN"/>
        </w:rPr>
        <w:t>页。</w:t>
      </w:r>
    </w:p>
  </w:footnote>
  <w:footnote w:id="52">
    <w:p w14:paraId="596A2DF0">
      <w:pPr>
        <w:pStyle w:val="5"/>
        <w:ind w:firstLine="360" w:firstLineChars="200"/>
        <w:rPr>
          <w:rFonts w:hint="default" w:ascii="仿宋" w:hAnsi="仿宋" w:eastAsia="仿宋"/>
          <w:szCs w:val="18"/>
          <w:lang w:val="en-US" w:eastAsia="zh-CN"/>
        </w:rPr>
      </w:pPr>
      <w:r>
        <w:rPr>
          <w:rFonts w:hint="default" w:ascii="仿宋" w:hAnsi="仿宋" w:eastAsia="仿宋"/>
          <w:szCs w:val="18"/>
        </w:rPr>
        <w:footnoteRef/>
      </w:r>
      <w:r>
        <w:rPr>
          <w:rFonts w:hint="eastAsia" w:ascii="仿宋" w:hAnsi="仿宋" w:eastAsia="仿宋"/>
          <w:szCs w:val="18"/>
          <w:lang w:val="en-US" w:eastAsia="zh-CN"/>
        </w:rPr>
        <w:t xml:space="preserve"> 参见</w:t>
      </w:r>
      <w:r>
        <w:rPr>
          <w:rFonts w:hint="eastAsia" w:ascii="仿宋" w:hAnsi="仿宋" w:eastAsia="仿宋"/>
          <w:szCs w:val="18"/>
        </w:rPr>
        <w:t>于龙刚</w:t>
      </w:r>
      <w:r>
        <w:rPr>
          <w:rFonts w:hint="eastAsia" w:ascii="仿宋" w:hAnsi="仿宋" w:eastAsia="仿宋"/>
          <w:szCs w:val="18"/>
          <w:lang w:eastAsia="zh-CN"/>
        </w:rPr>
        <w:t>：《</w:t>
      </w:r>
      <w:r>
        <w:rPr>
          <w:rFonts w:hint="eastAsia" w:ascii="仿宋" w:hAnsi="仿宋" w:eastAsia="仿宋"/>
          <w:szCs w:val="18"/>
        </w:rPr>
        <w:t>基层多元解纷机制的结构转型与模式分化</w:t>
      </w:r>
      <w:r>
        <w:rPr>
          <w:rFonts w:hint="eastAsia" w:ascii="仿宋" w:hAnsi="仿宋" w:eastAsia="仿宋"/>
          <w:szCs w:val="18"/>
          <w:lang w:eastAsia="zh-CN"/>
        </w:rPr>
        <w:t>》，</w:t>
      </w:r>
      <w:r>
        <w:rPr>
          <w:rFonts w:hint="eastAsia" w:ascii="仿宋" w:hAnsi="仿宋" w:eastAsia="仿宋"/>
          <w:szCs w:val="18"/>
          <w:lang w:val="en-US" w:eastAsia="zh-CN"/>
        </w:rPr>
        <w:t>载《</w:t>
      </w:r>
      <w:r>
        <w:rPr>
          <w:rFonts w:hint="eastAsia" w:ascii="仿宋" w:hAnsi="仿宋" w:eastAsia="仿宋"/>
          <w:szCs w:val="18"/>
        </w:rPr>
        <w:t>法学</w:t>
      </w:r>
      <w:r>
        <w:rPr>
          <w:rFonts w:hint="eastAsia" w:ascii="仿宋" w:hAnsi="仿宋" w:eastAsia="仿宋"/>
          <w:szCs w:val="18"/>
          <w:lang w:val="en-US" w:eastAsia="zh-CN"/>
        </w:rPr>
        <w:t>研究》2025年第3期。</w:t>
      </w:r>
    </w:p>
  </w:footnote>
  <w:footnote w:id="53">
    <w:p w14:paraId="30409E88">
      <w:pPr>
        <w:pStyle w:val="5"/>
        <w:ind w:firstLine="360" w:firstLineChars="200"/>
        <w:rPr>
          <w:rFonts w:hint="default" w:ascii="仿宋" w:hAnsi="仿宋" w:eastAsia="仿宋"/>
          <w:szCs w:val="18"/>
        </w:rPr>
      </w:pPr>
      <w:r>
        <w:rPr>
          <w:rFonts w:hint="default" w:ascii="仿宋" w:hAnsi="仿宋" w:eastAsia="仿宋"/>
          <w:szCs w:val="18"/>
        </w:rPr>
        <w:footnoteRef/>
      </w:r>
      <w:r>
        <w:rPr>
          <w:rFonts w:hint="eastAsia" w:ascii="仿宋" w:hAnsi="仿宋" w:eastAsia="仿宋"/>
          <w:szCs w:val="18"/>
          <w:lang w:val="en-US" w:eastAsia="zh-CN"/>
        </w:rPr>
        <w:t xml:space="preserve"> 参见</w:t>
      </w:r>
      <w:r>
        <w:rPr>
          <w:rFonts w:hint="eastAsia" w:ascii="仿宋" w:hAnsi="仿宋" w:eastAsia="仿宋"/>
          <w:szCs w:val="18"/>
        </w:rPr>
        <w:t>刘敏</w:t>
      </w:r>
      <w:r>
        <w:rPr>
          <w:rFonts w:hint="eastAsia" w:ascii="仿宋" w:hAnsi="仿宋" w:eastAsia="仿宋"/>
          <w:szCs w:val="18"/>
          <w:lang w:eastAsia="zh-CN"/>
        </w:rPr>
        <w:t>：《</w:t>
      </w:r>
      <w:r>
        <w:rPr>
          <w:rFonts w:hint="eastAsia" w:ascii="仿宋" w:hAnsi="仿宋" w:eastAsia="仿宋"/>
          <w:szCs w:val="18"/>
        </w:rPr>
        <w:t>论家事司法正义——以家事司法实体正义为视角</w:t>
      </w:r>
      <w:r>
        <w:rPr>
          <w:rFonts w:hint="eastAsia" w:ascii="仿宋" w:hAnsi="仿宋" w:eastAsia="仿宋"/>
          <w:szCs w:val="18"/>
          <w:lang w:eastAsia="zh-CN"/>
        </w:rPr>
        <w:t>》，</w:t>
      </w:r>
      <w:r>
        <w:rPr>
          <w:rFonts w:hint="eastAsia" w:ascii="仿宋" w:hAnsi="仿宋" w:eastAsia="仿宋"/>
          <w:szCs w:val="18"/>
          <w:lang w:val="en-US" w:eastAsia="zh-CN"/>
        </w:rPr>
        <w:t>载《</w:t>
      </w:r>
      <w:r>
        <w:rPr>
          <w:rFonts w:hint="eastAsia" w:ascii="仿宋" w:hAnsi="仿宋" w:eastAsia="仿宋"/>
          <w:szCs w:val="18"/>
        </w:rPr>
        <w:t>江苏社会科学</w:t>
      </w:r>
      <w:r>
        <w:rPr>
          <w:rFonts w:hint="eastAsia" w:ascii="仿宋" w:hAnsi="仿宋" w:eastAsia="仿宋"/>
          <w:szCs w:val="18"/>
          <w:lang w:eastAsia="zh-CN"/>
        </w:rPr>
        <w:t>》</w:t>
      </w:r>
      <w:r>
        <w:rPr>
          <w:rFonts w:hint="eastAsia" w:ascii="仿宋" w:hAnsi="仿宋" w:eastAsia="仿宋"/>
          <w:szCs w:val="18"/>
        </w:rPr>
        <w:t>2021</w:t>
      </w:r>
      <w:r>
        <w:rPr>
          <w:rFonts w:hint="eastAsia" w:ascii="仿宋" w:hAnsi="仿宋" w:eastAsia="仿宋"/>
          <w:szCs w:val="18"/>
          <w:lang w:val="en-US" w:eastAsia="zh-CN"/>
        </w:rPr>
        <w:t>年第4期。</w:t>
      </w:r>
    </w:p>
  </w:footnote>
  <w:footnote w:id="54">
    <w:p w14:paraId="07011830">
      <w:pPr>
        <w:pStyle w:val="5"/>
        <w:ind w:firstLine="360" w:firstLineChars="200"/>
        <w:rPr>
          <w:rFonts w:hint="eastAsia" w:ascii="仿宋" w:hAnsi="仿宋" w:eastAsia="仿宋"/>
          <w:szCs w:val="18"/>
        </w:rPr>
      </w:pPr>
      <w:r>
        <w:rPr>
          <w:rFonts w:hint="eastAsia" w:ascii="仿宋" w:hAnsi="仿宋" w:eastAsia="仿宋"/>
          <w:szCs w:val="18"/>
        </w:rPr>
        <w:footnoteRef/>
      </w:r>
      <w:r>
        <w:rPr>
          <w:rFonts w:hint="eastAsia" w:ascii="仿宋" w:hAnsi="仿宋" w:eastAsia="仿宋"/>
          <w:szCs w:val="18"/>
          <w:lang w:val="en-US" w:eastAsia="zh-CN"/>
        </w:rPr>
        <w:t xml:space="preserve"> 参见</w:t>
      </w:r>
      <w:r>
        <w:rPr>
          <w:rFonts w:hint="eastAsia" w:ascii="仿宋" w:hAnsi="仿宋" w:eastAsia="仿宋"/>
          <w:szCs w:val="18"/>
        </w:rPr>
        <w:t>宋世明</w:t>
      </w:r>
      <w:r>
        <w:rPr>
          <w:rFonts w:hint="eastAsia" w:ascii="仿宋" w:hAnsi="仿宋" w:eastAsia="仿宋"/>
          <w:szCs w:val="18"/>
          <w:lang w:eastAsia="zh-CN"/>
        </w:rPr>
        <w:t>、</w:t>
      </w:r>
      <w:r>
        <w:rPr>
          <w:rFonts w:hint="eastAsia" w:ascii="仿宋" w:hAnsi="仿宋" w:eastAsia="仿宋"/>
          <w:szCs w:val="18"/>
        </w:rPr>
        <w:t>黄振威</w:t>
      </w:r>
      <w:r>
        <w:rPr>
          <w:rFonts w:hint="eastAsia" w:ascii="仿宋" w:hAnsi="仿宋" w:eastAsia="仿宋"/>
          <w:szCs w:val="18"/>
          <w:lang w:eastAsia="zh-CN"/>
        </w:rPr>
        <w:t>：《</w:t>
      </w:r>
      <w:r>
        <w:rPr>
          <w:rFonts w:hint="eastAsia" w:ascii="仿宋" w:hAnsi="仿宋" w:eastAsia="仿宋"/>
          <w:szCs w:val="18"/>
        </w:rPr>
        <w:t>“枫桥经验”的原生基因优势及其新时代实现方式</w:t>
      </w:r>
      <w:r>
        <w:rPr>
          <w:rFonts w:hint="eastAsia" w:ascii="仿宋" w:hAnsi="仿宋" w:eastAsia="仿宋"/>
          <w:szCs w:val="18"/>
          <w:lang w:eastAsia="zh-CN"/>
        </w:rPr>
        <w:t>》，</w:t>
      </w:r>
      <w:r>
        <w:rPr>
          <w:rFonts w:hint="eastAsia" w:ascii="仿宋" w:hAnsi="仿宋" w:eastAsia="仿宋"/>
          <w:szCs w:val="18"/>
          <w:lang w:val="en-US" w:eastAsia="zh-CN"/>
        </w:rPr>
        <w:t>载《</w:t>
      </w:r>
      <w:r>
        <w:rPr>
          <w:rFonts w:hint="eastAsia" w:ascii="仿宋" w:hAnsi="仿宋" w:eastAsia="仿宋"/>
          <w:szCs w:val="18"/>
        </w:rPr>
        <w:t>社会科学</w:t>
      </w:r>
      <w:r>
        <w:rPr>
          <w:rFonts w:hint="eastAsia" w:ascii="仿宋" w:hAnsi="仿宋" w:eastAsia="仿宋"/>
          <w:szCs w:val="18"/>
          <w:lang w:eastAsia="zh-CN"/>
        </w:rPr>
        <w:t>》</w:t>
      </w:r>
      <w:r>
        <w:rPr>
          <w:rFonts w:hint="eastAsia" w:ascii="仿宋" w:hAnsi="仿宋" w:eastAsia="仿宋"/>
          <w:szCs w:val="18"/>
          <w:lang w:val="en-US" w:eastAsia="zh-CN"/>
        </w:rPr>
        <w:t>2025年第2期。</w:t>
      </w:r>
    </w:p>
  </w:footnote>
  <w:footnote w:id="55">
    <w:p w14:paraId="07B9A5DA">
      <w:pPr>
        <w:pStyle w:val="5"/>
        <w:ind w:firstLine="360" w:firstLineChars="200"/>
        <w:rPr>
          <w:rFonts w:hint="eastAsia" w:ascii="仿宋" w:hAnsi="仿宋" w:eastAsia="仿宋"/>
          <w:szCs w:val="18"/>
        </w:rPr>
      </w:pPr>
      <w:r>
        <w:rPr>
          <w:rFonts w:hint="eastAsia" w:ascii="仿宋" w:hAnsi="仿宋" w:eastAsia="仿宋"/>
          <w:szCs w:val="18"/>
        </w:rPr>
        <w:footnoteRef/>
      </w:r>
      <w:r>
        <w:rPr>
          <w:rFonts w:hint="eastAsia" w:ascii="仿宋" w:hAnsi="仿宋" w:eastAsia="仿宋"/>
          <w:szCs w:val="18"/>
          <w:lang w:val="en-US" w:eastAsia="zh-CN"/>
        </w:rPr>
        <w:t xml:space="preserve"> </w:t>
      </w:r>
      <w:r>
        <w:rPr>
          <w:rFonts w:hint="eastAsia" w:ascii="仿宋" w:hAnsi="仿宋" w:eastAsia="仿宋"/>
          <w:szCs w:val="18"/>
        </w:rPr>
        <w:t>参见刘畅：《纠纷调解实践中的法礼融合——基于“枫桥经验”的分析》，载《社会科学研究》2024年第3期。</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A6AFD5"/>
    <w:multiLevelType w:val="singleLevel"/>
    <w:tmpl w:val="80A6AFD5"/>
    <w:lvl w:ilvl="0" w:tentative="0">
      <w:start w:val="2"/>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112"/>
    <w:footnote w:id="11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D10DF4"/>
    <w:rsid w:val="004B48CF"/>
    <w:rsid w:val="00AB7A64"/>
    <w:rsid w:val="00E371FE"/>
    <w:rsid w:val="00FC3B2D"/>
    <w:rsid w:val="01EE2D85"/>
    <w:rsid w:val="02181129"/>
    <w:rsid w:val="023615AF"/>
    <w:rsid w:val="05542478"/>
    <w:rsid w:val="058635CB"/>
    <w:rsid w:val="068C514E"/>
    <w:rsid w:val="0758599D"/>
    <w:rsid w:val="07981816"/>
    <w:rsid w:val="081D11D3"/>
    <w:rsid w:val="09193349"/>
    <w:rsid w:val="0946657C"/>
    <w:rsid w:val="09EF451D"/>
    <w:rsid w:val="0AD47F1F"/>
    <w:rsid w:val="0B106E41"/>
    <w:rsid w:val="0B6B665E"/>
    <w:rsid w:val="0C112E71"/>
    <w:rsid w:val="0C2A7A8F"/>
    <w:rsid w:val="0D0504FC"/>
    <w:rsid w:val="0D85398E"/>
    <w:rsid w:val="0DA10224"/>
    <w:rsid w:val="0E7477ED"/>
    <w:rsid w:val="0ECF0DC1"/>
    <w:rsid w:val="0F491ABA"/>
    <w:rsid w:val="0F6B6D3C"/>
    <w:rsid w:val="104C65B9"/>
    <w:rsid w:val="10525806"/>
    <w:rsid w:val="10A87B1C"/>
    <w:rsid w:val="10E37A92"/>
    <w:rsid w:val="111D18C2"/>
    <w:rsid w:val="112A0531"/>
    <w:rsid w:val="117A1D4C"/>
    <w:rsid w:val="121511E1"/>
    <w:rsid w:val="128724F6"/>
    <w:rsid w:val="12957C2C"/>
    <w:rsid w:val="13096CD8"/>
    <w:rsid w:val="139B003B"/>
    <w:rsid w:val="13E90E95"/>
    <w:rsid w:val="158C66D2"/>
    <w:rsid w:val="16846935"/>
    <w:rsid w:val="17FB5449"/>
    <w:rsid w:val="1977452F"/>
    <w:rsid w:val="19A94EE9"/>
    <w:rsid w:val="19C57049"/>
    <w:rsid w:val="1A344444"/>
    <w:rsid w:val="1C7120B8"/>
    <w:rsid w:val="1D0B1216"/>
    <w:rsid w:val="1D632AB4"/>
    <w:rsid w:val="1D8325AA"/>
    <w:rsid w:val="1D886D0B"/>
    <w:rsid w:val="1FC23AE2"/>
    <w:rsid w:val="20796DDF"/>
    <w:rsid w:val="21463165"/>
    <w:rsid w:val="217C021F"/>
    <w:rsid w:val="23024E6A"/>
    <w:rsid w:val="23081F88"/>
    <w:rsid w:val="23DC475D"/>
    <w:rsid w:val="242A7320"/>
    <w:rsid w:val="247B2AFC"/>
    <w:rsid w:val="24B959FC"/>
    <w:rsid w:val="26306192"/>
    <w:rsid w:val="269229A8"/>
    <w:rsid w:val="273336F1"/>
    <w:rsid w:val="27651E6B"/>
    <w:rsid w:val="280D678A"/>
    <w:rsid w:val="288E0A31"/>
    <w:rsid w:val="28D01566"/>
    <w:rsid w:val="292C49EE"/>
    <w:rsid w:val="29F92D13"/>
    <w:rsid w:val="2A145F87"/>
    <w:rsid w:val="2AD753D9"/>
    <w:rsid w:val="2B7663F5"/>
    <w:rsid w:val="2B997ACA"/>
    <w:rsid w:val="2B9A7EE6"/>
    <w:rsid w:val="2C1605FF"/>
    <w:rsid w:val="2C2C2488"/>
    <w:rsid w:val="2C4C57BC"/>
    <w:rsid w:val="2C673238"/>
    <w:rsid w:val="2CAB7666"/>
    <w:rsid w:val="2CBF2A02"/>
    <w:rsid w:val="2CDE06F5"/>
    <w:rsid w:val="2D584173"/>
    <w:rsid w:val="2DAE631A"/>
    <w:rsid w:val="2E324BA9"/>
    <w:rsid w:val="2E3D769E"/>
    <w:rsid w:val="2E7133FF"/>
    <w:rsid w:val="2F2A67E8"/>
    <w:rsid w:val="2F7AB81F"/>
    <w:rsid w:val="2F880DEC"/>
    <w:rsid w:val="2FF6FB5F"/>
    <w:rsid w:val="2FFBE689"/>
    <w:rsid w:val="309A2FCC"/>
    <w:rsid w:val="30C03A8A"/>
    <w:rsid w:val="319C46DB"/>
    <w:rsid w:val="323E5792"/>
    <w:rsid w:val="32406C06"/>
    <w:rsid w:val="336E20A7"/>
    <w:rsid w:val="340C5B48"/>
    <w:rsid w:val="349954E9"/>
    <w:rsid w:val="35E23668"/>
    <w:rsid w:val="36857E34"/>
    <w:rsid w:val="36AE1E13"/>
    <w:rsid w:val="377C2FE5"/>
    <w:rsid w:val="381E409C"/>
    <w:rsid w:val="3854305B"/>
    <w:rsid w:val="38DF7CCF"/>
    <w:rsid w:val="3938118D"/>
    <w:rsid w:val="39697BCE"/>
    <w:rsid w:val="39981C2C"/>
    <w:rsid w:val="39BD1693"/>
    <w:rsid w:val="3BF56A91"/>
    <w:rsid w:val="3CFB2C9B"/>
    <w:rsid w:val="3D453E79"/>
    <w:rsid w:val="3EE31305"/>
    <w:rsid w:val="3F1E0E25"/>
    <w:rsid w:val="3F93536F"/>
    <w:rsid w:val="3FEB6F5A"/>
    <w:rsid w:val="3FED79AA"/>
    <w:rsid w:val="3FFE49F0"/>
    <w:rsid w:val="3FFF7430"/>
    <w:rsid w:val="400A2F06"/>
    <w:rsid w:val="40364173"/>
    <w:rsid w:val="40657BCC"/>
    <w:rsid w:val="40742CC1"/>
    <w:rsid w:val="40D55514"/>
    <w:rsid w:val="40E82F43"/>
    <w:rsid w:val="418D5DEE"/>
    <w:rsid w:val="41DA54D8"/>
    <w:rsid w:val="42DE2DA6"/>
    <w:rsid w:val="43B43B06"/>
    <w:rsid w:val="43B9111D"/>
    <w:rsid w:val="43FC60F8"/>
    <w:rsid w:val="4440539A"/>
    <w:rsid w:val="4473751E"/>
    <w:rsid w:val="45A02594"/>
    <w:rsid w:val="460E39A2"/>
    <w:rsid w:val="483B4B40"/>
    <w:rsid w:val="48B545A9"/>
    <w:rsid w:val="494A71CD"/>
    <w:rsid w:val="49996F4C"/>
    <w:rsid w:val="4A161077"/>
    <w:rsid w:val="4A62250E"/>
    <w:rsid w:val="4C8604E7"/>
    <w:rsid w:val="4CA74208"/>
    <w:rsid w:val="4CDA22A4"/>
    <w:rsid w:val="4D6C0679"/>
    <w:rsid w:val="4DF74D1B"/>
    <w:rsid w:val="4E66112F"/>
    <w:rsid w:val="4E7566BB"/>
    <w:rsid w:val="4EE01C53"/>
    <w:rsid w:val="4F147B4F"/>
    <w:rsid w:val="4F9F566B"/>
    <w:rsid w:val="50795EBC"/>
    <w:rsid w:val="51B66C9C"/>
    <w:rsid w:val="53F835CD"/>
    <w:rsid w:val="53FC752F"/>
    <w:rsid w:val="561B17C3"/>
    <w:rsid w:val="56260894"/>
    <w:rsid w:val="565E4C06"/>
    <w:rsid w:val="57003327"/>
    <w:rsid w:val="5712706A"/>
    <w:rsid w:val="573E1C0D"/>
    <w:rsid w:val="57AF2B0B"/>
    <w:rsid w:val="57EE3633"/>
    <w:rsid w:val="58CE07B1"/>
    <w:rsid w:val="592F5CB1"/>
    <w:rsid w:val="59AA17DC"/>
    <w:rsid w:val="59B461B6"/>
    <w:rsid w:val="59ED3476"/>
    <w:rsid w:val="5A8E2EAB"/>
    <w:rsid w:val="5AA7171A"/>
    <w:rsid w:val="5B7C0F56"/>
    <w:rsid w:val="5C71038F"/>
    <w:rsid w:val="5D8A55D0"/>
    <w:rsid w:val="5DD40593"/>
    <w:rsid w:val="5E581806"/>
    <w:rsid w:val="5E631F59"/>
    <w:rsid w:val="5EC96260"/>
    <w:rsid w:val="5F944AC0"/>
    <w:rsid w:val="5FD10DF4"/>
    <w:rsid w:val="606E3563"/>
    <w:rsid w:val="607466A0"/>
    <w:rsid w:val="61BC02FE"/>
    <w:rsid w:val="6233573D"/>
    <w:rsid w:val="63027F93"/>
    <w:rsid w:val="63500CFE"/>
    <w:rsid w:val="63C329BB"/>
    <w:rsid w:val="640D4E41"/>
    <w:rsid w:val="653A0A7F"/>
    <w:rsid w:val="657B53D8"/>
    <w:rsid w:val="659F41BF"/>
    <w:rsid w:val="66523072"/>
    <w:rsid w:val="66586EA0"/>
    <w:rsid w:val="666C01DA"/>
    <w:rsid w:val="667D39CB"/>
    <w:rsid w:val="66F6349B"/>
    <w:rsid w:val="672D6345"/>
    <w:rsid w:val="67C223E6"/>
    <w:rsid w:val="69674FF3"/>
    <w:rsid w:val="699D01D2"/>
    <w:rsid w:val="6A065459"/>
    <w:rsid w:val="6A7C1DBF"/>
    <w:rsid w:val="6C5D26DE"/>
    <w:rsid w:val="6C8445D8"/>
    <w:rsid w:val="6D3E7424"/>
    <w:rsid w:val="6D77332B"/>
    <w:rsid w:val="6DAA1953"/>
    <w:rsid w:val="6E291940"/>
    <w:rsid w:val="6EC3223A"/>
    <w:rsid w:val="6F3745CC"/>
    <w:rsid w:val="6F816519"/>
    <w:rsid w:val="6FAD74D8"/>
    <w:rsid w:val="6FD41814"/>
    <w:rsid w:val="700D7F77"/>
    <w:rsid w:val="70655672"/>
    <w:rsid w:val="70893AA1"/>
    <w:rsid w:val="713779A1"/>
    <w:rsid w:val="71557E27"/>
    <w:rsid w:val="71967DDE"/>
    <w:rsid w:val="720035F9"/>
    <w:rsid w:val="726D2412"/>
    <w:rsid w:val="72E96A79"/>
    <w:rsid w:val="732950C1"/>
    <w:rsid w:val="736A5E0C"/>
    <w:rsid w:val="73F00D00"/>
    <w:rsid w:val="74DC4AE7"/>
    <w:rsid w:val="75436915"/>
    <w:rsid w:val="757F48E7"/>
    <w:rsid w:val="76187B8F"/>
    <w:rsid w:val="77894387"/>
    <w:rsid w:val="77A26DB7"/>
    <w:rsid w:val="78465A00"/>
    <w:rsid w:val="79023E22"/>
    <w:rsid w:val="791E4FA3"/>
    <w:rsid w:val="7A204ACC"/>
    <w:rsid w:val="7B2F393F"/>
    <w:rsid w:val="7BB06386"/>
    <w:rsid w:val="7CB821A4"/>
    <w:rsid w:val="7CC06A9D"/>
    <w:rsid w:val="7CDD4297"/>
    <w:rsid w:val="7D494CE4"/>
    <w:rsid w:val="7E6A3164"/>
    <w:rsid w:val="7EFF5263"/>
    <w:rsid w:val="7F6FE430"/>
    <w:rsid w:val="7F7FC303"/>
    <w:rsid w:val="7F9A3456"/>
    <w:rsid w:val="7FB456BF"/>
    <w:rsid w:val="BFDB61A5"/>
    <w:rsid w:val="DAFA54D9"/>
    <w:rsid w:val="EF7FFFB1"/>
    <w:rsid w:val="FDD30886"/>
    <w:rsid w:val="FE7A08D1"/>
    <w:rsid w:val="FEB95C13"/>
    <w:rsid w:val="FEDF8561"/>
    <w:rsid w:val="FFDF8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footnote text"/>
    <w:basedOn w:val="1"/>
    <w:qFormat/>
    <w:uiPriority w:val="0"/>
    <w:pPr>
      <w:snapToGrid w:val="0"/>
      <w:jc w:val="left"/>
    </w:pPr>
    <w:rPr>
      <w:sz w:val="18"/>
    </w:rPr>
  </w:style>
  <w:style w:type="paragraph" w:styleId="6">
    <w:name w:val="toc 2"/>
    <w:basedOn w:val="1"/>
    <w:next w:val="1"/>
    <w:qFormat/>
    <w:uiPriority w:val="0"/>
    <w:pPr>
      <w:ind w:left="420" w:leftChars="200"/>
    </w:pPr>
  </w:style>
  <w:style w:type="paragraph" w:styleId="7">
    <w:name w:val="Normal (Web)"/>
    <w:basedOn w:val="1"/>
    <w:qFormat/>
    <w:uiPriority w:val="0"/>
    <w:rPr>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yperlink"/>
    <w:basedOn w:val="10"/>
    <w:qFormat/>
    <w:uiPriority w:val="0"/>
    <w:rPr>
      <w:color w:val="0000FF"/>
      <w:u w:val="single"/>
    </w:rPr>
  </w:style>
  <w:style w:type="character" w:styleId="13">
    <w:name w:val="annotation reference"/>
    <w:basedOn w:val="10"/>
    <w:qFormat/>
    <w:uiPriority w:val="0"/>
    <w:rPr>
      <w:sz w:val="21"/>
      <w:szCs w:val="21"/>
    </w:rPr>
  </w:style>
  <w:style w:type="character" w:styleId="14">
    <w:name w:val="footnote reference"/>
    <w:basedOn w:val="10"/>
    <w:qFormat/>
    <w:uiPriority w:val="0"/>
    <w:rPr>
      <w:vertAlign w:val="superscript"/>
    </w:rPr>
  </w:style>
  <w:style w:type="paragraph" w:customStyle="1" w:styleId="15">
    <w:name w:val="p1"/>
    <w:basedOn w:val="1"/>
    <w:qFormat/>
    <w:uiPriority w:val="0"/>
    <w:pPr>
      <w:spacing w:before="0" w:beforeAutospacing="0" w:after="0" w:afterAutospacing="0"/>
      <w:ind w:left="0" w:right="0"/>
      <w:jc w:val="left"/>
    </w:pPr>
    <w:rPr>
      <w:rFonts w:ascii=".pingfang sc" w:hAnsi=".pingfang sc" w:eastAsia=".pingfang sc" w:cs=".pingfang sc"/>
      <w:color w:val="454545"/>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hart" Target="charts/chart1.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lang="zh-CN" altLang="en-US"/>
              <a:t>家事调查案件类型及数量</a:t>
            </a:r>
            <a:endParaRPr lang="zh-CN" altLang="en-US"/>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案件数量</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继承纠纷</c:v>
                </c:pt>
                <c:pt idx="1">
                  <c:v>婚姻纠纷</c:v>
                </c:pt>
                <c:pt idx="2">
                  <c:v>赡养纠纷</c:v>
                </c:pt>
                <c:pt idx="3">
                  <c:v>监护纠纷</c:v>
                </c:pt>
                <c:pt idx="4">
                  <c:v>反家暴</c:v>
                </c:pt>
                <c:pt idx="5">
                  <c:v>特别程序</c:v>
                </c:pt>
                <c:pt idx="6">
                  <c:v>共有与合同纠纷</c:v>
                </c:pt>
              </c:strCache>
            </c:strRef>
          </c:cat>
          <c:val>
            <c:numRef>
              <c:f>Sheet1!$B$2:$B$8</c:f>
              <c:numCache>
                <c:formatCode>General</c:formatCode>
                <c:ptCount val="7"/>
                <c:pt idx="0">
                  <c:v>30</c:v>
                </c:pt>
                <c:pt idx="1">
                  <c:v>17</c:v>
                </c:pt>
                <c:pt idx="2">
                  <c:v>12</c:v>
                </c:pt>
                <c:pt idx="3">
                  <c:v>12</c:v>
                </c:pt>
                <c:pt idx="4">
                  <c:v>5</c:v>
                </c:pt>
                <c:pt idx="5">
                  <c:v>6</c:v>
                </c:pt>
                <c:pt idx="6">
                  <c:v>5</c:v>
                </c:pt>
              </c:numCache>
            </c:numRef>
          </c:val>
        </c:ser>
        <c:dLbls>
          <c:showLegendKey val="0"/>
          <c:showVal val="1"/>
          <c:showCatName val="0"/>
          <c:showSerName val="0"/>
          <c:showPercent val="0"/>
          <c:showBubbleSize val="0"/>
        </c:dLbls>
        <c:gapWidth val="246"/>
        <c:overlap val="-28"/>
        <c:axId val="363372371"/>
        <c:axId val="397479484"/>
      </c:barChart>
      <c:catAx>
        <c:axId val="363372371"/>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97479484"/>
        <c:crosses val="autoZero"/>
        <c:auto val="1"/>
        <c:lblAlgn val="ctr"/>
        <c:lblOffset val="100"/>
        <c:noMultiLvlLbl val="0"/>
      </c:catAx>
      <c:valAx>
        <c:axId val="397479484"/>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63372371"/>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plotVisOnly val="1"/>
    <c:dispBlanksAs val="gap"/>
    <c:showDLblsOverMax val="0"/>
    <c:extLst>
      <c:ext uri="{0b15fc19-7d7d-44ad-8c2d-2c3a37ce22c3}">
        <chartProps xmlns="https://web.wps.cn/et/2018/main" chartId="{23ec8a8e-e06f-483f-be5c-e647fe330800}"/>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13348</Words>
  <Characters>14558</Characters>
  <Lines>0</Lines>
  <Paragraphs>0</Paragraphs>
  <TotalTime>1</TotalTime>
  <ScaleCrop>false</ScaleCrop>
  <LinksUpToDate>false</LinksUpToDate>
  <CharactersWithSpaces>14749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2025-06-17T09:53:00Z</dcterms:created>
  <dc:creator>Data</dc:creator>
  <cp:lastModifiedBy>毛</cp:lastModifiedBy>
  <dcterms:modified xsi:type="dcterms:W3CDTF">2026-04-07T12:41:17Z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A0262064154E46F39197C8EC80A076BD_13</vt:lpwstr>
  </property>
  <property fmtid="{D5CDD505-2E9C-101B-9397-08002B2CF9AE}" pid="4" name="KSOTemplateDocerSaveRecord">
    <vt:lpwstr>eyJoZGlkIjoiYTI2ODBiNmRhMzhmMWU5NWU2ZjZhMDhjMTU2ZDA4YmMiLCJ1c2VySWQiOiIyNjMzOTU0NTkifQ==</vt:lpwstr>
  </property>
</Properties>
</file>