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B87A4">
      <w:pPr>
        <w:spacing w:line="360" w:lineRule="auto"/>
        <w:jc w:val="center"/>
        <w:outlineLvl w:val="0"/>
        <w:rPr>
          <w:rFonts w:ascii="宋体" w:hAnsi="宋体" w:eastAsia="宋体"/>
          <w:b/>
          <w:bCs/>
          <w:sz w:val="28"/>
          <w:szCs w:val="28"/>
        </w:rPr>
      </w:pPr>
      <w:r>
        <w:rPr>
          <w:rFonts w:hint="eastAsia" w:ascii="宋体" w:hAnsi="宋体" w:eastAsia="宋体"/>
          <w:b/>
          <w:bCs/>
          <w:sz w:val="28"/>
          <w:szCs w:val="28"/>
        </w:rPr>
        <w:t>论</w:t>
      </w:r>
      <w:r>
        <w:rPr>
          <w:rFonts w:ascii="宋体" w:hAnsi="宋体" w:eastAsia="宋体"/>
          <w:b/>
          <w:bCs/>
          <w:sz w:val="28"/>
          <w:szCs w:val="28"/>
        </w:rPr>
        <w:t>商标</w:t>
      </w:r>
      <w:r>
        <w:rPr>
          <w:rFonts w:hint="eastAsia" w:ascii="宋体" w:hAnsi="宋体" w:eastAsia="宋体"/>
          <w:b/>
          <w:bCs/>
          <w:sz w:val="28"/>
          <w:szCs w:val="28"/>
        </w:rPr>
        <w:t>公告</w:t>
      </w:r>
      <w:r>
        <w:rPr>
          <w:rFonts w:ascii="宋体" w:hAnsi="宋体" w:eastAsia="宋体"/>
          <w:b/>
          <w:bCs/>
          <w:sz w:val="28"/>
          <w:szCs w:val="28"/>
        </w:rPr>
        <w:t>与专利</w:t>
      </w:r>
      <w:r>
        <w:rPr>
          <w:rFonts w:hint="eastAsia" w:ascii="宋体" w:hAnsi="宋体" w:eastAsia="宋体"/>
          <w:b/>
          <w:bCs/>
          <w:sz w:val="28"/>
          <w:szCs w:val="28"/>
        </w:rPr>
        <w:t>公报中</w:t>
      </w:r>
      <w:r>
        <w:rPr>
          <w:rFonts w:ascii="宋体" w:hAnsi="宋体" w:eastAsia="宋体"/>
          <w:b/>
          <w:bCs/>
          <w:sz w:val="28"/>
          <w:szCs w:val="28"/>
        </w:rPr>
        <w:t>个人信息</w:t>
      </w:r>
      <w:r>
        <w:rPr>
          <w:rFonts w:hint="eastAsia" w:ascii="宋体" w:hAnsi="宋体" w:eastAsia="宋体"/>
          <w:b/>
          <w:bCs/>
          <w:sz w:val="28"/>
          <w:szCs w:val="28"/>
        </w:rPr>
        <w:t>保护的问题与完善</w:t>
      </w:r>
    </w:p>
    <w:p w14:paraId="519683DA">
      <w:pPr>
        <w:spacing w:line="360" w:lineRule="auto"/>
        <w:ind w:firstLine="420"/>
        <w:rPr>
          <w:rFonts w:ascii="宋体" w:hAnsi="宋体" w:eastAsia="宋体"/>
          <w:sz w:val="24"/>
        </w:rPr>
      </w:pPr>
    </w:p>
    <w:p w14:paraId="1FF2E9E5">
      <w:pPr>
        <w:spacing w:line="360" w:lineRule="auto"/>
        <w:ind w:firstLine="420"/>
        <w:rPr>
          <w:rFonts w:ascii="宋体" w:hAnsi="宋体" w:eastAsia="宋体"/>
          <w:sz w:val="24"/>
        </w:rPr>
      </w:pPr>
      <w:r>
        <w:rPr>
          <w:rFonts w:hint="eastAsia" w:ascii="宋体" w:hAnsi="宋体" w:eastAsia="宋体"/>
          <w:b/>
          <w:bCs/>
          <w:sz w:val="24"/>
          <w:lang w:eastAsia="zh-CN"/>
        </w:rPr>
        <w:t>【</w:t>
      </w:r>
      <w:r>
        <w:rPr>
          <w:rFonts w:hint="eastAsia" w:ascii="宋体" w:hAnsi="宋体" w:eastAsia="宋体"/>
          <w:b/>
          <w:bCs/>
          <w:sz w:val="24"/>
        </w:rPr>
        <w:t>摘</w:t>
      </w:r>
      <w:r>
        <w:rPr>
          <w:rFonts w:hint="eastAsia" w:ascii="宋体" w:hAnsi="宋体" w:eastAsia="宋体"/>
          <w:b/>
          <w:bCs/>
          <w:sz w:val="24"/>
          <w:lang w:val="en-US" w:eastAsia="zh-CN"/>
        </w:rPr>
        <w:t xml:space="preserve">  </w:t>
      </w:r>
      <w:r>
        <w:rPr>
          <w:rFonts w:hint="eastAsia" w:ascii="宋体" w:hAnsi="宋体" w:eastAsia="宋体"/>
          <w:b/>
          <w:bCs/>
          <w:sz w:val="24"/>
        </w:rPr>
        <w:t>要</w:t>
      </w:r>
      <w:r>
        <w:rPr>
          <w:rFonts w:hint="eastAsia" w:ascii="宋体" w:hAnsi="宋体" w:eastAsia="宋体"/>
          <w:b/>
          <w:bCs/>
          <w:sz w:val="24"/>
          <w:lang w:eastAsia="zh-CN"/>
        </w:rPr>
        <w:t>】</w:t>
      </w:r>
      <w:r>
        <w:rPr>
          <w:rFonts w:hint="eastAsia" w:ascii="宋体" w:hAnsi="宋体" w:eastAsia="宋体"/>
          <w:sz w:val="24"/>
        </w:rPr>
        <w:t>为履行法定职责，国家知识产权局会在</w:t>
      </w:r>
      <w:r>
        <w:rPr>
          <w:rFonts w:ascii="宋体" w:hAnsi="宋体" w:eastAsia="宋体"/>
          <w:sz w:val="24"/>
        </w:rPr>
        <w:t>商标</w:t>
      </w:r>
      <w:r>
        <w:rPr>
          <w:rFonts w:hint="eastAsia" w:ascii="宋体" w:hAnsi="宋体" w:eastAsia="宋体"/>
          <w:sz w:val="24"/>
        </w:rPr>
        <w:t>公告与</w:t>
      </w:r>
      <w:r>
        <w:rPr>
          <w:rFonts w:ascii="宋体" w:hAnsi="宋体" w:eastAsia="宋体"/>
          <w:sz w:val="24"/>
        </w:rPr>
        <w:t>专利</w:t>
      </w:r>
      <w:r>
        <w:rPr>
          <w:rFonts w:hint="eastAsia" w:ascii="宋体" w:hAnsi="宋体" w:eastAsia="宋体"/>
          <w:sz w:val="24"/>
        </w:rPr>
        <w:t>公报中公开当事人的个人信息。国家知识产权局存在处理个人信息的规则不透明、标准不统一、</w:t>
      </w:r>
      <w:r>
        <w:rPr>
          <w:rFonts w:ascii="宋体" w:hAnsi="宋体" w:eastAsia="宋体"/>
          <w:sz w:val="24"/>
        </w:rPr>
        <w:t>超过必要范围、异议制度不完善等问题</w:t>
      </w:r>
      <w:r>
        <w:rPr>
          <w:rFonts w:hint="eastAsia" w:ascii="宋体" w:hAnsi="宋体" w:eastAsia="宋体"/>
          <w:sz w:val="24"/>
        </w:rPr>
        <w:t>，可能给当事人的日常生活和生产经营造成困扰。国家知识产权局作为国家机关应当遵守《个人信息保护法》的规定，按照必要、目的限制、</w:t>
      </w:r>
      <w:r>
        <w:rPr>
          <w:rFonts w:ascii="宋体" w:hAnsi="宋体" w:eastAsia="宋体"/>
          <w:sz w:val="24"/>
        </w:rPr>
        <w:t>最小化处理</w:t>
      </w:r>
      <w:r>
        <w:rPr>
          <w:rFonts w:hint="eastAsia" w:ascii="宋体" w:hAnsi="宋体" w:eastAsia="宋体"/>
          <w:sz w:val="24"/>
        </w:rPr>
        <w:t>等原则的要求，及时采取公开个人信息的处理规则、统一处理个人信息的标准、</w:t>
      </w:r>
      <w:r>
        <w:rPr>
          <w:rFonts w:ascii="宋体" w:hAnsi="宋体" w:eastAsia="宋体"/>
          <w:sz w:val="24"/>
        </w:rPr>
        <w:t>优化和调整个人信息的</w:t>
      </w:r>
      <w:r>
        <w:rPr>
          <w:rFonts w:hint="eastAsia" w:ascii="宋体" w:hAnsi="宋体" w:eastAsia="宋体"/>
          <w:sz w:val="24"/>
        </w:rPr>
        <w:t>公开</w:t>
      </w:r>
      <w:r>
        <w:rPr>
          <w:rFonts w:ascii="宋体" w:hAnsi="宋体" w:eastAsia="宋体"/>
          <w:sz w:val="24"/>
        </w:rPr>
        <w:t>内容</w:t>
      </w:r>
      <w:r>
        <w:rPr>
          <w:rFonts w:hint="eastAsia" w:ascii="宋体" w:hAnsi="宋体" w:eastAsia="宋体"/>
          <w:sz w:val="24"/>
        </w:rPr>
        <w:t>、建立有效的异议受理和处理机制等措施，加强对当事人的个人信息保护。</w:t>
      </w:r>
    </w:p>
    <w:p w14:paraId="71D6CE2E">
      <w:pPr>
        <w:spacing w:line="360" w:lineRule="auto"/>
        <w:ind w:firstLine="420"/>
        <w:rPr>
          <w:rFonts w:ascii="宋体" w:hAnsi="宋体" w:eastAsia="宋体"/>
          <w:sz w:val="24"/>
        </w:rPr>
      </w:pPr>
      <w:r>
        <w:rPr>
          <w:rFonts w:hint="eastAsia" w:ascii="宋体" w:hAnsi="宋体" w:eastAsia="宋体"/>
          <w:b/>
          <w:bCs/>
          <w:sz w:val="24"/>
          <w:lang w:eastAsia="zh-CN"/>
        </w:rPr>
        <w:t>【</w:t>
      </w:r>
      <w:r>
        <w:rPr>
          <w:rFonts w:hint="eastAsia" w:ascii="宋体" w:hAnsi="宋体" w:eastAsia="宋体"/>
          <w:b/>
          <w:bCs/>
          <w:sz w:val="24"/>
        </w:rPr>
        <w:t>关键词</w:t>
      </w:r>
      <w:r>
        <w:rPr>
          <w:rFonts w:hint="eastAsia" w:ascii="宋体" w:hAnsi="宋体" w:eastAsia="宋体"/>
          <w:b/>
          <w:bCs/>
          <w:sz w:val="24"/>
          <w:lang w:eastAsia="zh-CN"/>
        </w:rPr>
        <w:t>】</w:t>
      </w:r>
      <w:r>
        <w:rPr>
          <w:rFonts w:ascii="宋体" w:hAnsi="宋体" w:eastAsia="宋体"/>
          <w:sz w:val="24"/>
        </w:rPr>
        <w:t>商标公告</w:t>
      </w:r>
      <w:r>
        <w:rPr>
          <w:rFonts w:hint="eastAsia" w:ascii="宋体" w:hAnsi="宋体" w:eastAsia="宋体"/>
          <w:sz w:val="24"/>
        </w:rPr>
        <w:t>；</w:t>
      </w:r>
      <w:r>
        <w:rPr>
          <w:rFonts w:ascii="宋体" w:hAnsi="宋体" w:eastAsia="宋体"/>
          <w:sz w:val="24"/>
        </w:rPr>
        <w:t>专利公报</w:t>
      </w:r>
      <w:r>
        <w:rPr>
          <w:rFonts w:hint="eastAsia" w:ascii="宋体" w:hAnsi="宋体" w:eastAsia="宋体"/>
          <w:sz w:val="24"/>
        </w:rPr>
        <w:t>；信息公开；个人信息保护</w:t>
      </w:r>
    </w:p>
    <w:p w14:paraId="749A27AE">
      <w:pPr>
        <w:spacing w:line="360" w:lineRule="auto"/>
        <w:ind w:firstLine="420"/>
        <w:rPr>
          <w:rFonts w:hint="eastAsia" w:ascii="宋体" w:hAnsi="宋体" w:eastAsia="宋体"/>
          <w:sz w:val="24"/>
          <w:lang w:val="en-US" w:eastAsia="zh-CN"/>
        </w:rPr>
      </w:pPr>
      <w:r>
        <w:rPr>
          <w:rFonts w:hint="eastAsia" w:ascii="黑体" w:hAnsi="黑体" w:eastAsia="黑体" w:cs="黑体"/>
          <w:b w:val="0"/>
          <w:bCs w:val="0"/>
          <w:sz w:val="24"/>
          <w:lang w:eastAsia="zh-CN"/>
        </w:rPr>
        <w:t>【</w:t>
      </w:r>
      <w:r>
        <w:rPr>
          <w:rFonts w:hint="eastAsia" w:ascii="黑体" w:hAnsi="黑体" w:eastAsia="黑体" w:cs="黑体"/>
          <w:b w:val="0"/>
          <w:bCs w:val="0"/>
          <w:sz w:val="24"/>
          <w:lang w:val="en-US" w:eastAsia="zh-CN"/>
        </w:rPr>
        <w:t>作者信息】</w:t>
      </w:r>
      <w:r>
        <w:rPr>
          <w:rFonts w:hint="eastAsia" w:ascii="宋体" w:hAnsi="宋体" w:eastAsia="宋体"/>
          <w:sz w:val="24"/>
          <w:lang w:val="en-US" w:eastAsia="zh-CN"/>
        </w:rPr>
        <w:t>谢执胜，中国政法大学法律学院</w:t>
      </w:r>
      <w:r>
        <w:rPr>
          <w:rFonts w:hint="default" w:ascii="Times New Roman" w:hAnsi="Times New Roman" w:eastAsia="宋体" w:cs="Times New Roman"/>
          <w:sz w:val="24"/>
          <w:lang w:val="en-US" w:eastAsia="zh-CN"/>
        </w:rPr>
        <w:t>2025</w:t>
      </w:r>
      <w:r>
        <w:rPr>
          <w:rFonts w:hint="eastAsia" w:ascii="宋体" w:hAnsi="宋体" w:eastAsia="宋体"/>
          <w:sz w:val="24"/>
          <w:lang w:val="en-US" w:eastAsia="zh-CN"/>
        </w:rPr>
        <w:t>级博士研究生。</w:t>
      </w:r>
    </w:p>
    <w:p w14:paraId="5E27E9EF">
      <w:pPr>
        <w:spacing w:line="360" w:lineRule="auto"/>
        <w:ind w:firstLine="420"/>
        <w:rPr>
          <w:rFonts w:hint="eastAsia" w:ascii="宋体" w:hAnsi="宋体" w:eastAsia="宋体"/>
          <w:sz w:val="24"/>
          <w:lang w:val="en-US" w:eastAsia="zh-CN"/>
        </w:rPr>
      </w:pPr>
      <w:bookmarkStart w:id="0" w:name="_GoBack"/>
      <w:bookmarkEnd w:id="0"/>
    </w:p>
    <w:p w14:paraId="3CDE42EE">
      <w:pPr>
        <w:spacing w:line="360" w:lineRule="auto"/>
        <w:outlineLvl w:val="0"/>
        <w:rPr>
          <w:rFonts w:ascii="宋体" w:hAnsi="宋体" w:eastAsia="宋体"/>
          <w:b/>
          <w:bCs/>
          <w:sz w:val="24"/>
        </w:rPr>
      </w:pPr>
      <w:r>
        <w:rPr>
          <w:rFonts w:hint="eastAsia" w:ascii="宋体" w:hAnsi="宋体" w:eastAsia="宋体"/>
          <w:b/>
          <w:bCs/>
          <w:sz w:val="24"/>
        </w:rPr>
        <w:t>前言</w:t>
      </w:r>
    </w:p>
    <w:p w14:paraId="12C92439">
      <w:pPr>
        <w:spacing w:line="360" w:lineRule="auto"/>
        <w:ind w:firstLine="420"/>
        <w:rPr>
          <w:rFonts w:ascii="宋体" w:hAnsi="宋体" w:eastAsia="宋体"/>
          <w:sz w:val="24"/>
        </w:rPr>
      </w:pPr>
      <w:r>
        <w:rPr>
          <w:rFonts w:ascii="宋体" w:hAnsi="宋体" w:eastAsia="宋体"/>
          <w:sz w:val="24"/>
        </w:rPr>
        <w:t>商标</w:t>
      </w:r>
      <w:r>
        <w:rPr>
          <w:rFonts w:hint="eastAsia" w:ascii="宋体" w:hAnsi="宋体" w:eastAsia="宋体"/>
          <w:sz w:val="24"/>
        </w:rPr>
        <w:t>公告</w:t>
      </w:r>
      <w:r>
        <w:rPr>
          <w:rFonts w:ascii="宋体" w:hAnsi="宋体" w:eastAsia="宋体"/>
          <w:sz w:val="24"/>
        </w:rPr>
        <w:t>与专利</w:t>
      </w:r>
      <w:r>
        <w:rPr>
          <w:rFonts w:hint="eastAsia" w:ascii="宋体" w:hAnsi="宋体" w:eastAsia="宋体"/>
          <w:sz w:val="24"/>
        </w:rPr>
        <w:t>公报是国家知识产权局发布商标信息、专利信息的重要方式，并具有平衡</w:t>
      </w:r>
      <w:r>
        <w:rPr>
          <w:rFonts w:ascii="宋体" w:hAnsi="宋体" w:eastAsia="宋体"/>
          <w:sz w:val="24"/>
        </w:rPr>
        <w:t>权利人利益和</w:t>
      </w:r>
      <w:r>
        <w:rPr>
          <w:rFonts w:hint="eastAsia" w:ascii="宋体" w:hAnsi="宋体" w:eastAsia="宋体"/>
          <w:sz w:val="24"/>
        </w:rPr>
        <w:t>社会</w:t>
      </w:r>
      <w:r>
        <w:rPr>
          <w:rFonts w:ascii="宋体" w:hAnsi="宋体" w:eastAsia="宋体"/>
          <w:sz w:val="24"/>
        </w:rPr>
        <w:t>公共利益</w:t>
      </w:r>
      <w:r>
        <w:rPr>
          <w:rFonts w:hint="eastAsia" w:ascii="宋体" w:hAnsi="宋体" w:eastAsia="宋体"/>
          <w:sz w:val="24"/>
        </w:rPr>
        <w:t>的功能。若当事人为自然人，国家知识产权局会在</w:t>
      </w:r>
      <w:r>
        <w:rPr>
          <w:rFonts w:ascii="宋体" w:hAnsi="宋体" w:eastAsia="宋体"/>
          <w:sz w:val="24"/>
        </w:rPr>
        <w:t>商标</w:t>
      </w:r>
      <w:r>
        <w:rPr>
          <w:rFonts w:hint="eastAsia" w:ascii="宋体" w:hAnsi="宋体" w:eastAsia="宋体"/>
          <w:sz w:val="24"/>
        </w:rPr>
        <w:t>公告中公开自然人的姓名、详细地址、身份证号、</w:t>
      </w:r>
      <w:r>
        <w:rPr>
          <w:rFonts w:ascii="宋体" w:hAnsi="宋体" w:eastAsia="宋体"/>
          <w:sz w:val="24"/>
        </w:rPr>
        <w:t>护照号</w:t>
      </w:r>
      <w:r>
        <w:rPr>
          <w:rFonts w:hint="eastAsia" w:ascii="宋体" w:hAnsi="宋体" w:eastAsia="宋体"/>
          <w:sz w:val="24"/>
        </w:rPr>
        <w:t>或其他证件号等信息，也会在专利公报中公开自然人的姓名、详细地址等信息。然而，国家知识产权局公开上述信息后，可能会给当事人的日常生活和生产经营带来困扰。《中华人民共和国民法典》（以下简称《民法典》）第1034条第2款规定：“</w:t>
      </w:r>
      <w:r>
        <w:rPr>
          <w:rFonts w:ascii="宋体" w:hAnsi="宋体" w:eastAsia="宋体"/>
          <w:sz w:val="24"/>
        </w:rPr>
        <w:t>个人信息是以电子或者其他方式记录的能够单独或者与其他信息结合识别特定自然人的各种信息，包括自然人的姓名、出生日期、身份证件号码、生物识别信息、住址、电话号码、电子邮箱、健康信息、行踪信息等。</w:t>
      </w:r>
      <w:r>
        <w:rPr>
          <w:rFonts w:hint="eastAsia" w:ascii="宋体" w:hAnsi="宋体" w:eastAsia="宋体"/>
          <w:sz w:val="24"/>
        </w:rPr>
        <w:t>”可见，</w:t>
      </w:r>
      <w:r>
        <w:rPr>
          <w:rFonts w:ascii="宋体" w:hAnsi="宋体" w:eastAsia="宋体"/>
          <w:sz w:val="24"/>
        </w:rPr>
        <w:t>商标</w:t>
      </w:r>
      <w:r>
        <w:rPr>
          <w:rFonts w:hint="eastAsia" w:ascii="宋体" w:hAnsi="宋体" w:eastAsia="宋体"/>
          <w:sz w:val="24"/>
        </w:rPr>
        <w:t>公告</w:t>
      </w:r>
      <w:r>
        <w:rPr>
          <w:rFonts w:ascii="宋体" w:hAnsi="宋体" w:eastAsia="宋体"/>
          <w:sz w:val="24"/>
        </w:rPr>
        <w:t>与专利</w:t>
      </w:r>
      <w:r>
        <w:rPr>
          <w:rFonts w:hint="eastAsia" w:ascii="宋体" w:hAnsi="宋体" w:eastAsia="宋体"/>
          <w:sz w:val="24"/>
        </w:rPr>
        <w:t>公报中公开的自然人的</w:t>
      </w:r>
      <w:r>
        <w:rPr>
          <w:rFonts w:ascii="宋体" w:hAnsi="宋体" w:eastAsia="宋体"/>
          <w:sz w:val="24"/>
        </w:rPr>
        <w:t>姓名</w:t>
      </w:r>
      <w:r>
        <w:rPr>
          <w:rFonts w:hint="eastAsia" w:ascii="宋体" w:hAnsi="宋体" w:eastAsia="宋体"/>
          <w:sz w:val="24"/>
        </w:rPr>
        <w:t>、详细地址、</w:t>
      </w:r>
      <w:r>
        <w:rPr>
          <w:rFonts w:ascii="宋体" w:hAnsi="宋体" w:eastAsia="宋体"/>
          <w:sz w:val="24"/>
        </w:rPr>
        <w:t>身份证号</w:t>
      </w:r>
      <w:r>
        <w:rPr>
          <w:rFonts w:hint="eastAsia" w:ascii="宋体" w:hAnsi="宋体" w:eastAsia="宋体"/>
          <w:sz w:val="24"/>
        </w:rPr>
        <w:t>、</w:t>
      </w:r>
      <w:r>
        <w:rPr>
          <w:rFonts w:ascii="宋体" w:hAnsi="宋体" w:eastAsia="宋体"/>
          <w:sz w:val="24"/>
        </w:rPr>
        <w:t>护照号</w:t>
      </w:r>
      <w:r>
        <w:rPr>
          <w:rFonts w:hint="eastAsia" w:ascii="宋体" w:hAnsi="宋体" w:eastAsia="宋体"/>
          <w:sz w:val="24"/>
        </w:rPr>
        <w:t>或其他证件号等信息属于个人信息，受《民法典》《中华人民共和国个人信息保护法》（以下简称《个人信息保护法》）等法律保护。因此，国家知识产权局在</w:t>
      </w:r>
      <w:r>
        <w:rPr>
          <w:rFonts w:ascii="宋体" w:hAnsi="宋体" w:eastAsia="宋体"/>
          <w:sz w:val="24"/>
        </w:rPr>
        <w:t>商标</w:t>
      </w:r>
      <w:r>
        <w:rPr>
          <w:rFonts w:hint="eastAsia" w:ascii="宋体" w:hAnsi="宋体" w:eastAsia="宋体"/>
          <w:sz w:val="24"/>
        </w:rPr>
        <w:t>公告与</w:t>
      </w:r>
      <w:r>
        <w:rPr>
          <w:rFonts w:ascii="宋体" w:hAnsi="宋体" w:eastAsia="宋体"/>
          <w:sz w:val="24"/>
        </w:rPr>
        <w:t>专利</w:t>
      </w:r>
      <w:r>
        <w:rPr>
          <w:rFonts w:hint="eastAsia" w:ascii="宋体" w:hAnsi="宋体" w:eastAsia="宋体"/>
          <w:sz w:val="24"/>
        </w:rPr>
        <w:t>公报中公开个人信息的问题，值得讨论。鉴于此，本文从</w:t>
      </w:r>
      <w:r>
        <w:rPr>
          <w:rFonts w:ascii="宋体" w:hAnsi="宋体" w:eastAsia="宋体"/>
          <w:sz w:val="24"/>
        </w:rPr>
        <w:t>商标</w:t>
      </w:r>
      <w:r>
        <w:rPr>
          <w:rFonts w:hint="eastAsia" w:ascii="宋体" w:hAnsi="宋体" w:eastAsia="宋体"/>
          <w:sz w:val="24"/>
        </w:rPr>
        <w:t>公告与</w:t>
      </w:r>
      <w:r>
        <w:rPr>
          <w:rFonts w:ascii="宋体" w:hAnsi="宋体" w:eastAsia="宋体"/>
          <w:sz w:val="24"/>
        </w:rPr>
        <w:t>专利</w:t>
      </w:r>
      <w:r>
        <w:rPr>
          <w:rFonts w:hint="eastAsia" w:ascii="宋体" w:hAnsi="宋体" w:eastAsia="宋体"/>
          <w:sz w:val="24"/>
        </w:rPr>
        <w:t>公报中公开个人信息的现状、对自然人的</w:t>
      </w:r>
      <w:r>
        <w:rPr>
          <w:rFonts w:ascii="宋体" w:hAnsi="宋体" w:eastAsia="宋体"/>
          <w:sz w:val="24"/>
        </w:rPr>
        <w:t>权益损害</w:t>
      </w:r>
      <w:r>
        <w:rPr>
          <w:rFonts w:hint="eastAsia" w:ascii="宋体" w:hAnsi="宋体" w:eastAsia="宋体"/>
          <w:sz w:val="24"/>
        </w:rPr>
        <w:t>、合法性和必要性等维度展开讨论并提出完善路径。需要明确的是，本文主要围绕国家知识产权局公开个人信息的活动展开讨论，不涉及国家知识产权局为履行法定职责而收集、存储、使用个人信息的活动。</w:t>
      </w:r>
    </w:p>
    <w:p w14:paraId="2B381730">
      <w:pPr>
        <w:spacing w:line="360" w:lineRule="auto"/>
        <w:ind w:firstLine="420"/>
        <w:rPr>
          <w:rFonts w:ascii="宋体" w:hAnsi="宋体" w:eastAsia="宋体"/>
          <w:sz w:val="24"/>
        </w:rPr>
      </w:pPr>
    </w:p>
    <w:p w14:paraId="5B02E70B">
      <w:pPr>
        <w:spacing w:line="360" w:lineRule="auto"/>
        <w:outlineLvl w:val="0"/>
        <w:rPr>
          <w:rFonts w:ascii="宋体" w:hAnsi="宋体" w:eastAsia="宋体"/>
          <w:b/>
          <w:bCs/>
          <w:sz w:val="24"/>
        </w:rPr>
      </w:pPr>
      <w:r>
        <w:rPr>
          <w:rFonts w:hint="eastAsia" w:ascii="宋体" w:hAnsi="宋体" w:eastAsia="宋体"/>
          <w:b/>
          <w:bCs/>
          <w:sz w:val="24"/>
        </w:rPr>
        <w:t>一、</w:t>
      </w:r>
      <w:r>
        <w:rPr>
          <w:rFonts w:ascii="宋体" w:hAnsi="宋体" w:eastAsia="宋体"/>
          <w:b/>
          <w:bCs/>
          <w:sz w:val="24"/>
        </w:rPr>
        <w:t>商标</w:t>
      </w:r>
      <w:r>
        <w:rPr>
          <w:rFonts w:hint="eastAsia" w:ascii="宋体" w:hAnsi="宋体" w:eastAsia="宋体"/>
          <w:b/>
          <w:bCs/>
          <w:sz w:val="24"/>
        </w:rPr>
        <w:t>公告</w:t>
      </w:r>
      <w:r>
        <w:rPr>
          <w:rFonts w:ascii="宋体" w:hAnsi="宋体" w:eastAsia="宋体"/>
          <w:b/>
          <w:bCs/>
          <w:sz w:val="24"/>
        </w:rPr>
        <w:t>与专利</w:t>
      </w:r>
      <w:r>
        <w:rPr>
          <w:rFonts w:hint="eastAsia" w:ascii="宋体" w:hAnsi="宋体" w:eastAsia="宋体"/>
          <w:b/>
          <w:bCs/>
          <w:sz w:val="24"/>
        </w:rPr>
        <w:t>公报公开个人信息的现状及</w:t>
      </w:r>
      <w:r>
        <w:rPr>
          <w:rFonts w:ascii="宋体" w:hAnsi="宋体" w:eastAsia="宋体"/>
          <w:b/>
          <w:bCs/>
          <w:sz w:val="24"/>
        </w:rPr>
        <w:t>权益损害</w:t>
      </w:r>
    </w:p>
    <w:p w14:paraId="77433F0D">
      <w:pPr>
        <w:spacing w:line="360" w:lineRule="auto"/>
        <w:ind w:firstLine="420"/>
        <w:outlineLvl w:val="1"/>
        <w:rPr>
          <w:rFonts w:ascii="宋体" w:hAnsi="宋体"/>
          <w:sz w:val="24"/>
        </w:rPr>
      </w:pPr>
      <w:r>
        <w:rPr>
          <w:rFonts w:hint="eastAsia" w:ascii="宋体" w:hAnsi="宋体" w:eastAsia="宋体"/>
          <w:sz w:val="24"/>
        </w:rPr>
        <w:t>（一）商标公告的公开情况</w:t>
      </w:r>
    </w:p>
    <w:p w14:paraId="36894FD2">
      <w:pPr>
        <w:spacing w:line="360" w:lineRule="auto"/>
        <w:ind w:firstLine="420"/>
        <w:rPr>
          <w:rFonts w:ascii="宋体" w:hAnsi="宋体" w:eastAsia="宋体"/>
          <w:sz w:val="24"/>
        </w:rPr>
      </w:pPr>
      <w:r>
        <w:rPr>
          <w:rFonts w:hint="eastAsia" w:ascii="宋体" w:hAnsi="宋体" w:eastAsia="宋体"/>
          <w:sz w:val="24"/>
        </w:rPr>
        <w:t>现行《中华人民共和国商标法》（以下简称《商标法》）虽然没有明确规定国家知识产权局的</w:t>
      </w:r>
      <w:r>
        <w:rPr>
          <w:rFonts w:ascii="宋体" w:hAnsi="宋体" w:eastAsia="宋体"/>
          <w:sz w:val="24"/>
        </w:rPr>
        <w:t>信息公开义务</w:t>
      </w:r>
      <w:r>
        <w:rPr>
          <w:rFonts w:hint="eastAsia" w:ascii="宋体" w:hAnsi="宋体" w:eastAsia="宋体"/>
          <w:sz w:val="24"/>
        </w:rPr>
        <w:t>，但有多个条款涉及商标公告的内容。同时，第十四届全国人大常委会第十九次会议审议的《中华人民共和国商标法（修订草案）》</w:t>
      </w:r>
      <w:r>
        <w:rPr>
          <w:rFonts w:ascii="宋体" w:hAnsi="宋体" w:eastAsia="宋体"/>
          <w:sz w:val="24"/>
        </w:rPr>
        <w:t>第</w:t>
      </w:r>
      <w:r>
        <w:rPr>
          <w:rFonts w:hint="eastAsia" w:ascii="宋体" w:hAnsi="宋体" w:eastAsia="宋体"/>
          <w:sz w:val="24"/>
        </w:rPr>
        <w:t>13</w:t>
      </w:r>
      <w:r>
        <w:rPr>
          <w:rFonts w:ascii="宋体" w:hAnsi="宋体" w:eastAsia="宋体"/>
          <w:sz w:val="24"/>
        </w:rPr>
        <w:t>条</w:t>
      </w:r>
      <w:r>
        <w:rPr>
          <w:rFonts w:hint="eastAsia" w:ascii="宋体" w:hAnsi="宋体" w:eastAsia="宋体"/>
          <w:sz w:val="24"/>
        </w:rPr>
        <w:t>规定：“国务院商标管理部门加强信息化、智能化商标公共服务体系建设，提升商标业务办理的便利化程度，完整、准确、及时发布商标信息，提升商标信息服务和管理水平</w:t>
      </w:r>
      <w:r>
        <w:rPr>
          <w:rFonts w:ascii="宋体" w:hAnsi="宋体" w:eastAsia="宋体"/>
          <w:sz w:val="24"/>
        </w:rPr>
        <w:t>。</w:t>
      </w:r>
      <w:r>
        <w:rPr>
          <w:rFonts w:hint="eastAsia" w:ascii="宋体" w:hAnsi="宋体" w:eastAsia="宋体"/>
          <w:sz w:val="24"/>
        </w:rPr>
        <w:t>”因此，国家知识产权局有义务</w:t>
      </w:r>
      <w:r>
        <w:rPr>
          <w:rFonts w:ascii="宋体" w:hAnsi="宋体" w:eastAsia="宋体"/>
          <w:sz w:val="24"/>
        </w:rPr>
        <w:t>完整、准确、及时</w:t>
      </w:r>
      <w:r>
        <w:rPr>
          <w:rFonts w:hint="eastAsia" w:ascii="宋体" w:hAnsi="宋体" w:eastAsia="宋体"/>
          <w:sz w:val="24"/>
        </w:rPr>
        <w:t>发布商标信息。</w:t>
      </w:r>
    </w:p>
    <w:p w14:paraId="731028E0">
      <w:pPr>
        <w:spacing w:line="360" w:lineRule="auto"/>
        <w:ind w:firstLine="420"/>
        <w:rPr>
          <w:rFonts w:ascii="宋体" w:hAnsi="宋体" w:eastAsia="宋体"/>
          <w:sz w:val="24"/>
        </w:rPr>
      </w:pPr>
      <w:r>
        <w:rPr>
          <w:rFonts w:hint="eastAsia" w:ascii="宋体" w:hAnsi="宋体" w:eastAsia="宋体"/>
          <w:sz w:val="24"/>
        </w:rPr>
        <w:t>根据《中华人民共和国商标法实施条例》（以下简称《商标法实施条例》）</w:t>
      </w:r>
      <w:r>
        <w:rPr>
          <w:rFonts w:ascii="宋体" w:hAnsi="宋体" w:eastAsia="宋体"/>
          <w:sz w:val="24"/>
        </w:rPr>
        <w:t>第</w:t>
      </w:r>
      <w:r>
        <w:rPr>
          <w:rFonts w:hint="eastAsia" w:ascii="宋体" w:hAnsi="宋体" w:eastAsia="宋体"/>
          <w:sz w:val="24"/>
        </w:rPr>
        <w:t>96</w:t>
      </w:r>
      <w:r>
        <w:rPr>
          <w:rFonts w:ascii="宋体" w:hAnsi="宋体" w:eastAsia="宋体"/>
          <w:sz w:val="24"/>
        </w:rPr>
        <w:t>条</w:t>
      </w:r>
      <w:r>
        <w:rPr>
          <w:rFonts w:hint="eastAsia" w:ascii="宋体" w:hAnsi="宋体" w:eastAsia="宋体"/>
          <w:sz w:val="24"/>
        </w:rPr>
        <w:t>第1款：“</w:t>
      </w:r>
      <w:r>
        <w:rPr>
          <w:rFonts w:ascii="宋体" w:hAnsi="宋体" w:eastAsia="宋体"/>
          <w:sz w:val="24"/>
        </w:rPr>
        <w:t>商标局发布《商标公告》，刊发商标注册及其他有关事项</w:t>
      </w:r>
      <w:r>
        <w:rPr>
          <w:rFonts w:hint="eastAsia" w:ascii="宋体" w:hAnsi="宋体" w:eastAsia="宋体"/>
          <w:sz w:val="24"/>
        </w:rPr>
        <w:t>。”以及《商标审查审理指南》第二十四章关于商标公告的规定，商标公告</w:t>
      </w:r>
      <w:r>
        <w:rPr>
          <w:rFonts w:ascii="宋体" w:hAnsi="宋体" w:eastAsia="宋体"/>
          <w:sz w:val="24"/>
        </w:rPr>
        <w:t>刊发商标注册及其他有关事项</w:t>
      </w:r>
      <w:r>
        <w:rPr>
          <w:rFonts w:hint="eastAsia" w:ascii="宋体" w:hAnsi="宋体" w:eastAsia="宋体"/>
          <w:sz w:val="24"/>
        </w:rPr>
        <w:t>，具体包括商标初步审定公告、集体商标初步审定公告、证明商标初步审定公告、商标注册公告等30种类型。但是，《商标审查审理指南》没有详细规定各类公告的具体内容。在实践中，国家知识产权局自行确定各类</w:t>
      </w:r>
      <w:r>
        <w:rPr>
          <w:rFonts w:ascii="宋体" w:hAnsi="宋体" w:eastAsia="宋体"/>
          <w:sz w:val="24"/>
        </w:rPr>
        <w:t>公告的</w:t>
      </w:r>
      <w:r>
        <w:rPr>
          <w:rFonts w:hint="eastAsia" w:ascii="宋体" w:hAnsi="宋体" w:eastAsia="宋体"/>
          <w:sz w:val="24"/>
        </w:rPr>
        <w:t>具体</w:t>
      </w:r>
      <w:r>
        <w:rPr>
          <w:rFonts w:ascii="宋体" w:hAnsi="宋体" w:eastAsia="宋体"/>
          <w:sz w:val="24"/>
        </w:rPr>
        <w:t>内容</w:t>
      </w:r>
      <w:r>
        <w:rPr>
          <w:rFonts w:hint="eastAsia" w:ascii="宋体" w:hAnsi="宋体" w:eastAsia="宋体"/>
          <w:sz w:val="24"/>
        </w:rPr>
        <w:t>。经检索，商标公告中涉及个人信息的公告主要有如下17类：</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410"/>
        <w:gridCol w:w="1417"/>
        <w:gridCol w:w="3759"/>
      </w:tblGrid>
      <w:tr w14:paraId="4B31A4C7">
        <w:trPr>
          <w:jc w:val="center"/>
        </w:trPr>
        <w:tc>
          <w:tcPr>
            <w:tcW w:w="704" w:type="dxa"/>
            <w:vAlign w:val="center"/>
          </w:tcPr>
          <w:p w14:paraId="30496B9B">
            <w:pPr>
              <w:spacing w:line="360" w:lineRule="auto"/>
              <w:jc w:val="center"/>
              <w:rPr>
                <w:rFonts w:ascii="宋体" w:hAnsi="宋体" w:eastAsia="宋体"/>
                <w:sz w:val="18"/>
                <w:szCs w:val="18"/>
              </w:rPr>
            </w:pPr>
            <w:r>
              <w:rPr>
                <w:rFonts w:hint="eastAsia" w:ascii="宋体" w:hAnsi="宋体" w:eastAsia="宋体"/>
                <w:sz w:val="18"/>
                <w:szCs w:val="18"/>
              </w:rPr>
              <w:t>序号</w:t>
            </w:r>
          </w:p>
        </w:tc>
        <w:tc>
          <w:tcPr>
            <w:tcW w:w="2410" w:type="dxa"/>
            <w:vAlign w:val="center"/>
          </w:tcPr>
          <w:p w14:paraId="0BB1D913">
            <w:pPr>
              <w:spacing w:line="360" w:lineRule="auto"/>
              <w:jc w:val="center"/>
              <w:rPr>
                <w:rFonts w:ascii="宋体" w:hAnsi="宋体" w:eastAsia="宋体"/>
                <w:sz w:val="18"/>
                <w:szCs w:val="18"/>
              </w:rPr>
            </w:pPr>
            <w:r>
              <w:rPr>
                <w:rFonts w:hint="eastAsia" w:ascii="宋体" w:hAnsi="宋体" w:eastAsia="宋体"/>
                <w:sz w:val="18"/>
                <w:szCs w:val="18"/>
              </w:rPr>
              <w:t>公告类型</w:t>
            </w:r>
          </w:p>
        </w:tc>
        <w:tc>
          <w:tcPr>
            <w:tcW w:w="5176" w:type="dxa"/>
            <w:gridSpan w:val="2"/>
            <w:vAlign w:val="center"/>
          </w:tcPr>
          <w:p w14:paraId="24B191C3">
            <w:pPr>
              <w:spacing w:line="360" w:lineRule="auto"/>
              <w:jc w:val="center"/>
              <w:rPr>
                <w:rFonts w:ascii="宋体" w:hAnsi="宋体" w:eastAsia="宋体"/>
                <w:sz w:val="18"/>
                <w:szCs w:val="18"/>
              </w:rPr>
            </w:pPr>
            <w:r>
              <w:rPr>
                <w:rFonts w:hint="eastAsia" w:ascii="宋体" w:hAnsi="宋体" w:eastAsia="宋体"/>
                <w:sz w:val="18"/>
                <w:szCs w:val="18"/>
              </w:rPr>
              <w:t>公开的个人信息</w:t>
            </w:r>
          </w:p>
        </w:tc>
      </w:tr>
      <w:tr w14:paraId="720A5DAD">
        <w:trPr>
          <w:jc w:val="center"/>
        </w:trPr>
        <w:tc>
          <w:tcPr>
            <w:tcW w:w="704" w:type="dxa"/>
            <w:vMerge w:val="restart"/>
            <w:vAlign w:val="center"/>
          </w:tcPr>
          <w:p w14:paraId="4A8B564F">
            <w:pPr>
              <w:spacing w:line="360" w:lineRule="auto"/>
              <w:jc w:val="center"/>
              <w:rPr>
                <w:rFonts w:ascii="宋体" w:hAnsi="宋体" w:eastAsia="宋体"/>
                <w:sz w:val="18"/>
                <w:szCs w:val="18"/>
              </w:rPr>
            </w:pPr>
            <w:r>
              <w:rPr>
                <w:rFonts w:hint="eastAsia" w:ascii="宋体" w:hAnsi="宋体" w:eastAsia="宋体"/>
                <w:sz w:val="18"/>
                <w:szCs w:val="18"/>
              </w:rPr>
              <w:t>1</w:t>
            </w:r>
          </w:p>
        </w:tc>
        <w:tc>
          <w:tcPr>
            <w:tcW w:w="2410" w:type="dxa"/>
            <w:vMerge w:val="restart"/>
            <w:vAlign w:val="center"/>
          </w:tcPr>
          <w:p w14:paraId="5E7B03BE">
            <w:pPr>
              <w:spacing w:line="360" w:lineRule="auto"/>
              <w:jc w:val="center"/>
              <w:rPr>
                <w:rFonts w:ascii="宋体" w:hAnsi="宋体" w:eastAsia="宋体"/>
                <w:sz w:val="18"/>
                <w:szCs w:val="18"/>
              </w:rPr>
            </w:pPr>
            <w:r>
              <w:rPr>
                <w:rFonts w:hint="eastAsia" w:ascii="宋体" w:hAnsi="宋体" w:eastAsia="宋体"/>
                <w:sz w:val="18"/>
                <w:szCs w:val="18"/>
              </w:rPr>
              <w:t>商标初步审定公告</w:t>
            </w:r>
          </w:p>
        </w:tc>
        <w:tc>
          <w:tcPr>
            <w:tcW w:w="1417" w:type="dxa"/>
            <w:vAlign w:val="center"/>
          </w:tcPr>
          <w:p w14:paraId="304B7135">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5942C848">
            <w:pPr>
              <w:spacing w:line="360" w:lineRule="auto"/>
              <w:jc w:val="center"/>
              <w:rPr>
                <w:rFonts w:ascii="宋体" w:hAnsi="宋体" w:eastAsia="宋体"/>
                <w:sz w:val="18"/>
                <w:szCs w:val="18"/>
              </w:rPr>
            </w:pPr>
            <w:r>
              <w:rPr>
                <w:rFonts w:hint="eastAsia" w:ascii="宋体" w:hAnsi="宋体" w:eastAsia="宋体"/>
                <w:sz w:val="18"/>
                <w:szCs w:val="18"/>
              </w:rPr>
              <w:t>姓名+地址</w:t>
            </w:r>
            <w:r>
              <w:rPr>
                <w:rStyle w:val="24"/>
                <w:rFonts w:ascii="宋体" w:hAnsi="宋体" w:eastAsia="宋体"/>
                <w:sz w:val="18"/>
                <w:szCs w:val="18"/>
              </w:rPr>
              <w:footnoteReference w:id="0"/>
            </w:r>
          </w:p>
        </w:tc>
      </w:tr>
      <w:tr w14:paraId="254B4200">
        <w:trPr>
          <w:jc w:val="center"/>
        </w:trPr>
        <w:tc>
          <w:tcPr>
            <w:tcW w:w="704" w:type="dxa"/>
            <w:vMerge w:val="continue"/>
            <w:vAlign w:val="center"/>
          </w:tcPr>
          <w:p w14:paraId="12B8A8CA">
            <w:pPr>
              <w:spacing w:line="360" w:lineRule="auto"/>
              <w:jc w:val="center"/>
              <w:rPr>
                <w:rFonts w:ascii="宋体" w:hAnsi="宋体" w:eastAsia="宋体"/>
                <w:sz w:val="18"/>
                <w:szCs w:val="18"/>
              </w:rPr>
            </w:pPr>
          </w:p>
        </w:tc>
        <w:tc>
          <w:tcPr>
            <w:tcW w:w="2410" w:type="dxa"/>
            <w:vMerge w:val="continue"/>
            <w:vAlign w:val="center"/>
          </w:tcPr>
          <w:p w14:paraId="51301949">
            <w:pPr>
              <w:spacing w:line="360" w:lineRule="auto"/>
              <w:jc w:val="center"/>
              <w:rPr>
                <w:rFonts w:ascii="宋体" w:hAnsi="宋体" w:eastAsia="宋体"/>
                <w:sz w:val="18"/>
                <w:szCs w:val="18"/>
              </w:rPr>
            </w:pPr>
          </w:p>
        </w:tc>
        <w:tc>
          <w:tcPr>
            <w:tcW w:w="1417" w:type="dxa"/>
            <w:vAlign w:val="center"/>
          </w:tcPr>
          <w:p w14:paraId="3D46DF6F">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62F67DF6">
            <w:pPr>
              <w:spacing w:line="360" w:lineRule="auto"/>
              <w:jc w:val="center"/>
              <w:rPr>
                <w:rFonts w:ascii="宋体" w:hAnsi="宋体" w:eastAsia="宋体"/>
                <w:sz w:val="18"/>
                <w:szCs w:val="18"/>
              </w:rPr>
            </w:pPr>
            <w:r>
              <w:rPr>
                <w:rFonts w:hint="eastAsia" w:ascii="宋体" w:hAnsi="宋体" w:eastAsia="宋体"/>
                <w:sz w:val="18"/>
                <w:szCs w:val="18"/>
              </w:rPr>
              <w:t>姓名+地址+身份证号（部分公开）</w:t>
            </w:r>
            <w:r>
              <w:rPr>
                <w:rStyle w:val="24"/>
                <w:rFonts w:ascii="宋体" w:hAnsi="宋体" w:eastAsia="宋体"/>
                <w:sz w:val="18"/>
                <w:szCs w:val="18"/>
              </w:rPr>
              <w:footnoteReference w:id="1"/>
            </w:r>
          </w:p>
        </w:tc>
      </w:tr>
      <w:tr w14:paraId="74C070BE">
        <w:trPr>
          <w:jc w:val="center"/>
        </w:trPr>
        <w:tc>
          <w:tcPr>
            <w:tcW w:w="704" w:type="dxa"/>
            <w:vMerge w:val="continue"/>
            <w:vAlign w:val="center"/>
          </w:tcPr>
          <w:p w14:paraId="532FC899">
            <w:pPr>
              <w:spacing w:line="360" w:lineRule="auto"/>
              <w:jc w:val="center"/>
              <w:rPr>
                <w:rFonts w:ascii="宋体" w:hAnsi="宋体" w:eastAsia="宋体"/>
                <w:sz w:val="18"/>
                <w:szCs w:val="18"/>
              </w:rPr>
            </w:pPr>
          </w:p>
        </w:tc>
        <w:tc>
          <w:tcPr>
            <w:tcW w:w="2410" w:type="dxa"/>
            <w:vMerge w:val="continue"/>
            <w:vAlign w:val="center"/>
          </w:tcPr>
          <w:p w14:paraId="6B2F842D">
            <w:pPr>
              <w:spacing w:line="360" w:lineRule="auto"/>
              <w:jc w:val="center"/>
              <w:rPr>
                <w:rFonts w:ascii="宋体" w:hAnsi="宋体" w:eastAsia="宋体"/>
                <w:sz w:val="18"/>
                <w:szCs w:val="18"/>
              </w:rPr>
            </w:pPr>
          </w:p>
        </w:tc>
        <w:tc>
          <w:tcPr>
            <w:tcW w:w="1417" w:type="dxa"/>
            <w:vAlign w:val="center"/>
          </w:tcPr>
          <w:p w14:paraId="18EE9016">
            <w:pPr>
              <w:spacing w:line="360" w:lineRule="auto"/>
              <w:jc w:val="center"/>
              <w:rPr>
                <w:rFonts w:ascii="宋体" w:hAnsi="宋体" w:eastAsia="宋体"/>
                <w:sz w:val="18"/>
                <w:szCs w:val="18"/>
              </w:rPr>
            </w:pPr>
            <w:r>
              <w:rPr>
                <w:rFonts w:hint="eastAsia" w:ascii="宋体" w:hAnsi="宋体" w:eastAsia="宋体"/>
                <w:sz w:val="18"/>
                <w:szCs w:val="18"/>
              </w:rPr>
              <w:t>情形三</w:t>
            </w:r>
          </w:p>
        </w:tc>
        <w:tc>
          <w:tcPr>
            <w:tcW w:w="3759" w:type="dxa"/>
            <w:vAlign w:val="center"/>
          </w:tcPr>
          <w:p w14:paraId="131A5876">
            <w:pPr>
              <w:spacing w:line="360" w:lineRule="auto"/>
              <w:jc w:val="center"/>
              <w:rPr>
                <w:rFonts w:ascii="宋体" w:hAnsi="宋体" w:eastAsia="宋体"/>
                <w:sz w:val="18"/>
                <w:szCs w:val="18"/>
              </w:rPr>
            </w:pPr>
            <w:r>
              <w:rPr>
                <w:rFonts w:hint="eastAsia" w:ascii="宋体" w:hAnsi="宋体" w:eastAsia="宋体"/>
                <w:sz w:val="18"/>
                <w:szCs w:val="18"/>
              </w:rPr>
              <w:t>姓名+地址+护照号（部分公开）</w:t>
            </w:r>
            <w:r>
              <w:rPr>
                <w:rStyle w:val="24"/>
                <w:rFonts w:ascii="宋体" w:hAnsi="宋体" w:eastAsia="宋体"/>
                <w:sz w:val="18"/>
                <w:szCs w:val="18"/>
              </w:rPr>
              <w:footnoteReference w:id="2"/>
            </w:r>
          </w:p>
        </w:tc>
      </w:tr>
      <w:tr w14:paraId="0854ADB5">
        <w:trPr>
          <w:jc w:val="center"/>
        </w:trPr>
        <w:tc>
          <w:tcPr>
            <w:tcW w:w="704" w:type="dxa"/>
            <w:vMerge w:val="restart"/>
            <w:vAlign w:val="center"/>
          </w:tcPr>
          <w:p w14:paraId="15B22CFA">
            <w:pPr>
              <w:spacing w:line="360" w:lineRule="auto"/>
              <w:jc w:val="center"/>
              <w:rPr>
                <w:rFonts w:ascii="宋体" w:hAnsi="宋体" w:eastAsia="宋体"/>
                <w:sz w:val="18"/>
                <w:szCs w:val="18"/>
              </w:rPr>
            </w:pPr>
            <w:r>
              <w:rPr>
                <w:rFonts w:hint="eastAsia" w:ascii="宋体" w:hAnsi="宋体" w:eastAsia="宋体"/>
                <w:sz w:val="18"/>
                <w:szCs w:val="18"/>
              </w:rPr>
              <w:t>2</w:t>
            </w:r>
          </w:p>
        </w:tc>
        <w:tc>
          <w:tcPr>
            <w:tcW w:w="2410" w:type="dxa"/>
            <w:vMerge w:val="restart"/>
            <w:vAlign w:val="center"/>
          </w:tcPr>
          <w:p w14:paraId="6F742159">
            <w:pPr>
              <w:spacing w:line="360" w:lineRule="auto"/>
              <w:jc w:val="center"/>
              <w:rPr>
                <w:rFonts w:ascii="宋体" w:hAnsi="宋体" w:eastAsia="宋体"/>
                <w:sz w:val="18"/>
                <w:szCs w:val="18"/>
              </w:rPr>
            </w:pPr>
            <w:r>
              <w:rPr>
                <w:rFonts w:hint="eastAsia" w:ascii="宋体" w:hAnsi="宋体" w:eastAsia="宋体"/>
                <w:sz w:val="18"/>
                <w:szCs w:val="18"/>
              </w:rPr>
              <w:t>商标注册公告（一）</w:t>
            </w:r>
          </w:p>
        </w:tc>
        <w:tc>
          <w:tcPr>
            <w:tcW w:w="1417" w:type="dxa"/>
            <w:vAlign w:val="center"/>
          </w:tcPr>
          <w:p w14:paraId="55304BD1">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38D96DC3">
            <w:pPr>
              <w:spacing w:line="360" w:lineRule="auto"/>
              <w:jc w:val="center"/>
              <w:rPr>
                <w:rFonts w:ascii="宋体" w:hAnsi="宋体" w:eastAsia="宋体"/>
                <w:sz w:val="18"/>
                <w:szCs w:val="18"/>
              </w:rPr>
            </w:pPr>
            <w:r>
              <w:rPr>
                <w:rFonts w:hint="eastAsia" w:ascii="宋体" w:hAnsi="宋体" w:eastAsia="宋体"/>
                <w:sz w:val="18"/>
                <w:szCs w:val="18"/>
              </w:rPr>
              <w:t>姓名</w:t>
            </w:r>
            <w:r>
              <w:rPr>
                <w:rStyle w:val="24"/>
                <w:rFonts w:ascii="宋体" w:hAnsi="宋体" w:eastAsia="宋体"/>
                <w:sz w:val="18"/>
                <w:szCs w:val="18"/>
              </w:rPr>
              <w:footnoteReference w:id="3"/>
            </w:r>
          </w:p>
        </w:tc>
      </w:tr>
      <w:tr w14:paraId="42DFC711">
        <w:trPr>
          <w:jc w:val="center"/>
        </w:trPr>
        <w:tc>
          <w:tcPr>
            <w:tcW w:w="704" w:type="dxa"/>
            <w:vMerge w:val="continue"/>
            <w:vAlign w:val="center"/>
          </w:tcPr>
          <w:p w14:paraId="3398A064">
            <w:pPr>
              <w:spacing w:line="360" w:lineRule="auto"/>
              <w:jc w:val="center"/>
              <w:rPr>
                <w:rFonts w:ascii="宋体" w:hAnsi="宋体" w:eastAsia="宋体"/>
                <w:sz w:val="18"/>
                <w:szCs w:val="18"/>
              </w:rPr>
            </w:pPr>
          </w:p>
        </w:tc>
        <w:tc>
          <w:tcPr>
            <w:tcW w:w="2410" w:type="dxa"/>
            <w:vMerge w:val="continue"/>
            <w:vAlign w:val="center"/>
          </w:tcPr>
          <w:p w14:paraId="014DF98B">
            <w:pPr>
              <w:spacing w:line="360" w:lineRule="auto"/>
              <w:jc w:val="center"/>
              <w:rPr>
                <w:rFonts w:ascii="宋体" w:hAnsi="宋体" w:eastAsia="宋体"/>
                <w:sz w:val="18"/>
                <w:szCs w:val="18"/>
              </w:rPr>
            </w:pPr>
          </w:p>
        </w:tc>
        <w:tc>
          <w:tcPr>
            <w:tcW w:w="1417" w:type="dxa"/>
            <w:vAlign w:val="center"/>
          </w:tcPr>
          <w:p w14:paraId="276AFB7A">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4E3E30B7">
            <w:pPr>
              <w:spacing w:line="360" w:lineRule="auto"/>
              <w:jc w:val="center"/>
              <w:rPr>
                <w:rFonts w:ascii="宋体" w:hAnsi="宋体" w:eastAsia="宋体"/>
                <w:sz w:val="18"/>
                <w:szCs w:val="18"/>
              </w:rPr>
            </w:pPr>
            <w:r>
              <w:rPr>
                <w:rFonts w:hint="eastAsia" w:ascii="宋体" w:hAnsi="宋体" w:eastAsia="宋体"/>
                <w:sz w:val="18"/>
                <w:szCs w:val="18"/>
              </w:rPr>
              <w:t>姓名+身份证号（部分公开）</w:t>
            </w:r>
            <w:r>
              <w:rPr>
                <w:rStyle w:val="24"/>
                <w:rFonts w:ascii="宋体" w:hAnsi="宋体" w:eastAsia="宋体"/>
                <w:sz w:val="18"/>
                <w:szCs w:val="18"/>
              </w:rPr>
              <w:footnoteReference w:id="4"/>
            </w:r>
          </w:p>
        </w:tc>
      </w:tr>
      <w:tr w14:paraId="6501A75E">
        <w:trPr>
          <w:jc w:val="center"/>
        </w:trPr>
        <w:tc>
          <w:tcPr>
            <w:tcW w:w="704" w:type="dxa"/>
            <w:vMerge w:val="continue"/>
            <w:vAlign w:val="center"/>
          </w:tcPr>
          <w:p w14:paraId="34A77008">
            <w:pPr>
              <w:spacing w:line="360" w:lineRule="auto"/>
              <w:jc w:val="center"/>
              <w:rPr>
                <w:rFonts w:ascii="宋体" w:hAnsi="宋体" w:eastAsia="宋体"/>
                <w:sz w:val="18"/>
                <w:szCs w:val="18"/>
              </w:rPr>
            </w:pPr>
          </w:p>
        </w:tc>
        <w:tc>
          <w:tcPr>
            <w:tcW w:w="2410" w:type="dxa"/>
            <w:vMerge w:val="continue"/>
            <w:vAlign w:val="center"/>
          </w:tcPr>
          <w:p w14:paraId="1681B854">
            <w:pPr>
              <w:spacing w:line="360" w:lineRule="auto"/>
              <w:jc w:val="center"/>
              <w:rPr>
                <w:rFonts w:ascii="宋体" w:hAnsi="宋体" w:eastAsia="宋体"/>
                <w:sz w:val="18"/>
                <w:szCs w:val="18"/>
              </w:rPr>
            </w:pPr>
          </w:p>
        </w:tc>
        <w:tc>
          <w:tcPr>
            <w:tcW w:w="1417" w:type="dxa"/>
            <w:vAlign w:val="center"/>
          </w:tcPr>
          <w:p w14:paraId="098924B1">
            <w:pPr>
              <w:spacing w:line="360" w:lineRule="auto"/>
              <w:jc w:val="center"/>
              <w:rPr>
                <w:rFonts w:ascii="宋体" w:hAnsi="宋体" w:eastAsia="宋体"/>
                <w:sz w:val="18"/>
                <w:szCs w:val="18"/>
              </w:rPr>
            </w:pPr>
            <w:r>
              <w:rPr>
                <w:rFonts w:hint="eastAsia" w:ascii="宋体" w:hAnsi="宋体" w:eastAsia="宋体"/>
                <w:sz w:val="18"/>
                <w:szCs w:val="18"/>
              </w:rPr>
              <w:t>情形三</w:t>
            </w:r>
          </w:p>
        </w:tc>
        <w:tc>
          <w:tcPr>
            <w:tcW w:w="3759" w:type="dxa"/>
            <w:vAlign w:val="center"/>
          </w:tcPr>
          <w:p w14:paraId="6D515A49">
            <w:pPr>
              <w:spacing w:line="360" w:lineRule="auto"/>
              <w:jc w:val="center"/>
              <w:rPr>
                <w:rFonts w:ascii="宋体" w:hAnsi="宋体" w:eastAsia="宋体"/>
                <w:sz w:val="18"/>
                <w:szCs w:val="18"/>
              </w:rPr>
            </w:pPr>
            <w:r>
              <w:rPr>
                <w:rFonts w:hint="eastAsia" w:ascii="宋体" w:hAnsi="宋体" w:eastAsia="宋体"/>
                <w:sz w:val="18"/>
                <w:szCs w:val="18"/>
              </w:rPr>
              <w:t>姓名+护照号（部分公开）</w:t>
            </w:r>
            <w:r>
              <w:rPr>
                <w:rStyle w:val="24"/>
                <w:rFonts w:ascii="宋体" w:hAnsi="宋体" w:eastAsia="宋体"/>
                <w:sz w:val="18"/>
                <w:szCs w:val="18"/>
              </w:rPr>
              <w:footnoteReference w:id="5"/>
            </w:r>
          </w:p>
        </w:tc>
      </w:tr>
      <w:tr w14:paraId="06AFCC32">
        <w:trPr>
          <w:trHeight w:val="372" w:hRule="atLeast"/>
          <w:jc w:val="center"/>
        </w:trPr>
        <w:tc>
          <w:tcPr>
            <w:tcW w:w="704" w:type="dxa"/>
            <w:vMerge w:val="restart"/>
            <w:vAlign w:val="center"/>
          </w:tcPr>
          <w:p w14:paraId="1DE4AC99">
            <w:pPr>
              <w:spacing w:line="360" w:lineRule="auto"/>
              <w:jc w:val="center"/>
              <w:rPr>
                <w:rFonts w:ascii="宋体" w:hAnsi="宋体" w:eastAsia="宋体"/>
                <w:sz w:val="18"/>
                <w:szCs w:val="18"/>
              </w:rPr>
            </w:pPr>
            <w:r>
              <w:rPr>
                <w:rFonts w:hint="eastAsia" w:ascii="宋体" w:hAnsi="宋体" w:eastAsia="宋体"/>
                <w:sz w:val="18"/>
                <w:szCs w:val="18"/>
              </w:rPr>
              <w:t>3</w:t>
            </w:r>
          </w:p>
        </w:tc>
        <w:tc>
          <w:tcPr>
            <w:tcW w:w="2410" w:type="dxa"/>
            <w:vMerge w:val="restart"/>
            <w:vAlign w:val="center"/>
          </w:tcPr>
          <w:p w14:paraId="68BE1FC1">
            <w:pPr>
              <w:spacing w:line="360" w:lineRule="auto"/>
              <w:jc w:val="center"/>
              <w:rPr>
                <w:rFonts w:ascii="宋体" w:hAnsi="宋体" w:eastAsia="宋体"/>
                <w:sz w:val="18"/>
                <w:szCs w:val="18"/>
              </w:rPr>
            </w:pPr>
            <w:r>
              <w:rPr>
                <w:rFonts w:hint="eastAsia" w:ascii="宋体" w:hAnsi="宋体" w:eastAsia="宋体"/>
                <w:sz w:val="18"/>
                <w:szCs w:val="18"/>
              </w:rPr>
              <w:t>商标注册公告（二）</w:t>
            </w:r>
          </w:p>
        </w:tc>
        <w:tc>
          <w:tcPr>
            <w:tcW w:w="1417" w:type="dxa"/>
            <w:vAlign w:val="center"/>
          </w:tcPr>
          <w:p w14:paraId="60D51577">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69A554B6">
            <w:pPr>
              <w:spacing w:line="360" w:lineRule="auto"/>
              <w:jc w:val="center"/>
              <w:rPr>
                <w:rFonts w:ascii="宋体" w:hAnsi="宋体" w:eastAsia="宋体"/>
                <w:sz w:val="18"/>
                <w:szCs w:val="18"/>
              </w:rPr>
            </w:pPr>
            <w:r>
              <w:rPr>
                <w:rFonts w:hint="eastAsia" w:ascii="宋体" w:hAnsi="宋体" w:eastAsia="宋体"/>
                <w:sz w:val="18"/>
                <w:szCs w:val="18"/>
              </w:rPr>
              <w:t>姓名</w:t>
            </w:r>
            <w:r>
              <w:rPr>
                <w:rStyle w:val="24"/>
                <w:rFonts w:ascii="宋体" w:hAnsi="宋体" w:eastAsia="宋体"/>
                <w:sz w:val="18"/>
                <w:szCs w:val="18"/>
              </w:rPr>
              <w:footnoteReference w:id="6"/>
            </w:r>
          </w:p>
        </w:tc>
      </w:tr>
      <w:tr w14:paraId="6C0F4671">
        <w:trPr>
          <w:jc w:val="center"/>
        </w:trPr>
        <w:tc>
          <w:tcPr>
            <w:tcW w:w="704" w:type="dxa"/>
            <w:vMerge w:val="continue"/>
            <w:vAlign w:val="center"/>
          </w:tcPr>
          <w:p w14:paraId="41B1A275">
            <w:pPr>
              <w:spacing w:line="360" w:lineRule="auto"/>
              <w:jc w:val="center"/>
              <w:rPr>
                <w:rFonts w:ascii="宋体" w:hAnsi="宋体" w:eastAsia="宋体"/>
                <w:sz w:val="18"/>
                <w:szCs w:val="18"/>
              </w:rPr>
            </w:pPr>
          </w:p>
        </w:tc>
        <w:tc>
          <w:tcPr>
            <w:tcW w:w="2410" w:type="dxa"/>
            <w:vMerge w:val="continue"/>
            <w:vAlign w:val="center"/>
          </w:tcPr>
          <w:p w14:paraId="56B22F74">
            <w:pPr>
              <w:spacing w:line="360" w:lineRule="auto"/>
              <w:jc w:val="center"/>
              <w:rPr>
                <w:rFonts w:ascii="宋体" w:hAnsi="宋体" w:eastAsia="宋体"/>
                <w:sz w:val="18"/>
                <w:szCs w:val="18"/>
              </w:rPr>
            </w:pPr>
          </w:p>
        </w:tc>
        <w:tc>
          <w:tcPr>
            <w:tcW w:w="1417" w:type="dxa"/>
            <w:vAlign w:val="center"/>
          </w:tcPr>
          <w:p w14:paraId="0CD363E3">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24ABC0C7">
            <w:pPr>
              <w:spacing w:line="360" w:lineRule="auto"/>
              <w:jc w:val="center"/>
              <w:rPr>
                <w:rFonts w:ascii="宋体" w:hAnsi="宋体" w:eastAsia="宋体"/>
                <w:sz w:val="18"/>
                <w:szCs w:val="18"/>
              </w:rPr>
            </w:pPr>
            <w:r>
              <w:rPr>
                <w:rFonts w:hint="eastAsia" w:ascii="宋体" w:hAnsi="宋体" w:eastAsia="宋体"/>
                <w:sz w:val="18"/>
                <w:szCs w:val="18"/>
              </w:rPr>
              <w:t>姓名+身份证号（部分公开）</w:t>
            </w:r>
            <w:r>
              <w:rPr>
                <w:rStyle w:val="24"/>
                <w:rFonts w:ascii="宋体" w:hAnsi="宋体" w:eastAsia="宋体"/>
                <w:sz w:val="18"/>
                <w:szCs w:val="18"/>
              </w:rPr>
              <w:footnoteReference w:id="7"/>
            </w:r>
          </w:p>
        </w:tc>
      </w:tr>
      <w:tr w14:paraId="41013B12">
        <w:trPr>
          <w:jc w:val="center"/>
        </w:trPr>
        <w:tc>
          <w:tcPr>
            <w:tcW w:w="704" w:type="dxa"/>
            <w:vMerge w:val="restart"/>
            <w:vAlign w:val="center"/>
          </w:tcPr>
          <w:p w14:paraId="1E86E2BF">
            <w:pPr>
              <w:spacing w:line="360" w:lineRule="auto"/>
              <w:jc w:val="center"/>
              <w:rPr>
                <w:rFonts w:ascii="宋体" w:hAnsi="宋体" w:eastAsia="宋体"/>
                <w:sz w:val="18"/>
                <w:szCs w:val="18"/>
              </w:rPr>
            </w:pPr>
            <w:r>
              <w:rPr>
                <w:rFonts w:hint="eastAsia" w:ascii="宋体" w:hAnsi="宋体" w:eastAsia="宋体"/>
                <w:sz w:val="18"/>
                <w:szCs w:val="18"/>
              </w:rPr>
              <w:t>4</w:t>
            </w:r>
          </w:p>
        </w:tc>
        <w:tc>
          <w:tcPr>
            <w:tcW w:w="2410" w:type="dxa"/>
            <w:vMerge w:val="restart"/>
            <w:vAlign w:val="center"/>
          </w:tcPr>
          <w:p w14:paraId="37B5813E">
            <w:pPr>
              <w:spacing w:line="360" w:lineRule="auto"/>
              <w:jc w:val="center"/>
              <w:rPr>
                <w:rFonts w:ascii="宋体" w:hAnsi="宋体" w:eastAsia="宋体"/>
                <w:sz w:val="18"/>
                <w:szCs w:val="18"/>
              </w:rPr>
            </w:pPr>
            <w:r>
              <w:rPr>
                <w:rFonts w:ascii="宋体" w:hAnsi="宋体" w:eastAsia="宋体"/>
                <w:sz w:val="18"/>
                <w:szCs w:val="18"/>
              </w:rPr>
              <w:t>商标转让/移转公告</w:t>
            </w:r>
          </w:p>
        </w:tc>
        <w:tc>
          <w:tcPr>
            <w:tcW w:w="1417" w:type="dxa"/>
            <w:vAlign w:val="center"/>
          </w:tcPr>
          <w:p w14:paraId="492C08C8">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3959B1A8">
            <w:pPr>
              <w:spacing w:line="360" w:lineRule="auto"/>
              <w:jc w:val="center"/>
              <w:rPr>
                <w:rFonts w:ascii="宋体" w:hAnsi="宋体" w:eastAsia="宋体"/>
                <w:sz w:val="18"/>
                <w:szCs w:val="18"/>
              </w:rPr>
            </w:pPr>
            <w:r>
              <w:rPr>
                <w:rFonts w:hint="eastAsia" w:ascii="宋体" w:hAnsi="宋体" w:eastAsia="宋体"/>
                <w:sz w:val="18"/>
                <w:szCs w:val="18"/>
              </w:rPr>
              <w:t>姓名</w:t>
            </w:r>
            <w:r>
              <w:rPr>
                <w:rStyle w:val="24"/>
                <w:rFonts w:ascii="宋体" w:hAnsi="宋体" w:eastAsia="宋体"/>
                <w:sz w:val="18"/>
                <w:szCs w:val="18"/>
              </w:rPr>
              <w:footnoteReference w:id="8"/>
            </w:r>
          </w:p>
        </w:tc>
      </w:tr>
      <w:tr w14:paraId="0E670395">
        <w:trPr>
          <w:jc w:val="center"/>
        </w:trPr>
        <w:tc>
          <w:tcPr>
            <w:tcW w:w="704" w:type="dxa"/>
            <w:vMerge w:val="continue"/>
            <w:vAlign w:val="center"/>
          </w:tcPr>
          <w:p w14:paraId="21395A3B">
            <w:pPr>
              <w:spacing w:line="360" w:lineRule="auto"/>
              <w:jc w:val="center"/>
              <w:rPr>
                <w:rFonts w:ascii="宋体" w:hAnsi="宋体" w:eastAsia="宋体"/>
                <w:sz w:val="18"/>
                <w:szCs w:val="18"/>
              </w:rPr>
            </w:pPr>
          </w:p>
        </w:tc>
        <w:tc>
          <w:tcPr>
            <w:tcW w:w="2410" w:type="dxa"/>
            <w:vMerge w:val="continue"/>
            <w:vAlign w:val="center"/>
          </w:tcPr>
          <w:p w14:paraId="30474886">
            <w:pPr>
              <w:spacing w:line="360" w:lineRule="auto"/>
              <w:jc w:val="center"/>
              <w:rPr>
                <w:rFonts w:ascii="宋体" w:hAnsi="宋体" w:eastAsia="宋体"/>
                <w:sz w:val="18"/>
                <w:szCs w:val="18"/>
              </w:rPr>
            </w:pPr>
          </w:p>
        </w:tc>
        <w:tc>
          <w:tcPr>
            <w:tcW w:w="1417" w:type="dxa"/>
            <w:vAlign w:val="center"/>
          </w:tcPr>
          <w:p w14:paraId="39B61446">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193481DF">
            <w:pPr>
              <w:spacing w:line="360" w:lineRule="auto"/>
              <w:jc w:val="center"/>
              <w:rPr>
                <w:rFonts w:ascii="宋体" w:hAnsi="宋体" w:eastAsia="宋体"/>
                <w:sz w:val="18"/>
                <w:szCs w:val="18"/>
              </w:rPr>
            </w:pPr>
            <w:r>
              <w:rPr>
                <w:rFonts w:hint="eastAsia" w:ascii="宋体" w:hAnsi="宋体" w:eastAsia="宋体"/>
                <w:sz w:val="18"/>
                <w:szCs w:val="18"/>
              </w:rPr>
              <w:t>姓名+身份证号（部分公开）</w:t>
            </w:r>
            <w:r>
              <w:rPr>
                <w:rStyle w:val="24"/>
                <w:rFonts w:ascii="宋体" w:hAnsi="宋体" w:eastAsia="宋体"/>
                <w:sz w:val="18"/>
                <w:szCs w:val="18"/>
              </w:rPr>
              <w:footnoteReference w:id="9"/>
            </w:r>
          </w:p>
        </w:tc>
      </w:tr>
      <w:tr w14:paraId="659F3241">
        <w:trPr>
          <w:jc w:val="center"/>
        </w:trPr>
        <w:tc>
          <w:tcPr>
            <w:tcW w:w="704" w:type="dxa"/>
            <w:vMerge w:val="continue"/>
            <w:vAlign w:val="center"/>
          </w:tcPr>
          <w:p w14:paraId="1E3D6A26">
            <w:pPr>
              <w:spacing w:line="360" w:lineRule="auto"/>
              <w:jc w:val="center"/>
              <w:rPr>
                <w:rFonts w:ascii="宋体" w:hAnsi="宋体" w:eastAsia="宋体"/>
                <w:sz w:val="18"/>
                <w:szCs w:val="18"/>
              </w:rPr>
            </w:pPr>
          </w:p>
        </w:tc>
        <w:tc>
          <w:tcPr>
            <w:tcW w:w="2410" w:type="dxa"/>
            <w:vMerge w:val="continue"/>
            <w:vAlign w:val="center"/>
          </w:tcPr>
          <w:p w14:paraId="351DEE06">
            <w:pPr>
              <w:spacing w:line="360" w:lineRule="auto"/>
              <w:jc w:val="center"/>
              <w:rPr>
                <w:rFonts w:ascii="宋体" w:hAnsi="宋体" w:eastAsia="宋体"/>
                <w:sz w:val="18"/>
                <w:szCs w:val="18"/>
              </w:rPr>
            </w:pPr>
          </w:p>
        </w:tc>
        <w:tc>
          <w:tcPr>
            <w:tcW w:w="1417" w:type="dxa"/>
            <w:vAlign w:val="center"/>
          </w:tcPr>
          <w:p w14:paraId="58413B30">
            <w:pPr>
              <w:spacing w:line="360" w:lineRule="auto"/>
              <w:jc w:val="center"/>
              <w:rPr>
                <w:rFonts w:ascii="宋体" w:hAnsi="宋体" w:eastAsia="宋体"/>
                <w:sz w:val="18"/>
                <w:szCs w:val="18"/>
              </w:rPr>
            </w:pPr>
            <w:r>
              <w:rPr>
                <w:rFonts w:hint="eastAsia" w:ascii="宋体" w:hAnsi="宋体" w:eastAsia="宋体"/>
                <w:sz w:val="18"/>
                <w:szCs w:val="18"/>
              </w:rPr>
              <w:t>情形三</w:t>
            </w:r>
          </w:p>
        </w:tc>
        <w:tc>
          <w:tcPr>
            <w:tcW w:w="3759" w:type="dxa"/>
            <w:vAlign w:val="center"/>
          </w:tcPr>
          <w:p w14:paraId="59888690">
            <w:pPr>
              <w:spacing w:line="360" w:lineRule="auto"/>
              <w:jc w:val="center"/>
              <w:rPr>
                <w:rFonts w:ascii="宋体" w:hAnsi="宋体" w:eastAsia="宋体"/>
                <w:sz w:val="18"/>
                <w:szCs w:val="18"/>
              </w:rPr>
            </w:pPr>
            <w:r>
              <w:rPr>
                <w:rFonts w:hint="eastAsia" w:ascii="宋体" w:hAnsi="宋体" w:eastAsia="宋体"/>
                <w:sz w:val="18"/>
                <w:szCs w:val="18"/>
              </w:rPr>
              <w:t>姓名+其他证件号（全部公开）</w:t>
            </w:r>
            <w:r>
              <w:rPr>
                <w:rStyle w:val="24"/>
                <w:rFonts w:ascii="宋体" w:hAnsi="宋体" w:eastAsia="宋体"/>
                <w:sz w:val="18"/>
                <w:szCs w:val="18"/>
              </w:rPr>
              <w:footnoteReference w:id="10"/>
            </w:r>
          </w:p>
        </w:tc>
      </w:tr>
      <w:tr w14:paraId="04809F69">
        <w:trPr>
          <w:jc w:val="center"/>
        </w:trPr>
        <w:tc>
          <w:tcPr>
            <w:tcW w:w="704" w:type="dxa"/>
            <w:vMerge w:val="restart"/>
            <w:vAlign w:val="center"/>
          </w:tcPr>
          <w:p w14:paraId="0987DC6D">
            <w:pPr>
              <w:spacing w:line="360" w:lineRule="auto"/>
              <w:jc w:val="center"/>
              <w:rPr>
                <w:rFonts w:ascii="宋体" w:hAnsi="宋体" w:eastAsia="宋体"/>
                <w:sz w:val="18"/>
                <w:szCs w:val="18"/>
              </w:rPr>
            </w:pPr>
            <w:r>
              <w:rPr>
                <w:rFonts w:hint="eastAsia" w:ascii="宋体" w:hAnsi="宋体" w:eastAsia="宋体"/>
                <w:sz w:val="18"/>
                <w:szCs w:val="18"/>
              </w:rPr>
              <w:t>5</w:t>
            </w:r>
          </w:p>
        </w:tc>
        <w:tc>
          <w:tcPr>
            <w:tcW w:w="2410" w:type="dxa"/>
            <w:vMerge w:val="restart"/>
            <w:vAlign w:val="center"/>
          </w:tcPr>
          <w:p w14:paraId="3C1FF5F9">
            <w:pPr>
              <w:spacing w:line="360" w:lineRule="auto"/>
              <w:jc w:val="center"/>
              <w:rPr>
                <w:rFonts w:ascii="宋体" w:hAnsi="宋体" w:eastAsia="宋体"/>
                <w:sz w:val="18"/>
                <w:szCs w:val="18"/>
              </w:rPr>
            </w:pPr>
            <w:r>
              <w:rPr>
                <w:rFonts w:ascii="宋体" w:hAnsi="宋体" w:eastAsia="宋体"/>
                <w:sz w:val="18"/>
                <w:szCs w:val="18"/>
              </w:rPr>
              <w:t>商标注册人/申请人名义及地址变更公告</w:t>
            </w:r>
          </w:p>
        </w:tc>
        <w:tc>
          <w:tcPr>
            <w:tcW w:w="1417" w:type="dxa"/>
            <w:vAlign w:val="center"/>
          </w:tcPr>
          <w:p w14:paraId="312C2A06">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0654F67C">
            <w:pPr>
              <w:spacing w:line="360" w:lineRule="auto"/>
              <w:jc w:val="center"/>
              <w:rPr>
                <w:rFonts w:ascii="宋体" w:hAnsi="宋体" w:eastAsia="宋体"/>
                <w:sz w:val="18"/>
                <w:szCs w:val="18"/>
              </w:rPr>
            </w:pPr>
            <w:r>
              <w:rPr>
                <w:rFonts w:hint="eastAsia" w:ascii="宋体" w:hAnsi="宋体" w:eastAsia="宋体"/>
                <w:sz w:val="18"/>
                <w:szCs w:val="18"/>
              </w:rPr>
              <w:t>姓名+地址</w:t>
            </w:r>
            <w:r>
              <w:rPr>
                <w:rStyle w:val="24"/>
                <w:rFonts w:ascii="宋体" w:hAnsi="宋体" w:eastAsia="宋体"/>
                <w:sz w:val="18"/>
                <w:szCs w:val="18"/>
              </w:rPr>
              <w:footnoteReference w:id="11"/>
            </w:r>
          </w:p>
        </w:tc>
      </w:tr>
      <w:tr w14:paraId="578052F1">
        <w:trPr>
          <w:jc w:val="center"/>
        </w:trPr>
        <w:tc>
          <w:tcPr>
            <w:tcW w:w="704" w:type="dxa"/>
            <w:vMerge w:val="continue"/>
            <w:vAlign w:val="center"/>
          </w:tcPr>
          <w:p w14:paraId="59E1B2F2">
            <w:pPr>
              <w:spacing w:line="360" w:lineRule="auto"/>
              <w:jc w:val="center"/>
              <w:rPr>
                <w:rFonts w:ascii="宋体" w:hAnsi="宋体" w:eastAsia="宋体"/>
                <w:sz w:val="18"/>
                <w:szCs w:val="18"/>
              </w:rPr>
            </w:pPr>
          </w:p>
        </w:tc>
        <w:tc>
          <w:tcPr>
            <w:tcW w:w="2410" w:type="dxa"/>
            <w:vMerge w:val="continue"/>
            <w:vAlign w:val="center"/>
          </w:tcPr>
          <w:p w14:paraId="429ADCA9">
            <w:pPr>
              <w:spacing w:line="360" w:lineRule="auto"/>
              <w:jc w:val="center"/>
              <w:rPr>
                <w:rFonts w:ascii="宋体" w:hAnsi="宋体" w:eastAsia="宋体"/>
                <w:sz w:val="18"/>
                <w:szCs w:val="18"/>
              </w:rPr>
            </w:pPr>
          </w:p>
        </w:tc>
        <w:tc>
          <w:tcPr>
            <w:tcW w:w="1417" w:type="dxa"/>
            <w:vAlign w:val="center"/>
          </w:tcPr>
          <w:p w14:paraId="4A1004B4">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639147E7">
            <w:pPr>
              <w:spacing w:line="360" w:lineRule="auto"/>
              <w:jc w:val="center"/>
              <w:rPr>
                <w:rFonts w:ascii="宋体" w:hAnsi="宋体" w:eastAsia="宋体"/>
                <w:sz w:val="18"/>
                <w:szCs w:val="18"/>
              </w:rPr>
            </w:pPr>
            <w:r>
              <w:rPr>
                <w:rFonts w:hint="eastAsia" w:ascii="宋体" w:hAnsi="宋体" w:eastAsia="宋体"/>
                <w:sz w:val="18"/>
                <w:szCs w:val="18"/>
              </w:rPr>
              <w:t>姓名+地址+身份证号（部分公开）</w:t>
            </w:r>
            <w:r>
              <w:rPr>
                <w:rStyle w:val="24"/>
                <w:rFonts w:ascii="宋体" w:hAnsi="宋体" w:eastAsia="宋体"/>
                <w:sz w:val="18"/>
                <w:szCs w:val="18"/>
              </w:rPr>
              <w:footnoteReference w:id="12"/>
            </w:r>
          </w:p>
        </w:tc>
      </w:tr>
      <w:tr w14:paraId="08BA8891">
        <w:trPr>
          <w:jc w:val="center"/>
        </w:trPr>
        <w:tc>
          <w:tcPr>
            <w:tcW w:w="704" w:type="dxa"/>
            <w:vMerge w:val="continue"/>
            <w:vAlign w:val="center"/>
          </w:tcPr>
          <w:p w14:paraId="5511D834">
            <w:pPr>
              <w:spacing w:line="360" w:lineRule="auto"/>
              <w:jc w:val="center"/>
              <w:rPr>
                <w:rFonts w:ascii="宋体" w:hAnsi="宋体" w:eastAsia="宋体"/>
                <w:sz w:val="18"/>
                <w:szCs w:val="18"/>
              </w:rPr>
            </w:pPr>
          </w:p>
        </w:tc>
        <w:tc>
          <w:tcPr>
            <w:tcW w:w="2410" w:type="dxa"/>
            <w:vMerge w:val="continue"/>
            <w:vAlign w:val="center"/>
          </w:tcPr>
          <w:p w14:paraId="28A02A85">
            <w:pPr>
              <w:spacing w:line="360" w:lineRule="auto"/>
              <w:jc w:val="center"/>
              <w:rPr>
                <w:rFonts w:ascii="宋体" w:hAnsi="宋体" w:eastAsia="宋体"/>
                <w:sz w:val="18"/>
                <w:szCs w:val="18"/>
              </w:rPr>
            </w:pPr>
          </w:p>
        </w:tc>
        <w:tc>
          <w:tcPr>
            <w:tcW w:w="1417" w:type="dxa"/>
            <w:vAlign w:val="center"/>
          </w:tcPr>
          <w:p w14:paraId="238BEBD0">
            <w:pPr>
              <w:spacing w:line="360" w:lineRule="auto"/>
              <w:jc w:val="center"/>
              <w:rPr>
                <w:rFonts w:ascii="宋体" w:hAnsi="宋体" w:eastAsia="宋体"/>
                <w:sz w:val="18"/>
                <w:szCs w:val="18"/>
              </w:rPr>
            </w:pPr>
            <w:r>
              <w:rPr>
                <w:rFonts w:hint="eastAsia" w:ascii="宋体" w:hAnsi="宋体" w:eastAsia="宋体"/>
                <w:sz w:val="18"/>
                <w:szCs w:val="18"/>
              </w:rPr>
              <w:t>情形三</w:t>
            </w:r>
          </w:p>
        </w:tc>
        <w:tc>
          <w:tcPr>
            <w:tcW w:w="3759" w:type="dxa"/>
            <w:vAlign w:val="center"/>
          </w:tcPr>
          <w:p w14:paraId="49E24694">
            <w:pPr>
              <w:spacing w:line="360" w:lineRule="auto"/>
              <w:jc w:val="center"/>
              <w:rPr>
                <w:rFonts w:ascii="宋体" w:hAnsi="宋体" w:eastAsia="宋体"/>
                <w:sz w:val="18"/>
                <w:szCs w:val="18"/>
              </w:rPr>
            </w:pPr>
            <w:r>
              <w:rPr>
                <w:rFonts w:hint="eastAsia" w:ascii="宋体" w:hAnsi="宋体" w:eastAsia="宋体"/>
                <w:sz w:val="18"/>
                <w:szCs w:val="18"/>
              </w:rPr>
              <w:t>姓名+地址+身份证号（全部公开）</w:t>
            </w:r>
            <w:r>
              <w:rPr>
                <w:rStyle w:val="24"/>
                <w:rFonts w:ascii="宋体" w:hAnsi="宋体" w:eastAsia="宋体"/>
                <w:sz w:val="18"/>
                <w:szCs w:val="18"/>
              </w:rPr>
              <w:footnoteReference w:id="13"/>
            </w:r>
          </w:p>
        </w:tc>
      </w:tr>
      <w:tr w14:paraId="5C791F32">
        <w:trPr>
          <w:jc w:val="center"/>
        </w:trPr>
        <w:tc>
          <w:tcPr>
            <w:tcW w:w="704" w:type="dxa"/>
            <w:vMerge w:val="continue"/>
            <w:vAlign w:val="center"/>
          </w:tcPr>
          <w:p w14:paraId="17F0279B">
            <w:pPr>
              <w:spacing w:line="360" w:lineRule="auto"/>
              <w:jc w:val="center"/>
              <w:rPr>
                <w:rFonts w:ascii="宋体" w:hAnsi="宋体" w:eastAsia="宋体"/>
                <w:sz w:val="18"/>
                <w:szCs w:val="18"/>
              </w:rPr>
            </w:pPr>
          </w:p>
        </w:tc>
        <w:tc>
          <w:tcPr>
            <w:tcW w:w="2410" w:type="dxa"/>
            <w:vMerge w:val="continue"/>
            <w:vAlign w:val="center"/>
          </w:tcPr>
          <w:p w14:paraId="732C18A2">
            <w:pPr>
              <w:spacing w:line="360" w:lineRule="auto"/>
              <w:jc w:val="center"/>
              <w:rPr>
                <w:rFonts w:ascii="宋体" w:hAnsi="宋体" w:eastAsia="宋体"/>
                <w:sz w:val="18"/>
                <w:szCs w:val="18"/>
              </w:rPr>
            </w:pPr>
          </w:p>
        </w:tc>
        <w:tc>
          <w:tcPr>
            <w:tcW w:w="1417" w:type="dxa"/>
            <w:vAlign w:val="center"/>
          </w:tcPr>
          <w:p w14:paraId="7DB9E8F2">
            <w:pPr>
              <w:spacing w:line="360" w:lineRule="auto"/>
              <w:jc w:val="center"/>
              <w:rPr>
                <w:rFonts w:ascii="宋体" w:hAnsi="宋体" w:eastAsia="宋体"/>
                <w:sz w:val="18"/>
                <w:szCs w:val="18"/>
              </w:rPr>
            </w:pPr>
            <w:r>
              <w:rPr>
                <w:rFonts w:hint="eastAsia" w:ascii="宋体" w:hAnsi="宋体" w:eastAsia="宋体"/>
                <w:sz w:val="18"/>
                <w:szCs w:val="18"/>
              </w:rPr>
              <w:t>情形四</w:t>
            </w:r>
          </w:p>
        </w:tc>
        <w:tc>
          <w:tcPr>
            <w:tcW w:w="3759" w:type="dxa"/>
            <w:vAlign w:val="center"/>
          </w:tcPr>
          <w:p w14:paraId="602A93E8">
            <w:pPr>
              <w:spacing w:line="360" w:lineRule="auto"/>
              <w:jc w:val="center"/>
              <w:rPr>
                <w:rFonts w:ascii="宋体" w:hAnsi="宋体" w:eastAsia="宋体"/>
                <w:sz w:val="18"/>
                <w:szCs w:val="18"/>
              </w:rPr>
            </w:pPr>
            <w:r>
              <w:rPr>
                <w:rFonts w:hint="eastAsia" w:ascii="宋体" w:hAnsi="宋体" w:eastAsia="宋体"/>
                <w:sz w:val="18"/>
                <w:szCs w:val="18"/>
              </w:rPr>
              <w:t>姓名+地址+其他证件号（全部公开）</w:t>
            </w:r>
            <w:r>
              <w:rPr>
                <w:rStyle w:val="24"/>
                <w:rFonts w:ascii="宋体" w:hAnsi="宋体" w:eastAsia="宋体"/>
                <w:sz w:val="18"/>
                <w:szCs w:val="18"/>
              </w:rPr>
              <w:footnoteReference w:id="14"/>
            </w:r>
          </w:p>
        </w:tc>
      </w:tr>
      <w:tr w14:paraId="7F0C3CD7">
        <w:trPr>
          <w:jc w:val="center"/>
        </w:trPr>
        <w:tc>
          <w:tcPr>
            <w:tcW w:w="704" w:type="dxa"/>
            <w:vAlign w:val="center"/>
          </w:tcPr>
          <w:p w14:paraId="3BEB31FE">
            <w:pPr>
              <w:spacing w:line="360" w:lineRule="auto"/>
              <w:jc w:val="center"/>
              <w:rPr>
                <w:rFonts w:ascii="宋体" w:hAnsi="宋体" w:eastAsia="宋体"/>
                <w:sz w:val="18"/>
                <w:szCs w:val="18"/>
              </w:rPr>
            </w:pPr>
            <w:r>
              <w:rPr>
                <w:rFonts w:hint="eastAsia" w:ascii="宋体" w:hAnsi="宋体" w:eastAsia="宋体"/>
                <w:sz w:val="18"/>
                <w:szCs w:val="18"/>
              </w:rPr>
              <w:t>6</w:t>
            </w:r>
          </w:p>
        </w:tc>
        <w:tc>
          <w:tcPr>
            <w:tcW w:w="2410" w:type="dxa"/>
            <w:vAlign w:val="center"/>
          </w:tcPr>
          <w:p w14:paraId="48E9B936">
            <w:pPr>
              <w:spacing w:line="360" w:lineRule="auto"/>
              <w:jc w:val="center"/>
              <w:rPr>
                <w:rFonts w:ascii="宋体" w:hAnsi="宋体" w:eastAsia="宋体"/>
                <w:sz w:val="18"/>
                <w:szCs w:val="18"/>
              </w:rPr>
            </w:pPr>
            <w:r>
              <w:rPr>
                <w:rFonts w:ascii="宋体" w:hAnsi="宋体" w:eastAsia="宋体"/>
                <w:sz w:val="18"/>
                <w:szCs w:val="18"/>
              </w:rPr>
              <w:t>变更商标代理机构公告</w:t>
            </w:r>
          </w:p>
        </w:tc>
        <w:tc>
          <w:tcPr>
            <w:tcW w:w="1417" w:type="dxa"/>
            <w:vAlign w:val="center"/>
          </w:tcPr>
          <w:p w14:paraId="49732196">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60DC5095">
            <w:pPr>
              <w:spacing w:line="360" w:lineRule="auto"/>
              <w:jc w:val="center"/>
              <w:rPr>
                <w:rFonts w:ascii="宋体" w:hAnsi="宋体" w:eastAsia="宋体"/>
                <w:sz w:val="18"/>
                <w:szCs w:val="18"/>
              </w:rPr>
            </w:pPr>
            <w:r>
              <w:rPr>
                <w:rFonts w:ascii="宋体" w:hAnsi="宋体" w:eastAsia="宋体"/>
                <w:sz w:val="18"/>
                <w:szCs w:val="18"/>
              </w:rPr>
              <w:t>姓名</w:t>
            </w:r>
            <w:r>
              <w:rPr>
                <w:rStyle w:val="24"/>
                <w:rFonts w:ascii="宋体" w:hAnsi="宋体" w:eastAsia="宋体"/>
                <w:sz w:val="18"/>
                <w:szCs w:val="18"/>
              </w:rPr>
              <w:footnoteReference w:id="15"/>
            </w:r>
          </w:p>
        </w:tc>
      </w:tr>
      <w:tr w14:paraId="335B6CBE">
        <w:trPr>
          <w:jc w:val="center"/>
        </w:trPr>
        <w:tc>
          <w:tcPr>
            <w:tcW w:w="704" w:type="dxa"/>
            <w:vMerge w:val="restart"/>
            <w:vAlign w:val="center"/>
          </w:tcPr>
          <w:p w14:paraId="6A532ACE">
            <w:pPr>
              <w:spacing w:line="360" w:lineRule="auto"/>
              <w:jc w:val="center"/>
              <w:rPr>
                <w:rFonts w:ascii="宋体" w:hAnsi="宋体" w:eastAsia="宋体"/>
                <w:sz w:val="18"/>
                <w:szCs w:val="18"/>
              </w:rPr>
            </w:pPr>
            <w:r>
              <w:rPr>
                <w:rFonts w:hint="eastAsia" w:ascii="宋体" w:hAnsi="宋体" w:eastAsia="宋体"/>
                <w:sz w:val="18"/>
                <w:szCs w:val="18"/>
              </w:rPr>
              <w:t>7</w:t>
            </w:r>
          </w:p>
        </w:tc>
        <w:tc>
          <w:tcPr>
            <w:tcW w:w="2410" w:type="dxa"/>
            <w:vMerge w:val="restart"/>
            <w:vAlign w:val="center"/>
          </w:tcPr>
          <w:p w14:paraId="139E1F8B">
            <w:pPr>
              <w:spacing w:line="360" w:lineRule="auto"/>
              <w:jc w:val="center"/>
              <w:rPr>
                <w:rFonts w:ascii="宋体" w:hAnsi="宋体" w:eastAsia="宋体"/>
                <w:sz w:val="18"/>
                <w:szCs w:val="18"/>
              </w:rPr>
            </w:pPr>
            <w:r>
              <w:rPr>
                <w:rFonts w:ascii="宋体" w:hAnsi="宋体" w:eastAsia="宋体"/>
                <w:sz w:val="18"/>
                <w:szCs w:val="18"/>
              </w:rPr>
              <w:t>商标更正公告</w:t>
            </w:r>
          </w:p>
        </w:tc>
        <w:tc>
          <w:tcPr>
            <w:tcW w:w="1417" w:type="dxa"/>
            <w:vAlign w:val="center"/>
          </w:tcPr>
          <w:p w14:paraId="342CD0E4">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365699EA">
            <w:pPr>
              <w:spacing w:line="360" w:lineRule="auto"/>
              <w:jc w:val="center"/>
              <w:rPr>
                <w:rFonts w:ascii="宋体" w:hAnsi="宋体" w:eastAsia="宋体"/>
                <w:sz w:val="18"/>
                <w:szCs w:val="18"/>
              </w:rPr>
            </w:pPr>
            <w:r>
              <w:rPr>
                <w:rFonts w:ascii="宋体" w:hAnsi="宋体" w:eastAsia="宋体"/>
                <w:sz w:val="18"/>
                <w:szCs w:val="18"/>
              </w:rPr>
              <w:t>地址</w:t>
            </w:r>
            <w:r>
              <w:rPr>
                <w:rStyle w:val="24"/>
                <w:rFonts w:ascii="宋体" w:hAnsi="宋体" w:eastAsia="宋体"/>
                <w:sz w:val="18"/>
                <w:szCs w:val="18"/>
              </w:rPr>
              <w:footnoteReference w:id="16"/>
            </w:r>
          </w:p>
        </w:tc>
      </w:tr>
      <w:tr w14:paraId="46839933">
        <w:trPr>
          <w:jc w:val="center"/>
        </w:trPr>
        <w:tc>
          <w:tcPr>
            <w:tcW w:w="704" w:type="dxa"/>
            <w:vMerge w:val="continue"/>
            <w:vAlign w:val="center"/>
          </w:tcPr>
          <w:p w14:paraId="7B98E7A0">
            <w:pPr>
              <w:spacing w:line="360" w:lineRule="auto"/>
              <w:jc w:val="center"/>
              <w:rPr>
                <w:rFonts w:ascii="宋体" w:hAnsi="宋体" w:eastAsia="宋体"/>
                <w:sz w:val="18"/>
                <w:szCs w:val="18"/>
              </w:rPr>
            </w:pPr>
          </w:p>
        </w:tc>
        <w:tc>
          <w:tcPr>
            <w:tcW w:w="2410" w:type="dxa"/>
            <w:vMerge w:val="continue"/>
            <w:vAlign w:val="center"/>
          </w:tcPr>
          <w:p w14:paraId="33FAD6F1">
            <w:pPr>
              <w:spacing w:line="360" w:lineRule="auto"/>
              <w:jc w:val="center"/>
              <w:rPr>
                <w:rFonts w:ascii="宋体" w:hAnsi="宋体" w:eastAsia="宋体"/>
                <w:sz w:val="18"/>
                <w:szCs w:val="18"/>
              </w:rPr>
            </w:pPr>
          </w:p>
        </w:tc>
        <w:tc>
          <w:tcPr>
            <w:tcW w:w="1417" w:type="dxa"/>
            <w:vAlign w:val="center"/>
          </w:tcPr>
          <w:p w14:paraId="3914B218">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6A0114B0">
            <w:pPr>
              <w:spacing w:line="360" w:lineRule="auto"/>
              <w:jc w:val="center"/>
              <w:rPr>
                <w:rFonts w:ascii="宋体" w:hAnsi="宋体" w:eastAsia="宋体"/>
                <w:sz w:val="18"/>
                <w:szCs w:val="18"/>
              </w:rPr>
            </w:pPr>
            <w:r>
              <w:rPr>
                <w:rFonts w:hint="eastAsia" w:ascii="宋体" w:hAnsi="宋体" w:eastAsia="宋体"/>
                <w:sz w:val="18"/>
                <w:szCs w:val="18"/>
              </w:rPr>
              <w:t>姓名+身份证号（全部公开）</w:t>
            </w:r>
            <w:r>
              <w:rPr>
                <w:rStyle w:val="24"/>
                <w:rFonts w:ascii="宋体" w:hAnsi="宋体" w:eastAsia="宋体"/>
                <w:sz w:val="18"/>
                <w:szCs w:val="18"/>
              </w:rPr>
              <w:footnoteReference w:id="17"/>
            </w:r>
          </w:p>
        </w:tc>
      </w:tr>
      <w:tr w14:paraId="23141331">
        <w:trPr>
          <w:jc w:val="center"/>
        </w:trPr>
        <w:tc>
          <w:tcPr>
            <w:tcW w:w="704" w:type="dxa"/>
            <w:vMerge w:val="restart"/>
            <w:vAlign w:val="center"/>
          </w:tcPr>
          <w:p w14:paraId="5D9C2E1C">
            <w:pPr>
              <w:spacing w:line="360" w:lineRule="auto"/>
              <w:jc w:val="center"/>
              <w:rPr>
                <w:rFonts w:ascii="宋体" w:hAnsi="宋体" w:eastAsia="宋体"/>
                <w:sz w:val="18"/>
                <w:szCs w:val="18"/>
              </w:rPr>
            </w:pPr>
            <w:r>
              <w:rPr>
                <w:rFonts w:hint="eastAsia" w:ascii="宋体" w:hAnsi="宋体" w:eastAsia="宋体"/>
                <w:sz w:val="18"/>
                <w:szCs w:val="18"/>
              </w:rPr>
              <w:t>8</w:t>
            </w:r>
          </w:p>
        </w:tc>
        <w:tc>
          <w:tcPr>
            <w:tcW w:w="2410" w:type="dxa"/>
            <w:vMerge w:val="restart"/>
            <w:vAlign w:val="center"/>
          </w:tcPr>
          <w:p w14:paraId="4BA1D5CB">
            <w:pPr>
              <w:spacing w:line="360" w:lineRule="auto"/>
              <w:jc w:val="center"/>
              <w:rPr>
                <w:rFonts w:ascii="宋体" w:hAnsi="宋体" w:eastAsia="宋体"/>
                <w:sz w:val="18"/>
                <w:szCs w:val="18"/>
              </w:rPr>
            </w:pPr>
            <w:r>
              <w:rPr>
                <w:rFonts w:ascii="宋体" w:hAnsi="宋体" w:eastAsia="宋体"/>
                <w:sz w:val="18"/>
                <w:szCs w:val="18"/>
              </w:rPr>
              <w:t>注册商标续展公告</w:t>
            </w:r>
          </w:p>
        </w:tc>
        <w:tc>
          <w:tcPr>
            <w:tcW w:w="1417" w:type="dxa"/>
            <w:vAlign w:val="center"/>
          </w:tcPr>
          <w:p w14:paraId="1A939C9F">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2BEC4B5E">
            <w:pPr>
              <w:spacing w:line="360" w:lineRule="auto"/>
              <w:jc w:val="center"/>
              <w:rPr>
                <w:rFonts w:ascii="宋体" w:hAnsi="宋体" w:eastAsia="宋体"/>
                <w:sz w:val="18"/>
                <w:szCs w:val="18"/>
              </w:rPr>
            </w:pPr>
            <w:r>
              <w:rPr>
                <w:rFonts w:ascii="宋体" w:hAnsi="宋体" w:eastAsia="宋体"/>
                <w:sz w:val="18"/>
                <w:szCs w:val="18"/>
              </w:rPr>
              <w:t>姓名</w:t>
            </w:r>
            <w:r>
              <w:rPr>
                <w:rStyle w:val="24"/>
                <w:rFonts w:ascii="宋体" w:hAnsi="宋体" w:eastAsia="宋体"/>
                <w:sz w:val="18"/>
                <w:szCs w:val="18"/>
              </w:rPr>
              <w:footnoteReference w:id="18"/>
            </w:r>
          </w:p>
        </w:tc>
      </w:tr>
      <w:tr w14:paraId="6D7B9AE3">
        <w:trPr>
          <w:jc w:val="center"/>
        </w:trPr>
        <w:tc>
          <w:tcPr>
            <w:tcW w:w="704" w:type="dxa"/>
            <w:vMerge w:val="continue"/>
            <w:vAlign w:val="center"/>
          </w:tcPr>
          <w:p w14:paraId="6C40D892">
            <w:pPr>
              <w:spacing w:line="360" w:lineRule="auto"/>
              <w:jc w:val="center"/>
              <w:rPr>
                <w:rFonts w:ascii="宋体" w:hAnsi="宋体" w:eastAsia="宋体"/>
                <w:sz w:val="18"/>
                <w:szCs w:val="18"/>
              </w:rPr>
            </w:pPr>
          </w:p>
        </w:tc>
        <w:tc>
          <w:tcPr>
            <w:tcW w:w="2410" w:type="dxa"/>
            <w:vMerge w:val="continue"/>
            <w:vAlign w:val="center"/>
          </w:tcPr>
          <w:p w14:paraId="0EC1386D">
            <w:pPr>
              <w:spacing w:line="360" w:lineRule="auto"/>
              <w:jc w:val="center"/>
              <w:rPr>
                <w:rFonts w:ascii="宋体" w:hAnsi="宋体" w:eastAsia="宋体"/>
                <w:sz w:val="18"/>
                <w:szCs w:val="18"/>
              </w:rPr>
            </w:pPr>
          </w:p>
        </w:tc>
        <w:tc>
          <w:tcPr>
            <w:tcW w:w="1417" w:type="dxa"/>
            <w:vAlign w:val="center"/>
          </w:tcPr>
          <w:p w14:paraId="259E69EB">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49521850">
            <w:pPr>
              <w:spacing w:line="360" w:lineRule="auto"/>
              <w:jc w:val="center"/>
              <w:rPr>
                <w:rFonts w:ascii="宋体" w:hAnsi="宋体" w:eastAsia="宋体"/>
                <w:sz w:val="18"/>
                <w:szCs w:val="18"/>
              </w:rPr>
            </w:pPr>
            <w:r>
              <w:rPr>
                <w:rFonts w:hint="eastAsia" w:ascii="宋体" w:hAnsi="宋体" w:eastAsia="宋体"/>
                <w:sz w:val="18"/>
                <w:szCs w:val="18"/>
              </w:rPr>
              <w:t>姓名+身份证号（部分公开）</w:t>
            </w:r>
            <w:r>
              <w:rPr>
                <w:rStyle w:val="24"/>
                <w:rFonts w:ascii="宋体" w:hAnsi="宋体" w:eastAsia="宋体"/>
                <w:sz w:val="18"/>
                <w:szCs w:val="18"/>
              </w:rPr>
              <w:footnoteReference w:id="19"/>
            </w:r>
          </w:p>
        </w:tc>
      </w:tr>
      <w:tr w14:paraId="1822594C">
        <w:trPr>
          <w:jc w:val="center"/>
        </w:trPr>
        <w:tc>
          <w:tcPr>
            <w:tcW w:w="704" w:type="dxa"/>
            <w:vMerge w:val="continue"/>
            <w:vAlign w:val="center"/>
          </w:tcPr>
          <w:p w14:paraId="7D9CB5E3">
            <w:pPr>
              <w:spacing w:line="360" w:lineRule="auto"/>
              <w:jc w:val="center"/>
              <w:rPr>
                <w:rFonts w:ascii="宋体" w:hAnsi="宋体" w:eastAsia="宋体"/>
                <w:sz w:val="18"/>
                <w:szCs w:val="18"/>
              </w:rPr>
            </w:pPr>
          </w:p>
        </w:tc>
        <w:tc>
          <w:tcPr>
            <w:tcW w:w="2410" w:type="dxa"/>
            <w:vMerge w:val="continue"/>
            <w:vAlign w:val="center"/>
          </w:tcPr>
          <w:p w14:paraId="7FFAC584">
            <w:pPr>
              <w:spacing w:line="360" w:lineRule="auto"/>
              <w:jc w:val="center"/>
              <w:rPr>
                <w:rFonts w:ascii="宋体" w:hAnsi="宋体" w:eastAsia="宋体"/>
                <w:sz w:val="18"/>
                <w:szCs w:val="18"/>
              </w:rPr>
            </w:pPr>
          </w:p>
        </w:tc>
        <w:tc>
          <w:tcPr>
            <w:tcW w:w="1417" w:type="dxa"/>
            <w:vAlign w:val="center"/>
          </w:tcPr>
          <w:p w14:paraId="52784320">
            <w:pPr>
              <w:spacing w:line="360" w:lineRule="auto"/>
              <w:jc w:val="center"/>
              <w:rPr>
                <w:rFonts w:ascii="宋体" w:hAnsi="宋体" w:eastAsia="宋体"/>
                <w:sz w:val="18"/>
                <w:szCs w:val="18"/>
              </w:rPr>
            </w:pPr>
            <w:r>
              <w:rPr>
                <w:rFonts w:hint="eastAsia" w:ascii="宋体" w:hAnsi="宋体" w:eastAsia="宋体"/>
                <w:sz w:val="18"/>
                <w:szCs w:val="18"/>
              </w:rPr>
              <w:t>情形三</w:t>
            </w:r>
          </w:p>
        </w:tc>
        <w:tc>
          <w:tcPr>
            <w:tcW w:w="3759" w:type="dxa"/>
            <w:vAlign w:val="center"/>
          </w:tcPr>
          <w:p w14:paraId="6AB40B4C">
            <w:pPr>
              <w:spacing w:line="360" w:lineRule="auto"/>
              <w:jc w:val="center"/>
              <w:rPr>
                <w:rFonts w:ascii="宋体" w:hAnsi="宋体" w:eastAsia="宋体"/>
                <w:sz w:val="18"/>
                <w:szCs w:val="18"/>
              </w:rPr>
            </w:pPr>
            <w:r>
              <w:rPr>
                <w:rFonts w:hint="eastAsia" w:ascii="宋体" w:hAnsi="宋体" w:eastAsia="宋体"/>
                <w:sz w:val="18"/>
                <w:szCs w:val="18"/>
              </w:rPr>
              <w:t>姓名+其他证件号（部分公开）</w:t>
            </w:r>
            <w:r>
              <w:rPr>
                <w:rStyle w:val="24"/>
                <w:rFonts w:ascii="宋体" w:hAnsi="宋体" w:eastAsia="宋体"/>
                <w:sz w:val="18"/>
                <w:szCs w:val="18"/>
              </w:rPr>
              <w:footnoteReference w:id="20"/>
            </w:r>
          </w:p>
        </w:tc>
      </w:tr>
      <w:tr w14:paraId="4D2B1DC9">
        <w:trPr>
          <w:jc w:val="center"/>
        </w:trPr>
        <w:tc>
          <w:tcPr>
            <w:tcW w:w="704" w:type="dxa"/>
            <w:vMerge w:val="restart"/>
            <w:vAlign w:val="center"/>
          </w:tcPr>
          <w:p w14:paraId="02D31E19">
            <w:pPr>
              <w:spacing w:line="360" w:lineRule="auto"/>
              <w:jc w:val="center"/>
              <w:rPr>
                <w:rFonts w:ascii="宋体" w:hAnsi="宋体" w:eastAsia="宋体"/>
                <w:sz w:val="18"/>
                <w:szCs w:val="18"/>
              </w:rPr>
            </w:pPr>
            <w:r>
              <w:rPr>
                <w:rFonts w:hint="eastAsia" w:ascii="宋体" w:hAnsi="宋体" w:eastAsia="宋体"/>
                <w:sz w:val="18"/>
                <w:szCs w:val="18"/>
              </w:rPr>
              <w:t>9</w:t>
            </w:r>
          </w:p>
        </w:tc>
        <w:tc>
          <w:tcPr>
            <w:tcW w:w="2410" w:type="dxa"/>
            <w:vMerge w:val="restart"/>
            <w:vAlign w:val="center"/>
          </w:tcPr>
          <w:p w14:paraId="78365B2D">
            <w:pPr>
              <w:spacing w:line="360" w:lineRule="auto"/>
              <w:jc w:val="center"/>
              <w:rPr>
                <w:rFonts w:ascii="宋体" w:hAnsi="宋体" w:eastAsia="宋体"/>
                <w:sz w:val="18"/>
                <w:szCs w:val="18"/>
              </w:rPr>
            </w:pPr>
            <w:r>
              <w:rPr>
                <w:rFonts w:ascii="宋体" w:hAnsi="宋体" w:eastAsia="宋体"/>
                <w:sz w:val="18"/>
                <w:szCs w:val="18"/>
              </w:rPr>
              <w:t>商标使用许可合同备案公告</w:t>
            </w:r>
          </w:p>
        </w:tc>
        <w:tc>
          <w:tcPr>
            <w:tcW w:w="1417" w:type="dxa"/>
            <w:vAlign w:val="center"/>
          </w:tcPr>
          <w:p w14:paraId="5854D319">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49333954">
            <w:pPr>
              <w:spacing w:line="360" w:lineRule="auto"/>
              <w:jc w:val="center"/>
              <w:rPr>
                <w:rFonts w:ascii="宋体" w:hAnsi="宋体" w:eastAsia="宋体"/>
                <w:sz w:val="18"/>
                <w:szCs w:val="18"/>
              </w:rPr>
            </w:pPr>
            <w:r>
              <w:rPr>
                <w:rFonts w:ascii="宋体" w:hAnsi="宋体" w:eastAsia="宋体"/>
                <w:sz w:val="18"/>
                <w:szCs w:val="18"/>
              </w:rPr>
              <w:t>姓名</w:t>
            </w:r>
            <w:r>
              <w:rPr>
                <w:rStyle w:val="24"/>
                <w:rFonts w:ascii="宋体" w:hAnsi="宋体" w:eastAsia="宋体"/>
                <w:sz w:val="18"/>
                <w:szCs w:val="18"/>
              </w:rPr>
              <w:footnoteReference w:id="21"/>
            </w:r>
          </w:p>
        </w:tc>
      </w:tr>
      <w:tr w14:paraId="172A4E74">
        <w:trPr>
          <w:jc w:val="center"/>
        </w:trPr>
        <w:tc>
          <w:tcPr>
            <w:tcW w:w="704" w:type="dxa"/>
            <w:vMerge w:val="continue"/>
            <w:vAlign w:val="center"/>
          </w:tcPr>
          <w:p w14:paraId="0B514FA9">
            <w:pPr>
              <w:spacing w:line="360" w:lineRule="auto"/>
              <w:jc w:val="center"/>
              <w:rPr>
                <w:rFonts w:ascii="宋体" w:hAnsi="宋体" w:eastAsia="宋体"/>
                <w:sz w:val="18"/>
                <w:szCs w:val="18"/>
              </w:rPr>
            </w:pPr>
          </w:p>
        </w:tc>
        <w:tc>
          <w:tcPr>
            <w:tcW w:w="2410" w:type="dxa"/>
            <w:vMerge w:val="continue"/>
            <w:vAlign w:val="center"/>
          </w:tcPr>
          <w:p w14:paraId="4969B18E">
            <w:pPr>
              <w:spacing w:line="360" w:lineRule="auto"/>
              <w:jc w:val="center"/>
              <w:rPr>
                <w:rFonts w:ascii="宋体" w:hAnsi="宋体" w:eastAsia="宋体"/>
                <w:sz w:val="18"/>
                <w:szCs w:val="18"/>
              </w:rPr>
            </w:pPr>
          </w:p>
        </w:tc>
        <w:tc>
          <w:tcPr>
            <w:tcW w:w="1417" w:type="dxa"/>
            <w:vAlign w:val="center"/>
          </w:tcPr>
          <w:p w14:paraId="76CD6009">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3FEA361A">
            <w:pPr>
              <w:spacing w:line="360" w:lineRule="auto"/>
              <w:jc w:val="center"/>
              <w:rPr>
                <w:rFonts w:ascii="宋体" w:hAnsi="宋体" w:eastAsia="宋体"/>
                <w:sz w:val="18"/>
                <w:szCs w:val="18"/>
              </w:rPr>
            </w:pPr>
            <w:r>
              <w:rPr>
                <w:rFonts w:hint="eastAsia" w:ascii="宋体" w:hAnsi="宋体" w:eastAsia="宋体"/>
                <w:sz w:val="18"/>
                <w:szCs w:val="18"/>
              </w:rPr>
              <w:t>姓名+身份证号（部分公开）</w:t>
            </w:r>
            <w:r>
              <w:rPr>
                <w:rStyle w:val="24"/>
                <w:rFonts w:ascii="宋体" w:hAnsi="宋体" w:eastAsia="宋体"/>
                <w:sz w:val="18"/>
                <w:szCs w:val="18"/>
              </w:rPr>
              <w:footnoteReference w:id="22"/>
            </w:r>
          </w:p>
        </w:tc>
      </w:tr>
      <w:tr w14:paraId="1B490E88">
        <w:trPr>
          <w:jc w:val="center"/>
        </w:trPr>
        <w:tc>
          <w:tcPr>
            <w:tcW w:w="704" w:type="dxa"/>
            <w:vMerge w:val="continue"/>
            <w:vAlign w:val="center"/>
          </w:tcPr>
          <w:p w14:paraId="26FDD158">
            <w:pPr>
              <w:spacing w:line="360" w:lineRule="auto"/>
              <w:jc w:val="center"/>
              <w:rPr>
                <w:rFonts w:ascii="宋体" w:hAnsi="宋体" w:eastAsia="宋体"/>
                <w:sz w:val="18"/>
                <w:szCs w:val="18"/>
              </w:rPr>
            </w:pPr>
          </w:p>
        </w:tc>
        <w:tc>
          <w:tcPr>
            <w:tcW w:w="2410" w:type="dxa"/>
            <w:vMerge w:val="continue"/>
            <w:vAlign w:val="center"/>
          </w:tcPr>
          <w:p w14:paraId="7254EE43">
            <w:pPr>
              <w:spacing w:line="360" w:lineRule="auto"/>
              <w:jc w:val="center"/>
              <w:rPr>
                <w:rFonts w:ascii="宋体" w:hAnsi="宋体" w:eastAsia="宋体"/>
                <w:sz w:val="18"/>
                <w:szCs w:val="18"/>
              </w:rPr>
            </w:pPr>
          </w:p>
        </w:tc>
        <w:tc>
          <w:tcPr>
            <w:tcW w:w="1417" w:type="dxa"/>
            <w:vAlign w:val="center"/>
          </w:tcPr>
          <w:p w14:paraId="3F45839D">
            <w:pPr>
              <w:spacing w:line="360" w:lineRule="auto"/>
              <w:jc w:val="center"/>
              <w:rPr>
                <w:rFonts w:ascii="宋体" w:hAnsi="宋体" w:eastAsia="宋体"/>
                <w:sz w:val="18"/>
                <w:szCs w:val="18"/>
              </w:rPr>
            </w:pPr>
            <w:r>
              <w:rPr>
                <w:rFonts w:hint="eastAsia" w:ascii="宋体" w:hAnsi="宋体" w:eastAsia="宋体"/>
                <w:sz w:val="18"/>
                <w:szCs w:val="18"/>
              </w:rPr>
              <w:t>情形三</w:t>
            </w:r>
          </w:p>
        </w:tc>
        <w:tc>
          <w:tcPr>
            <w:tcW w:w="3759" w:type="dxa"/>
            <w:vAlign w:val="center"/>
          </w:tcPr>
          <w:p w14:paraId="68D700DD">
            <w:pPr>
              <w:spacing w:line="360" w:lineRule="auto"/>
              <w:jc w:val="center"/>
              <w:rPr>
                <w:rFonts w:ascii="宋体" w:hAnsi="宋体" w:eastAsia="宋体"/>
                <w:sz w:val="18"/>
                <w:szCs w:val="18"/>
              </w:rPr>
            </w:pPr>
            <w:r>
              <w:rPr>
                <w:rFonts w:hint="eastAsia" w:ascii="宋体" w:hAnsi="宋体" w:eastAsia="宋体"/>
                <w:sz w:val="18"/>
                <w:szCs w:val="18"/>
              </w:rPr>
              <w:t>姓名+其他证件号（全部公开）</w:t>
            </w:r>
            <w:r>
              <w:rPr>
                <w:rStyle w:val="24"/>
                <w:rFonts w:ascii="宋体" w:hAnsi="宋体" w:eastAsia="宋体"/>
                <w:sz w:val="18"/>
                <w:szCs w:val="18"/>
              </w:rPr>
              <w:footnoteReference w:id="23"/>
            </w:r>
          </w:p>
        </w:tc>
      </w:tr>
      <w:tr w14:paraId="49E066F5">
        <w:trPr>
          <w:jc w:val="center"/>
        </w:trPr>
        <w:tc>
          <w:tcPr>
            <w:tcW w:w="704" w:type="dxa"/>
            <w:vAlign w:val="center"/>
          </w:tcPr>
          <w:p w14:paraId="32713F86">
            <w:pPr>
              <w:spacing w:line="360" w:lineRule="auto"/>
              <w:jc w:val="center"/>
              <w:rPr>
                <w:rFonts w:ascii="宋体" w:hAnsi="宋体" w:eastAsia="宋体"/>
                <w:sz w:val="18"/>
                <w:szCs w:val="18"/>
              </w:rPr>
            </w:pPr>
            <w:r>
              <w:rPr>
                <w:rFonts w:hint="eastAsia" w:ascii="宋体" w:hAnsi="宋体" w:eastAsia="宋体"/>
                <w:sz w:val="18"/>
                <w:szCs w:val="18"/>
              </w:rPr>
              <w:t>10</w:t>
            </w:r>
          </w:p>
        </w:tc>
        <w:tc>
          <w:tcPr>
            <w:tcW w:w="2410" w:type="dxa"/>
            <w:vAlign w:val="center"/>
          </w:tcPr>
          <w:p w14:paraId="3D9ED5DD">
            <w:pPr>
              <w:spacing w:line="360" w:lineRule="auto"/>
              <w:jc w:val="center"/>
              <w:rPr>
                <w:rFonts w:ascii="宋体" w:hAnsi="宋体" w:eastAsia="宋体" w:cs="Segoe UI"/>
                <w:sz w:val="18"/>
                <w:szCs w:val="18"/>
                <w:shd w:val="clear" w:color="auto" w:fill="FFFFFF"/>
              </w:rPr>
            </w:pPr>
            <w:r>
              <w:rPr>
                <w:rFonts w:ascii="宋体" w:hAnsi="宋体" w:eastAsia="宋体" w:cs="Segoe UI"/>
                <w:sz w:val="18"/>
                <w:szCs w:val="18"/>
                <w:shd w:val="clear" w:color="auto" w:fill="FFFFFF"/>
              </w:rPr>
              <w:t>商标使用许可变更公告</w:t>
            </w:r>
          </w:p>
        </w:tc>
        <w:tc>
          <w:tcPr>
            <w:tcW w:w="1417" w:type="dxa"/>
            <w:vAlign w:val="center"/>
          </w:tcPr>
          <w:p w14:paraId="117F657E">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5F653CF5">
            <w:pPr>
              <w:spacing w:line="360" w:lineRule="auto"/>
              <w:jc w:val="center"/>
              <w:rPr>
                <w:rFonts w:ascii="宋体" w:hAnsi="宋体" w:eastAsia="宋体"/>
                <w:sz w:val="18"/>
                <w:szCs w:val="18"/>
              </w:rPr>
            </w:pPr>
            <w:r>
              <w:rPr>
                <w:rFonts w:hint="eastAsia" w:ascii="宋体" w:hAnsi="宋体" w:eastAsia="宋体"/>
                <w:sz w:val="18"/>
                <w:szCs w:val="18"/>
              </w:rPr>
              <w:t>姓名</w:t>
            </w:r>
            <w:r>
              <w:rPr>
                <w:rStyle w:val="24"/>
                <w:rFonts w:ascii="宋体" w:hAnsi="宋体" w:eastAsia="宋体"/>
                <w:sz w:val="18"/>
                <w:szCs w:val="18"/>
              </w:rPr>
              <w:footnoteReference w:id="24"/>
            </w:r>
          </w:p>
        </w:tc>
      </w:tr>
      <w:tr w14:paraId="1F4FC32F">
        <w:trPr>
          <w:jc w:val="center"/>
        </w:trPr>
        <w:tc>
          <w:tcPr>
            <w:tcW w:w="704" w:type="dxa"/>
            <w:vMerge w:val="restart"/>
            <w:vAlign w:val="center"/>
          </w:tcPr>
          <w:p w14:paraId="287C8BEC">
            <w:pPr>
              <w:spacing w:line="360" w:lineRule="auto"/>
              <w:jc w:val="center"/>
              <w:rPr>
                <w:rFonts w:ascii="宋体" w:hAnsi="宋体" w:eastAsia="宋体"/>
                <w:sz w:val="18"/>
                <w:szCs w:val="18"/>
              </w:rPr>
            </w:pPr>
            <w:r>
              <w:rPr>
                <w:rFonts w:hint="eastAsia" w:ascii="宋体" w:hAnsi="宋体" w:eastAsia="宋体"/>
                <w:sz w:val="18"/>
                <w:szCs w:val="18"/>
              </w:rPr>
              <w:t>11</w:t>
            </w:r>
          </w:p>
        </w:tc>
        <w:tc>
          <w:tcPr>
            <w:tcW w:w="2410" w:type="dxa"/>
            <w:vMerge w:val="restart"/>
            <w:vAlign w:val="center"/>
          </w:tcPr>
          <w:p w14:paraId="4D109E72">
            <w:pPr>
              <w:spacing w:line="360" w:lineRule="auto"/>
              <w:jc w:val="center"/>
              <w:rPr>
                <w:rFonts w:ascii="宋体" w:hAnsi="宋体" w:eastAsia="宋体" w:cs="Segoe UI"/>
                <w:sz w:val="18"/>
                <w:szCs w:val="18"/>
                <w:shd w:val="clear" w:color="auto" w:fill="FFFFFF"/>
              </w:rPr>
            </w:pPr>
            <w:r>
              <w:rPr>
                <w:rFonts w:ascii="宋体" w:hAnsi="宋体" w:eastAsia="宋体" w:cs="Segoe UI"/>
                <w:sz w:val="18"/>
                <w:szCs w:val="18"/>
                <w:shd w:val="clear" w:color="auto" w:fill="FFFFFF"/>
              </w:rPr>
              <w:t>商标使用许可终止公告</w:t>
            </w:r>
          </w:p>
        </w:tc>
        <w:tc>
          <w:tcPr>
            <w:tcW w:w="1417" w:type="dxa"/>
            <w:vAlign w:val="center"/>
          </w:tcPr>
          <w:p w14:paraId="119B60B8">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10DA3C80">
            <w:pPr>
              <w:spacing w:line="360" w:lineRule="auto"/>
              <w:jc w:val="center"/>
              <w:rPr>
                <w:rFonts w:ascii="宋体" w:hAnsi="宋体" w:eastAsia="宋体"/>
                <w:sz w:val="18"/>
                <w:szCs w:val="18"/>
              </w:rPr>
            </w:pPr>
            <w:r>
              <w:rPr>
                <w:rFonts w:ascii="宋体" w:hAnsi="宋体" w:eastAsia="宋体"/>
                <w:sz w:val="18"/>
                <w:szCs w:val="18"/>
              </w:rPr>
              <w:t>姓名</w:t>
            </w:r>
            <w:r>
              <w:rPr>
                <w:rStyle w:val="24"/>
                <w:rFonts w:ascii="宋体" w:hAnsi="宋体" w:eastAsia="宋体"/>
                <w:sz w:val="18"/>
                <w:szCs w:val="18"/>
              </w:rPr>
              <w:footnoteReference w:id="25"/>
            </w:r>
          </w:p>
        </w:tc>
      </w:tr>
      <w:tr w14:paraId="4DBACE9A">
        <w:trPr>
          <w:jc w:val="center"/>
        </w:trPr>
        <w:tc>
          <w:tcPr>
            <w:tcW w:w="704" w:type="dxa"/>
            <w:vMerge w:val="continue"/>
            <w:vAlign w:val="center"/>
          </w:tcPr>
          <w:p w14:paraId="49FD5860">
            <w:pPr>
              <w:spacing w:line="360" w:lineRule="auto"/>
              <w:jc w:val="center"/>
              <w:rPr>
                <w:rFonts w:ascii="宋体" w:hAnsi="宋体" w:eastAsia="宋体"/>
                <w:sz w:val="18"/>
                <w:szCs w:val="18"/>
              </w:rPr>
            </w:pPr>
          </w:p>
        </w:tc>
        <w:tc>
          <w:tcPr>
            <w:tcW w:w="2410" w:type="dxa"/>
            <w:vMerge w:val="continue"/>
            <w:vAlign w:val="center"/>
          </w:tcPr>
          <w:p w14:paraId="17343012">
            <w:pPr>
              <w:spacing w:line="360" w:lineRule="auto"/>
              <w:jc w:val="center"/>
              <w:rPr>
                <w:rFonts w:ascii="宋体" w:hAnsi="宋体" w:eastAsia="宋体"/>
                <w:sz w:val="18"/>
                <w:szCs w:val="18"/>
              </w:rPr>
            </w:pPr>
          </w:p>
        </w:tc>
        <w:tc>
          <w:tcPr>
            <w:tcW w:w="1417" w:type="dxa"/>
            <w:vAlign w:val="center"/>
          </w:tcPr>
          <w:p w14:paraId="4824EA2C">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4B386656">
            <w:pPr>
              <w:spacing w:line="360" w:lineRule="auto"/>
              <w:jc w:val="center"/>
              <w:rPr>
                <w:rFonts w:ascii="宋体" w:hAnsi="宋体" w:eastAsia="宋体"/>
                <w:sz w:val="18"/>
                <w:szCs w:val="18"/>
              </w:rPr>
            </w:pPr>
            <w:r>
              <w:rPr>
                <w:rFonts w:hint="eastAsia" w:ascii="宋体" w:hAnsi="宋体" w:eastAsia="宋体"/>
                <w:sz w:val="18"/>
                <w:szCs w:val="18"/>
              </w:rPr>
              <w:t>姓名+身份证号（部分公开）</w:t>
            </w:r>
            <w:r>
              <w:rPr>
                <w:rStyle w:val="24"/>
                <w:rFonts w:ascii="宋体" w:hAnsi="宋体" w:eastAsia="宋体"/>
                <w:sz w:val="18"/>
                <w:szCs w:val="18"/>
              </w:rPr>
              <w:footnoteReference w:id="26"/>
            </w:r>
          </w:p>
        </w:tc>
      </w:tr>
      <w:tr w14:paraId="37E601A5">
        <w:trPr>
          <w:jc w:val="center"/>
        </w:trPr>
        <w:tc>
          <w:tcPr>
            <w:tcW w:w="704" w:type="dxa"/>
            <w:vMerge w:val="restart"/>
            <w:vAlign w:val="center"/>
          </w:tcPr>
          <w:p w14:paraId="4DA1A0DA">
            <w:pPr>
              <w:spacing w:line="360" w:lineRule="auto"/>
              <w:jc w:val="center"/>
              <w:rPr>
                <w:rFonts w:ascii="宋体" w:hAnsi="宋体" w:eastAsia="宋体"/>
                <w:sz w:val="18"/>
                <w:szCs w:val="18"/>
              </w:rPr>
            </w:pPr>
            <w:r>
              <w:rPr>
                <w:rFonts w:hint="eastAsia" w:ascii="宋体" w:hAnsi="宋体" w:eastAsia="宋体"/>
                <w:sz w:val="18"/>
                <w:szCs w:val="18"/>
              </w:rPr>
              <w:t>12</w:t>
            </w:r>
          </w:p>
        </w:tc>
        <w:tc>
          <w:tcPr>
            <w:tcW w:w="2410" w:type="dxa"/>
            <w:vMerge w:val="restart"/>
            <w:vAlign w:val="center"/>
          </w:tcPr>
          <w:p w14:paraId="4CA4A6D5">
            <w:pPr>
              <w:spacing w:line="360" w:lineRule="auto"/>
              <w:jc w:val="center"/>
              <w:rPr>
                <w:rFonts w:ascii="宋体" w:hAnsi="宋体" w:eastAsia="宋体"/>
                <w:sz w:val="18"/>
                <w:szCs w:val="18"/>
              </w:rPr>
            </w:pPr>
            <w:r>
              <w:rPr>
                <w:rFonts w:ascii="宋体" w:hAnsi="宋体" w:eastAsia="宋体"/>
                <w:sz w:val="18"/>
                <w:szCs w:val="18"/>
              </w:rPr>
              <w:t>商标质权登记公告</w:t>
            </w:r>
          </w:p>
        </w:tc>
        <w:tc>
          <w:tcPr>
            <w:tcW w:w="1417" w:type="dxa"/>
            <w:vAlign w:val="center"/>
          </w:tcPr>
          <w:p w14:paraId="63A118D6">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3642B351">
            <w:pPr>
              <w:spacing w:line="360" w:lineRule="auto"/>
              <w:jc w:val="center"/>
              <w:rPr>
                <w:rFonts w:ascii="宋体" w:hAnsi="宋体" w:eastAsia="宋体"/>
                <w:sz w:val="18"/>
                <w:szCs w:val="18"/>
              </w:rPr>
            </w:pPr>
            <w:r>
              <w:rPr>
                <w:rFonts w:ascii="宋体" w:hAnsi="宋体" w:eastAsia="宋体"/>
                <w:sz w:val="18"/>
                <w:szCs w:val="18"/>
              </w:rPr>
              <w:t>姓名</w:t>
            </w:r>
            <w:r>
              <w:rPr>
                <w:rStyle w:val="24"/>
                <w:rFonts w:ascii="宋体" w:hAnsi="宋体" w:eastAsia="宋体"/>
                <w:sz w:val="18"/>
                <w:szCs w:val="18"/>
              </w:rPr>
              <w:footnoteReference w:id="27"/>
            </w:r>
          </w:p>
        </w:tc>
      </w:tr>
      <w:tr w14:paraId="3ACAF6B3">
        <w:trPr>
          <w:jc w:val="center"/>
        </w:trPr>
        <w:tc>
          <w:tcPr>
            <w:tcW w:w="704" w:type="dxa"/>
            <w:vMerge w:val="continue"/>
            <w:vAlign w:val="center"/>
          </w:tcPr>
          <w:p w14:paraId="62914F83">
            <w:pPr>
              <w:spacing w:line="360" w:lineRule="auto"/>
              <w:jc w:val="center"/>
              <w:rPr>
                <w:rFonts w:ascii="宋体" w:hAnsi="宋体" w:eastAsia="宋体"/>
                <w:sz w:val="18"/>
                <w:szCs w:val="18"/>
              </w:rPr>
            </w:pPr>
          </w:p>
        </w:tc>
        <w:tc>
          <w:tcPr>
            <w:tcW w:w="2410" w:type="dxa"/>
            <w:vMerge w:val="continue"/>
            <w:vAlign w:val="center"/>
          </w:tcPr>
          <w:p w14:paraId="7BA452FE">
            <w:pPr>
              <w:spacing w:line="360" w:lineRule="auto"/>
              <w:jc w:val="center"/>
              <w:rPr>
                <w:rFonts w:ascii="宋体" w:hAnsi="宋体" w:eastAsia="宋体"/>
                <w:sz w:val="18"/>
                <w:szCs w:val="18"/>
              </w:rPr>
            </w:pPr>
          </w:p>
        </w:tc>
        <w:tc>
          <w:tcPr>
            <w:tcW w:w="1417" w:type="dxa"/>
            <w:vAlign w:val="center"/>
          </w:tcPr>
          <w:p w14:paraId="6A10C485">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205011E3">
            <w:pPr>
              <w:spacing w:line="360" w:lineRule="auto"/>
              <w:jc w:val="center"/>
              <w:rPr>
                <w:rFonts w:ascii="宋体" w:hAnsi="宋体" w:eastAsia="宋体"/>
                <w:sz w:val="18"/>
                <w:szCs w:val="18"/>
              </w:rPr>
            </w:pPr>
            <w:r>
              <w:rPr>
                <w:rFonts w:hint="eastAsia" w:ascii="宋体" w:hAnsi="宋体" w:eastAsia="宋体"/>
                <w:sz w:val="18"/>
                <w:szCs w:val="18"/>
              </w:rPr>
              <w:t>姓名+身份证号（部分公开）</w:t>
            </w:r>
            <w:r>
              <w:rPr>
                <w:rStyle w:val="24"/>
                <w:rFonts w:ascii="宋体" w:hAnsi="宋体" w:eastAsia="宋体"/>
                <w:sz w:val="18"/>
                <w:szCs w:val="18"/>
              </w:rPr>
              <w:footnoteReference w:id="28"/>
            </w:r>
          </w:p>
        </w:tc>
      </w:tr>
      <w:tr w14:paraId="22895FFB">
        <w:trPr>
          <w:jc w:val="center"/>
        </w:trPr>
        <w:tc>
          <w:tcPr>
            <w:tcW w:w="704" w:type="dxa"/>
            <w:vAlign w:val="center"/>
          </w:tcPr>
          <w:p w14:paraId="38D500B8">
            <w:pPr>
              <w:spacing w:line="360" w:lineRule="auto"/>
              <w:jc w:val="center"/>
              <w:rPr>
                <w:rFonts w:ascii="宋体" w:hAnsi="宋体" w:eastAsia="宋体"/>
                <w:sz w:val="18"/>
                <w:szCs w:val="18"/>
              </w:rPr>
            </w:pPr>
            <w:r>
              <w:rPr>
                <w:rFonts w:hint="eastAsia" w:ascii="宋体" w:hAnsi="宋体" w:eastAsia="宋体"/>
                <w:sz w:val="18"/>
                <w:szCs w:val="18"/>
              </w:rPr>
              <w:t>13</w:t>
            </w:r>
          </w:p>
        </w:tc>
        <w:tc>
          <w:tcPr>
            <w:tcW w:w="2410" w:type="dxa"/>
            <w:vAlign w:val="center"/>
          </w:tcPr>
          <w:p w14:paraId="5E896B8F">
            <w:pPr>
              <w:spacing w:line="360" w:lineRule="auto"/>
              <w:jc w:val="center"/>
              <w:rPr>
                <w:rFonts w:ascii="宋体" w:hAnsi="宋体" w:eastAsia="宋体"/>
                <w:sz w:val="18"/>
                <w:szCs w:val="18"/>
              </w:rPr>
            </w:pPr>
            <w:r>
              <w:rPr>
                <w:rFonts w:ascii="宋体" w:hAnsi="宋体" w:eastAsia="宋体"/>
                <w:sz w:val="18"/>
                <w:szCs w:val="18"/>
              </w:rPr>
              <w:t>商标质权登记注销公告</w:t>
            </w:r>
          </w:p>
        </w:tc>
        <w:tc>
          <w:tcPr>
            <w:tcW w:w="1417" w:type="dxa"/>
            <w:vAlign w:val="center"/>
          </w:tcPr>
          <w:p w14:paraId="58F0292F">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1068E0EB">
            <w:pPr>
              <w:spacing w:line="360" w:lineRule="auto"/>
              <w:jc w:val="center"/>
              <w:rPr>
                <w:rFonts w:ascii="宋体" w:hAnsi="宋体" w:eastAsia="宋体"/>
                <w:sz w:val="18"/>
                <w:szCs w:val="18"/>
              </w:rPr>
            </w:pPr>
            <w:r>
              <w:rPr>
                <w:rFonts w:ascii="宋体" w:hAnsi="宋体" w:eastAsia="宋体"/>
                <w:sz w:val="18"/>
                <w:szCs w:val="18"/>
              </w:rPr>
              <w:t>姓名</w:t>
            </w:r>
            <w:r>
              <w:rPr>
                <w:rStyle w:val="24"/>
                <w:rFonts w:ascii="宋体" w:hAnsi="宋体" w:eastAsia="宋体"/>
                <w:sz w:val="18"/>
                <w:szCs w:val="18"/>
              </w:rPr>
              <w:footnoteReference w:id="29"/>
            </w:r>
          </w:p>
        </w:tc>
      </w:tr>
      <w:tr w14:paraId="10366203">
        <w:trPr>
          <w:jc w:val="center"/>
        </w:trPr>
        <w:tc>
          <w:tcPr>
            <w:tcW w:w="704" w:type="dxa"/>
            <w:vMerge w:val="restart"/>
            <w:vAlign w:val="center"/>
          </w:tcPr>
          <w:p w14:paraId="053581D1">
            <w:pPr>
              <w:spacing w:line="360" w:lineRule="auto"/>
              <w:jc w:val="center"/>
              <w:rPr>
                <w:rFonts w:ascii="宋体" w:hAnsi="宋体" w:eastAsia="宋体"/>
                <w:sz w:val="18"/>
                <w:szCs w:val="18"/>
              </w:rPr>
            </w:pPr>
            <w:r>
              <w:rPr>
                <w:rFonts w:hint="eastAsia" w:ascii="宋体" w:hAnsi="宋体" w:eastAsia="宋体"/>
                <w:sz w:val="18"/>
                <w:szCs w:val="18"/>
              </w:rPr>
              <w:t>14</w:t>
            </w:r>
          </w:p>
        </w:tc>
        <w:tc>
          <w:tcPr>
            <w:tcW w:w="2410" w:type="dxa"/>
            <w:vMerge w:val="restart"/>
            <w:vAlign w:val="center"/>
          </w:tcPr>
          <w:p w14:paraId="70C1D776">
            <w:pPr>
              <w:spacing w:line="360" w:lineRule="auto"/>
              <w:jc w:val="center"/>
              <w:rPr>
                <w:rFonts w:ascii="宋体" w:hAnsi="宋体" w:eastAsia="宋体"/>
                <w:sz w:val="18"/>
                <w:szCs w:val="18"/>
              </w:rPr>
            </w:pPr>
            <w:r>
              <w:rPr>
                <w:rFonts w:ascii="宋体" w:hAnsi="宋体" w:eastAsia="宋体"/>
                <w:sz w:val="18"/>
                <w:szCs w:val="18"/>
              </w:rPr>
              <w:t>注册商标注销公告</w:t>
            </w:r>
          </w:p>
        </w:tc>
        <w:tc>
          <w:tcPr>
            <w:tcW w:w="1417" w:type="dxa"/>
            <w:vAlign w:val="center"/>
          </w:tcPr>
          <w:p w14:paraId="5773ADF8">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0BE5F6B6">
            <w:pPr>
              <w:spacing w:line="360" w:lineRule="auto"/>
              <w:jc w:val="center"/>
              <w:rPr>
                <w:rFonts w:ascii="宋体" w:hAnsi="宋体" w:eastAsia="宋体"/>
                <w:sz w:val="18"/>
                <w:szCs w:val="18"/>
              </w:rPr>
            </w:pPr>
            <w:r>
              <w:rPr>
                <w:rFonts w:ascii="宋体" w:hAnsi="宋体" w:eastAsia="宋体"/>
                <w:sz w:val="18"/>
                <w:szCs w:val="18"/>
              </w:rPr>
              <w:t>姓名</w:t>
            </w:r>
            <w:r>
              <w:rPr>
                <w:rStyle w:val="24"/>
                <w:rFonts w:ascii="宋体" w:hAnsi="宋体" w:eastAsia="宋体"/>
                <w:sz w:val="18"/>
                <w:szCs w:val="18"/>
              </w:rPr>
              <w:footnoteReference w:id="30"/>
            </w:r>
          </w:p>
        </w:tc>
      </w:tr>
      <w:tr w14:paraId="3B9819FE">
        <w:trPr>
          <w:jc w:val="center"/>
        </w:trPr>
        <w:tc>
          <w:tcPr>
            <w:tcW w:w="704" w:type="dxa"/>
            <w:vMerge w:val="continue"/>
            <w:vAlign w:val="center"/>
          </w:tcPr>
          <w:p w14:paraId="73DA2B6A">
            <w:pPr>
              <w:spacing w:line="360" w:lineRule="auto"/>
              <w:jc w:val="center"/>
              <w:rPr>
                <w:rFonts w:ascii="宋体" w:hAnsi="宋体" w:eastAsia="宋体"/>
                <w:sz w:val="18"/>
                <w:szCs w:val="18"/>
              </w:rPr>
            </w:pPr>
          </w:p>
        </w:tc>
        <w:tc>
          <w:tcPr>
            <w:tcW w:w="2410" w:type="dxa"/>
            <w:vMerge w:val="continue"/>
            <w:vAlign w:val="center"/>
          </w:tcPr>
          <w:p w14:paraId="13C08037">
            <w:pPr>
              <w:spacing w:line="360" w:lineRule="auto"/>
              <w:jc w:val="center"/>
              <w:rPr>
                <w:rFonts w:ascii="宋体" w:hAnsi="宋体" w:eastAsia="宋体"/>
                <w:sz w:val="18"/>
                <w:szCs w:val="18"/>
              </w:rPr>
            </w:pPr>
          </w:p>
        </w:tc>
        <w:tc>
          <w:tcPr>
            <w:tcW w:w="1417" w:type="dxa"/>
            <w:vAlign w:val="center"/>
          </w:tcPr>
          <w:p w14:paraId="5B037773">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2F0A5CD5">
            <w:pPr>
              <w:spacing w:line="360" w:lineRule="auto"/>
              <w:jc w:val="center"/>
              <w:rPr>
                <w:rFonts w:ascii="宋体" w:hAnsi="宋体" w:eastAsia="宋体"/>
                <w:sz w:val="18"/>
                <w:szCs w:val="18"/>
              </w:rPr>
            </w:pPr>
            <w:r>
              <w:rPr>
                <w:rFonts w:hint="eastAsia" w:ascii="宋体" w:hAnsi="宋体" w:eastAsia="宋体"/>
                <w:sz w:val="18"/>
                <w:szCs w:val="18"/>
              </w:rPr>
              <w:t>姓名+身份证号（部分公开）</w:t>
            </w:r>
            <w:r>
              <w:rPr>
                <w:rStyle w:val="24"/>
                <w:rFonts w:ascii="宋体" w:hAnsi="宋体" w:eastAsia="宋体"/>
                <w:sz w:val="18"/>
                <w:szCs w:val="18"/>
              </w:rPr>
              <w:footnoteReference w:id="31"/>
            </w:r>
          </w:p>
        </w:tc>
      </w:tr>
      <w:tr w14:paraId="47401850">
        <w:trPr>
          <w:jc w:val="center"/>
        </w:trPr>
        <w:tc>
          <w:tcPr>
            <w:tcW w:w="704" w:type="dxa"/>
            <w:vMerge w:val="restart"/>
            <w:vAlign w:val="center"/>
          </w:tcPr>
          <w:p w14:paraId="6A296F76">
            <w:pPr>
              <w:spacing w:line="360" w:lineRule="auto"/>
              <w:jc w:val="center"/>
              <w:rPr>
                <w:rFonts w:ascii="宋体" w:hAnsi="宋体" w:eastAsia="宋体"/>
                <w:sz w:val="18"/>
                <w:szCs w:val="18"/>
              </w:rPr>
            </w:pPr>
            <w:r>
              <w:rPr>
                <w:rFonts w:hint="eastAsia" w:ascii="宋体" w:hAnsi="宋体" w:eastAsia="宋体"/>
                <w:sz w:val="18"/>
                <w:szCs w:val="18"/>
              </w:rPr>
              <w:t>15</w:t>
            </w:r>
          </w:p>
        </w:tc>
        <w:tc>
          <w:tcPr>
            <w:tcW w:w="2410" w:type="dxa"/>
            <w:vMerge w:val="restart"/>
            <w:vAlign w:val="center"/>
          </w:tcPr>
          <w:p w14:paraId="52A5EB4A">
            <w:pPr>
              <w:spacing w:line="360" w:lineRule="auto"/>
              <w:jc w:val="center"/>
              <w:rPr>
                <w:rFonts w:ascii="宋体" w:hAnsi="宋体" w:eastAsia="宋体"/>
                <w:sz w:val="18"/>
                <w:szCs w:val="18"/>
              </w:rPr>
            </w:pPr>
            <w:r>
              <w:rPr>
                <w:rFonts w:hint="eastAsia" w:ascii="宋体" w:hAnsi="宋体" w:eastAsia="宋体"/>
                <w:sz w:val="18"/>
                <w:szCs w:val="18"/>
              </w:rPr>
              <w:t>无效公告</w:t>
            </w:r>
          </w:p>
        </w:tc>
        <w:tc>
          <w:tcPr>
            <w:tcW w:w="1417" w:type="dxa"/>
            <w:vAlign w:val="center"/>
          </w:tcPr>
          <w:p w14:paraId="42406587">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3B83B83F">
            <w:pPr>
              <w:spacing w:line="360" w:lineRule="auto"/>
              <w:jc w:val="center"/>
              <w:rPr>
                <w:rFonts w:ascii="宋体" w:hAnsi="宋体" w:eastAsia="宋体"/>
                <w:sz w:val="18"/>
                <w:szCs w:val="18"/>
              </w:rPr>
            </w:pPr>
            <w:r>
              <w:rPr>
                <w:rFonts w:ascii="宋体" w:hAnsi="宋体" w:eastAsia="宋体"/>
                <w:sz w:val="18"/>
                <w:szCs w:val="18"/>
              </w:rPr>
              <w:t>姓名</w:t>
            </w:r>
            <w:r>
              <w:rPr>
                <w:rStyle w:val="24"/>
                <w:rFonts w:ascii="宋体" w:hAnsi="宋体" w:eastAsia="宋体"/>
                <w:sz w:val="18"/>
                <w:szCs w:val="18"/>
              </w:rPr>
              <w:footnoteReference w:id="32"/>
            </w:r>
          </w:p>
        </w:tc>
      </w:tr>
      <w:tr w14:paraId="00111361">
        <w:trPr>
          <w:jc w:val="center"/>
        </w:trPr>
        <w:tc>
          <w:tcPr>
            <w:tcW w:w="704" w:type="dxa"/>
            <w:vMerge w:val="continue"/>
            <w:vAlign w:val="center"/>
          </w:tcPr>
          <w:p w14:paraId="3AE71158">
            <w:pPr>
              <w:spacing w:line="360" w:lineRule="auto"/>
              <w:jc w:val="center"/>
              <w:rPr>
                <w:rFonts w:ascii="宋体" w:hAnsi="宋体" w:eastAsia="宋体"/>
                <w:sz w:val="18"/>
                <w:szCs w:val="18"/>
              </w:rPr>
            </w:pPr>
          </w:p>
        </w:tc>
        <w:tc>
          <w:tcPr>
            <w:tcW w:w="2410" w:type="dxa"/>
            <w:vMerge w:val="continue"/>
            <w:vAlign w:val="center"/>
          </w:tcPr>
          <w:p w14:paraId="4D912A25">
            <w:pPr>
              <w:spacing w:line="360" w:lineRule="auto"/>
              <w:jc w:val="center"/>
              <w:rPr>
                <w:rFonts w:ascii="宋体" w:hAnsi="宋体" w:eastAsia="宋体"/>
                <w:sz w:val="18"/>
                <w:szCs w:val="18"/>
              </w:rPr>
            </w:pPr>
          </w:p>
        </w:tc>
        <w:tc>
          <w:tcPr>
            <w:tcW w:w="1417" w:type="dxa"/>
            <w:vAlign w:val="center"/>
          </w:tcPr>
          <w:p w14:paraId="550AAABA">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154480E2">
            <w:pPr>
              <w:spacing w:line="360" w:lineRule="auto"/>
              <w:jc w:val="center"/>
              <w:rPr>
                <w:rFonts w:ascii="宋体" w:hAnsi="宋体" w:eastAsia="宋体"/>
                <w:sz w:val="18"/>
                <w:szCs w:val="18"/>
              </w:rPr>
            </w:pPr>
            <w:r>
              <w:rPr>
                <w:rFonts w:hint="eastAsia" w:ascii="宋体" w:hAnsi="宋体" w:eastAsia="宋体"/>
                <w:sz w:val="18"/>
                <w:szCs w:val="18"/>
              </w:rPr>
              <w:t>姓名+身份证号（部分公开）</w:t>
            </w:r>
            <w:r>
              <w:rPr>
                <w:rStyle w:val="24"/>
                <w:rFonts w:ascii="宋体" w:hAnsi="宋体" w:eastAsia="宋体"/>
                <w:sz w:val="18"/>
                <w:szCs w:val="18"/>
              </w:rPr>
              <w:footnoteReference w:id="33"/>
            </w:r>
          </w:p>
        </w:tc>
      </w:tr>
      <w:tr w14:paraId="2C61AFDE">
        <w:trPr>
          <w:jc w:val="center"/>
        </w:trPr>
        <w:tc>
          <w:tcPr>
            <w:tcW w:w="704" w:type="dxa"/>
            <w:vMerge w:val="continue"/>
            <w:vAlign w:val="center"/>
          </w:tcPr>
          <w:p w14:paraId="106E8D1A">
            <w:pPr>
              <w:spacing w:line="360" w:lineRule="auto"/>
              <w:jc w:val="center"/>
              <w:rPr>
                <w:rFonts w:ascii="宋体" w:hAnsi="宋体" w:eastAsia="宋体"/>
                <w:sz w:val="18"/>
                <w:szCs w:val="18"/>
              </w:rPr>
            </w:pPr>
          </w:p>
        </w:tc>
        <w:tc>
          <w:tcPr>
            <w:tcW w:w="2410" w:type="dxa"/>
            <w:vMerge w:val="continue"/>
            <w:vAlign w:val="center"/>
          </w:tcPr>
          <w:p w14:paraId="7C27E1BA">
            <w:pPr>
              <w:spacing w:line="360" w:lineRule="auto"/>
              <w:jc w:val="center"/>
              <w:rPr>
                <w:rFonts w:ascii="宋体" w:hAnsi="宋体" w:eastAsia="宋体"/>
                <w:sz w:val="18"/>
                <w:szCs w:val="18"/>
              </w:rPr>
            </w:pPr>
          </w:p>
        </w:tc>
        <w:tc>
          <w:tcPr>
            <w:tcW w:w="1417" w:type="dxa"/>
            <w:vAlign w:val="center"/>
          </w:tcPr>
          <w:p w14:paraId="210BA11F">
            <w:pPr>
              <w:spacing w:line="360" w:lineRule="auto"/>
              <w:jc w:val="center"/>
              <w:rPr>
                <w:rFonts w:ascii="宋体" w:hAnsi="宋体" w:eastAsia="宋体"/>
                <w:sz w:val="18"/>
                <w:szCs w:val="18"/>
              </w:rPr>
            </w:pPr>
            <w:r>
              <w:rPr>
                <w:rFonts w:hint="eastAsia" w:ascii="宋体" w:hAnsi="宋体" w:eastAsia="宋体"/>
                <w:sz w:val="18"/>
                <w:szCs w:val="18"/>
              </w:rPr>
              <w:t>情形三</w:t>
            </w:r>
          </w:p>
        </w:tc>
        <w:tc>
          <w:tcPr>
            <w:tcW w:w="3759" w:type="dxa"/>
            <w:vAlign w:val="center"/>
          </w:tcPr>
          <w:p w14:paraId="5630E22D">
            <w:pPr>
              <w:spacing w:line="360" w:lineRule="auto"/>
              <w:jc w:val="center"/>
              <w:rPr>
                <w:rFonts w:ascii="宋体" w:hAnsi="宋体" w:eastAsia="宋体"/>
                <w:sz w:val="18"/>
                <w:szCs w:val="18"/>
              </w:rPr>
            </w:pPr>
            <w:r>
              <w:rPr>
                <w:rFonts w:hint="eastAsia" w:ascii="宋体" w:hAnsi="宋体" w:eastAsia="宋体"/>
                <w:sz w:val="18"/>
                <w:szCs w:val="18"/>
              </w:rPr>
              <w:t>姓名+其他证件号（部分公开）</w:t>
            </w:r>
            <w:r>
              <w:rPr>
                <w:rStyle w:val="24"/>
                <w:rFonts w:ascii="宋体" w:hAnsi="宋体" w:eastAsia="宋体"/>
                <w:sz w:val="18"/>
                <w:szCs w:val="18"/>
              </w:rPr>
              <w:footnoteReference w:id="34"/>
            </w:r>
          </w:p>
        </w:tc>
      </w:tr>
      <w:tr w14:paraId="01D547B6">
        <w:trPr>
          <w:jc w:val="center"/>
        </w:trPr>
        <w:tc>
          <w:tcPr>
            <w:tcW w:w="704" w:type="dxa"/>
            <w:vMerge w:val="restart"/>
            <w:vAlign w:val="center"/>
          </w:tcPr>
          <w:p w14:paraId="1AF09B49">
            <w:pPr>
              <w:spacing w:line="360" w:lineRule="auto"/>
              <w:jc w:val="center"/>
              <w:rPr>
                <w:rFonts w:ascii="宋体" w:hAnsi="宋体" w:eastAsia="宋体"/>
                <w:sz w:val="18"/>
                <w:szCs w:val="18"/>
              </w:rPr>
            </w:pPr>
            <w:r>
              <w:rPr>
                <w:rFonts w:hint="eastAsia" w:ascii="宋体" w:hAnsi="宋体" w:eastAsia="宋体"/>
                <w:sz w:val="18"/>
                <w:szCs w:val="18"/>
              </w:rPr>
              <w:t>16</w:t>
            </w:r>
          </w:p>
        </w:tc>
        <w:tc>
          <w:tcPr>
            <w:tcW w:w="2410" w:type="dxa"/>
            <w:vMerge w:val="restart"/>
            <w:vAlign w:val="center"/>
          </w:tcPr>
          <w:p w14:paraId="1B8206A1">
            <w:pPr>
              <w:spacing w:line="360" w:lineRule="auto"/>
              <w:jc w:val="center"/>
              <w:rPr>
                <w:rFonts w:ascii="宋体" w:hAnsi="宋体" w:eastAsia="宋体"/>
                <w:sz w:val="18"/>
                <w:szCs w:val="18"/>
              </w:rPr>
            </w:pPr>
            <w:r>
              <w:rPr>
                <w:rFonts w:ascii="宋体" w:hAnsi="宋体" w:eastAsia="宋体" w:cs="Segoe UI"/>
                <w:sz w:val="18"/>
                <w:szCs w:val="18"/>
                <w:shd w:val="clear" w:color="auto" w:fill="FFFFFF"/>
              </w:rPr>
              <w:t>商标注册证遗失声明公告</w:t>
            </w:r>
          </w:p>
        </w:tc>
        <w:tc>
          <w:tcPr>
            <w:tcW w:w="1417" w:type="dxa"/>
            <w:vAlign w:val="center"/>
          </w:tcPr>
          <w:p w14:paraId="6645106C">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0293F972">
            <w:pPr>
              <w:spacing w:line="360" w:lineRule="auto"/>
              <w:jc w:val="center"/>
              <w:rPr>
                <w:rFonts w:ascii="宋体" w:hAnsi="宋体" w:eastAsia="宋体"/>
                <w:sz w:val="18"/>
                <w:szCs w:val="18"/>
              </w:rPr>
            </w:pPr>
            <w:r>
              <w:rPr>
                <w:rFonts w:ascii="宋体" w:hAnsi="宋体" w:eastAsia="宋体"/>
                <w:sz w:val="18"/>
                <w:szCs w:val="18"/>
              </w:rPr>
              <w:t>姓名</w:t>
            </w:r>
            <w:r>
              <w:rPr>
                <w:rStyle w:val="24"/>
                <w:rFonts w:ascii="宋体" w:hAnsi="宋体" w:eastAsia="宋体"/>
                <w:sz w:val="18"/>
                <w:szCs w:val="18"/>
              </w:rPr>
              <w:footnoteReference w:id="35"/>
            </w:r>
          </w:p>
        </w:tc>
      </w:tr>
      <w:tr w14:paraId="01B1CC67">
        <w:trPr>
          <w:jc w:val="center"/>
        </w:trPr>
        <w:tc>
          <w:tcPr>
            <w:tcW w:w="704" w:type="dxa"/>
            <w:vMerge w:val="continue"/>
            <w:vAlign w:val="center"/>
          </w:tcPr>
          <w:p w14:paraId="2945373D">
            <w:pPr>
              <w:spacing w:line="360" w:lineRule="auto"/>
              <w:jc w:val="center"/>
              <w:rPr>
                <w:rFonts w:ascii="宋体" w:hAnsi="宋体" w:eastAsia="宋体"/>
                <w:sz w:val="18"/>
                <w:szCs w:val="18"/>
              </w:rPr>
            </w:pPr>
          </w:p>
        </w:tc>
        <w:tc>
          <w:tcPr>
            <w:tcW w:w="2410" w:type="dxa"/>
            <w:vMerge w:val="continue"/>
            <w:vAlign w:val="center"/>
          </w:tcPr>
          <w:p w14:paraId="5F64E8AA">
            <w:pPr>
              <w:spacing w:line="360" w:lineRule="auto"/>
              <w:jc w:val="center"/>
              <w:rPr>
                <w:rFonts w:ascii="宋体" w:hAnsi="宋体" w:eastAsia="宋体"/>
                <w:sz w:val="18"/>
                <w:szCs w:val="18"/>
              </w:rPr>
            </w:pPr>
          </w:p>
        </w:tc>
        <w:tc>
          <w:tcPr>
            <w:tcW w:w="1417" w:type="dxa"/>
            <w:vAlign w:val="center"/>
          </w:tcPr>
          <w:p w14:paraId="3D3EA2DE">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26FAE1B6">
            <w:pPr>
              <w:spacing w:line="360" w:lineRule="auto"/>
              <w:jc w:val="center"/>
              <w:rPr>
                <w:rFonts w:ascii="宋体" w:hAnsi="宋体" w:eastAsia="宋体"/>
                <w:sz w:val="18"/>
                <w:szCs w:val="18"/>
              </w:rPr>
            </w:pPr>
            <w:r>
              <w:rPr>
                <w:rFonts w:hint="eastAsia" w:ascii="宋体" w:hAnsi="宋体" w:eastAsia="宋体"/>
                <w:sz w:val="18"/>
                <w:szCs w:val="18"/>
              </w:rPr>
              <w:t>姓名+身份证号（部分公开）</w:t>
            </w:r>
            <w:r>
              <w:rPr>
                <w:rStyle w:val="24"/>
                <w:rFonts w:ascii="宋体" w:hAnsi="宋体" w:eastAsia="宋体"/>
                <w:sz w:val="18"/>
                <w:szCs w:val="18"/>
              </w:rPr>
              <w:footnoteReference w:id="36"/>
            </w:r>
          </w:p>
        </w:tc>
      </w:tr>
      <w:tr w14:paraId="2F42523E">
        <w:trPr>
          <w:jc w:val="center"/>
        </w:trPr>
        <w:tc>
          <w:tcPr>
            <w:tcW w:w="704" w:type="dxa"/>
            <w:vMerge w:val="continue"/>
            <w:vAlign w:val="center"/>
          </w:tcPr>
          <w:p w14:paraId="6802D370">
            <w:pPr>
              <w:spacing w:line="360" w:lineRule="auto"/>
              <w:jc w:val="center"/>
              <w:rPr>
                <w:rFonts w:ascii="宋体" w:hAnsi="宋体" w:eastAsia="宋体"/>
                <w:sz w:val="18"/>
                <w:szCs w:val="18"/>
              </w:rPr>
            </w:pPr>
          </w:p>
        </w:tc>
        <w:tc>
          <w:tcPr>
            <w:tcW w:w="2410" w:type="dxa"/>
            <w:vMerge w:val="continue"/>
            <w:vAlign w:val="center"/>
          </w:tcPr>
          <w:p w14:paraId="4F764F12">
            <w:pPr>
              <w:spacing w:line="360" w:lineRule="auto"/>
              <w:jc w:val="center"/>
              <w:rPr>
                <w:rFonts w:ascii="宋体" w:hAnsi="宋体" w:eastAsia="宋体"/>
                <w:sz w:val="18"/>
                <w:szCs w:val="18"/>
              </w:rPr>
            </w:pPr>
          </w:p>
        </w:tc>
        <w:tc>
          <w:tcPr>
            <w:tcW w:w="1417" w:type="dxa"/>
            <w:vAlign w:val="center"/>
          </w:tcPr>
          <w:p w14:paraId="08C44826">
            <w:pPr>
              <w:spacing w:line="360" w:lineRule="auto"/>
              <w:jc w:val="center"/>
              <w:rPr>
                <w:rFonts w:ascii="宋体" w:hAnsi="宋体" w:eastAsia="宋体"/>
                <w:sz w:val="18"/>
                <w:szCs w:val="18"/>
              </w:rPr>
            </w:pPr>
            <w:r>
              <w:rPr>
                <w:rFonts w:hint="eastAsia" w:ascii="宋体" w:hAnsi="宋体" w:eastAsia="宋体"/>
                <w:sz w:val="18"/>
                <w:szCs w:val="18"/>
              </w:rPr>
              <w:t>情形三</w:t>
            </w:r>
          </w:p>
        </w:tc>
        <w:tc>
          <w:tcPr>
            <w:tcW w:w="3759" w:type="dxa"/>
            <w:vAlign w:val="center"/>
          </w:tcPr>
          <w:p w14:paraId="6D108EC7">
            <w:pPr>
              <w:spacing w:line="360" w:lineRule="auto"/>
              <w:jc w:val="center"/>
              <w:rPr>
                <w:rFonts w:ascii="宋体" w:hAnsi="宋体" w:eastAsia="宋体"/>
                <w:sz w:val="18"/>
                <w:szCs w:val="18"/>
              </w:rPr>
            </w:pPr>
            <w:r>
              <w:rPr>
                <w:rFonts w:hint="eastAsia" w:ascii="宋体" w:hAnsi="宋体" w:eastAsia="宋体"/>
                <w:sz w:val="18"/>
                <w:szCs w:val="18"/>
              </w:rPr>
              <w:t>姓名+其他证件号（部分公开）</w:t>
            </w:r>
            <w:r>
              <w:rPr>
                <w:rStyle w:val="24"/>
                <w:rFonts w:ascii="宋体" w:hAnsi="宋体" w:eastAsia="宋体"/>
                <w:sz w:val="18"/>
                <w:szCs w:val="18"/>
              </w:rPr>
              <w:footnoteReference w:id="37"/>
            </w:r>
          </w:p>
        </w:tc>
      </w:tr>
      <w:tr w14:paraId="70E51639">
        <w:trPr>
          <w:jc w:val="center"/>
        </w:trPr>
        <w:tc>
          <w:tcPr>
            <w:tcW w:w="704" w:type="dxa"/>
            <w:vMerge w:val="restart"/>
            <w:vAlign w:val="center"/>
          </w:tcPr>
          <w:p w14:paraId="40881DC8">
            <w:pPr>
              <w:spacing w:line="360" w:lineRule="auto"/>
              <w:jc w:val="center"/>
              <w:rPr>
                <w:rFonts w:ascii="宋体" w:hAnsi="宋体" w:eastAsia="宋体"/>
                <w:sz w:val="18"/>
                <w:szCs w:val="18"/>
              </w:rPr>
            </w:pPr>
            <w:r>
              <w:rPr>
                <w:rFonts w:hint="eastAsia" w:ascii="宋体" w:hAnsi="宋体" w:eastAsia="宋体"/>
                <w:sz w:val="18"/>
                <w:szCs w:val="18"/>
              </w:rPr>
              <w:t>17</w:t>
            </w:r>
          </w:p>
        </w:tc>
        <w:tc>
          <w:tcPr>
            <w:tcW w:w="2410" w:type="dxa"/>
            <w:vMerge w:val="restart"/>
            <w:vAlign w:val="center"/>
          </w:tcPr>
          <w:p w14:paraId="40EB64C9">
            <w:pPr>
              <w:spacing w:line="360" w:lineRule="auto"/>
              <w:jc w:val="center"/>
              <w:rPr>
                <w:rFonts w:ascii="宋体" w:hAnsi="宋体" w:eastAsia="宋体"/>
                <w:sz w:val="18"/>
                <w:szCs w:val="18"/>
              </w:rPr>
            </w:pPr>
            <w:r>
              <w:rPr>
                <w:rFonts w:hint="eastAsia" w:ascii="宋体" w:hAnsi="宋体" w:eastAsia="宋体"/>
                <w:sz w:val="18"/>
                <w:szCs w:val="18"/>
              </w:rPr>
              <w:t>送达公告</w:t>
            </w:r>
          </w:p>
        </w:tc>
        <w:tc>
          <w:tcPr>
            <w:tcW w:w="1417" w:type="dxa"/>
            <w:vAlign w:val="center"/>
          </w:tcPr>
          <w:p w14:paraId="218658C6">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3A087108">
            <w:pPr>
              <w:spacing w:line="360" w:lineRule="auto"/>
              <w:jc w:val="center"/>
              <w:rPr>
                <w:rFonts w:ascii="宋体" w:hAnsi="宋体" w:eastAsia="宋体"/>
                <w:sz w:val="18"/>
                <w:szCs w:val="18"/>
              </w:rPr>
            </w:pPr>
            <w:r>
              <w:rPr>
                <w:rFonts w:ascii="宋体" w:hAnsi="宋体" w:eastAsia="宋体"/>
                <w:sz w:val="18"/>
                <w:szCs w:val="18"/>
              </w:rPr>
              <w:t>姓名</w:t>
            </w:r>
            <w:r>
              <w:rPr>
                <w:rStyle w:val="24"/>
                <w:rFonts w:ascii="宋体" w:hAnsi="宋体" w:eastAsia="宋体"/>
                <w:sz w:val="18"/>
                <w:szCs w:val="18"/>
              </w:rPr>
              <w:footnoteReference w:id="38"/>
            </w:r>
          </w:p>
        </w:tc>
      </w:tr>
      <w:tr w14:paraId="3ADF7637">
        <w:trPr>
          <w:jc w:val="center"/>
        </w:trPr>
        <w:tc>
          <w:tcPr>
            <w:tcW w:w="704" w:type="dxa"/>
            <w:vMerge w:val="continue"/>
            <w:vAlign w:val="center"/>
          </w:tcPr>
          <w:p w14:paraId="44CD5B30">
            <w:pPr>
              <w:spacing w:line="360" w:lineRule="auto"/>
              <w:jc w:val="center"/>
              <w:rPr>
                <w:rFonts w:ascii="宋体" w:hAnsi="宋体" w:eastAsia="宋体"/>
                <w:sz w:val="18"/>
                <w:szCs w:val="18"/>
              </w:rPr>
            </w:pPr>
          </w:p>
        </w:tc>
        <w:tc>
          <w:tcPr>
            <w:tcW w:w="2410" w:type="dxa"/>
            <w:vMerge w:val="continue"/>
            <w:vAlign w:val="center"/>
          </w:tcPr>
          <w:p w14:paraId="15300E24">
            <w:pPr>
              <w:spacing w:line="360" w:lineRule="auto"/>
              <w:jc w:val="center"/>
              <w:rPr>
                <w:rFonts w:ascii="宋体" w:hAnsi="宋体" w:eastAsia="宋体"/>
                <w:sz w:val="18"/>
                <w:szCs w:val="18"/>
              </w:rPr>
            </w:pPr>
          </w:p>
        </w:tc>
        <w:tc>
          <w:tcPr>
            <w:tcW w:w="1417" w:type="dxa"/>
            <w:vAlign w:val="center"/>
          </w:tcPr>
          <w:p w14:paraId="6F9B3C6A">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31699755">
            <w:pPr>
              <w:spacing w:line="360" w:lineRule="auto"/>
              <w:jc w:val="center"/>
              <w:rPr>
                <w:rFonts w:ascii="宋体" w:hAnsi="宋体" w:eastAsia="宋体"/>
                <w:sz w:val="18"/>
                <w:szCs w:val="18"/>
              </w:rPr>
            </w:pPr>
            <w:r>
              <w:rPr>
                <w:rFonts w:hint="eastAsia" w:ascii="宋体" w:hAnsi="宋体" w:eastAsia="宋体"/>
                <w:sz w:val="18"/>
                <w:szCs w:val="18"/>
              </w:rPr>
              <w:t>姓名+身份证号（部分公开）</w:t>
            </w:r>
            <w:r>
              <w:rPr>
                <w:rStyle w:val="24"/>
                <w:rFonts w:ascii="宋体" w:hAnsi="宋体" w:eastAsia="宋体"/>
                <w:sz w:val="18"/>
                <w:szCs w:val="18"/>
              </w:rPr>
              <w:footnoteReference w:id="39"/>
            </w:r>
          </w:p>
        </w:tc>
      </w:tr>
      <w:tr w14:paraId="17E0E799">
        <w:trPr>
          <w:jc w:val="center"/>
        </w:trPr>
        <w:tc>
          <w:tcPr>
            <w:tcW w:w="704" w:type="dxa"/>
            <w:vMerge w:val="continue"/>
            <w:vAlign w:val="center"/>
          </w:tcPr>
          <w:p w14:paraId="46B2BE98">
            <w:pPr>
              <w:spacing w:line="360" w:lineRule="auto"/>
              <w:jc w:val="center"/>
              <w:rPr>
                <w:rFonts w:ascii="宋体" w:hAnsi="宋体" w:eastAsia="宋体"/>
                <w:sz w:val="18"/>
                <w:szCs w:val="18"/>
              </w:rPr>
            </w:pPr>
          </w:p>
        </w:tc>
        <w:tc>
          <w:tcPr>
            <w:tcW w:w="2410" w:type="dxa"/>
            <w:vMerge w:val="continue"/>
            <w:vAlign w:val="center"/>
          </w:tcPr>
          <w:p w14:paraId="5246AD33">
            <w:pPr>
              <w:spacing w:line="360" w:lineRule="auto"/>
              <w:jc w:val="center"/>
              <w:rPr>
                <w:rFonts w:ascii="宋体" w:hAnsi="宋体" w:eastAsia="宋体"/>
                <w:sz w:val="18"/>
                <w:szCs w:val="18"/>
              </w:rPr>
            </w:pPr>
          </w:p>
        </w:tc>
        <w:tc>
          <w:tcPr>
            <w:tcW w:w="1417" w:type="dxa"/>
            <w:vAlign w:val="center"/>
          </w:tcPr>
          <w:p w14:paraId="7C6F7183">
            <w:pPr>
              <w:spacing w:line="360" w:lineRule="auto"/>
              <w:jc w:val="center"/>
              <w:rPr>
                <w:rFonts w:ascii="宋体" w:hAnsi="宋体" w:eastAsia="宋体"/>
                <w:sz w:val="18"/>
                <w:szCs w:val="18"/>
              </w:rPr>
            </w:pPr>
            <w:r>
              <w:rPr>
                <w:rFonts w:hint="eastAsia" w:ascii="宋体" w:hAnsi="宋体" w:eastAsia="宋体"/>
                <w:sz w:val="18"/>
                <w:szCs w:val="18"/>
              </w:rPr>
              <w:t>情形三</w:t>
            </w:r>
          </w:p>
        </w:tc>
        <w:tc>
          <w:tcPr>
            <w:tcW w:w="3759" w:type="dxa"/>
            <w:vAlign w:val="center"/>
          </w:tcPr>
          <w:p w14:paraId="5A62B5AF">
            <w:pPr>
              <w:spacing w:line="360" w:lineRule="auto"/>
              <w:jc w:val="center"/>
              <w:rPr>
                <w:rFonts w:ascii="宋体" w:hAnsi="宋体" w:eastAsia="宋体"/>
                <w:sz w:val="18"/>
                <w:szCs w:val="18"/>
              </w:rPr>
            </w:pPr>
            <w:r>
              <w:rPr>
                <w:rFonts w:hint="eastAsia" w:ascii="宋体" w:hAnsi="宋体" w:eastAsia="宋体"/>
                <w:sz w:val="18"/>
                <w:szCs w:val="18"/>
              </w:rPr>
              <w:t>姓名+其他证件号（部分公开）</w:t>
            </w:r>
            <w:r>
              <w:rPr>
                <w:rStyle w:val="24"/>
                <w:rFonts w:ascii="宋体" w:hAnsi="宋体" w:eastAsia="宋体"/>
                <w:sz w:val="18"/>
                <w:szCs w:val="18"/>
              </w:rPr>
              <w:footnoteReference w:id="40"/>
            </w:r>
          </w:p>
        </w:tc>
      </w:tr>
      <w:tr w14:paraId="5BE39927">
        <w:trPr>
          <w:jc w:val="center"/>
        </w:trPr>
        <w:tc>
          <w:tcPr>
            <w:tcW w:w="8290" w:type="dxa"/>
            <w:gridSpan w:val="4"/>
            <w:vAlign w:val="center"/>
          </w:tcPr>
          <w:p w14:paraId="24B8AD78">
            <w:pPr>
              <w:spacing w:line="360" w:lineRule="auto"/>
              <w:jc w:val="center"/>
              <w:rPr>
                <w:rFonts w:ascii="宋体" w:hAnsi="宋体" w:eastAsia="宋体"/>
                <w:sz w:val="18"/>
                <w:szCs w:val="18"/>
              </w:rPr>
            </w:pPr>
            <w:r>
              <w:rPr>
                <w:rFonts w:hint="eastAsia" w:ascii="宋体" w:hAnsi="宋体" w:eastAsia="宋体"/>
                <w:sz w:val="18"/>
                <w:szCs w:val="18"/>
              </w:rPr>
              <w:t>说明：以上是对实际检索到的情形进行整理，不排除存在其他情形。</w:t>
            </w:r>
          </w:p>
        </w:tc>
      </w:tr>
    </w:tbl>
    <w:p w14:paraId="4268B583">
      <w:pPr>
        <w:spacing w:line="360" w:lineRule="auto"/>
        <w:jc w:val="center"/>
        <w:rPr>
          <w:rFonts w:ascii="宋体" w:hAnsi="宋体" w:eastAsia="宋体"/>
          <w:sz w:val="18"/>
          <w:szCs w:val="18"/>
        </w:rPr>
      </w:pPr>
      <w:r>
        <w:rPr>
          <w:rFonts w:hint="eastAsia" w:ascii="宋体" w:hAnsi="宋体" w:eastAsia="宋体"/>
          <w:sz w:val="18"/>
          <w:szCs w:val="18"/>
        </w:rPr>
        <w:t>（表1：商标公告的个人信息公开情况）</w:t>
      </w:r>
    </w:p>
    <w:p w14:paraId="462B7AA7">
      <w:pPr>
        <w:spacing w:line="360" w:lineRule="auto"/>
        <w:ind w:firstLine="420"/>
        <w:rPr>
          <w:rFonts w:ascii="宋体" w:hAnsi="宋体" w:eastAsia="宋体"/>
          <w:sz w:val="24"/>
        </w:rPr>
      </w:pPr>
      <w:r>
        <w:rPr>
          <w:rFonts w:hint="eastAsia" w:ascii="宋体" w:hAnsi="宋体" w:eastAsia="宋体"/>
          <w:sz w:val="24"/>
        </w:rPr>
        <w:t>通过对商标公告涉及的个人信息整理和分析，能够总结如下内容：第一，商标公告涉及的个人信息分为自然人的姓名、地址、证件号等三类。其中，证件号具体包括身份证号、护照号、其他证件号。第二，除地址更正外，自然人的姓名是上述17类公告均会公开的个人信息。第三，《</w:t>
      </w:r>
      <w:r>
        <w:rPr>
          <w:rFonts w:ascii="宋体" w:hAnsi="宋体" w:eastAsia="宋体"/>
          <w:sz w:val="24"/>
        </w:rPr>
        <w:t>商标初步审定公告</w:t>
      </w:r>
      <w:r>
        <w:rPr>
          <w:rFonts w:hint="eastAsia" w:ascii="宋体" w:hAnsi="宋体" w:eastAsia="宋体"/>
          <w:sz w:val="24"/>
        </w:rPr>
        <w:t>》《</w:t>
      </w:r>
      <w:r>
        <w:rPr>
          <w:rFonts w:ascii="宋体" w:hAnsi="宋体" w:eastAsia="宋体"/>
          <w:sz w:val="24"/>
        </w:rPr>
        <w:t>商标注册人/申请人名义及地址变更公告</w:t>
      </w:r>
      <w:r>
        <w:rPr>
          <w:rFonts w:hint="eastAsia" w:ascii="宋体" w:hAnsi="宋体" w:eastAsia="宋体"/>
          <w:sz w:val="24"/>
        </w:rPr>
        <w:t>》《</w:t>
      </w:r>
      <w:r>
        <w:rPr>
          <w:rFonts w:ascii="宋体" w:hAnsi="宋体" w:eastAsia="宋体"/>
          <w:sz w:val="24"/>
        </w:rPr>
        <w:t>商标更正公告</w:t>
      </w:r>
      <w:r>
        <w:rPr>
          <w:rFonts w:hint="eastAsia" w:ascii="宋体" w:hAnsi="宋体" w:eastAsia="宋体"/>
          <w:sz w:val="24"/>
        </w:rPr>
        <w:t>》等3类商标公告会公开自然人的地址信息且具体到门牌号，例如：</w:t>
      </w:r>
      <w:r>
        <w:rPr>
          <w:rFonts w:ascii="宋体" w:hAnsi="宋体" w:eastAsia="宋体"/>
          <w:sz w:val="24"/>
        </w:rPr>
        <w:t>河南省新乡市红旗区人民东路××号××号楼××室</w:t>
      </w:r>
      <w:r>
        <w:rPr>
          <w:rFonts w:hint="eastAsia" w:ascii="宋体" w:hAnsi="宋体" w:eastAsia="宋体"/>
          <w:sz w:val="24"/>
        </w:rPr>
        <w:t>。第四，每一类公告都存在不公开证件号的情形，故证件号不是必须公开的个人信息。此外，证件号的公开形式亦不统一，存在全部公开（显示全部数字）和部分公开（显示部分数字）两种形式。</w:t>
      </w:r>
    </w:p>
    <w:p w14:paraId="18F64AD1">
      <w:pPr>
        <w:spacing w:line="360" w:lineRule="auto"/>
        <w:ind w:firstLine="420"/>
        <w:outlineLvl w:val="1"/>
        <w:rPr>
          <w:rFonts w:ascii="宋体" w:hAnsi="宋体" w:eastAsia="宋体"/>
          <w:sz w:val="24"/>
        </w:rPr>
      </w:pPr>
      <w:r>
        <w:rPr>
          <w:rFonts w:hint="eastAsia" w:ascii="宋体" w:hAnsi="宋体" w:eastAsia="宋体"/>
          <w:sz w:val="24"/>
        </w:rPr>
        <w:t>（二）专利公报的公开情况</w:t>
      </w:r>
    </w:p>
    <w:p w14:paraId="36DF5F3F">
      <w:pPr>
        <w:spacing w:line="360" w:lineRule="auto"/>
        <w:ind w:firstLine="420"/>
        <w:rPr>
          <w:rFonts w:ascii="宋体" w:hAnsi="宋体" w:eastAsia="宋体"/>
          <w:sz w:val="24"/>
        </w:rPr>
      </w:pPr>
      <w:r>
        <w:rPr>
          <w:rFonts w:hint="eastAsia" w:ascii="宋体" w:hAnsi="宋体" w:eastAsia="宋体"/>
          <w:sz w:val="24"/>
        </w:rPr>
        <w:t>根据《中华人民共和国专利法》（以下简称《专利法》）</w:t>
      </w:r>
      <w:r>
        <w:rPr>
          <w:rFonts w:ascii="宋体" w:hAnsi="宋体" w:eastAsia="宋体"/>
          <w:sz w:val="24"/>
        </w:rPr>
        <w:t>第</w:t>
      </w:r>
      <w:r>
        <w:rPr>
          <w:rFonts w:hint="eastAsia" w:ascii="宋体" w:hAnsi="宋体" w:eastAsia="宋体"/>
          <w:sz w:val="24"/>
        </w:rPr>
        <w:t>21</w:t>
      </w:r>
      <w:r>
        <w:rPr>
          <w:rFonts w:ascii="宋体" w:hAnsi="宋体" w:eastAsia="宋体"/>
          <w:sz w:val="24"/>
        </w:rPr>
        <w:t>条</w:t>
      </w:r>
      <w:r>
        <w:rPr>
          <w:rFonts w:hint="eastAsia" w:ascii="宋体" w:hAnsi="宋体" w:eastAsia="宋体"/>
          <w:sz w:val="24"/>
        </w:rPr>
        <w:t>第2款：“</w:t>
      </w:r>
      <w:r>
        <w:rPr>
          <w:rFonts w:ascii="宋体" w:hAnsi="宋体" w:eastAsia="宋体"/>
          <w:sz w:val="24"/>
        </w:rPr>
        <w:t>国务院专利行政部门应当加强专利信息公共服务体系建设，完整、准确、及时发布专利信息，提供专利基础数据，定期出版专利公报，促进专利信息传播与利用。</w:t>
      </w:r>
      <w:r>
        <w:rPr>
          <w:rFonts w:hint="eastAsia" w:ascii="宋体" w:hAnsi="宋体" w:eastAsia="宋体"/>
          <w:sz w:val="24"/>
        </w:rPr>
        <w:t>”的规定，国家知识产权局有义务</w:t>
      </w:r>
      <w:r>
        <w:rPr>
          <w:rFonts w:ascii="宋体" w:hAnsi="宋体" w:eastAsia="宋体"/>
          <w:sz w:val="24"/>
        </w:rPr>
        <w:t>完整、准确、及时</w:t>
      </w:r>
      <w:r>
        <w:rPr>
          <w:rFonts w:hint="eastAsia" w:ascii="宋体" w:hAnsi="宋体" w:eastAsia="宋体"/>
          <w:sz w:val="24"/>
        </w:rPr>
        <w:t>发布专利信息。</w:t>
      </w:r>
    </w:p>
    <w:p w14:paraId="63B897AB">
      <w:pPr>
        <w:spacing w:line="360" w:lineRule="auto"/>
        <w:ind w:firstLine="420"/>
        <w:rPr>
          <w:rFonts w:ascii="宋体" w:hAnsi="宋体" w:eastAsia="宋体"/>
          <w:sz w:val="24"/>
        </w:rPr>
      </w:pPr>
      <w:r>
        <w:rPr>
          <w:rFonts w:hint="eastAsia" w:ascii="宋体" w:hAnsi="宋体" w:eastAsia="宋体"/>
          <w:sz w:val="24"/>
        </w:rPr>
        <w:t>根据《中华人民共和国专利法实施细则》（以下简称《专利法实施细则》）</w:t>
      </w:r>
      <w:r>
        <w:rPr>
          <w:rFonts w:ascii="宋体" w:hAnsi="宋体" w:eastAsia="宋体"/>
          <w:sz w:val="24"/>
        </w:rPr>
        <w:t>第</w:t>
      </w:r>
      <w:r>
        <w:rPr>
          <w:rFonts w:hint="eastAsia" w:ascii="宋体" w:hAnsi="宋体" w:eastAsia="宋体"/>
          <w:sz w:val="24"/>
        </w:rPr>
        <w:t>107</w:t>
      </w:r>
      <w:r>
        <w:rPr>
          <w:rFonts w:ascii="宋体" w:hAnsi="宋体" w:eastAsia="宋体"/>
          <w:sz w:val="24"/>
        </w:rPr>
        <w:t>条</w:t>
      </w:r>
      <w:r>
        <w:rPr>
          <w:rFonts w:hint="eastAsia" w:ascii="宋体" w:hAnsi="宋体" w:eastAsia="宋体"/>
          <w:sz w:val="24"/>
        </w:rPr>
        <w:t>以及《专利审查指南》</w:t>
      </w:r>
      <w:r>
        <w:rPr>
          <w:rFonts w:ascii="宋体" w:hAnsi="宋体" w:eastAsia="宋体"/>
          <w:sz w:val="24"/>
        </w:rPr>
        <w:t>第八章</w:t>
      </w:r>
      <w:r>
        <w:rPr>
          <w:rFonts w:hint="eastAsia" w:ascii="宋体" w:hAnsi="宋体" w:eastAsia="宋体"/>
          <w:sz w:val="24"/>
        </w:rPr>
        <w:t>的规定，</w:t>
      </w:r>
      <w:r>
        <w:rPr>
          <w:rFonts w:ascii="宋体" w:hAnsi="宋体" w:eastAsia="宋体"/>
          <w:sz w:val="24"/>
        </w:rPr>
        <w:t>专利公报</w:t>
      </w:r>
      <w:r>
        <w:rPr>
          <w:rFonts w:hint="eastAsia" w:ascii="宋体" w:hAnsi="宋体" w:eastAsia="宋体"/>
          <w:sz w:val="24"/>
        </w:rPr>
        <w:t>是国家知识产权局用于发布</w:t>
      </w:r>
      <w:r>
        <w:rPr>
          <w:rFonts w:ascii="宋体" w:hAnsi="宋体" w:eastAsia="宋体"/>
          <w:sz w:val="24"/>
        </w:rPr>
        <w:t>专利信息</w:t>
      </w:r>
      <w:r>
        <w:rPr>
          <w:rFonts w:hint="eastAsia" w:ascii="宋体" w:hAnsi="宋体" w:eastAsia="宋体"/>
          <w:sz w:val="24"/>
        </w:rPr>
        <w:t>的定期出版物，具体包括</w:t>
      </w:r>
      <w:r>
        <w:rPr>
          <w:rFonts w:ascii="宋体" w:hAnsi="宋体" w:eastAsia="宋体"/>
          <w:sz w:val="24"/>
        </w:rPr>
        <w:t>发明专利公报、实用新型专利公报</w:t>
      </w:r>
      <w:r>
        <w:rPr>
          <w:rFonts w:hint="eastAsia" w:ascii="宋体" w:hAnsi="宋体" w:eastAsia="宋体"/>
          <w:sz w:val="24"/>
        </w:rPr>
        <w:t>、</w:t>
      </w:r>
      <w:r>
        <w:rPr>
          <w:rFonts w:ascii="宋体" w:hAnsi="宋体" w:eastAsia="宋体"/>
          <w:sz w:val="24"/>
        </w:rPr>
        <w:t>外观设计专利公报</w:t>
      </w:r>
      <w:r>
        <w:rPr>
          <w:rFonts w:hint="eastAsia" w:ascii="宋体" w:hAnsi="宋体" w:eastAsia="宋体"/>
          <w:sz w:val="24"/>
        </w:rPr>
        <w:t>等3种类型。其中，</w:t>
      </w:r>
      <w:r>
        <w:rPr>
          <w:rFonts w:ascii="宋体" w:hAnsi="宋体" w:eastAsia="宋体"/>
          <w:sz w:val="24"/>
        </w:rPr>
        <w:t>发明专利公报</w:t>
      </w:r>
      <w:r>
        <w:rPr>
          <w:rFonts w:hint="eastAsia" w:ascii="宋体" w:hAnsi="宋体" w:eastAsia="宋体"/>
          <w:sz w:val="24"/>
        </w:rPr>
        <w:t>包括</w:t>
      </w:r>
      <w:r>
        <w:rPr>
          <w:rFonts w:ascii="宋体" w:hAnsi="宋体" w:eastAsia="宋体"/>
          <w:sz w:val="24"/>
        </w:rPr>
        <w:t>发明专利申请公布、国际专利申请公布、发明专利权授予、保密发明专利、发明专利事务、索引(申请公布索引、授权公告索引)</w:t>
      </w:r>
      <w:r>
        <w:rPr>
          <w:rFonts w:hint="eastAsia" w:ascii="宋体" w:hAnsi="宋体" w:eastAsia="宋体"/>
          <w:sz w:val="24"/>
        </w:rPr>
        <w:t>；</w:t>
      </w:r>
      <w:r>
        <w:rPr>
          <w:rFonts w:ascii="宋体" w:hAnsi="宋体" w:eastAsia="宋体"/>
          <w:sz w:val="24"/>
        </w:rPr>
        <w:t>实用新型专利公报包括实用新型专利权授予、保密实用新型专利、实用新型专利事务和授权公告索引</w:t>
      </w:r>
      <w:r>
        <w:rPr>
          <w:rFonts w:hint="eastAsia" w:ascii="宋体" w:hAnsi="宋体" w:eastAsia="宋体"/>
          <w:sz w:val="24"/>
        </w:rPr>
        <w:t>；</w:t>
      </w:r>
      <w:r>
        <w:rPr>
          <w:rFonts w:ascii="宋体" w:hAnsi="宋体" w:eastAsia="宋体"/>
          <w:sz w:val="24"/>
        </w:rPr>
        <w:t>外观设计专利公报包括外观设计专利权的授予、外观设计专利事务和授权公告索引</w:t>
      </w:r>
      <w:r>
        <w:rPr>
          <w:rFonts w:hint="eastAsia" w:ascii="宋体" w:hAnsi="宋体" w:eastAsia="宋体"/>
          <w:sz w:val="24"/>
        </w:rPr>
        <w:t>。</w:t>
      </w:r>
    </w:p>
    <w:p w14:paraId="7F7DFD20">
      <w:pPr>
        <w:spacing w:line="360" w:lineRule="auto"/>
        <w:ind w:firstLine="420"/>
        <w:rPr>
          <w:rFonts w:ascii="宋体" w:hAnsi="宋体" w:eastAsia="宋体"/>
          <w:sz w:val="24"/>
        </w:rPr>
      </w:pPr>
      <w:r>
        <w:rPr>
          <w:rFonts w:hint="eastAsia" w:ascii="宋体" w:hAnsi="宋体" w:eastAsia="宋体"/>
          <w:sz w:val="24"/>
        </w:rPr>
        <w:t>根据《专利审查指南》第八章的规定，专利公报的“</w:t>
      </w:r>
      <w:r>
        <w:rPr>
          <w:rFonts w:ascii="宋体" w:hAnsi="宋体" w:eastAsia="宋体"/>
          <w:sz w:val="24"/>
        </w:rPr>
        <w:t>申请人事项</w:t>
      </w:r>
      <w:r>
        <w:rPr>
          <w:rFonts w:hint="eastAsia" w:ascii="宋体" w:hAnsi="宋体" w:eastAsia="宋体"/>
          <w:sz w:val="24"/>
        </w:rPr>
        <w:t>”“专利权人事项”“发明人事项”“设计人事项”“</w:t>
      </w:r>
      <w:r>
        <w:rPr>
          <w:rFonts w:ascii="宋体" w:hAnsi="宋体" w:eastAsia="宋体"/>
          <w:sz w:val="24"/>
        </w:rPr>
        <w:t>专利权的转移</w:t>
      </w:r>
      <w:r>
        <w:rPr>
          <w:rFonts w:hint="eastAsia" w:ascii="宋体" w:hAnsi="宋体" w:eastAsia="宋体"/>
          <w:sz w:val="24"/>
        </w:rPr>
        <w:t>”“</w:t>
      </w:r>
      <w:r>
        <w:rPr>
          <w:rFonts w:ascii="宋体" w:hAnsi="宋体" w:eastAsia="宋体"/>
          <w:sz w:val="24"/>
        </w:rPr>
        <w:t>专利权人的姓名、地址等著录事项的变更</w:t>
      </w:r>
      <w:r>
        <w:rPr>
          <w:rFonts w:hint="eastAsia" w:ascii="宋体" w:hAnsi="宋体" w:eastAsia="宋体"/>
          <w:sz w:val="24"/>
        </w:rPr>
        <w:t>”“专利代理事项”等内容会涉及申请人/专利权人、发明人/设计人、专利代理师的个人信息。但是，《专利审查指南》并没有规定自然人的哪些信息会被公开。例如，当专利权人为自然人时，“专利权人事项”</w:t>
      </w:r>
      <w:r>
        <w:rPr>
          <w:rFonts w:ascii="宋体" w:hAnsi="宋体" w:eastAsia="宋体"/>
          <w:sz w:val="24"/>
        </w:rPr>
        <w:t>包括专利权人的姓名、国籍或者注册的国家或地区、地址、身份证件号码</w:t>
      </w:r>
      <w:r>
        <w:rPr>
          <w:rFonts w:hint="eastAsia" w:ascii="宋体" w:hAnsi="宋体" w:eastAsia="宋体"/>
          <w:sz w:val="24"/>
        </w:rPr>
        <w:t>。</w:t>
      </w:r>
      <w:r>
        <w:rPr>
          <w:rStyle w:val="24"/>
          <w:rFonts w:ascii="宋体" w:hAnsi="宋体" w:eastAsia="宋体"/>
          <w:sz w:val="24"/>
        </w:rPr>
        <w:footnoteReference w:id="41"/>
      </w:r>
      <w:r>
        <w:rPr>
          <w:rFonts w:hint="eastAsia" w:ascii="宋体" w:hAnsi="宋体" w:eastAsia="宋体"/>
          <w:sz w:val="24"/>
        </w:rPr>
        <w:t>那么，专利公报在“专利权人事项”中会公开上述全部内容还是部分内容？尤其是是否公开专利权人的</w:t>
      </w:r>
      <w:r>
        <w:rPr>
          <w:rFonts w:ascii="宋体" w:hAnsi="宋体" w:eastAsia="宋体"/>
          <w:sz w:val="24"/>
        </w:rPr>
        <w:t>身份证件号码</w:t>
      </w:r>
      <w:r>
        <w:rPr>
          <w:rFonts w:hint="eastAsia" w:ascii="宋体" w:hAnsi="宋体" w:eastAsia="宋体"/>
          <w:sz w:val="24"/>
        </w:rPr>
        <w:t>？</w:t>
      </w:r>
      <w:r>
        <w:rPr>
          <w:rFonts w:ascii="宋体" w:hAnsi="宋体" w:eastAsia="宋体"/>
          <w:sz w:val="24"/>
        </w:rPr>
        <w:t>经检索，</w:t>
      </w:r>
      <w:r>
        <w:rPr>
          <w:rFonts w:hint="eastAsia" w:ascii="宋体" w:hAnsi="宋体" w:eastAsia="宋体"/>
          <w:sz w:val="24"/>
        </w:rPr>
        <w:t>专利公报</w:t>
      </w:r>
      <w:r>
        <w:rPr>
          <w:rFonts w:ascii="宋体" w:hAnsi="宋体" w:eastAsia="宋体"/>
          <w:sz w:val="24"/>
        </w:rPr>
        <w:t>中</w:t>
      </w:r>
      <w:r>
        <w:rPr>
          <w:rFonts w:hint="eastAsia" w:ascii="宋体" w:hAnsi="宋体" w:eastAsia="宋体"/>
          <w:sz w:val="24"/>
        </w:rPr>
        <w:t>主要</w:t>
      </w:r>
      <w:r>
        <w:rPr>
          <w:rFonts w:ascii="宋体" w:hAnsi="宋体" w:eastAsia="宋体"/>
          <w:sz w:val="24"/>
        </w:rPr>
        <w:t>涉及</w:t>
      </w:r>
      <w:r>
        <w:rPr>
          <w:rFonts w:hint="eastAsia" w:ascii="宋体" w:hAnsi="宋体" w:eastAsia="宋体"/>
          <w:sz w:val="24"/>
        </w:rPr>
        <w:t>的</w:t>
      </w:r>
      <w:r>
        <w:rPr>
          <w:rFonts w:ascii="宋体" w:hAnsi="宋体" w:eastAsia="宋体"/>
          <w:sz w:val="24"/>
        </w:rPr>
        <w:t>个人信息</w:t>
      </w:r>
      <w:r>
        <w:rPr>
          <w:rFonts w:hint="eastAsia" w:ascii="宋体" w:hAnsi="宋体" w:eastAsia="宋体"/>
          <w:sz w:val="24"/>
        </w:rPr>
        <w:t>如下</w:t>
      </w:r>
      <w:r>
        <w:rPr>
          <w:rFonts w:ascii="宋体" w:hAnsi="宋体" w:eastAsia="宋体"/>
          <w:sz w:val="24"/>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552"/>
        <w:gridCol w:w="1275"/>
        <w:gridCol w:w="3759"/>
      </w:tblGrid>
      <w:tr w14:paraId="125D2FAA">
        <w:tc>
          <w:tcPr>
            <w:tcW w:w="704" w:type="dxa"/>
            <w:vAlign w:val="center"/>
          </w:tcPr>
          <w:p w14:paraId="5D4DAB89">
            <w:pPr>
              <w:spacing w:line="360" w:lineRule="auto"/>
              <w:jc w:val="center"/>
              <w:rPr>
                <w:rFonts w:ascii="宋体" w:hAnsi="宋体" w:eastAsia="宋体"/>
                <w:sz w:val="18"/>
                <w:szCs w:val="18"/>
              </w:rPr>
            </w:pPr>
            <w:r>
              <w:rPr>
                <w:rFonts w:hint="eastAsia" w:ascii="宋体" w:hAnsi="宋体" w:eastAsia="宋体"/>
                <w:sz w:val="18"/>
                <w:szCs w:val="18"/>
              </w:rPr>
              <w:t>序号</w:t>
            </w:r>
          </w:p>
        </w:tc>
        <w:tc>
          <w:tcPr>
            <w:tcW w:w="2552" w:type="dxa"/>
            <w:vAlign w:val="center"/>
          </w:tcPr>
          <w:p w14:paraId="07BA80FD">
            <w:pPr>
              <w:spacing w:line="360" w:lineRule="auto"/>
              <w:jc w:val="center"/>
              <w:rPr>
                <w:rFonts w:ascii="宋体" w:hAnsi="宋体" w:eastAsia="宋体"/>
                <w:sz w:val="18"/>
                <w:szCs w:val="18"/>
              </w:rPr>
            </w:pPr>
            <w:r>
              <w:rPr>
                <w:rFonts w:hint="eastAsia" w:ascii="宋体" w:hAnsi="宋体" w:eastAsia="宋体"/>
                <w:sz w:val="18"/>
                <w:szCs w:val="18"/>
              </w:rPr>
              <w:t>类型</w:t>
            </w:r>
          </w:p>
        </w:tc>
        <w:tc>
          <w:tcPr>
            <w:tcW w:w="5034" w:type="dxa"/>
            <w:gridSpan w:val="2"/>
            <w:vAlign w:val="center"/>
          </w:tcPr>
          <w:p w14:paraId="3FFAC4D0">
            <w:pPr>
              <w:spacing w:line="360" w:lineRule="auto"/>
              <w:jc w:val="center"/>
              <w:rPr>
                <w:rFonts w:ascii="宋体" w:hAnsi="宋体" w:eastAsia="宋体"/>
                <w:sz w:val="18"/>
                <w:szCs w:val="18"/>
              </w:rPr>
            </w:pPr>
            <w:r>
              <w:rPr>
                <w:rFonts w:hint="eastAsia" w:ascii="宋体" w:hAnsi="宋体" w:eastAsia="宋体"/>
                <w:sz w:val="18"/>
                <w:szCs w:val="18"/>
              </w:rPr>
              <w:t>公开的个人信息</w:t>
            </w:r>
          </w:p>
        </w:tc>
      </w:tr>
      <w:tr w14:paraId="3AE5C399">
        <w:tc>
          <w:tcPr>
            <w:tcW w:w="704" w:type="dxa"/>
            <w:vAlign w:val="center"/>
          </w:tcPr>
          <w:p w14:paraId="1BFA46E8">
            <w:pPr>
              <w:spacing w:line="360" w:lineRule="auto"/>
              <w:jc w:val="center"/>
              <w:rPr>
                <w:rFonts w:ascii="宋体" w:hAnsi="宋体" w:eastAsia="宋体"/>
                <w:sz w:val="18"/>
                <w:szCs w:val="18"/>
              </w:rPr>
            </w:pPr>
            <w:r>
              <w:rPr>
                <w:rFonts w:hint="eastAsia" w:ascii="宋体" w:hAnsi="宋体" w:eastAsia="宋体"/>
                <w:sz w:val="18"/>
                <w:szCs w:val="18"/>
              </w:rPr>
              <w:t>1</w:t>
            </w:r>
          </w:p>
        </w:tc>
        <w:tc>
          <w:tcPr>
            <w:tcW w:w="2552" w:type="dxa"/>
            <w:vAlign w:val="center"/>
          </w:tcPr>
          <w:p w14:paraId="6B7EE3F5">
            <w:pPr>
              <w:spacing w:line="360" w:lineRule="auto"/>
              <w:jc w:val="center"/>
              <w:rPr>
                <w:rFonts w:ascii="宋体" w:hAnsi="宋体" w:eastAsia="宋体"/>
                <w:sz w:val="18"/>
                <w:szCs w:val="18"/>
              </w:rPr>
            </w:pPr>
            <w:r>
              <w:rPr>
                <w:rFonts w:hint="eastAsia" w:ascii="宋体" w:hAnsi="宋体" w:eastAsia="宋体"/>
                <w:sz w:val="18"/>
                <w:szCs w:val="18"/>
              </w:rPr>
              <w:t>专利代理师</w:t>
            </w:r>
          </w:p>
        </w:tc>
        <w:tc>
          <w:tcPr>
            <w:tcW w:w="5034" w:type="dxa"/>
            <w:gridSpan w:val="2"/>
            <w:vAlign w:val="center"/>
          </w:tcPr>
          <w:p w14:paraId="4B3B3ED1">
            <w:pPr>
              <w:spacing w:line="360" w:lineRule="auto"/>
              <w:jc w:val="center"/>
              <w:rPr>
                <w:rFonts w:ascii="宋体" w:hAnsi="宋体" w:eastAsia="宋体"/>
                <w:sz w:val="18"/>
                <w:szCs w:val="18"/>
              </w:rPr>
            </w:pPr>
            <w:r>
              <w:rPr>
                <w:rFonts w:hint="eastAsia" w:ascii="宋体" w:hAnsi="宋体" w:eastAsia="宋体"/>
                <w:sz w:val="18"/>
                <w:szCs w:val="18"/>
              </w:rPr>
              <w:t>姓名</w:t>
            </w:r>
          </w:p>
        </w:tc>
      </w:tr>
      <w:tr w14:paraId="78D7AB30">
        <w:tc>
          <w:tcPr>
            <w:tcW w:w="704" w:type="dxa"/>
            <w:vAlign w:val="center"/>
          </w:tcPr>
          <w:p w14:paraId="1B8D9F19">
            <w:pPr>
              <w:spacing w:line="360" w:lineRule="auto"/>
              <w:jc w:val="center"/>
              <w:rPr>
                <w:rFonts w:ascii="宋体" w:hAnsi="宋体" w:eastAsia="宋体"/>
                <w:sz w:val="18"/>
                <w:szCs w:val="18"/>
              </w:rPr>
            </w:pPr>
            <w:r>
              <w:rPr>
                <w:rFonts w:hint="eastAsia" w:ascii="宋体" w:hAnsi="宋体" w:eastAsia="宋体"/>
                <w:sz w:val="18"/>
                <w:szCs w:val="18"/>
              </w:rPr>
              <w:t>2</w:t>
            </w:r>
          </w:p>
        </w:tc>
        <w:tc>
          <w:tcPr>
            <w:tcW w:w="2552" w:type="dxa"/>
            <w:vAlign w:val="center"/>
          </w:tcPr>
          <w:p w14:paraId="231D45BF">
            <w:pPr>
              <w:spacing w:line="360" w:lineRule="auto"/>
              <w:jc w:val="center"/>
              <w:rPr>
                <w:rFonts w:ascii="宋体" w:hAnsi="宋体" w:eastAsia="宋体"/>
                <w:sz w:val="18"/>
                <w:szCs w:val="18"/>
              </w:rPr>
            </w:pPr>
            <w:r>
              <w:rPr>
                <w:rFonts w:hint="eastAsia" w:ascii="宋体" w:hAnsi="宋体" w:eastAsia="宋体"/>
                <w:sz w:val="18"/>
                <w:szCs w:val="18"/>
              </w:rPr>
              <w:t>发明人/设计人</w:t>
            </w:r>
          </w:p>
        </w:tc>
        <w:tc>
          <w:tcPr>
            <w:tcW w:w="5034" w:type="dxa"/>
            <w:gridSpan w:val="2"/>
            <w:vAlign w:val="center"/>
          </w:tcPr>
          <w:p w14:paraId="44688589">
            <w:pPr>
              <w:spacing w:line="360" w:lineRule="auto"/>
              <w:jc w:val="center"/>
              <w:rPr>
                <w:rFonts w:ascii="宋体" w:hAnsi="宋体" w:eastAsia="宋体"/>
                <w:sz w:val="18"/>
                <w:szCs w:val="18"/>
              </w:rPr>
            </w:pPr>
            <w:r>
              <w:rPr>
                <w:rFonts w:hint="eastAsia" w:ascii="宋体" w:hAnsi="宋体" w:eastAsia="宋体"/>
                <w:sz w:val="18"/>
                <w:szCs w:val="18"/>
              </w:rPr>
              <w:t>姓名</w:t>
            </w:r>
          </w:p>
        </w:tc>
      </w:tr>
      <w:tr w14:paraId="378ECDCE">
        <w:tc>
          <w:tcPr>
            <w:tcW w:w="704" w:type="dxa"/>
            <w:vMerge w:val="restart"/>
            <w:vAlign w:val="center"/>
          </w:tcPr>
          <w:p w14:paraId="48A3B67E">
            <w:pPr>
              <w:spacing w:line="360" w:lineRule="auto"/>
              <w:jc w:val="center"/>
              <w:rPr>
                <w:rFonts w:ascii="宋体" w:hAnsi="宋体" w:eastAsia="宋体"/>
                <w:sz w:val="18"/>
                <w:szCs w:val="18"/>
              </w:rPr>
            </w:pPr>
            <w:r>
              <w:rPr>
                <w:rFonts w:hint="eastAsia" w:ascii="宋体" w:hAnsi="宋体" w:eastAsia="宋体"/>
                <w:sz w:val="18"/>
                <w:szCs w:val="18"/>
              </w:rPr>
              <w:t>3</w:t>
            </w:r>
          </w:p>
        </w:tc>
        <w:tc>
          <w:tcPr>
            <w:tcW w:w="2552" w:type="dxa"/>
            <w:vMerge w:val="restart"/>
            <w:vAlign w:val="center"/>
          </w:tcPr>
          <w:p w14:paraId="4B9CDD5C">
            <w:pPr>
              <w:spacing w:line="360" w:lineRule="auto"/>
              <w:jc w:val="center"/>
              <w:rPr>
                <w:rFonts w:ascii="宋体" w:hAnsi="宋体" w:eastAsia="宋体"/>
                <w:sz w:val="18"/>
                <w:szCs w:val="18"/>
              </w:rPr>
            </w:pPr>
            <w:r>
              <w:rPr>
                <w:rFonts w:ascii="宋体" w:hAnsi="宋体" w:eastAsia="宋体"/>
                <w:sz w:val="18"/>
                <w:szCs w:val="18"/>
              </w:rPr>
              <w:t>申请人</w:t>
            </w:r>
            <w:r>
              <w:rPr>
                <w:rFonts w:hint="eastAsia" w:ascii="宋体" w:hAnsi="宋体" w:eastAsia="宋体"/>
                <w:sz w:val="18"/>
                <w:szCs w:val="18"/>
              </w:rPr>
              <w:t>/</w:t>
            </w:r>
            <w:r>
              <w:rPr>
                <w:rFonts w:ascii="宋体" w:hAnsi="宋体" w:eastAsia="宋体"/>
                <w:sz w:val="18"/>
                <w:szCs w:val="18"/>
              </w:rPr>
              <w:t>专利权人</w:t>
            </w:r>
          </w:p>
        </w:tc>
        <w:tc>
          <w:tcPr>
            <w:tcW w:w="1275" w:type="dxa"/>
            <w:vAlign w:val="center"/>
          </w:tcPr>
          <w:p w14:paraId="5BE4E73D">
            <w:pPr>
              <w:spacing w:line="360" w:lineRule="auto"/>
              <w:jc w:val="center"/>
              <w:rPr>
                <w:rFonts w:ascii="宋体" w:hAnsi="宋体" w:eastAsia="宋体"/>
                <w:sz w:val="18"/>
                <w:szCs w:val="18"/>
              </w:rPr>
            </w:pPr>
            <w:r>
              <w:rPr>
                <w:rFonts w:hint="eastAsia" w:ascii="宋体" w:hAnsi="宋体" w:eastAsia="宋体"/>
                <w:sz w:val="18"/>
                <w:szCs w:val="18"/>
              </w:rPr>
              <w:t>情形一</w:t>
            </w:r>
          </w:p>
        </w:tc>
        <w:tc>
          <w:tcPr>
            <w:tcW w:w="3759" w:type="dxa"/>
            <w:vAlign w:val="center"/>
          </w:tcPr>
          <w:p w14:paraId="778800AC">
            <w:pPr>
              <w:spacing w:line="360" w:lineRule="auto"/>
              <w:jc w:val="center"/>
              <w:rPr>
                <w:rFonts w:ascii="宋体" w:hAnsi="宋体" w:eastAsia="宋体"/>
                <w:sz w:val="18"/>
                <w:szCs w:val="18"/>
              </w:rPr>
            </w:pPr>
            <w:r>
              <w:rPr>
                <w:rFonts w:hint="eastAsia" w:ascii="宋体" w:hAnsi="宋体" w:eastAsia="宋体"/>
                <w:sz w:val="18"/>
                <w:szCs w:val="18"/>
              </w:rPr>
              <w:t>姓名+地址（全部公开）</w:t>
            </w:r>
            <w:r>
              <w:rPr>
                <w:rStyle w:val="24"/>
                <w:rFonts w:ascii="宋体" w:hAnsi="宋体" w:eastAsia="宋体"/>
                <w:sz w:val="18"/>
                <w:szCs w:val="18"/>
              </w:rPr>
              <w:footnoteReference w:id="42"/>
            </w:r>
          </w:p>
        </w:tc>
      </w:tr>
      <w:tr w14:paraId="2CC3C7B2">
        <w:tc>
          <w:tcPr>
            <w:tcW w:w="704" w:type="dxa"/>
            <w:vMerge w:val="continue"/>
            <w:vAlign w:val="center"/>
          </w:tcPr>
          <w:p w14:paraId="1FF6DEBC">
            <w:pPr>
              <w:spacing w:line="360" w:lineRule="auto"/>
              <w:jc w:val="center"/>
              <w:rPr>
                <w:rFonts w:ascii="宋体" w:hAnsi="宋体" w:eastAsia="宋体"/>
                <w:sz w:val="18"/>
                <w:szCs w:val="18"/>
              </w:rPr>
            </w:pPr>
          </w:p>
        </w:tc>
        <w:tc>
          <w:tcPr>
            <w:tcW w:w="2552" w:type="dxa"/>
            <w:vMerge w:val="continue"/>
            <w:vAlign w:val="center"/>
          </w:tcPr>
          <w:p w14:paraId="5CCB914F">
            <w:pPr>
              <w:spacing w:line="360" w:lineRule="auto"/>
              <w:jc w:val="center"/>
              <w:rPr>
                <w:rFonts w:ascii="宋体" w:hAnsi="宋体" w:eastAsia="宋体"/>
                <w:sz w:val="18"/>
                <w:szCs w:val="18"/>
              </w:rPr>
            </w:pPr>
          </w:p>
        </w:tc>
        <w:tc>
          <w:tcPr>
            <w:tcW w:w="1275" w:type="dxa"/>
            <w:vAlign w:val="center"/>
          </w:tcPr>
          <w:p w14:paraId="08927AB0">
            <w:pPr>
              <w:spacing w:line="360" w:lineRule="auto"/>
              <w:jc w:val="center"/>
              <w:rPr>
                <w:rFonts w:ascii="宋体" w:hAnsi="宋体" w:eastAsia="宋体"/>
                <w:sz w:val="18"/>
                <w:szCs w:val="18"/>
              </w:rPr>
            </w:pPr>
            <w:r>
              <w:rPr>
                <w:rFonts w:hint="eastAsia" w:ascii="宋体" w:hAnsi="宋体" w:eastAsia="宋体"/>
                <w:sz w:val="18"/>
                <w:szCs w:val="18"/>
              </w:rPr>
              <w:t>情形二</w:t>
            </w:r>
          </w:p>
        </w:tc>
        <w:tc>
          <w:tcPr>
            <w:tcW w:w="3759" w:type="dxa"/>
            <w:vAlign w:val="center"/>
          </w:tcPr>
          <w:p w14:paraId="7679767E">
            <w:pPr>
              <w:spacing w:line="360" w:lineRule="auto"/>
              <w:jc w:val="center"/>
              <w:rPr>
                <w:rFonts w:ascii="宋体" w:hAnsi="宋体" w:eastAsia="宋体"/>
                <w:sz w:val="18"/>
                <w:szCs w:val="18"/>
              </w:rPr>
            </w:pPr>
            <w:r>
              <w:rPr>
                <w:rFonts w:hint="eastAsia" w:ascii="宋体" w:hAnsi="宋体" w:eastAsia="宋体"/>
                <w:sz w:val="18"/>
                <w:szCs w:val="18"/>
              </w:rPr>
              <w:t>姓名+地址（部分公开）</w:t>
            </w:r>
            <w:r>
              <w:rPr>
                <w:rStyle w:val="24"/>
                <w:rFonts w:ascii="宋体" w:hAnsi="宋体" w:eastAsia="宋体"/>
                <w:sz w:val="18"/>
                <w:szCs w:val="18"/>
              </w:rPr>
              <w:footnoteReference w:id="43"/>
            </w:r>
          </w:p>
        </w:tc>
      </w:tr>
    </w:tbl>
    <w:p w14:paraId="65748819">
      <w:pPr>
        <w:spacing w:line="360" w:lineRule="auto"/>
        <w:jc w:val="center"/>
        <w:rPr>
          <w:rFonts w:ascii="宋体" w:hAnsi="宋体" w:eastAsia="宋体"/>
          <w:sz w:val="18"/>
          <w:szCs w:val="18"/>
        </w:rPr>
      </w:pPr>
      <w:r>
        <w:rPr>
          <w:rFonts w:hint="eastAsia" w:ascii="宋体" w:hAnsi="宋体" w:eastAsia="宋体"/>
          <w:sz w:val="18"/>
          <w:szCs w:val="18"/>
        </w:rPr>
        <w:t>（表2：专利公报的个人信息公开情况）</w:t>
      </w:r>
    </w:p>
    <w:p w14:paraId="63F96332">
      <w:pPr>
        <w:spacing w:line="360" w:lineRule="auto"/>
        <w:ind w:firstLine="420"/>
        <w:rPr>
          <w:rFonts w:ascii="宋体" w:hAnsi="宋体" w:eastAsia="宋体"/>
          <w:sz w:val="24"/>
        </w:rPr>
      </w:pPr>
      <w:r>
        <w:rPr>
          <w:rFonts w:hint="eastAsia" w:ascii="宋体" w:hAnsi="宋体" w:eastAsia="宋体"/>
          <w:sz w:val="24"/>
        </w:rPr>
        <w:t>相较于商标公告，专利公报中涉及个人信息的类型和内容比较单一，具体而言：第一，对于专利代理师，专利公报仅公开其姓名。第二，对于发明人/设计人，专利公报同样是公开姓名，但是可以请求不公布</w:t>
      </w:r>
      <w:r>
        <w:rPr>
          <w:rStyle w:val="24"/>
          <w:rFonts w:ascii="宋体" w:hAnsi="宋体" w:eastAsia="宋体"/>
          <w:sz w:val="24"/>
        </w:rPr>
        <w:footnoteReference w:id="44"/>
      </w:r>
      <w:r>
        <w:rPr>
          <w:rFonts w:hint="eastAsia" w:ascii="宋体" w:hAnsi="宋体" w:eastAsia="宋体"/>
          <w:sz w:val="24"/>
        </w:rPr>
        <w:t>。第三，对于申请人/专利权人，仍然必须公布姓名，但对公开的地址详细程度不一致。一般而言，若为中国境内的自然人，专利公报往往会公开其姓名、详细地址（全部公开）等信息；若为中国境外的自然人，专利公报也会公开其姓名和地址，但地址往往不是详细地址（部分公开），仅具体到</w:t>
      </w:r>
      <w:r>
        <w:rPr>
          <w:rFonts w:ascii="宋体" w:hAnsi="宋体" w:eastAsia="宋体"/>
          <w:sz w:val="24"/>
        </w:rPr>
        <w:t>某国某州、某国某市或某国某县</w:t>
      </w:r>
      <w:r>
        <w:rPr>
          <w:rFonts w:hint="eastAsia" w:ascii="宋体" w:hAnsi="宋体" w:eastAsia="宋体"/>
          <w:sz w:val="24"/>
        </w:rPr>
        <w:t>。第四，专利公报中没有检索到公开自然人的证件号的情形。</w:t>
      </w:r>
    </w:p>
    <w:p w14:paraId="15D0634B">
      <w:pPr>
        <w:spacing w:line="360" w:lineRule="auto"/>
        <w:ind w:firstLine="420"/>
        <w:outlineLvl w:val="1"/>
        <w:rPr>
          <w:rFonts w:ascii="宋体" w:hAnsi="宋体" w:eastAsia="宋体"/>
          <w:sz w:val="24"/>
        </w:rPr>
      </w:pPr>
      <w:r>
        <w:rPr>
          <w:rFonts w:hint="eastAsia" w:ascii="宋体" w:hAnsi="宋体" w:eastAsia="宋体"/>
          <w:sz w:val="24"/>
        </w:rPr>
        <w:t>（三）</w:t>
      </w:r>
      <w:r>
        <w:rPr>
          <w:rFonts w:ascii="宋体" w:hAnsi="宋体" w:eastAsia="宋体"/>
          <w:sz w:val="24"/>
        </w:rPr>
        <w:t>公开个人信息对自然人的权益损害</w:t>
      </w:r>
    </w:p>
    <w:p w14:paraId="22CCC42D">
      <w:pPr>
        <w:spacing w:line="360" w:lineRule="auto"/>
        <w:ind w:firstLine="420"/>
        <w:rPr>
          <w:rFonts w:ascii="宋体" w:hAnsi="宋体" w:eastAsia="宋体"/>
          <w:color w:val="000000" w:themeColor="text1"/>
          <w:sz w:val="24"/>
          <w14:textFill>
            <w14:solidFill>
              <w14:schemeClr w14:val="tx1"/>
            </w14:solidFill>
          </w14:textFill>
        </w:rPr>
      </w:pPr>
      <w:r>
        <w:rPr>
          <w:rFonts w:hint="eastAsia" w:ascii="宋体" w:hAnsi="宋体" w:eastAsia="宋体"/>
          <w:sz w:val="24"/>
        </w:rPr>
        <w:t>近年来，商标抢注事件频发，很多名人、网红的姓名被他人申请注册为商标，引起社会舆论，例如，</w:t>
      </w:r>
      <w:r>
        <w:rPr>
          <w:rFonts w:ascii="宋体" w:hAnsi="宋体" w:eastAsia="宋体"/>
          <w:sz w:val="24"/>
        </w:rPr>
        <w:t>敬汉卿</w:t>
      </w:r>
      <w:r>
        <w:rPr>
          <w:rFonts w:hint="eastAsia" w:ascii="宋体" w:hAnsi="宋体" w:eastAsia="宋体"/>
          <w:sz w:val="24"/>
        </w:rPr>
        <w:t>商标被抢注事件</w:t>
      </w:r>
      <w:r>
        <w:rPr>
          <w:rStyle w:val="24"/>
          <w:rFonts w:ascii="宋体" w:hAnsi="宋体" w:eastAsia="宋体"/>
          <w:sz w:val="24"/>
        </w:rPr>
        <w:footnoteReference w:id="45"/>
      </w:r>
      <w:r>
        <w:rPr>
          <w:rFonts w:hint="eastAsia" w:ascii="宋体" w:hAnsi="宋体" w:eastAsia="宋体"/>
          <w:sz w:val="24"/>
        </w:rPr>
        <w:t>。因此，不论是出于防御目的，还是主动保护目的，名人、网红等知名人物都已经有意识将自己的姓名申请注册为商标。知名人物在申请注册商标时可以选择注册在本人名下，也可以选择注册在其控制或关联的企业名下。但是，若将该商标注册在本人名下，国家知识产权局则会在商标公告中公开该知名人物的姓名、地址等个人信息。例如，在</w:t>
      </w:r>
      <w:r>
        <w:rPr>
          <w:rFonts w:ascii="宋体" w:hAnsi="宋体" w:eastAsia="宋体"/>
          <w:sz w:val="24"/>
        </w:rPr>
        <w:t>第65513531号</w:t>
      </w:r>
      <w:r>
        <w:rPr>
          <w:rFonts w:hint="eastAsia" w:ascii="宋体" w:hAnsi="宋体" w:eastAsia="宋体"/>
          <w:sz w:val="24"/>
        </w:rPr>
        <w:t>商标刊登在第1806期《</w:t>
      </w:r>
      <w:r>
        <w:rPr>
          <w:rFonts w:ascii="宋体" w:hAnsi="宋体" w:eastAsia="宋体"/>
          <w:sz w:val="24"/>
        </w:rPr>
        <w:t>商标注册人/申请人名义及地址变更公告</w:t>
      </w:r>
      <w:r>
        <w:rPr>
          <w:rFonts w:hint="eastAsia" w:ascii="宋体" w:hAnsi="宋体" w:eastAsia="宋体"/>
          <w:sz w:val="24"/>
        </w:rPr>
        <w:t>》中，国家知识产权局详细公开了</w:t>
      </w:r>
      <w:r>
        <w:rPr>
          <w:rFonts w:ascii="宋体" w:hAnsi="宋体" w:eastAsia="宋体"/>
          <w:sz w:val="24"/>
        </w:rPr>
        <w:t>王心凌</w:t>
      </w:r>
      <w:r>
        <w:rPr>
          <w:rFonts w:hint="eastAsia" w:ascii="宋体" w:hAnsi="宋体" w:eastAsia="宋体"/>
          <w:sz w:val="24"/>
        </w:rPr>
        <w:t>的地址从“中国</w:t>
      </w:r>
      <w:r>
        <w:rPr>
          <w:rFonts w:ascii="宋体" w:hAnsi="宋体" w:eastAsia="宋体"/>
          <w:sz w:val="24"/>
        </w:rPr>
        <w:t>台湾省台北市松山区安平里14邻健康路416号十三楼之1</w:t>
      </w:r>
      <w:r>
        <w:rPr>
          <w:rFonts w:hint="eastAsia" w:ascii="宋体" w:hAnsi="宋体" w:eastAsia="宋体"/>
          <w:sz w:val="24"/>
        </w:rPr>
        <w:t>”变更为“中国</w:t>
      </w:r>
      <w:r>
        <w:rPr>
          <w:rFonts w:ascii="宋体" w:hAnsi="宋体" w:eastAsia="宋体"/>
          <w:sz w:val="24"/>
        </w:rPr>
        <w:t>台湾省台北市松山区富锦街2号6楼之3</w:t>
      </w:r>
      <w:r>
        <w:rPr>
          <w:rFonts w:hint="eastAsia" w:ascii="宋体" w:hAnsi="宋体" w:eastAsia="宋体"/>
          <w:sz w:val="24"/>
        </w:rPr>
        <w:t>”；在</w:t>
      </w:r>
      <w:r>
        <w:rPr>
          <w:rFonts w:ascii="宋体" w:hAnsi="宋体" w:eastAsia="宋体"/>
          <w:sz w:val="24"/>
        </w:rPr>
        <w:t>第5766875号</w:t>
      </w:r>
      <w:r>
        <w:rPr>
          <w:rFonts w:hint="eastAsia" w:ascii="宋体" w:hAnsi="宋体" w:eastAsia="宋体"/>
          <w:sz w:val="24"/>
        </w:rPr>
        <w:t>商标刊登在第1172期《</w:t>
      </w:r>
      <w:r>
        <w:rPr>
          <w:rFonts w:ascii="宋体" w:hAnsi="宋体" w:eastAsia="宋体"/>
          <w:sz w:val="24"/>
        </w:rPr>
        <w:t>商标初步审定公告</w:t>
      </w:r>
      <w:r>
        <w:rPr>
          <w:rFonts w:hint="eastAsia" w:ascii="宋体" w:hAnsi="宋体" w:eastAsia="宋体"/>
          <w:sz w:val="24"/>
        </w:rPr>
        <w:t>》中，国家知识产权局详细公开了姚明的地址“</w:t>
      </w:r>
      <w:r>
        <w:rPr>
          <w:rFonts w:ascii="宋体" w:hAnsi="宋体" w:eastAsia="宋体"/>
          <w:sz w:val="24"/>
        </w:rPr>
        <w:t>上海市徐汇区双峰路321号803</w:t>
      </w:r>
      <w:r>
        <w:rPr>
          <w:rFonts w:hint="eastAsia" w:ascii="宋体" w:hAnsi="宋体" w:eastAsia="宋体"/>
          <w:sz w:val="24"/>
        </w:rPr>
        <w:t>室”。众所周知，</w:t>
      </w:r>
      <w:r>
        <w:rPr>
          <w:rFonts w:ascii="宋体" w:hAnsi="宋体" w:eastAsia="宋体"/>
          <w:sz w:val="24"/>
        </w:rPr>
        <w:t>知名人</w:t>
      </w:r>
      <w:r>
        <w:rPr>
          <w:rFonts w:ascii="宋体" w:hAnsi="宋体" w:eastAsia="宋体"/>
          <w:color w:val="000000" w:themeColor="text1"/>
          <w:sz w:val="24"/>
          <w14:textFill>
            <w14:solidFill>
              <w14:schemeClr w14:val="tx1"/>
            </w14:solidFill>
          </w14:textFill>
        </w:rPr>
        <w:t>物具有较高的</w:t>
      </w:r>
      <w:r>
        <w:rPr>
          <w:rFonts w:hint="eastAsia" w:ascii="宋体" w:hAnsi="宋体" w:eastAsia="宋体"/>
          <w:color w:val="000000" w:themeColor="text1"/>
          <w:sz w:val="24"/>
          <w14:textFill>
            <w14:solidFill>
              <w14:schemeClr w14:val="tx1"/>
            </w14:solidFill>
          </w14:textFill>
        </w:rPr>
        <w:t>社会</w:t>
      </w:r>
      <w:r>
        <w:rPr>
          <w:rFonts w:ascii="宋体" w:hAnsi="宋体" w:eastAsia="宋体"/>
          <w:color w:val="000000" w:themeColor="text1"/>
          <w:sz w:val="24"/>
          <w14:textFill>
            <w14:solidFill>
              <w14:schemeClr w14:val="tx1"/>
            </w14:solidFill>
          </w14:textFill>
        </w:rPr>
        <w:t>关注度，其中不乏来自</w:t>
      </w:r>
      <w:r>
        <w:rPr>
          <w:rFonts w:hint="eastAsia" w:ascii="宋体" w:hAnsi="宋体" w:eastAsia="宋体"/>
          <w:color w:val="000000" w:themeColor="text1"/>
          <w:sz w:val="24"/>
          <w14:textFill>
            <w14:solidFill>
              <w14:schemeClr w14:val="tx1"/>
            </w14:solidFill>
          </w14:textFill>
        </w:rPr>
        <w:t>非理性支持者</w:t>
      </w:r>
      <w:r>
        <w:rPr>
          <w:rFonts w:ascii="宋体" w:hAnsi="宋体" w:eastAsia="宋体"/>
          <w:color w:val="000000" w:themeColor="text1"/>
          <w:sz w:val="24"/>
          <w14:textFill>
            <w14:solidFill>
              <w14:schemeClr w14:val="tx1"/>
            </w14:solidFill>
          </w14:textFill>
        </w:rPr>
        <w:t>、竞争对手等的关注</w:t>
      </w:r>
      <w:r>
        <w:rPr>
          <w:rFonts w:hint="eastAsia" w:ascii="宋体" w:hAnsi="宋体" w:eastAsia="宋体"/>
          <w:color w:val="000000" w:themeColor="text1"/>
          <w:sz w:val="24"/>
          <w14:textFill>
            <w14:solidFill>
              <w14:schemeClr w14:val="tx1"/>
            </w14:solidFill>
          </w14:textFill>
        </w:rPr>
        <w:t>，其个人信息一旦被披露或公开将严重影响生活和工作。曾经甚至有名人（UP主）</w:t>
      </w:r>
      <w:r>
        <w:rPr>
          <w:rFonts w:ascii="宋体" w:hAnsi="宋体" w:eastAsia="宋体"/>
          <w:color w:val="000000" w:themeColor="text1"/>
          <w:sz w:val="24"/>
          <w14:textFill>
            <w14:solidFill>
              <w14:schemeClr w14:val="tx1"/>
            </w14:solidFill>
          </w14:textFill>
        </w:rPr>
        <w:t>因商标注册被公开地址而收到恐吓信</w:t>
      </w:r>
      <w:r>
        <w:rPr>
          <w:rFonts w:hint="eastAsia" w:ascii="宋体" w:hAnsi="宋体" w:eastAsia="宋体"/>
          <w:color w:val="000000" w:themeColor="text1"/>
          <w:sz w:val="24"/>
          <w14:textFill>
            <w14:solidFill>
              <w14:schemeClr w14:val="tx1"/>
            </w14:solidFill>
          </w14:textFill>
        </w:rPr>
        <w:t>或可疑快递，</w:t>
      </w:r>
      <w:r>
        <w:rPr>
          <w:rFonts w:ascii="宋体" w:hAnsi="宋体" w:eastAsia="宋体"/>
          <w:color w:val="000000" w:themeColor="text1"/>
          <w:sz w:val="24"/>
          <w14:textFill>
            <w14:solidFill>
              <w14:schemeClr w14:val="tx1"/>
            </w14:solidFill>
          </w14:textFill>
        </w:rPr>
        <w:t>导致其及家人精神高度紧张，生活状态</w:t>
      </w:r>
      <w:r>
        <w:rPr>
          <w:rFonts w:hint="eastAsia" w:ascii="宋体" w:hAnsi="宋体" w:eastAsia="宋体"/>
          <w:color w:val="000000" w:themeColor="text1"/>
          <w:sz w:val="24"/>
          <w14:textFill>
            <w14:solidFill>
              <w14:schemeClr w14:val="tx1"/>
            </w14:solidFill>
          </w14:textFill>
        </w:rPr>
        <w:t>受到</w:t>
      </w:r>
      <w:r>
        <w:rPr>
          <w:rFonts w:ascii="宋体" w:hAnsi="宋体" w:eastAsia="宋体"/>
          <w:color w:val="000000" w:themeColor="text1"/>
          <w:sz w:val="24"/>
          <w14:textFill>
            <w14:solidFill>
              <w14:schemeClr w14:val="tx1"/>
            </w14:solidFill>
          </w14:textFill>
        </w:rPr>
        <w:t>影响</w:t>
      </w:r>
      <w:r>
        <w:rPr>
          <w:rFonts w:hint="eastAsia" w:ascii="宋体" w:hAnsi="宋体" w:eastAsia="宋体"/>
          <w:color w:val="000000" w:themeColor="text1"/>
          <w:sz w:val="24"/>
          <w14:textFill>
            <w14:solidFill>
              <w14:schemeClr w14:val="tx1"/>
            </w14:solidFill>
          </w14:textFill>
        </w:rPr>
        <w:t>。</w:t>
      </w:r>
      <w:r>
        <w:rPr>
          <w:rStyle w:val="24"/>
          <w:rFonts w:ascii="宋体" w:hAnsi="宋体" w:eastAsia="宋体"/>
          <w:color w:val="000000" w:themeColor="text1"/>
          <w:sz w:val="24"/>
          <w14:textFill>
            <w14:solidFill>
              <w14:schemeClr w14:val="tx1"/>
            </w14:solidFill>
          </w14:textFill>
        </w:rPr>
        <w:footnoteReference w:id="46"/>
      </w:r>
      <w:r>
        <w:rPr>
          <w:rFonts w:ascii="宋体" w:hAnsi="宋体" w:eastAsia="宋体"/>
          <w:color w:val="000000" w:themeColor="text1"/>
          <w:sz w:val="24"/>
          <w14:textFill>
            <w14:solidFill>
              <w14:schemeClr w14:val="tx1"/>
            </w14:solidFill>
          </w14:textFill>
        </w:rPr>
        <w:t>需要说明的是，以上讨论的是商标公告中存在的问题。在以往很长一段时间，申请人提交商标申请后，任何人在中国商标网都能查询到申请人的姓名和地址</w:t>
      </w:r>
      <w:r>
        <w:rPr>
          <w:rFonts w:hint="eastAsia" w:ascii="宋体" w:hAnsi="宋体" w:eastAsia="宋体"/>
          <w:color w:val="000000" w:themeColor="text1"/>
          <w:sz w:val="24"/>
          <w14:textFill>
            <w14:solidFill>
              <w14:schemeClr w14:val="tx1"/>
            </w14:solidFill>
          </w14:textFill>
        </w:rPr>
        <w:t>，同样给申请人带来了很大的困扰。</w:t>
      </w:r>
      <w:r>
        <w:rPr>
          <w:rStyle w:val="24"/>
          <w:rFonts w:ascii="宋体" w:hAnsi="宋体" w:eastAsia="宋体"/>
          <w:color w:val="000000" w:themeColor="text1"/>
          <w:sz w:val="24"/>
          <w14:textFill>
            <w14:solidFill>
              <w14:schemeClr w14:val="tx1"/>
            </w14:solidFill>
          </w14:textFill>
        </w:rPr>
        <w:footnoteReference w:id="47"/>
      </w:r>
      <w:r>
        <w:rPr>
          <w:rFonts w:hint="eastAsia" w:ascii="宋体" w:hAnsi="宋体" w:eastAsia="宋体"/>
          <w:color w:val="000000" w:themeColor="text1"/>
          <w:sz w:val="24"/>
          <w14:textFill>
            <w14:solidFill>
              <w14:schemeClr w14:val="tx1"/>
            </w14:solidFill>
          </w14:textFill>
        </w:rPr>
        <w:t>虽然</w:t>
      </w:r>
      <w:r>
        <w:rPr>
          <w:rFonts w:ascii="宋体" w:hAnsi="宋体" w:eastAsia="宋体"/>
          <w:color w:val="000000" w:themeColor="text1"/>
          <w:sz w:val="24"/>
          <w14:textFill>
            <w14:solidFill>
              <w14:schemeClr w14:val="tx1"/>
            </w14:solidFill>
          </w14:textFill>
        </w:rPr>
        <w:t>中国商标网</w:t>
      </w:r>
      <w:r>
        <w:rPr>
          <w:rFonts w:hint="eastAsia" w:ascii="宋体" w:hAnsi="宋体" w:eastAsia="宋体"/>
          <w:color w:val="000000" w:themeColor="text1"/>
          <w:sz w:val="24"/>
          <w14:textFill>
            <w14:solidFill>
              <w14:schemeClr w14:val="tx1"/>
            </w14:solidFill>
          </w14:textFill>
        </w:rPr>
        <w:t>现在已经屏蔽自然人的详细地址信息，但仅解决了商标申请阶段公开地址信息的问题，对于商标公告中涉及的个人信息仍未解决。</w:t>
      </w:r>
    </w:p>
    <w:p w14:paraId="7E9DCCA8">
      <w:pPr>
        <w:spacing w:line="360" w:lineRule="auto"/>
        <w:ind w:firstLine="420"/>
        <w:rPr>
          <w:rFonts w:ascii="宋体" w:hAnsi="宋体" w:eastAsia="宋体"/>
          <w:sz w:val="24"/>
        </w:rPr>
      </w:pPr>
      <w:r>
        <w:rPr>
          <w:rFonts w:hint="eastAsia" w:ascii="宋体" w:hAnsi="宋体" w:eastAsia="宋体"/>
          <w:sz w:val="24"/>
        </w:rPr>
        <w:t>对于普通大众，商标公告和专利公报中公开的个人信息同样会给他们带来很多麻烦。笔者曾经代理某原告起诉某被告侵害商标权纠纷案件，该案的涉案商标注册在原告的法定代表人名下，故商标公告中公开过原告的法定代表人的地址（实际为家庭住址）。在诉讼中，被告在未与原告沟通的情况下，多次自行前往原告法定代表人住所协商、沟通案件，给原告的法定代表人带来了不少困扰。因此</w:t>
      </w:r>
      <w:r>
        <w:rPr>
          <w:rFonts w:ascii="宋体" w:hAnsi="宋体" w:eastAsia="宋体"/>
          <w:sz w:val="24"/>
        </w:rPr>
        <w:t>，普通人的地址信息被泄露，也会对其日常生活或生产经营造成不良影响。</w:t>
      </w:r>
      <w:r>
        <w:rPr>
          <w:rFonts w:hint="eastAsia" w:ascii="宋体" w:hAnsi="宋体" w:eastAsia="宋体"/>
          <w:sz w:val="24"/>
        </w:rPr>
        <w:t>事实上，普</w:t>
      </w:r>
      <w:r>
        <w:rPr>
          <w:rFonts w:ascii="宋体" w:hAnsi="宋体" w:eastAsia="宋体"/>
          <w:sz w:val="24"/>
        </w:rPr>
        <w:t>通</w:t>
      </w:r>
      <w:r>
        <w:rPr>
          <w:rFonts w:hint="eastAsia" w:ascii="宋体" w:hAnsi="宋体" w:eastAsia="宋体"/>
          <w:sz w:val="24"/>
        </w:rPr>
        <w:t>大众</w:t>
      </w:r>
      <w:r>
        <w:rPr>
          <w:rFonts w:ascii="宋体" w:hAnsi="宋体" w:eastAsia="宋体"/>
          <w:sz w:val="24"/>
        </w:rPr>
        <w:t>注册商标或申请专利往往是具有经营生产的需求的，一旦将其详细的地址公之于众，竞争对手极有可能利用申请人的地址等个人信息骚扰申请人的正常生活或者生产经营。</w:t>
      </w:r>
    </w:p>
    <w:p w14:paraId="767C82BD">
      <w:pPr>
        <w:spacing w:line="360" w:lineRule="auto"/>
        <w:ind w:firstLine="420"/>
        <w:rPr>
          <w:rFonts w:ascii="宋体" w:hAnsi="宋体" w:eastAsia="宋体"/>
          <w:sz w:val="24"/>
        </w:rPr>
      </w:pPr>
      <w:r>
        <w:rPr>
          <w:rFonts w:hint="eastAsia" w:ascii="宋体" w:hAnsi="宋体" w:eastAsia="宋体"/>
          <w:sz w:val="24"/>
        </w:rPr>
        <w:t>2021年4月28日，</w:t>
      </w:r>
      <w:r>
        <w:rPr>
          <w:rFonts w:ascii="宋体" w:hAnsi="宋体" w:eastAsia="宋体"/>
          <w:sz w:val="24"/>
        </w:rPr>
        <w:t>世界商标评论（WTR）</w:t>
      </w:r>
      <w:r>
        <w:rPr>
          <w:rFonts w:hint="eastAsia" w:ascii="宋体" w:hAnsi="宋体" w:eastAsia="宋体"/>
          <w:sz w:val="24"/>
        </w:rPr>
        <w:t>在其网站发布新闻称，</w:t>
      </w:r>
      <w:r>
        <w:rPr>
          <w:rFonts w:ascii="宋体" w:hAnsi="宋体" w:eastAsia="宋体"/>
          <w:sz w:val="24"/>
        </w:rPr>
        <w:t>中国国家知识产权局</w:t>
      </w:r>
      <w:r>
        <w:rPr>
          <w:rFonts w:hint="eastAsia" w:ascii="宋体" w:hAnsi="宋体" w:eastAsia="宋体"/>
          <w:sz w:val="24"/>
        </w:rPr>
        <w:t>在公开访问的商</w:t>
      </w:r>
      <w:r>
        <w:rPr>
          <w:rFonts w:ascii="宋体" w:hAnsi="宋体" w:eastAsia="宋体"/>
          <w:sz w:val="24"/>
        </w:rPr>
        <w:t>标</w:t>
      </w:r>
      <w:r>
        <w:rPr>
          <w:rFonts w:hint="eastAsia" w:ascii="宋体" w:hAnsi="宋体" w:eastAsia="宋体"/>
          <w:sz w:val="24"/>
        </w:rPr>
        <w:t>数据库</w:t>
      </w:r>
      <w:r>
        <w:rPr>
          <w:rFonts w:ascii="宋体" w:hAnsi="宋体" w:eastAsia="宋体"/>
          <w:sz w:val="24"/>
        </w:rPr>
        <w:t>中</w:t>
      </w:r>
      <w:r>
        <w:rPr>
          <w:rFonts w:hint="eastAsia" w:ascii="宋体" w:hAnsi="宋体" w:eastAsia="宋体"/>
          <w:sz w:val="24"/>
        </w:rPr>
        <w:t>公布</w:t>
      </w:r>
      <w:r>
        <w:rPr>
          <w:rFonts w:ascii="宋体" w:hAnsi="宋体" w:eastAsia="宋体"/>
          <w:sz w:val="24"/>
        </w:rPr>
        <w:t>Taylor Swift等国际公众人物的护照信息</w:t>
      </w:r>
      <w:r>
        <w:rPr>
          <w:rFonts w:hint="eastAsia" w:ascii="宋体" w:hAnsi="宋体" w:eastAsia="宋体"/>
          <w:sz w:val="24"/>
        </w:rPr>
        <w:t>，并表示可能给个人带来风险，甚至影响国家信息和数据安全。</w:t>
      </w:r>
      <w:r>
        <w:rPr>
          <w:rStyle w:val="24"/>
          <w:rFonts w:ascii="宋体" w:hAnsi="宋体" w:eastAsia="宋体"/>
          <w:sz w:val="24"/>
        </w:rPr>
        <w:footnoteReference w:id="48"/>
      </w:r>
      <w:r>
        <w:rPr>
          <w:rFonts w:hint="eastAsia" w:ascii="宋体" w:hAnsi="宋体" w:eastAsia="宋体"/>
          <w:sz w:val="24"/>
        </w:rPr>
        <w:t>这与本文检索到的商标公告情况一致，商标公告确实会在部分公告中完整或部分公开自然人的护照号或</w:t>
      </w:r>
      <w:r>
        <w:rPr>
          <w:rFonts w:ascii="宋体" w:hAnsi="宋体" w:eastAsia="宋体"/>
          <w:sz w:val="24"/>
        </w:rPr>
        <w:t>其他证件号</w:t>
      </w:r>
      <w:r>
        <w:rPr>
          <w:rFonts w:hint="eastAsia" w:ascii="宋体" w:hAnsi="宋体" w:eastAsia="宋体"/>
          <w:sz w:val="24"/>
        </w:rPr>
        <w:t>。可见，对于国家知识产权局在商标公告和专利公报中公开个人信息的问题，早已引起国内外的关注。</w:t>
      </w:r>
    </w:p>
    <w:p w14:paraId="6D70933E">
      <w:pPr>
        <w:spacing w:line="360" w:lineRule="auto"/>
        <w:ind w:firstLine="420"/>
        <w:rPr>
          <w:rFonts w:ascii="宋体" w:hAnsi="宋体" w:eastAsia="宋体"/>
          <w:sz w:val="24"/>
        </w:rPr>
      </w:pPr>
    </w:p>
    <w:p w14:paraId="689ADE6A">
      <w:pPr>
        <w:spacing w:line="360" w:lineRule="auto"/>
        <w:outlineLvl w:val="0"/>
        <w:rPr>
          <w:rFonts w:ascii="宋体" w:hAnsi="宋体" w:eastAsia="宋体"/>
          <w:b/>
          <w:bCs/>
          <w:sz w:val="24"/>
        </w:rPr>
      </w:pPr>
      <w:r>
        <w:rPr>
          <w:rFonts w:hint="eastAsia" w:ascii="宋体" w:hAnsi="宋体" w:eastAsia="宋体"/>
          <w:b/>
          <w:bCs/>
          <w:sz w:val="24"/>
        </w:rPr>
        <w:t>二、商标公告与专利公报公开个人信息的合法性边界</w:t>
      </w:r>
    </w:p>
    <w:p w14:paraId="49641159">
      <w:pPr>
        <w:spacing w:line="360" w:lineRule="auto"/>
        <w:ind w:firstLine="420"/>
        <w:outlineLvl w:val="1"/>
        <w:rPr>
          <w:rFonts w:ascii="宋体" w:hAnsi="宋体" w:eastAsia="宋体"/>
          <w:sz w:val="24"/>
        </w:rPr>
      </w:pPr>
      <w:r>
        <w:rPr>
          <w:rFonts w:hint="eastAsia" w:ascii="宋体" w:hAnsi="宋体" w:eastAsia="宋体"/>
          <w:sz w:val="24"/>
        </w:rPr>
        <w:t>（一）国家知识产权局公开个人信息应当遵守《个人信息保护法》</w:t>
      </w:r>
    </w:p>
    <w:p w14:paraId="763990D4">
      <w:pPr>
        <w:spacing w:line="360" w:lineRule="auto"/>
        <w:ind w:firstLine="420"/>
        <w:rPr>
          <w:rFonts w:ascii="宋体" w:hAnsi="宋体" w:eastAsia="宋体"/>
          <w:sz w:val="24"/>
        </w:rPr>
      </w:pPr>
      <w:r>
        <w:rPr>
          <w:rFonts w:hint="eastAsia" w:ascii="宋体" w:hAnsi="宋体" w:eastAsia="宋体"/>
          <w:sz w:val="24"/>
        </w:rPr>
        <w:t>根据《个人信息保护法》</w:t>
      </w:r>
      <w:r>
        <w:rPr>
          <w:rFonts w:ascii="宋体" w:hAnsi="宋体" w:eastAsia="宋体"/>
          <w:sz w:val="24"/>
        </w:rPr>
        <w:t>第</w:t>
      </w:r>
      <w:r>
        <w:rPr>
          <w:rFonts w:hint="eastAsia" w:ascii="宋体" w:hAnsi="宋体" w:eastAsia="宋体"/>
          <w:sz w:val="24"/>
        </w:rPr>
        <w:t>4</w:t>
      </w:r>
      <w:r>
        <w:rPr>
          <w:rFonts w:ascii="宋体" w:hAnsi="宋体" w:eastAsia="宋体"/>
          <w:sz w:val="24"/>
        </w:rPr>
        <w:t>条</w:t>
      </w:r>
      <w:r>
        <w:rPr>
          <w:rFonts w:hint="eastAsia" w:ascii="宋体" w:hAnsi="宋体" w:eastAsia="宋体"/>
          <w:sz w:val="24"/>
        </w:rPr>
        <w:t>第1款：“</w:t>
      </w:r>
      <w:r>
        <w:rPr>
          <w:rFonts w:ascii="宋体" w:hAnsi="宋体" w:eastAsia="宋体"/>
          <w:sz w:val="24"/>
        </w:rPr>
        <w:t>个人信息是以电子或者其他方式记录的与已识别或者可识别的自然人有关的各种信息，不包括匿名化处理后的信息。</w:t>
      </w:r>
      <w:r>
        <w:rPr>
          <w:rFonts w:hint="eastAsia" w:ascii="宋体" w:hAnsi="宋体" w:eastAsia="宋体"/>
          <w:sz w:val="24"/>
        </w:rPr>
        <w:t>”第2款：“</w:t>
      </w:r>
      <w:r>
        <w:rPr>
          <w:rFonts w:ascii="宋体" w:hAnsi="宋体" w:eastAsia="宋体"/>
          <w:sz w:val="24"/>
        </w:rPr>
        <w:t>个人信息的处理包括个人信息的收集、存储、使用、加工、传输、提供、公开、删除等。</w:t>
      </w:r>
      <w:r>
        <w:rPr>
          <w:rFonts w:hint="eastAsia" w:ascii="宋体" w:hAnsi="宋体" w:eastAsia="宋体"/>
          <w:sz w:val="24"/>
        </w:rPr>
        <w:t>”以及</w:t>
      </w:r>
      <w:r>
        <w:rPr>
          <w:rFonts w:ascii="宋体" w:hAnsi="宋体" w:eastAsia="宋体"/>
          <w:sz w:val="24"/>
        </w:rPr>
        <w:t>第</w:t>
      </w:r>
      <w:r>
        <w:rPr>
          <w:rFonts w:hint="eastAsia" w:ascii="宋体" w:hAnsi="宋体" w:eastAsia="宋体"/>
          <w:sz w:val="24"/>
        </w:rPr>
        <w:t>72</w:t>
      </w:r>
      <w:r>
        <w:rPr>
          <w:rFonts w:ascii="宋体" w:hAnsi="宋体" w:eastAsia="宋体"/>
          <w:sz w:val="24"/>
        </w:rPr>
        <w:t>条</w:t>
      </w:r>
      <w:r>
        <w:rPr>
          <w:rFonts w:hint="eastAsia" w:ascii="宋体" w:hAnsi="宋体" w:eastAsia="宋体"/>
          <w:sz w:val="24"/>
        </w:rPr>
        <w:t>第1款：“</w:t>
      </w:r>
      <w:r>
        <w:rPr>
          <w:rFonts w:ascii="宋体" w:hAnsi="宋体" w:eastAsia="宋体"/>
          <w:sz w:val="24"/>
        </w:rPr>
        <w:t>自然人因个人或者家庭事务处理个人信息的，不适用本法。</w:t>
      </w:r>
      <w:r>
        <w:rPr>
          <w:rFonts w:hint="eastAsia" w:ascii="宋体" w:hAnsi="宋体" w:eastAsia="宋体"/>
          <w:sz w:val="24"/>
        </w:rPr>
        <w:t>”的规定，</w:t>
      </w:r>
      <w:r>
        <w:rPr>
          <w:rFonts w:ascii="宋体" w:hAnsi="宋体" w:eastAsia="宋体"/>
          <w:sz w:val="24"/>
        </w:rPr>
        <w:t>只要是对个人信息实施收集、存储、</w:t>
      </w:r>
      <w:r>
        <w:rPr>
          <w:rFonts w:hint="eastAsia" w:ascii="宋体" w:hAnsi="宋体" w:eastAsia="宋体"/>
          <w:sz w:val="24"/>
        </w:rPr>
        <w:t>公开</w:t>
      </w:r>
      <w:r>
        <w:rPr>
          <w:rFonts w:ascii="宋体" w:hAnsi="宋体" w:eastAsia="宋体"/>
          <w:sz w:val="24"/>
        </w:rPr>
        <w:t>等行为，</w:t>
      </w:r>
      <w:r>
        <w:rPr>
          <w:rFonts w:hint="eastAsia" w:ascii="宋体" w:hAnsi="宋体" w:eastAsia="宋体"/>
          <w:sz w:val="24"/>
        </w:rPr>
        <w:t>就</w:t>
      </w:r>
      <w:r>
        <w:rPr>
          <w:rFonts w:ascii="宋体" w:hAnsi="宋体" w:eastAsia="宋体"/>
          <w:sz w:val="24"/>
        </w:rPr>
        <w:t>属于个人信息处理活动，</w:t>
      </w:r>
      <w:r>
        <w:rPr>
          <w:rFonts w:hint="eastAsia" w:ascii="宋体" w:hAnsi="宋体" w:eastAsia="宋体"/>
          <w:sz w:val="24"/>
        </w:rPr>
        <w:t>应当遵守《个人信息保护法》，</w:t>
      </w:r>
      <w:r>
        <w:rPr>
          <w:rFonts w:ascii="宋体" w:hAnsi="宋体" w:eastAsia="宋体"/>
          <w:sz w:val="24"/>
        </w:rPr>
        <w:t>只</w:t>
      </w:r>
      <w:r>
        <w:rPr>
          <w:rFonts w:hint="eastAsia" w:ascii="宋体" w:hAnsi="宋体" w:eastAsia="宋体"/>
          <w:sz w:val="24"/>
        </w:rPr>
        <w:t>是</w:t>
      </w:r>
      <w:r>
        <w:rPr>
          <w:rFonts w:ascii="宋体" w:hAnsi="宋体" w:eastAsia="宋体"/>
          <w:sz w:val="24"/>
        </w:rPr>
        <w:t>需要排除自然人之间因个人、家庭事务处理个人信息的活动</w:t>
      </w:r>
      <w:r>
        <w:rPr>
          <w:rFonts w:hint="eastAsia" w:ascii="宋体" w:hAnsi="宋体" w:eastAsia="宋体"/>
          <w:sz w:val="24"/>
        </w:rPr>
        <w:t>。</w:t>
      </w:r>
      <w:r>
        <w:rPr>
          <w:rStyle w:val="24"/>
          <w:rFonts w:ascii="宋体" w:hAnsi="宋体" w:eastAsia="宋体"/>
          <w:sz w:val="24"/>
        </w:rPr>
        <w:footnoteReference w:id="49"/>
      </w:r>
      <w:r>
        <w:rPr>
          <w:rFonts w:hint="eastAsia" w:ascii="宋体" w:hAnsi="宋体" w:eastAsia="宋体"/>
          <w:sz w:val="24"/>
        </w:rPr>
        <w:t>对于个人信息的具体范围，《民法典》</w:t>
      </w:r>
      <w:r>
        <w:rPr>
          <w:rFonts w:ascii="宋体" w:hAnsi="宋体" w:eastAsia="宋体"/>
          <w:sz w:val="24"/>
        </w:rPr>
        <w:t>第</w:t>
      </w:r>
      <w:r>
        <w:rPr>
          <w:rFonts w:hint="eastAsia" w:ascii="宋体" w:hAnsi="宋体" w:eastAsia="宋体"/>
          <w:sz w:val="24"/>
        </w:rPr>
        <w:t>1034</w:t>
      </w:r>
      <w:r>
        <w:rPr>
          <w:rFonts w:ascii="宋体" w:hAnsi="宋体" w:eastAsia="宋体"/>
          <w:sz w:val="24"/>
        </w:rPr>
        <w:t>条</w:t>
      </w:r>
      <w:r>
        <w:rPr>
          <w:rFonts w:hint="eastAsia" w:ascii="宋体" w:hAnsi="宋体" w:eastAsia="宋体"/>
          <w:sz w:val="24"/>
        </w:rPr>
        <w:t>第2款列举了</w:t>
      </w:r>
      <w:r>
        <w:rPr>
          <w:rFonts w:ascii="宋体" w:hAnsi="宋体" w:eastAsia="宋体"/>
          <w:sz w:val="24"/>
        </w:rPr>
        <w:t>自然人的姓名、出生日期、身份证件号码、生物识别信息、住址、电话号码、电子邮箱、健康信息、行踪信息等。</w:t>
      </w:r>
      <w:r>
        <w:rPr>
          <w:rFonts w:hint="eastAsia" w:ascii="宋体" w:hAnsi="宋体" w:eastAsia="宋体"/>
          <w:sz w:val="24"/>
        </w:rPr>
        <w:t>同时，《个人信息保护法》</w:t>
      </w:r>
      <w:r>
        <w:rPr>
          <w:rFonts w:ascii="宋体" w:hAnsi="宋体" w:eastAsia="宋体"/>
          <w:sz w:val="24"/>
        </w:rPr>
        <w:t>第</w:t>
      </w:r>
      <w:r>
        <w:rPr>
          <w:rFonts w:hint="eastAsia" w:ascii="宋体" w:hAnsi="宋体" w:eastAsia="宋体"/>
          <w:sz w:val="24"/>
        </w:rPr>
        <w:t>33</w:t>
      </w:r>
      <w:r>
        <w:rPr>
          <w:rFonts w:ascii="宋体" w:hAnsi="宋体" w:eastAsia="宋体"/>
          <w:sz w:val="24"/>
        </w:rPr>
        <w:t>条</w:t>
      </w:r>
      <w:r>
        <w:rPr>
          <w:rFonts w:hint="eastAsia" w:ascii="宋体" w:hAnsi="宋体" w:eastAsia="宋体"/>
          <w:sz w:val="24"/>
        </w:rPr>
        <w:t>明确规定：“</w:t>
      </w:r>
      <w:r>
        <w:rPr>
          <w:rFonts w:ascii="宋体" w:hAnsi="宋体" w:eastAsia="宋体"/>
          <w:sz w:val="24"/>
        </w:rPr>
        <w:t>国家机关处理个人信息的活动，适用本法；本节有特别规定的，适用本节规定</w:t>
      </w:r>
      <w:r>
        <w:rPr>
          <w:rFonts w:hint="eastAsia" w:ascii="宋体" w:hAnsi="宋体" w:eastAsia="宋体"/>
          <w:sz w:val="24"/>
        </w:rPr>
        <w:t>”</w:t>
      </w:r>
      <w:r>
        <w:rPr>
          <w:rFonts w:ascii="宋体" w:hAnsi="宋体" w:eastAsia="宋体"/>
          <w:sz w:val="24"/>
        </w:rPr>
        <w:t>。</w:t>
      </w:r>
      <w:r>
        <w:rPr>
          <w:rFonts w:hint="eastAsia" w:ascii="宋体" w:hAnsi="宋体" w:eastAsia="宋体"/>
          <w:sz w:val="24"/>
        </w:rPr>
        <w:t>可见，国家机关在处理自然人的姓名、</w:t>
      </w:r>
      <w:r>
        <w:rPr>
          <w:rFonts w:ascii="宋体" w:hAnsi="宋体" w:eastAsia="宋体"/>
          <w:sz w:val="24"/>
        </w:rPr>
        <w:t>身份证件号码</w:t>
      </w:r>
      <w:r>
        <w:rPr>
          <w:rFonts w:hint="eastAsia" w:ascii="宋体" w:hAnsi="宋体" w:eastAsia="宋体"/>
          <w:sz w:val="24"/>
        </w:rPr>
        <w:t>、</w:t>
      </w:r>
      <w:r>
        <w:rPr>
          <w:rFonts w:ascii="宋体" w:hAnsi="宋体" w:eastAsia="宋体"/>
          <w:sz w:val="24"/>
        </w:rPr>
        <w:t>住址</w:t>
      </w:r>
      <w:r>
        <w:rPr>
          <w:rFonts w:hint="eastAsia" w:ascii="宋体" w:hAnsi="宋体" w:eastAsia="宋体"/>
          <w:sz w:val="24"/>
        </w:rPr>
        <w:t>等个人信息时，应当遵守《个人信息保护法》的规定。</w:t>
      </w:r>
    </w:p>
    <w:p w14:paraId="03C0F2EA">
      <w:pPr>
        <w:spacing w:line="360" w:lineRule="auto"/>
        <w:ind w:firstLine="420"/>
        <w:rPr>
          <w:rFonts w:ascii="宋体" w:hAnsi="宋体" w:eastAsia="宋体"/>
          <w:sz w:val="24"/>
        </w:rPr>
      </w:pPr>
      <w:r>
        <w:rPr>
          <w:rFonts w:hint="eastAsia" w:ascii="宋体" w:hAnsi="宋体" w:eastAsia="宋体"/>
          <w:sz w:val="24"/>
        </w:rPr>
        <w:t>在数字经济时代，国家机关在履行法定职责中会</w:t>
      </w:r>
      <w:r>
        <w:rPr>
          <w:rFonts w:ascii="宋体" w:hAnsi="宋体" w:eastAsia="宋体"/>
          <w:sz w:val="24"/>
        </w:rPr>
        <w:t>频繁、大量地</w:t>
      </w:r>
      <w:r>
        <w:rPr>
          <w:rFonts w:hint="eastAsia" w:ascii="宋体" w:hAnsi="宋体" w:eastAsia="宋体"/>
          <w:sz w:val="24"/>
        </w:rPr>
        <w:t>对</w:t>
      </w:r>
      <w:r>
        <w:rPr>
          <w:rFonts w:ascii="宋体" w:hAnsi="宋体" w:eastAsia="宋体"/>
          <w:sz w:val="24"/>
        </w:rPr>
        <w:t>个人信息</w:t>
      </w:r>
      <w:r>
        <w:rPr>
          <w:rFonts w:hint="eastAsia" w:ascii="宋体" w:hAnsi="宋体" w:eastAsia="宋体"/>
          <w:sz w:val="24"/>
        </w:rPr>
        <w:t>进行处理，包括</w:t>
      </w:r>
      <w:r>
        <w:rPr>
          <w:rFonts w:ascii="宋体" w:hAnsi="宋体" w:eastAsia="宋体"/>
          <w:sz w:val="24"/>
        </w:rPr>
        <w:t>收集、存储、使用、公开等</w:t>
      </w:r>
      <w:r>
        <w:rPr>
          <w:rFonts w:hint="eastAsia" w:ascii="宋体" w:hAnsi="宋体" w:eastAsia="宋体"/>
          <w:sz w:val="24"/>
        </w:rPr>
        <w:t>活动</w:t>
      </w:r>
      <w:r>
        <w:rPr>
          <w:rFonts w:ascii="宋体" w:hAnsi="宋体" w:eastAsia="宋体"/>
          <w:sz w:val="24"/>
        </w:rPr>
        <w:t>。</w:t>
      </w:r>
      <w:r>
        <w:rPr>
          <w:rFonts w:hint="eastAsia" w:ascii="宋体" w:hAnsi="宋体" w:eastAsia="宋体"/>
          <w:sz w:val="24"/>
        </w:rPr>
        <w:t>在商标注册、专利申请程序中，若申请人为自然人，国家知识产权局会收集、存储、使用当事人的姓名、身份证件号、地址、</w:t>
      </w:r>
      <w:r>
        <w:rPr>
          <w:rFonts w:ascii="宋体" w:hAnsi="宋体" w:eastAsia="宋体"/>
          <w:sz w:val="24"/>
        </w:rPr>
        <w:t>电话号码</w:t>
      </w:r>
      <w:r>
        <w:rPr>
          <w:rFonts w:hint="eastAsia" w:ascii="宋体" w:hAnsi="宋体" w:eastAsia="宋体"/>
          <w:sz w:val="24"/>
        </w:rPr>
        <w:t>等个人信息，同时还会在商标公告和专利公报中公开部分或全部个人信息。其中，对于公开个人信息的活动，本质上是国家知识产权局作为国家机关对个人信息进行处理。因此，国家知识产权局在商标公告和专利公报中公开个人信息时，应当遵守《个人信息保护法》的规定。</w:t>
      </w:r>
    </w:p>
    <w:p w14:paraId="571F5AEB">
      <w:pPr>
        <w:spacing w:line="360" w:lineRule="auto"/>
        <w:ind w:firstLine="420"/>
        <w:outlineLvl w:val="1"/>
        <w:rPr>
          <w:rFonts w:ascii="宋体" w:hAnsi="宋体" w:eastAsia="宋体"/>
          <w:sz w:val="24"/>
        </w:rPr>
      </w:pPr>
      <w:r>
        <w:rPr>
          <w:rFonts w:hint="eastAsia" w:ascii="宋体" w:hAnsi="宋体" w:eastAsia="宋体"/>
          <w:sz w:val="24"/>
        </w:rPr>
        <w:t>（二）公开个人信息的合法性和必要性分析</w:t>
      </w:r>
    </w:p>
    <w:p w14:paraId="6A471B1C">
      <w:pPr>
        <w:spacing w:line="360" w:lineRule="auto"/>
        <w:ind w:firstLine="420"/>
        <w:rPr>
          <w:rFonts w:ascii="宋体" w:hAnsi="宋体" w:eastAsia="宋体"/>
          <w:sz w:val="24"/>
        </w:rPr>
      </w:pPr>
      <w:r>
        <w:rPr>
          <w:rFonts w:hint="eastAsia" w:ascii="宋体" w:hAnsi="宋体" w:eastAsia="宋体"/>
          <w:sz w:val="24"/>
        </w:rPr>
        <w:t>域外经验中，美国《信息自由法》（</w:t>
      </w:r>
      <w:r>
        <w:rPr>
          <w:rFonts w:ascii="宋体" w:hAnsi="宋体" w:eastAsia="宋体"/>
          <w:sz w:val="24"/>
        </w:rPr>
        <w:t>The Freedom of Information Act</w:t>
      </w:r>
      <w:r>
        <w:rPr>
          <w:rFonts w:hint="eastAsia" w:ascii="宋体" w:hAnsi="宋体" w:eastAsia="宋体"/>
          <w:sz w:val="24"/>
        </w:rPr>
        <w:t>）规定，联邦机构有权将持有的书面信息提供给提出请求的个人</w:t>
      </w:r>
      <w:r>
        <w:rPr>
          <w:rFonts w:ascii="宋体" w:hAnsi="宋体" w:eastAsia="宋体"/>
          <w:sz w:val="24"/>
        </w:rPr>
        <w:t>,</w:t>
      </w:r>
      <w:r>
        <w:rPr>
          <w:rFonts w:hint="eastAsia" w:ascii="宋体" w:hAnsi="宋体" w:eastAsia="宋体"/>
          <w:sz w:val="24"/>
        </w:rPr>
        <w:t>除非该信息属于豁免情形之一。后续颁布《隐私法》（</w:t>
      </w:r>
      <w:r>
        <w:rPr>
          <w:rFonts w:ascii="宋体" w:hAnsi="宋体" w:eastAsia="宋体"/>
          <w:sz w:val="24"/>
        </w:rPr>
        <w:t>The Privacy Act</w:t>
      </w:r>
      <w:r>
        <w:rPr>
          <w:rFonts w:hint="eastAsia" w:ascii="宋体" w:hAnsi="宋体" w:eastAsia="宋体"/>
          <w:sz w:val="24"/>
        </w:rPr>
        <w:t>）对联邦机构公布个人信息的标准与要件做出了具体规定，只有在信息是“履行职责所需要（</w:t>
      </w:r>
      <w:r>
        <w:rPr>
          <w:rFonts w:ascii="宋体" w:hAnsi="宋体" w:eastAsia="宋体"/>
          <w:sz w:val="24"/>
        </w:rPr>
        <w:t>have a need for the record in the performance of their duties</w:t>
      </w:r>
      <w:r>
        <w:rPr>
          <w:rFonts w:hint="eastAsia" w:ascii="宋体" w:hAnsi="宋体" w:eastAsia="宋体"/>
          <w:sz w:val="24"/>
        </w:rPr>
        <w:t>）”等情形时才能将该信息提供给特定主体。</w:t>
      </w:r>
      <w:r>
        <w:rPr>
          <w:rStyle w:val="24"/>
          <w:rFonts w:hint="eastAsia" w:ascii="宋体" w:hAnsi="宋体" w:eastAsia="宋体"/>
          <w:sz w:val="24"/>
        </w:rPr>
        <w:footnoteReference w:id="50"/>
      </w:r>
      <w:r>
        <w:rPr>
          <w:rFonts w:hint="eastAsia" w:ascii="宋体" w:hAnsi="宋体" w:eastAsia="宋体"/>
          <w:sz w:val="24"/>
        </w:rPr>
        <w:t>欧盟《通用数据保护条例》（</w:t>
      </w:r>
      <w:r>
        <w:rPr>
          <w:rFonts w:ascii="宋体" w:hAnsi="宋体" w:eastAsia="宋体"/>
          <w:sz w:val="24"/>
        </w:rPr>
        <w:t>GDPR</w:t>
      </w:r>
      <w:r>
        <w:rPr>
          <w:rFonts w:hint="eastAsia" w:ascii="宋体" w:hAnsi="宋体" w:eastAsia="宋体"/>
          <w:sz w:val="24"/>
        </w:rPr>
        <w:t>）在第6条1（</w:t>
      </w:r>
      <w:r>
        <w:rPr>
          <w:rFonts w:ascii="宋体" w:hAnsi="宋体" w:eastAsia="宋体"/>
          <w:sz w:val="24"/>
        </w:rPr>
        <w:t>c</w:t>
      </w:r>
      <w:r>
        <w:rPr>
          <w:rFonts w:hint="eastAsia" w:ascii="宋体" w:hAnsi="宋体" w:eastAsia="宋体"/>
          <w:sz w:val="24"/>
        </w:rPr>
        <w:t>）中规定，包括行政机关在内的数据处理者在“数据处理是为履行控制者所负担法律义务所必需（</w:t>
      </w:r>
      <w:r>
        <w:rPr>
          <w:rFonts w:ascii="宋体" w:hAnsi="宋体" w:eastAsia="宋体"/>
          <w:sz w:val="24"/>
        </w:rPr>
        <w:t>necessary for the performance of a task</w:t>
      </w:r>
      <w:r>
        <w:rPr>
          <w:rFonts w:hint="eastAsia" w:ascii="宋体" w:hAnsi="宋体" w:eastAsia="宋体"/>
          <w:sz w:val="24"/>
        </w:rPr>
        <w:t>）”的情况下，能够进行包括披露在内的数据处理活动。</w:t>
      </w:r>
      <w:r>
        <w:rPr>
          <w:rStyle w:val="24"/>
          <w:rFonts w:hint="eastAsia" w:ascii="宋体" w:hAnsi="宋体" w:eastAsia="宋体"/>
          <w:sz w:val="24"/>
        </w:rPr>
        <w:footnoteReference w:id="51"/>
      </w:r>
      <w:r>
        <w:rPr>
          <w:rFonts w:hint="eastAsia" w:ascii="宋体" w:hAnsi="宋体" w:eastAsia="宋体"/>
          <w:sz w:val="24"/>
        </w:rPr>
        <w:t>对于国内法律规定而言，根据《个人信息保护法》第13条第1款第3项：“为履行法定职责或者法定义务所必需；”第2款“依照本法其他有关规定，处理个人信息应当取得个人同意，但是有前款第2项至第7项规定情形的，不需取得个人同意。”以及第34条：“国家机关为履行法定职责处理个人信息，应当依照法律、行政法规规定的权限、程序进行，不得超出履行法定职责所必需的范围和限度。”的规定，国家知识产权局为履行法定职责公开个人信息，可以不需要经过个人同意，但需要满足“法定职责”与“所必需”的构成要件。</w:t>
      </w:r>
    </w:p>
    <w:p w14:paraId="3B871F52">
      <w:pPr>
        <w:spacing w:line="360" w:lineRule="auto"/>
        <w:ind w:firstLine="420"/>
        <w:outlineLvl w:val="2"/>
        <w:rPr>
          <w:rFonts w:ascii="宋体" w:hAnsi="宋体" w:eastAsia="宋体"/>
          <w:sz w:val="24"/>
        </w:rPr>
      </w:pPr>
      <w:r>
        <w:rPr>
          <w:rFonts w:hint="eastAsia" w:ascii="宋体" w:hAnsi="宋体" w:eastAsia="宋体"/>
          <w:sz w:val="24"/>
        </w:rPr>
        <w:t>1．关于“法定职责”要件的分析</w:t>
      </w:r>
    </w:p>
    <w:p w14:paraId="4E0E64B0">
      <w:pPr>
        <w:spacing w:line="360" w:lineRule="auto"/>
        <w:ind w:firstLine="420"/>
        <w:rPr>
          <w:rFonts w:ascii="宋体" w:hAnsi="宋体" w:eastAsia="宋体"/>
          <w:sz w:val="24"/>
        </w:rPr>
      </w:pPr>
      <w:r>
        <w:rPr>
          <w:rFonts w:hint="eastAsia" w:ascii="宋体" w:hAnsi="宋体" w:eastAsia="宋体"/>
          <w:sz w:val="24"/>
        </w:rPr>
        <w:t>首先，对于</w:t>
      </w:r>
      <w:r>
        <w:rPr>
          <w:rFonts w:ascii="宋体" w:hAnsi="宋体" w:eastAsia="宋体"/>
          <w:sz w:val="24"/>
        </w:rPr>
        <w:t>法定职责中“法”的</w:t>
      </w:r>
      <w:r>
        <w:rPr>
          <w:rFonts w:hint="eastAsia" w:ascii="宋体" w:hAnsi="宋体" w:eastAsia="宋体"/>
          <w:sz w:val="24"/>
        </w:rPr>
        <w:t>理解，目前存在不同观点。第一种</w:t>
      </w:r>
      <w:r>
        <w:rPr>
          <w:rFonts w:ascii="宋体" w:hAnsi="宋体" w:eastAsia="宋体"/>
          <w:sz w:val="24"/>
        </w:rPr>
        <w:t>观点认为</w:t>
      </w:r>
      <w:r>
        <w:rPr>
          <w:rFonts w:hint="eastAsia" w:ascii="宋体" w:hAnsi="宋体" w:eastAsia="宋体"/>
          <w:sz w:val="24"/>
        </w:rPr>
        <w:t>，</w:t>
      </w:r>
      <w:r>
        <w:rPr>
          <w:rFonts w:ascii="宋体" w:hAnsi="宋体" w:eastAsia="宋体"/>
          <w:sz w:val="24"/>
        </w:rPr>
        <w:t>应当限制为法律、行政法规</w:t>
      </w:r>
      <w:r>
        <w:rPr>
          <w:rFonts w:hint="eastAsia" w:ascii="宋体" w:hAnsi="宋体" w:eastAsia="宋体"/>
          <w:sz w:val="24"/>
        </w:rPr>
        <w:t>；</w:t>
      </w:r>
      <w:r>
        <w:rPr>
          <w:rStyle w:val="24"/>
          <w:rFonts w:hint="eastAsia" w:ascii="宋体" w:hAnsi="宋体" w:eastAsia="宋体"/>
          <w:sz w:val="24"/>
        </w:rPr>
        <w:footnoteReference w:id="52"/>
      </w:r>
      <w:r>
        <w:rPr>
          <w:rFonts w:hint="eastAsia" w:ascii="宋体" w:hAnsi="宋体" w:eastAsia="宋体"/>
          <w:sz w:val="24"/>
        </w:rPr>
        <w:t>第二</w:t>
      </w:r>
      <w:r>
        <w:rPr>
          <w:rFonts w:ascii="宋体" w:hAnsi="宋体" w:eastAsia="宋体"/>
          <w:sz w:val="24"/>
        </w:rPr>
        <w:t>种观点认为</w:t>
      </w:r>
      <w:r>
        <w:rPr>
          <w:rFonts w:hint="eastAsia" w:ascii="宋体" w:hAnsi="宋体" w:eastAsia="宋体"/>
          <w:sz w:val="24"/>
        </w:rPr>
        <w:t>，</w:t>
      </w:r>
      <w:r>
        <w:rPr>
          <w:rFonts w:ascii="宋体" w:hAnsi="宋体" w:eastAsia="宋体"/>
          <w:sz w:val="24"/>
        </w:rPr>
        <w:t>应当采取广义的法律概念</w:t>
      </w:r>
      <w:r>
        <w:rPr>
          <w:rFonts w:hint="eastAsia" w:ascii="宋体" w:hAnsi="宋体" w:eastAsia="宋体"/>
          <w:sz w:val="24"/>
        </w:rPr>
        <w:t>，</w:t>
      </w:r>
      <w:r>
        <w:rPr>
          <w:rFonts w:ascii="宋体" w:hAnsi="宋体" w:eastAsia="宋体"/>
          <w:sz w:val="24"/>
        </w:rPr>
        <w:t>即确定法定职责的“法”既包括全国人大及其常委会颁布的法律</w:t>
      </w:r>
      <w:r>
        <w:rPr>
          <w:rFonts w:hint="eastAsia" w:ascii="宋体" w:hAnsi="宋体" w:eastAsia="宋体"/>
          <w:sz w:val="24"/>
        </w:rPr>
        <w:t>，</w:t>
      </w:r>
      <w:r>
        <w:rPr>
          <w:rFonts w:ascii="宋体" w:hAnsi="宋体" w:eastAsia="宋体"/>
          <w:sz w:val="24"/>
        </w:rPr>
        <w:t>也包括行政法规、地方性法规、部门规章和地方政府规章等规范性法律文件</w:t>
      </w:r>
      <w:r>
        <w:rPr>
          <w:rFonts w:hint="eastAsia" w:ascii="宋体" w:hAnsi="宋体" w:eastAsia="宋体"/>
          <w:sz w:val="24"/>
        </w:rPr>
        <w:t>；</w:t>
      </w:r>
      <w:r>
        <w:rPr>
          <w:rStyle w:val="24"/>
          <w:rFonts w:ascii="宋体" w:hAnsi="宋体" w:eastAsia="宋体"/>
          <w:sz w:val="24"/>
        </w:rPr>
        <w:footnoteReference w:id="53"/>
      </w:r>
      <w:r>
        <w:rPr>
          <w:rFonts w:hint="eastAsia" w:ascii="宋体" w:hAnsi="宋体" w:eastAsia="宋体"/>
          <w:sz w:val="24"/>
        </w:rPr>
        <w:t>第三种观点认为，可以将个人信息处理行为区分为辅助信息处理行为与核心信息处理行为，前者中的“法”扩张至所有合法规范，后者中的“法”限定于规章以上的规范性文件。</w:t>
      </w:r>
      <w:r>
        <w:rPr>
          <w:rStyle w:val="24"/>
          <w:rFonts w:hint="eastAsia" w:ascii="宋体" w:hAnsi="宋体" w:eastAsia="宋体"/>
          <w:sz w:val="24"/>
        </w:rPr>
        <w:footnoteReference w:id="54"/>
      </w:r>
      <w:r>
        <w:rPr>
          <w:rFonts w:hint="eastAsia" w:ascii="宋体" w:hAnsi="宋体" w:eastAsia="宋体"/>
          <w:sz w:val="24"/>
        </w:rPr>
        <w:t>本文同意第二种观点，核心理由是全国各级国家机关在履行职责中处理个人信息是非常普遍、频繁的，倘若都要求法律、行政法规作出明确规定，是不现实且不效率的。因此，</w:t>
      </w:r>
      <w:r>
        <w:rPr>
          <w:rFonts w:ascii="宋体" w:hAnsi="宋体" w:eastAsia="宋体"/>
          <w:sz w:val="24"/>
        </w:rPr>
        <w:t>《个人信息保护法》第</w:t>
      </w:r>
      <w:r>
        <w:rPr>
          <w:rFonts w:hint="eastAsia" w:ascii="宋体" w:hAnsi="宋体" w:eastAsia="宋体"/>
          <w:sz w:val="24"/>
        </w:rPr>
        <w:t>13</w:t>
      </w:r>
      <w:r>
        <w:rPr>
          <w:rFonts w:ascii="宋体" w:hAnsi="宋体" w:eastAsia="宋体"/>
          <w:sz w:val="24"/>
        </w:rPr>
        <w:t>条</w:t>
      </w:r>
      <w:r>
        <w:rPr>
          <w:rFonts w:hint="eastAsia" w:ascii="宋体" w:hAnsi="宋体" w:eastAsia="宋体"/>
          <w:sz w:val="24"/>
        </w:rPr>
        <w:t>关于法</w:t>
      </w:r>
      <w:r>
        <w:rPr>
          <w:rFonts w:ascii="宋体" w:hAnsi="宋体" w:eastAsia="宋体"/>
          <w:sz w:val="24"/>
        </w:rPr>
        <w:t>定职责中</w:t>
      </w:r>
      <w:r>
        <w:rPr>
          <w:rFonts w:hint="eastAsia" w:ascii="宋体" w:hAnsi="宋体" w:eastAsia="宋体"/>
          <w:sz w:val="24"/>
        </w:rPr>
        <w:t>的</w:t>
      </w:r>
      <w:r>
        <w:rPr>
          <w:rFonts w:ascii="宋体" w:hAnsi="宋体" w:eastAsia="宋体"/>
          <w:sz w:val="24"/>
        </w:rPr>
        <w:t>“法”</w:t>
      </w:r>
      <w:r>
        <w:rPr>
          <w:rFonts w:hint="eastAsia" w:ascii="宋体" w:hAnsi="宋体" w:eastAsia="宋体"/>
          <w:sz w:val="24"/>
        </w:rPr>
        <w:t>应当作广义解释。</w:t>
      </w:r>
    </w:p>
    <w:p w14:paraId="252B798B">
      <w:pPr>
        <w:spacing w:line="360" w:lineRule="auto"/>
        <w:ind w:firstLine="420"/>
        <w:rPr>
          <w:rFonts w:ascii="宋体" w:hAnsi="宋体" w:eastAsia="宋体"/>
          <w:color w:val="000000" w:themeColor="text1"/>
          <w:sz w:val="24"/>
          <w14:textFill>
            <w14:solidFill>
              <w14:schemeClr w14:val="tx1"/>
            </w14:solidFill>
          </w14:textFill>
        </w:rPr>
      </w:pPr>
      <w:r>
        <w:rPr>
          <w:rFonts w:hint="eastAsia" w:ascii="宋体" w:hAnsi="宋体" w:eastAsia="宋体"/>
          <w:color w:val="000000" w:themeColor="text1"/>
          <w:sz w:val="24"/>
          <w14:textFill>
            <w14:solidFill>
              <w14:schemeClr w14:val="tx1"/>
            </w14:solidFill>
          </w14:textFill>
        </w:rPr>
        <w:t>就商标公告而言，我国《商标法》《商标法实施条例》有多个法律条文涉及商标公告的内容。同时，《商标审查审理指南》第二十四章进一步列举了30类商标公告。就专利公报而言，我国《专利法》</w:t>
      </w:r>
      <w:r>
        <w:rPr>
          <w:rFonts w:ascii="宋体" w:hAnsi="宋体" w:eastAsia="宋体"/>
          <w:color w:val="000000" w:themeColor="text1"/>
          <w:sz w:val="24"/>
          <w14:textFill>
            <w14:solidFill>
              <w14:schemeClr w14:val="tx1"/>
            </w14:solidFill>
          </w14:textFill>
        </w:rPr>
        <w:t>第</w:t>
      </w:r>
      <w:r>
        <w:rPr>
          <w:rFonts w:hint="eastAsia" w:ascii="宋体" w:hAnsi="宋体" w:eastAsia="宋体"/>
          <w:color w:val="000000" w:themeColor="text1"/>
          <w:sz w:val="24"/>
          <w14:textFill>
            <w14:solidFill>
              <w14:schemeClr w14:val="tx1"/>
            </w14:solidFill>
          </w14:textFill>
        </w:rPr>
        <w:t>21</w:t>
      </w:r>
      <w:r>
        <w:rPr>
          <w:rFonts w:ascii="宋体" w:hAnsi="宋体" w:eastAsia="宋体"/>
          <w:color w:val="000000" w:themeColor="text1"/>
          <w:sz w:val="24"/>
          <w14:textFill>
            <w14:solidFill>
              <w14:schemeClr w14:val="tx1"/>
            </w14:solidFill>
          </w14:textFill>
        </w:rPr>
        <w:t>条</w:t>
      </w:r>
      <w:r>
        <w:rPr>
          <w:rFonts w:hint="eastAsia" w:ascii="宋体" w:hAnsi="宋体" w:eastAsia="宋体"/>
          <w:color w:val="000000" w:themeColor="text1"/>
          <w:sz w:val="24"/>
          <w14:textFill>
            <w14:solidFill>
              <w14:schemeClr w14:val="tx1"/>
            </w14:solidFill>
          </w14:textFill>
        </w:rPr>
        <w:t>明确规定国家知识产权局</w:t>
      </w:r>
      <w:r>
        <w:rPr>
          <w:rFonts w:ascii="宋体" w:hAnsi="宋体" w:eastAsia="宋体"/>
          <w:color w:val="000000" w:themeColor="text1"/>
          <w:sz w:val="24"/>
          <w14:textFill>
            <w14:solidFill>
              <w14:schemeClr w14:val="tx1"/>
            </w14:solidFill>
          </w14:textFill>
        </w:rPr>
        <w:t>定期出版专利公报</w:t>
      </w:r>
      <w:r>
        <w:rPr>
          <w:rFonts w:hint="eastAsia" w:ascii="宋体" w:hAnsi="宋体" w:eastAsia="宋体"/>
          <w:color w:val="000000" w:themeColor="text1"/>
          <w:sz w:val="24"/>
          <w14:textFill>
            <w14:solidFill>
              <w14:schemeClr w14:val="tx1"/>
            </w14:solidFill>
          </w14:textFill>
        </w:rPr>
        <w:t>，且《专利法实施细则》</w:t>
      </w:r>
      <w:r>
        <w:rPr>
          <w:rFonts w:ascii="宋体" w:hAnsi="宋体" w:eastAsia="宋体"/>
          <w:color w:val="000000" w:themeColor="text1"/>
          <w:sz w:val="24"/>
          <w14:textFill>
            <w14:solidFill>
              <w14:schemeClr w14:val="tx1"/>
            </w14:solidFill>
          </w14:textFill>
        </w:rPr>
        <w:t>第</w:t>
      </w:r>
      <w:r>
        <w:rPr>
          <w:rFonts w:hint="eastAsia" w:ascii="宋体" w:hAnsi="宋体" w:eastAsia="宋体"/>
          <w:color w:val="000000" w:themeColor="text1"/>
          <w:sz w:val="24"/>
          <w14:textFill>
            <w14:solidFill>
              <w14:schemeClr w14:val="tx1"/>
            </w14:solidFill>
          </w14:textFill>
        </w:rPr>
        <w:t>107</w:t>
      </w:r>
      <w:r>
        <w:rPr>
          <w:rFonts w:ascii="宋体" w:hAnsi="宋体" w:eastAsia="宋体"/>
          <w:color w:val="000000" w:themeColor="text1"/>
          <w:sz w:val="24"/>
          <w14:textFill>
            <w14:solidFill>
              <w14:schemeClr w14:val="tx1"/>
            </w14:solidFill>
          </w14:textFill>
        </w:rPr>
        <w:t>条</w:t>
      </w:r>
      <w:r>
        <w:rPr>
          <w:rFonts w:hint="eastAsia" w:ascii="宋体" w:hAnsi="宋体" w:eastAsia="宋体"/>
          <w:color w:val="000000" w:themeColor="text1"/>
          <w:sz w:val="24"/>
          <w14:textFill>
            <w14:solidFill>
              <w14:schemeClr w14:val="tx1"/>
            </w14:solidFill>
          </w14:textFill>
        </w:rPr>
        <w:t>以及</w:t>
      </w:r>
      <w:r>
        <w:rPr>
          <w:rFonts w:ascii="宋体" w:hAnsi="宋体" w:eastAsia="宋体"/>
          <w:color w:val="000000" w:themeColor="text1"/>
          <w:sz w:val="24"/>
          <w14:textFill>
            <w14:solidFill>
              <w14:schemeClr w14:val="tx1"/>
            </w14:solidFill>
          </w14:textFill>
        </w:rPr>
        <w:t>《专利审查指南》第八章</w:t>
      </w:r>
      <w:r>
        <w:rPr>
          <w:rFonts w:hint="eastAsia" w:ascii="宋体" w:hAnsi="宋体" w:eastAsia="宋体"/>
          <w:color w:val="000000" w:themeColor="text1"/>
          <w:sz w:val="24"/>
          <w14:textFill>
            <w14:solidFill>
              <w14:schemeClr w14:val="tx1"/>
            </w14:solidFill>
          </w14:textFill>
        </w:rPr>
        <w:t>进一步明确</w:t>
      </w:r>
      <w:r>
        <w:rPr>
          <w:rFonts w:ascii="宋体" w:hAnsi="宋体" w:eastAsia="宋体"/>
          <w:color w:val="000000" w:themeColor="text1"/>
          <w:sz w:val="24"/>
          <w14:textFill>
            <w14:solidFill>
              <w14:schemeClr w14:val="tx1"/>
            </w14:solidFill>
          </w14:textFill>
        </w:rPr>
        <w:t>专利公报</w:t>
      </w:r>
      <w:r>
        <w:rPr>
          <w:rFonts w:hint="eastAsia" w:ascii="宋体" w:hAnsi="宋体" w:eastAsia="宋体"/>
          <w:color w:val="000000" w:themeColor="text1"/>
          <w:sz w:val="24"/>
          <w14:textFill>
            <w14:solidFill>
              <w14:schemeClr w14:val="tx1"/>
            </w14:solidFill>
          </w14:textFill>
        </w:rPr>
        <w:t>的内容，即</w:t>
      </w:r>
      <w:r>
        <w:rPr>
          <w:rFonts w:ascii="宋体" w:hAnsi="宋体" w:eastAsia="宋体"/>
          <w:color w:val="000000" w:themeColor="text1"/>
          <w:sz w:val="24"/>
          <w14:textFill>
            <w14:solidFill>
              <w14:schemeClr w14:val="tx1"/>
            </w14:solidFill>
          </w14:textFill>
        </w:rPr>
        <w:t>公布或者公告</w:t>
      </w:r>
      <w:r>
        <w:rPr>
          <w:rFonts w:hint="eastAsia" w:ascii="宋体" w:hAnsi="宋体" w:eastAsia="宋体"/>
          <w:color w:val="000000" w:themeColor="text1"/>
          <w:sz w:val="24"/>
          <w14:textFill>
            <w14:solidFill>
              <w14:schemeClr w14:val="tx1"/>
            </w14:solidFill>
          </w14:textFill>
        </w:rPr>
        <w:t>的具体</w:t>
      </w:r>
      <w:r>
        <w:rPr>
          <w:rFonts w:ascii="宋体" w:hAnsi="宋体" w:eastAsia="宋体"/>
          <w:color w:val="000000" w:themeColor="text1"/>
          <w:sz w:val="24"/>
          <w14:textFill>
            <w14:solidFill>
              <w14:schemeClr w14:val="tx1"/>
            </w14:solidFill>
          </w14:textFill>
        </w:rPr>
        <w:t>内容</w:t>
      </w:r>
      <w:r>
        <w:rPr>
          <w:rFonts w:hint="eastAsia" w:ascii="宋体" w:hAnsi="宋体" w:eastAsia="宋体"/>
          <w:color w:val="000000" w:themeColor="text1"/>
          <w:sz w:val="24"/>
          <w14:textFill>
            <w14:solidFill>
              <w14:schemeClr w14:val="tx1"/>
            </w14:solidFill>
          </w14:textFill>
        </w:rPr>
        <w:t>。可见，国家知识产权局发布商标公告、</w:t>
      </w:r>
      <w:r>
        <w:rPr>
          <w:rFonts w:ascii="宋体" w:hAnsi="宋体" w:eastAsia="宋体"/>
          <w:color w:val="000000" w:themeColor="text1"/>
          <w:sz w:val="24"/>
          <w14:textFill>
            <w14:solidFill>
              <w14:schemeClr w14:val="tx1"/>
            </w14:solidFill>
          </w14:textFill>
        </w:rPr>
        <w:t>出版专利公报</w:t>
      </w:r>
      <w:r>
        <w:rPr>
          <w:rFonts w:hint="eastAsia" w:ascii="宋体" w:hAnsi="宋体" w:eastAsia="宋体"/>
          <w:color w:val="000000" w:themeColor="text1"/>
          <w:sz w:val="24"/>
          <w14:textFill>
            <w14:solidFill>
              <w14:schemeClr w14:val="tx1"/>
            </w14:solidFill>
          </w14:textFill>
        </w:rPr>
        <w:t>是</w:t>
      </w:r>
      <w:r>
        <w:rPr>
          <w:rFonts w:ascii="宋体" w:hAnsi="宋体" w:eastAsia="宋体"/>
          <w:color w:val="000000" w:themeColor="text1"/>
          <w:sz w:val="24"/>
          <w14:textFill>
            <w14:solidFill>
              <w14:schemeClr w14:val="tx1"/>
            </w14:solidFill>
          </w14:textFill>
        </w:rPr>
        <w:t>为</w:t>
      </w:r>
      <w:r>
        <w:rPr>
          <w:rFonts w:hint="eastAsia" w:ascii="宋体" w:hAnsi="宋体" w:eastAsia="宋体"/>
          <w:color w:val="000000" w:themeColor="text1"/>
          <w:sz w:val="24"/>
          <w14:textFill>
            <w14:solidFill>
              <w14:schemeClr w14:val="tx1"/>
            </w14:solidFill>
          </w14:textFill>
        </w:rPr>
        <w:t>了</w:t>
      </w:r>
      <w:r>
        <w:rPr>
          <w:rFonts w:ascii="宋体" w:hAnsi="宋体" w:eastAsia="宋体"/>
          <w:color w:val="000000" w:themeColor="text1"/>
          <w:sz w:val="24"/>
          <w14:textFill>
            <w14:solidFill>
              <w14:schemeClr w14:val="tx1"/>
            </w14:solidFill>
          </w14:textFill>
        </w:rPr>
        <w:t>履行</w:t>
      </w:r>
      <w:r>
        <w:rPr>
          <w:rFonts w:hint="eastAsia" w:ascii="宋体" w:hAnsi="宋体" w:eastAsia="宋体"/>
          <w:color w:val="000000" w:themeColor="text1"/>
          <w:sz w:val="24"/>
          <w14:textFill>
            <w14:solidFill>
              <w14:schemeClr w14:val="tx1"/>
            </w14:solidFill>
          </w14:textFill>
        </w:rPr>
        <w:t>法律、行政法规、部门规章规定的</w:t>
      </w:r>
      <w:r>
        <w:rPr>
          <w:rFonts w:ascii="宋体" w:hAnsi="宋体" w:eastAsia="宋体"/>
          <w:color w:val="000000" w:themeColor="text1"/>
          <w:sz w:val="24"/>
          <w14:textFill>
            <w14:solidFill>
              <w14:schemeClr w14:val="tx1"/>
            </w14:solidFill>
          </w14:textFill>
        </w:rPr>
        <w:t>职责</w:t>
      </w:r>
      <w:r>
        <w:rPr>
          <w:rFonts w:hint="eastAsia" w:ascii="宋体" w:hAnsi="宋体" w:eastAsia="宋体"/>
          <w:color w:val="000000" w:themeColor="text1"/>
          <w:sz w:val="24"/>
          <w14:textFill>
            <w14:solidFill>
              <w14:schemeClr w14:val="tx1"/>
            </w14:solidFill>
          </w14:textFill>
        </w:rPr>
        <w:t>，属于履行法定职责。</w:t>
      </w:r>
    </w:p>
    <w:p w14:paraId="3CCD11F6">
      <w:pPr>
        <w:spacing w:line="360" w:lineRule="auto"/>
        <w:ind w:firstLine="420"/>
        <w:outlineLvl w:val="2"/>
        <w:rPr>
          <w:rFonts w:ascii="宋体" w:hAnsi="宋体" w:eastAsia="宋体"/>
          <w:sz w:val="24"/>
        </w:rPr>
      </w:pPr>
      <w:r>
        <w:rPr>
          <w:rFonts w:hint="eastAsia" w:ascii="宋体" w:hAnsi="宋体" w:eastAsia="宋体"/>
          <w:color w:val="000000" w:themeColor="text1"/>
          <w:sz w:val="24"/>
          <w14:textFill>
            <w14:solidFill>
              <w14:schemeClr w14:val="tx1"/>
            </w14:solidFill>
          </w14:textFill>
        </w:rPr>
        <w:t>2．关于“所必需”要件的</w:t>
      </w:r>
      <w:r>
        <w:rPr>
          <w:rFonts w:hint="eastAsia" w:ascii="宋体" w:hAnsi="宋体" w:eastAsia="宋体"/>
          <w:sz w:val="24"/>
        </w:rPr>
        <w:t>分析</w:t>
      </w:r>
    </w:p>
    <w:p w14:paraId="247B15CF">
      <w:pPr>
        <w:spacing w:line="360" w:lineRule="auto"/>
        <w:ind w:firstLine="420"/>
        <w:rPr>
          <w:rFonts w:ascii="宋体" w:hAnsi="宋体" w:eastAsia="宋体"/>
          <w:sz w:val="24"/>
        </w:rPr>
      </w:pPr>
      <w:r>
        <w:rPr>
          <w:rFonts w:hint="eastAsia" w:ascii="宋体" w:hAnsi="宋体" w:eastAsia="宋体"/>
          <w:sz w:val="24"/>
        </w:rPr>
        <w:t>根据《个人信息保护法》</w:t>
      </w:r>
      <w:r>
        <w:rPr>
          <w:rFonts w:ascii="宋体" w:hAnsi="宋体" w:eastAsia="宋体"/>
          <w:sz w:val="24"/>
        </w:rPr>
        <w:t>第</w:t>
      </w:r>
      <w:r>
        <w:rPr>
          <w:rFonts w:hint="eastAsia" w:ascii="宋体" w:hAnsi="宋体" w:eastAsia="宋体"/>
          <w:sz w:val="24"/>
        </w:rPr>
        <w:t>5</w:t>
      </w:r>
      <w:r>
        <w:rPr>
          <w:rFonts w:ascii="宋体" w:hAnsi="宋体" w:eastAsia="宋体"/>
          <w:sz w:val="24"/>
        </w:rPr>
        <w:t>条</w:t>
      </w:r>
      <w:r>
        <w:rPr>
          <w:rFonts w:hint="eastAsia" w:ascii="宋体" w:hAnsi="宋体" w:eastAsia="宋体"/>
          <w:sz w:val="24"/>
        </w:rPr>
        <w:t>：“</w:t>
      </w:r>
      <w:r>
        <w:rPr>
          <w:rFonts w:ascii="宋体" w:hAnsi="宋体" w:eastAsia="宋体"/>
          <w:sz w:val="24"/>
        </w:rPr>
        <w:t>处理个人信息应当遵循合法、正当、必要和诚信原则，不得通过误导、欺诈、胁迫等方式处理个人信息。</w:t>
      </w:r>
      <w:r>
        <w:rPr>
          <w:rFonts w:hint="eastAsia" w:ascii="宋体" w:hAnsi="宋体" w:eastAsia="宋体"/>
          <w:sz w:val="24"/>
        </w:rPr>
        <w:t>”以及第6条第1款：“</w:t>
      </w:r>
      <w:r>
        <w:rPr>
          <w:rFonts w:ascii="宋体" w:hAnsi="宋体" w:eastAsia="宋体"/>
          <w:sz w:val="24"/>
        </w:rPr>
        <w:t>处理个人信息应当具有明确、合理的目的，并应当与处理目的直接相关，采取对个人权益影响最小的方式。</w:t>
      </w:r>
      <w:r>
        <w:rPr>
          <w:rFonts w:hint="eastAsia" w:ascii="宋体" w:hAnsi="宋体" w:eastAsia="宋体"/>
          <w:sz w:val="24"/>
        </w:rPr>
        <w:t>”的规定，“所必需”应当理解为必要、目的限制、</w:t>
      </w:r>
      <w:r>
        <w:rPr>
          <w:rFonts w:ascii="宋体" w:hAnsi="宋体" w:eastAsia="宋体"/>
          <w:sz w:val="24"/>
        </w:rPr>
        <w:t>最小化处理</w:t>
      </w:r>
      <w:r>
        <w:rPr>
          <w:rFonts w:hint="eastAsia" w:ascii="宋体" w:hAnsi="宋体" w:eastAsia="宋体"/>
          <w:sz w:val="24"/>
        </w:rPr>
        <w:t>等原则的具体要求，即处理活动符合设定法定义务的法律规范所明确的处理目的，符合必要性且与该目的直接相关，并采取对个人权益影响最小的方式。</w:t>
      </w:r>
      <w:r>
        <w:rPr>
          <w:rStyle w:val="24"/>
          <w:rFonts w:hint="eastAsia" w:ascii="宋体" w:hAnsi="宋体" w:eastAsia="宋体"/>
          <w:sz w:val="24"/>
        </w:rPr>
        <w:footnoteReference w:id="55"/>
      </w:r>
      <w:r>
        <w:rPr>
          <w:rFonts w:hint="eastAsia" w:ascii="宋体" w:hAnsi="宋体" w:eastAsia="宋体"/>
          <w:sz w:val="24"/>
        </w:rPr>
        <w:t>具体到商标公告和专利公报中，国家知识产权局公开的个人信息应当是为了实现公告或公布之目的所必要的、对个人影响最小的内容。同时，根据《个人信息保护法》</w:t>
      </w:r>
      <w:r>
        <w:rPr>
          <w:rFonts w:ascii="宋体" w:hAnsi="宋体" w:eastAsia="宋体"/>
          <w:sz w:val="24"/>
        </w:rPr>
        <w:t>第</w:t>
      </w:r>
      <w:r>
        <w:rPr>
          <w:rFonts w:hint="eastAsia" w:ascii="宋体" w:hAnsi="宋体" w:eastAsia="宋体"/>
          <w:sz w:val="24"/>
        </w:rPr>
        <w:t>27</w:t>
      </w:r>
      <w:r>
        <w:rPr>
          <w:rFonts w:ascii="宋体" w:hAnsi="宋体" w:eastAsia="宋体"/>
          <w:sz w:val="24"/>
        </w:rPr>
        <w:t>条</w:t>
      </w:r>
      <w:r>
        <w:rPr>
          <w:rFonts w:hint="eastAsia" w:ascii="宋体" w:hAnsi="宋体" w:eastAsia="宋体"/>
          <w:sz w:val="24"/>
        </w:rPr>
        <w:t>：“</w:t>
      </w:r>
      <w:r>
        <w:rPr>
          <w:rFonts w:ascii="宋体" w:hAnsi="宋体" w:eastAsia="宋体"/>
          <w:sz w:val="24"/>
        </w:rPr>
        <w:t>个人信息处理者可以在合理的范围内处理个人自行公开或者其他已经合法公开的个人信息；个人明确拒绝的除外。个人信息处理者处理已公开的个人信息，对个人权益有重大影响的，应当依照本法规定取得个人同意。</w:t>
      </w:r>
      <w:r>
        <w:rPr>
          <w:rFonts w:hint="eastAsia" w:ascii="宋体" w:hAnsi="宋体" w:eastAsia="宋体"/>
          <w:sz w:val="24"/>
        </w:rPr>
        <w:t>”的规定，对于已经公开的个人信息，</w:t>
      </w:r>
      <w:r>
        <w:rPr>
          <w:rFonts w:ascii="宋体" w:hAnsi="宋体" w:eastAsia="宋体"/>
          <w:sz w:val="24"/>
        </w:rPr>
        <w:t>个人信息处理者</w:t>
      </w:r>
      <w:r>
        <w:rPr>
          <w:rFonts w:hint="eastAsia" w:ascii="宋体" w:hAnsi="宋体" w:eastAsia="宋体"/>
          <w:sz w:val="24"/>
        </w:rPr>
        <w:t>原则上可以在兼顾保护个人信息权益与促进个人信息利用的前提下，在“合理的范围内”自由处理。</w:t>
      </w:r>
      <w:r>
        <w:rPr>
          <w:rStyle w:val="24"/>
          <w:rFonts w:hint="eastAsia" w:ascii="宋体" w:hAnsi="宋体" w:eastAsia="宋体"/>
          <w:sz w:val="24"/>
        </w:rPr>
        <w:footnoteReference w:id="56"/>
      </w:r>
      <w:r>
        <w:rPr>
          <w:rFonts w:hint="eastAsia" w:ascii="宋体" w:hAnsi="宋体" w:eastAsia="宋体"/>
          <w:sz w:val="24"/>
        </w:rPr>
        <w:t>虽然该条规定了“</w:t>
      </w:r>
      <w:r>
        <w:rPr>
          <w:rFonts w:ascii="宋体" w:hAnsi="宋体" w:eastAsia="宋体"/>
          <w:sz w:val="24"/>
        </w:rPr>
        <w:t>个人明确拒绝</w:t>
      </w:r>
      <w:r>
        <w:rPr>
          <w:rFonts w:hint="eastAsia" w:ascii="宋体" w:hAnsi="宋体" w:eastAsia="宋体"/>
          <w:sz w:val="24"/>
        </w:rPr>
        <w:t>”和“</w:t>
      </w:r>
      <w:r>
        <w:rPr>
          <w:rFonts w:ascii="宋体" w:hAnsi="宋体" w:eastAsia="宋体"/>
          <w:sz w:val="24"/>
        </w:rPr>
        <w:t>对个人权益有重大影响的</w:t>
      </w:r>
      <w:r>
        <w:rPr>
          <w:rFonts w:hint="eastAsia" w:ascii="宋体" w:hAnsi="宋体" w:eastAsia="宋体"/>
          <w:sz w:val="24"/>
        </w:rPr>
        <w:t>”两种例外情形，但在实践中个人信息一旦被公开，</w:t>
      </w:r>
      <w:r>
        <w:rPr>
          <w:rFonts w:ascii="宋体" w:hAnsi="宋体" w:eastAsia="宋体"/>
          <w:sz w:val="24"/>
        </w:rPr>
        <w:t>就成为合法公开的个人信息，当事人就</w:t>
      </w:r>
      <w:r>
        <w:rPr>
          <w:rFonts w:hint="eastAsia" w:ascii="宋体" w:hAnsi="宋体" w:eastAsia="宋体"/>
          <w:sz w:val="24"/>
        </w:rPr>
        <w:t>难以</w:t>
      </w:r>
      <w:r>
        <w:rPr>
          <w:rFonts w:ascii="宋体" w:hAnsi="宋体" w:eastAsia="宋体"/>
          <w:sz w:val="24"/>
        </w:rPr>
        <w:t>控制他人处理</w:t>
      </w:r>
      <w:r>
        <w:rPr>
          <w:rFonts w:hint="eastAsia" w:ascii="宋体" w:hAnsi="宋体" w:eastAsia="宋体"/>
          <w:sz w:val="24"/>
        </w:rPr>
        <w:t>其</w:t>
      </w:r>
      <w:r>
        <w:rPr>
          <w:rFonts w:ascii="宋体" w:hAnsi="宋体" w:eastAsia="宋体"/>
          <w:sz w:val="24"/>
        </w:rPr>
        <w:t>个人信息。尤其是在互联网背景下，个人信息一旦被公开，极其容易被他人获取、使用且难以彻底删除。加之《个人信息保护法》缺乏有关私密信息的相关规定</w:t>
      </w:r>
      <w:r>
        <w:rPr>
          <w:rFonts w:hint="eastAsia" w:ascii="宋体" w:hAnsi="宋体" w:eastAsia="宋体"/>
          <w:sz w:val="24"/>
        </w:rPr>
        <w:t>，</w:t>
      </w:r>
      <w:r>
        <w:rPr>
          <w:rStyle w:val="24"/>
          <w:rFonts w:ascii="宋体" w:hAnsi="宋体" w:eastAsia="宋体"/>
          <w:sz w:val="24"/>
        </w:rPr>
        <w:footnoteReference w:id="57"/>
      </w:r>
      <w:r>
        <w:rPr>
          <w:rFonts w:hint="eastAsia" w:ascii="宋体" w:hAnsi="宋体" w:eastAsia="宋体"/>
          <w:sz w:val="24"/>
        </w:rPr>
        <w:t>因此，国家知识产权局等国家机关只要涉及到公开当事人的个人信息等信息处理活动，就存在侵犯当事人个人信息的潜在风险。</w:t>
      </w:r>
      <w:r>
        <w:rPr>
          <w:rStyle w:val="24"/>
          <w:rFonts w:hint="eastAsia" w:ascii="宋体" w:hAnsi="宋体" w:eastAsia="宋体"/>
          <w:sz w:val="24"/>
        </w:rPr>
        <w:footnoteReference w:id="58"/>
      </w:r>
      <w:r>
        <w:rPr>
          <w:rFonts w:hint="eastAsia" w:ascii="宋体" w:hAnsi="宋体" w:eastAsia="宋体"/>
          <w:sz w:val="24"/>
        </w:rPr>
        <w:t>有鉴于此，对于</w:t>
      </w:r>
      <w:r>
        <w:rPr>
          <w:rFonts w:ascii="宋体" w:hAnsi="宋体" w:eastAsia="宋体"/>
          <w:sz w:val="24"/>
        </w:rPr>
        <w:t>国家知识产权局公开自然人的姓名、地址、身份证号、护照号或其他证件号等</w:t>
      </w:r>
      <w:r>
        <w:rPr>
          <w:rFonts w:hint="eastAsia" w:ascii="宋体" w:hAnsi="宋体" w:eastAsia="宋体"/>
          <w:sz w:val="24"/>
        </w:rPr>
        <w:t>个人</w:t>
      </w:r>
      <w:r>
        <w:rPr>
          <w:rFonts w:ascii="宋体" w:hAnsi="宋体" w:eastAsia="宋体"/>
          <w:sz w:val="24"/>
        </w:rPr>
        <w:t>信息</w:t>
      </w:r>
      <w:r>
        <w:rPr>
          <w:rFonts w:hint="eastAsia" w:ascii="宋体" w:hAnsi="宋体" w:eastAsia="宋体"/>
          <w:sz w:val="24"/>
        </w:rPr>
        <w:t>是否符合“所必需”的要求，需要逐一分析。</w:t>
      </w:r>
    </w:p>
    <w:p w14:paraId="30CEE08E">
      <w:pPr>
        <w:spacing w:line="360" w:lineRule="auto"/>
        <w:ind w:firstLine="420"/>
        <w:outlineLvl w:val="3"/>
        <w:rPr>
          <w:rFonts w:ascii="宋体" w:hAnsi="宋体" w:eastAsia="宋体"/>
          <w:sz w:val="24"/>
        </w:rPr>
      </w:pPr>
      <w:r>
        <w:rPr>
          <w:rFonts w:hint="eastAsia" w:ascii="宋体" w:hAnsi="宋体" w:eastAsia="宋体"/>
          <w:sz w:val="24"/>
        </w:rPr>
        <w:t>（1）自然人的姓名</w:t>
      </w:r>
    </w:p>
    <w:p w14:paraId="52F8B160">
      <w:pPr>
        <w:spacing w:line="360" w:lineRule="auto"/>
        <w:ind w:firstLine="420"/>
        <w:rPr>
          <w:rFonts w:ascii="宋体" w:hAnsi="宋体" w:eastAsia="宋体"/>
          <w:sz w:val="24"/>
        </w:rPr>
      </w:pPr>
      <w:r>
        <w:rPr>
          <w:rFonts w:hint="eastAsia" w:ascii="宋体" w:hAnsi="宋体" w:eastAsia="宋体"/>
          <w:sz w:val="24"/>
        </w:rPr>
        <w:t>在商标公告和专利公报中，国家知识产权局都会公开自然人的完整姓名，不会做任何屏蔽处理。其中，商标公告主要涉及申请人/商标权人的姓名；专利公报主要涉及申请人/专利权人、发明人/设计人、专利代理师的姓名。这与商标公告和专利公报的制度缘由有关，既要保护权利人利益，也要维护社会公共利益，即需要让公众知晓权利人的权利内容并允许社会公众监督。显而易见的是，政府部门向社会公众公示某项权利的基本信息时，必然要准确、完整公开权利人的姓名，否则，社会监督的立法目的或相关制度就会被架空。因此，拥有专利权和注册商标专用权的自然人在选择享有一定期限的垄断权利时，也就选择了让渡部分个人利益，最终实现个人利益与公共利益平衡。换言之，从制度设计目的来看，国家知识产权局公开自然人的完整姓名是公告、公布等法定程序的最低要求，没有超过必要范围。更何况，对于发明人/设计人的姓名，国家知识产权局允许申请人在提交申请时选择是否公开发明人/设计人的姓名。</w:t>
      </w:r>
    </w:p>
    <w:p w14:paraId="408E7EC4">
      <w:pPr>
        <w:spacing w:line="360" w:lineRule="auto"/>
        <w:ind w:firstLine="420"/>
        <w:rPr>
          <w:rFonts w:ascii="宋体" w:hAnsi="宋体" w:eastAsia="宋体"/>
          <w:sz w:val="24"/>
        </w:rPr>
      </w:pPr>
      <w:r>
        <w:rPr>
          <w:rFonts w:hint="eastAsia" w:ascii="宋体" w:hAnsi="宋体" w:eastAsia="宋体"/>
          <w:sz w:val="24"/>
        </w:rPr>
        <w:t>实践中，中国裁判文书网已经删除除自然人的姓名以外的全部个人信息，且姓名也屏蔽了部分文字（没有显示完整姓名）。</w:t>
      </w:r>
      <w:r>
        <w:rPr>
          <w:rFonts w:ascii="宋体" w:hAnsi="宋体" w:eastAsia="宋体"/>
          <w:sz w:val="24"/>
        </w:rPr>
        <w:t>公开裁判文书的目的在于贯彻落实审判公开的原则，实现裁判规则的统一，加强对司法活动的监督，促进司法公正</w:t>
      </w:r>
      <w:r>
        <w:rPr>
          <w:rFonts w:hint="eastAsia" w:ascii="宋体" w:hAnsi="宋体" w:eastAsia="宋体"/>
          <w:sz w:val="24"/>
        </w:rPr>
        <w:t>。因此，自然人的姓名并非实现</w:t>
      </w:r>
      <w:r>
        <w:rPr>
          <w:rFonts w:ascii="宋体" w:hAnsi="宋体" w:eastAsia="宋体"/>
          <w:sz w:val="24"/>
        </w:rPr>
        <w:t>公开裁判文书</w:t>
      </w:r>
      <w:r>
        <w:rPr>
          <w:rFonts w:hint="eastAsia" w:ascii="宋体" w:hAnsi="宋体" w:eastAsia="宋体"/>
          <w:sz w:val="24"/>
        </w:rPr>
        <w:t>目的的必要内容，故中国裁判文书网没有完整显示自然人的姓名是合理的。</w:t>
      </w:r>
      <w:r>
        <w:rPr>
          <w:rFonts w:ascii="宋体" w:hAnsi="宋体" w:eastAsia="宋体"/>
          <w:sz w:val="24"/>
        </w:rPr>
        <w:t>与此不同的是，</w:t>
      </w:r>
      <w:r>
        <w:rPr>
          <w:rFonts w:hint="eastAsia" w:ascii="宋体" w:hAnsi="宋体" w:eastAsia="宋体"/>
          <w:sz w:val="24"/>
        </w:rPr>
        <w:t>商标公告、专利公报作为知识产权信息公开的重要方式，需要涉及专有权利的基本信息，而自然人的姓名作为最基础的信息有必要向社会公开。</w:t>
      </w:r>
    </w:p>
    <w:p w14:paraId="3653CE45">
      <w:pPr>
        <w:spacing w:line="360" w:lineRule="auto"/>
        <w:ind w:firstLine="420"/>
        <w:outlineLvl w:val="3"/>
        <w:rPr>
          <w:rFonts w:ascii="宋体" w:hAnsi="宋体" w:eastAsia="宋体"/>
          <w:sz w:val="24"/>
        </w:rPr>
      </w:pPr>
      <w:r>
        <w:rPr>
          <w:rFonts w:hint="eastAsia" w:ascii="宋体" w:hAnsi="宋体" w:eastAsia="宋体"/>
          <w:sz w:val="24"/>
        </w:rPr>
        <w:t>（2）自然人的地址</w:t>
      </w:r>
    </w:p>
    <w:p w14:paraId="1765E2CB">
      <w:pPr>
        <w:spacing w:line="360" w:lineRule="auto"/>
        <w:ind w:firstLine="420"/>
        <w:rPr>
          <w:rFonts w:ascii="宋体" w:hAnsi="宋体" w:eastAsia="宋体"/>
          <w:sz w:val="24"/>
        </w:rPr>
      </w:pPr>
      <w:r>
        <w:rPr>
          <w:rFonts w:hint="eastAsia" w:ascii="宋体" w:hAnsi="宋体" w:eastAsia="宋体"/>
          <w:sz w:val="24"/>
        </w:rPr>
        <w:t>如上所述，《</w:t>
      </w:r>
      <w:r>
        <w:rPr>
          <w:rFonts w:ascii="宋体" w:hAnsi="宋体" w:eastAsia="宋体"/>
          <w:sz w:val="24"/>
        </w:rPr>
        <w:t>商标初步审定公告</w:t>
      </w:r>
      <w:r>
        <w:rPr>
          <w:rFonts w:hint="eastAsia" w:ascii="宋体" w:hAnsi="宋体" w:eastAsia="宋体"/>
          <w:sz w:val="24"/>
        </w:rPr>
        <w:t>》《</w:t>
      </w:r>
      <w:r>
        <w:rPr>
          <w:rFonts w:ascii="宋体" w:hAnsi="宋体" w:eastAsia="宋体"/>
          <w:sz w:val="24"/>
        </w:rPr>
        <w:t>商标注册人/申请人名义及地址变更公告</w:t>
      </w:r>
      <w:r>
        <w:rPr>
          <w:rFonts w:hint="eastAsia" w:ascii="宋体" w:hAnsi="宋体" w:eastAsia="宋体"/>
          <w:sz w:val="24"/>
        </w:rPr>
        <w:t>》《</w:t>
      </w:r>
      <w:r>
        <w:rPr>
          <w:rFonts w:ascii="宋体" w:hAnsi="宋体" w:eastAsia="宋体"/>
          <w:sz w:val="24"/>
        </w:rPr>
        <w:t>商标更正公告</w:t>
      </w:r>
      <w:r>
        <w:rPr>
          <w:rFonts w:hint="eastAsia" w:ascii="宋体" w:hAnsi="宋体" w:eastAsia="宋体"/>
          <w:sz w:val="24"/>
        </w:rPr>
        <w:t>》等3类商标公告会公开自然人的地址信息且具体到门牌号；专利公报会公开申请人/专利权人的</w:t>
      </w:r>
      <w:r>
        <w:rPr>
          <w:rFonts w:ascii="宋体" w:hAnsi="宋体" w:eastAsia="宋体"/>
          <w:sz w:val="24"/>
        </w:rPr>
        <w:t>详细地址（全部公开）</w:t>
      </w:r>
      <w:r>
        <w:rPr>
          <w:rFonts w:hint="eastAsia" w:ascii="宋体" w:hAnsi="宋体" w:eastAsia="宋体"/>
          <w:sz w:val="24"/>
        </w:rPr>
        <w:t>，但是，当申请人/专利权人为中国境外的自然人时</w:t>
      </w:r>
      <w:r>
        <w:rPr>
          <w:rFonts w:ascii="宋体" w:hAnsi="宋体" w:eastAsia="宋体"/>
          <w:sz w:val="24"/>
        </w:rPr>
        <w:t>，</w:t>
      </w:r>
      <w:r>
        <w:rPr>
          <w:rFonts w:hint="eastAsia" w:ascii="宋体" w:hAnsi="宋体" w:eastAsia="宋体"/>
          <w:sz w:val="24"/>
        </w:rPr>
        <w:t>则可能不公开</w:t>
      </w:r>
      <w:r>
        <w:rPr>
          <w:rFonts w:ascii="宋体" w:hAnsi="宋体" w:eastAsia="宋体"/>
          <w:sz w:val="24"/>
        </w:rPr>
        <w:t>详细地址（部分公开）</w:t>
      </w:r>
      <w:r>
        <w:rPr>
          <w:rFonts w:hint="eastAsia" w:ascii="宋体" w:hAnsi="宋体" w:eastAsia="宋体"/>
          <w:sz w:val="24"/>
        </w:rPr>
        <w:t>，即仅公开到</w:t>
      </w:r>
      <w:r>
        <w:rPr>
          <w:rFonts w:ascii="宋体" w:hAnsi="宋体" w:eastAsia="宋体"/>
          <w:sz w:val="24"/>
        </w:rPr>
        <w:t>某国某州</w:t>
      </w:r>
      <w:r>
        <w:rPr>
          <w:rFonts w:hint="eastAsia" w:ascii="宋体" w:hAnsi="宋体" w:eastAsia="宋体"/>
          <w:sz w:val="24"/>
        </w:rPr>
        <w:t>、</w:t>
      </w:r>
      <w:r>
        <w:rPr>
          <w:rFonts w:ascii="宋体" w:hAnsi="宋体" w:eastAsia="宋体"/>
          <w:sz w:val="24"/>
        </w:rPr>
        <w:t>某国某</w:t>
      </w:r>
      <w:r>
        <w:rPr>
          <w:rFonts w:hint="eastAsia" w:ascii="宋体" w:hAnsi="宋体" w:eastAsia="宋体"/>
          <w:sz w:val="24"/>
        </w:rPr>
        <w:t>市或</w:t>
      </w:r>
      <w:r>
        <w:rPr>
          <w:rFonts w:ascii="宋体" w:hAnsi="宋体" w:eastAsia="宋体"/>
          <w:sz w:val="24"/>
        </w:rPr>
        <w:t>某国某县</w:t>
      </w:r>
      <w:r>
        <w:rPr>
          <w:rFonts w:hint="eastAsia" w:ascii="宋体" w:hAnsi="宋体" w:eastAsia="宋体"/>
          <w:sz w:val="24"/>
        </w:rPr>
        <w:t>。但是，从</w:t>
      </w:r>
      <w:r>
        <w:rPr>
          <w:rFonts w:ascii="宋体" w:hAnsi="宋体" w:eastAsia="宋体"/>
          <w:sz w:val="24"/>
        </w:rPr>
        <w:t>商标</w:t>
      </w:r>
      <w:r>
        <w:rPr>
          <w:rFonts w:hint="eastAsia" w:ascii="宋体" w:hAnsi="宋体" w:eastAsia="宋体"/>
          <w:sz w:val="24"/>
        </w:rPr>
        <w:t>公告和</w:t>
      </w:r>
      <w:r>
        <w:rPr>
          <w:rFonts w:ascii="宋体" w:hAnsi="宋体" w:eastAsia="宋体"/>
          <w:sz w:val="24"/>
        </w:rPr>
        <w:t>专利</w:t>
      </w:r>
      <w:r>
        <w:rPr>
          <w:rFonts w:hint="eastAsia" w:ascii="宋体" w:hAnsi="宋体" w:eastAsia="宋体"/>
          <w:sz w:val="24"/>
        </w:rPr>
        <w:t>公报的制度</w:t>
      </w:r>
      <w:r>
        <w:rPr>
          <w:rFonts w:ascii="宋体" w:hAnsi="宋体" w:eastAsia="宋体"/>
          <w:sz w:val="24"/>
        </w:rPr>
        <w:t>目的</w:t>
      </w:r>
      <w:r>
        <w:rPr>
          <w:rFonts w:hint="eastAsia" w:ascii="宋体" w:hAnsi="宋体" w:eastAsia="宋体"/>
          <w:sz w:val="24"/>
        </w:rPr>
        <w:t>、知识产权地域性、同等原则、国际条约等角度来看，国家知识产权局详细公开自然人的地址（尤其是详细地址）的必要性有待商榷。</w:t>
      </w:r>
    </w:p>
    <w:p w14:paraId="3058EFBB">
      <w:pPr>
        <w:spacing w:line="360" w:lineRule="auto"/>
        <w:ind w:firstLine="420"/>
        <w:rPr>
          <w:rFonts w:ascii="宋体" w:hAnsi="宋体" w:eastAsia="宋体"/>
          <w:sz w:val="24"/>
        </w:rPr>
      </w:pPr>
      <w:r>
        <w:rPr>
          <w:rFonts w:hint="eastAsia" w:ascii="宋体" w:hAnsi="宋体" w:eastAsia="宋体"/>
          <w:sz w:val="24"/>
        </w:rPr>
        <w:t>首先，国家知识产权局</w:t>
      </w:r>
      <w:r>
        <w:rPr>
          <w:rFonts w:ascii="宋体" w:hAnsi="宋体" w:eastAsia="宋体"/>
          <w:sz w:val="24"/>
        </w:rPr>
        <w:t>公开</w:t>
      </w:r>
      <w:r>
        <w:rPr>
          <w:rFonts w:hint="eastAsia" w:ascii="宋体" w:hAnsi="宋体" w:eastAsia="宋体"/>
          <w:sz w:val="24"/>
        </w:rPr>
        <w:t>个人</w:t>
      </w:r>
      <w:r>
        <w:rPr>
          <w:rFonts w:ascii="宋体" w:hAnsi="宋体" w:eastAsia="宋体"/>
          <w:sz w:val="24"/>
        </w:rPr>
        <w:t>信息的主要目的在于向公众明示权利的边界、接受</w:t>
      </w:r>
      <w:r>
        <w:rPr>
          <w:rFonts w:hint="eastAsia" w:ascii="宋体" w:hAnsi="宋体" w:eastAsia="宋体"/>
          <w:sz w:val="24"/>
        </w:rPr>
        <w:t>社会</w:t>
      </w:r>
      <w:r>
        <w:rPr>
          <w:rFonts w:ascii="宋体" w:hAnsi="宋体" w:eastAsia="宋体"/>
          <w:sz w:val="24"/>
        </w:rPr>
        <w:t>公众的监督，即向公众</w:t>
      </w:r>
      <w:r>
        <w:rPr>
          <w:rFonts w:hint="eastAsia" w:ascii="宋体" w:hAnsi="宋体" w:eastAsia="宋体"/>
          <w:sz w:val="24"/>
        </w:rPr>
        <w:t>公示何</w:t>
      </w:r>
      <w:r>
        <w:rPr>
          <w:rFonts w:ascii="宋体" w:hAnsi="宋体" w:eastAsia="宋体"/>
          <w:sz w:val="24"/>
        </w:rPr>
        <w:t>人</w:t>
      </w:r>
      <w:r>
        <w:rPr>
          <w:rFonts w:hint="eastAsia" w:ascii="宋体" w:hAnsi="宋体" w:eastAsia="宋体"/>
          <w:sz w:val="24"/>
        </w:rPr>
        <w:t>在何时取得何种</w:t>
      </w:r>
      <w:r>
        <w:rPr>
          <w:rFonts w:ascii="宋体" w:hAnsi="宋体" w:eastAsia="宋体"/>
          <w:sz w:val="24"/>
        </w:rPr>
        <w:t>权利。</w:t>
      </w:r>
      <w:r>
        <w:rPr>
          <w:rFonts w:hint="eastAsia" w:ascii="宋体" w:hAnsi="宋体" w:eastAsia="宋体"/>
          <w:sz w:val="24"/>
        </w:rPr>
        <w:t>一方面，因知识产权是法律拟制的权利，国家知识产权局需要通过公布、公告等法定程序，授予申请人注册商标专用权、专利权，明确权利的具体内容；另一方面，社会公众能够清楚权利人的权利边界从而更好地安排生产经营或发明创造，避免侵权纠纷和重复研发，保障交易安全，行使监督的权利。其中，对于公众监督的权利，《商标法》规定了商标异议、无效宣告、撤销等制度；《专利法》规定了公众意见、无效宣告、评价报告等制度。但在实践中，社会公众行使提出异议、无效宣告等监督的权利，不以知晓自然人的地址信息为前提，而是以知晓商标图样、技术方案、外观设计为前提。因此，不论是从保护权利人角度，还是维护公共利益角度，国家知识产权局在</w:t>
      </w:r>
      <w:r>
        <w:rPr>
          <w:rFonts w:ascii="宋体" w:hAnsi="宋体" w:eastAsia="宋体"/>
          <w:sz w:val="24"/>
        </w:rPr>
        <w:t>商标</w:t>
      </w:r>
      <w:r>
        <w:rPr>
          <w:rFonts w:hint="eastAsia" w:ascii="宋体" w:hAnsi="宋体" w:eastAsia="宋体"/>
          <w:sz w:val="24"/>
        </w:rPr>
        <w:t>公告和</w:t>
      </w:r>
      <w:r>
        <w:rPr>
          <w:rFonts w:ascii="宋体" w:hAnsi="宋体" w:eastAsia="宋体"/>
          <w:sz w:val="24"/>
        </w:rPr>
        <w:t>专利</w:t>
      </w:r>
      <w:r>
        <w:rPr>
          <w:rFonts w:hint="eastAsia" w:ascii="宋体" w:hAnsi="宋体" w:eastAsia="宋体"/>
          <w:sz w:val="24"/>
        </w:rPr>
        <w:t>公报中公开自然人的姓名和权利内容就足以实现信息公开之目的，而自然人的地址（尤其是详细地址）与公开目的没有直接关联。</w:t>
      </w:r>
    </w:p>
    <w:p w14:paraId="43B6A41F">
      <w:pPr>
        <w:spacing w:line="360" w:lineRule="auto"/>
        <w:ind w:firstLine="420"/>
        <w:rPr>
          <w:rFonts w:ascii="宋体" w:hAnsi="宋体" w:eastAsia="宋体"/>
          <w:sz w:val="24"/>
        </w:rPr>
      </w:pPr>
      <w:r>
        <w:rPr>
          <w:rFonts w:hint="eastAsia" w:ascii="宋体" w:hAnsi="宋体" w:eastAsia="宋体"/>
          <w:sz w:val="24"/>
        </w:rPr>
        <w:t>其次，从知识产权的地域性来讲，国家知识产权局授予权利人的注册商标专用权和专利权的效力限于中国境内，与申请人/权利人的地址无关。</w:t>
      </w:r>
      <w:r>
        <w:rPr>
          <w:rFonts w:ascii="宋体" w:hAnsi="宋体" w:eastAsia="宋体"/>
          <w:sz w:val="24"/>
        </w:rPr>
        <w:t>申请人/权利人</w:t>
      </w:r>
      <w:r>
        <w:rPr>
          <w:rFonts w:hint="eastAsia" w:ascii="宋体" w:hAnsi="宋体" w:eastAsia="宋体"/>
          <w:sz w:val="24"/>
        </w:rPr>
        <w:t>无论是境内还是境外的自然人，也不论是境内的某个省份，其注册商标专用权、专利权的效力范围都是中国境内。因此，</w:t>
      </w:r>
      <w:r>
        <w:rPr>
          <w:rFonts w:ascii="宋体" w:hAnsi="宋体" w:eastAsia="宋体"/>
          <w:sz w:val="24"/>
        </w:rPr>
        <w:t>申请人/权利人</w:t>
      </w:r>
      <w:r>
        <w:rPr>
          <w:rFonts w:hint="eastAsia" w:ascii="宋体" w:hAnsi="宋体" w:eastAsia="宋体"/>
          <w:sz w:val="24"/>
        </w:rPr>
        <w:t>等自然人的地址是否公开不影响专有权利的内容。</w:t>
      </w:r>
    </w:p>
    <w:p w14:paraId="704E33EC">
      <w:pPr>
        <w:spacing w:line="360" w:lineRule="auto"/>
        <w:ind w:firstLine="420"/>
        <w:rPr>
          <w:rFonts w:ascii="宋体" w:hAnsi="宋体" w:eastAsia="宋体"/>
          <w:sz w:val="24"/>
        </w:rPr>
      </w:pPr>
      <w:r>
        <w:rPr>
          <w:rFonts w:hint="eastAsia" w:ascii="宋体" w:hAnsi="宋体" w:eastAsia="宋体"/>
          <w:sz w:val="24"/>
        </w:rPr>
        <w:t>再次，从同等原则来讲，专利公报对部分外国自然人的地址仅公开到</w:t>
      </w:r>
      <w:r>
        <w:rPr>
          <w:rFonts w:ascii="宋体" w:hAnsi="宋体" w:eastAsia="宋体"/>
          <w:sz w:val="24"/>
        </w:rPr>
        <w:t>某国某州</w:t>
      </w:r>
      <w:r>
        <w:rPr>
          <w:rFonts w:hint="eastAsia" w:ascii="宋体" w:hAnsi="宋体" w:eastAsia="宋体"/>
          <w:sz w:val="24"/>
        </w:rPr>
        <w:t>、</w:t>
      </w:r>
      <w:r>
        <w:rPr>
          <w:rFonts w:ascii="宋体" w:hAnsi="宋体" w:eastAsia="宋体"/>
          <w:sz w:val="24"/>
        </w:rPr>
        <w:t>某国某</w:t>
      </w:r>
      <w:r>
        <w:rPr>
          <w:rFonts w:hint="eastAsia" w:ascii="宋体" w:hAnsi="宋体" w:eastAsia="宋体"/>
          <w:sz w:val="24"/>
        </w:rPr>
        <w:t>市或某国某县，并没有影响专利权的授予和行使。例如，国家知识产权局于</w:t>
      </w:r>
      <w:r>
        <w:rPr>
          <w:rFonts w:ascii="宋体" w:hAnsi="宋体" w:eastAsia="宋体"/>
          <w:sz w:val="24"/>
        </w:rPr>
        <w:t>2025</w:t>
      </w:r>
      <w:r>
        <w:rPr>
          <w:rFonts w:hint="eastAsia" w:ascii="宋体" w:hAnsi="宋体" w:eastAsia="宋体"/>
          <w:sz w:val="24"/>
        </w:rPr>
        <w:t>年</w:t>
      </w:r>
      <w:r>
        <w:rPr>
          <w:rFonts w:ascii="宋体" w:hAnsi="宋体" w:eastAsia="宋体"/>
          <w:sz w:val="24"/>
        </w:rPr>
        <w:t>1</w:t>
      </w:r>
      <w:r>
        <w:rPr>
          <w:rFonts w:hint="eastAsia" w:ascii="宋体" w:hAnsi="宋体" w:eastAsia="宋体"/>
          <w:sz w:val="24"/>
        </w:rPr>
        <w:t>1月07日出版的</w:t>
      </w:r>
      <w:r>
        <w:rPr>
          <w:rFonts w:ascii="宋体" w:hAnsi="宋体" w:eastAsia="宋体"/>
          <w:sz w:val="24"/>
        </w:rPr>
        <w:t>《发明专利公报》第</w:t>
      </w:r>
      <w:r>
        <w:rPr>
          <w:rFonts w:hint="eastAsia" w:ascii="宋体" w:hAnsi="宋体" w:eastAsia="宋体"/>
          <w:sz w:val="24"/>
        </w:rPr>
        <w:t>4999</w:t>
      </w:r>
      <w:r>
        <w:rPr>
          <w:rFonts w:ascii="宋体" w:hAnsi="宋体" w:eastAsia="宋体"/>
          <w:sz w:val="24"/>
        </w:rPr>
        <w:t>页</w:t>
      </w:r>
      <w:r>
        <w:rPr>
          <w:rFonts w:hint="eastAsia" w:ascii="宋体" w:hAnsi="宋体" w:eastAsia="宋体"/>
          <w:sz w:val="24"/>
        </w:rPr>
        <w:t>的</w:t>
      </w:r>
      <w:r>
        <w:rPr>
          <w:rFonts w:ascii="宋体" w:hAnsi="宋体" w:eastAsia="宋体"/>
          <w:sz w:val="24"/>
        </w:rPr>
        <w:t>申请人叶戈尔•叶戈罗夫</w:t>
      </w:r>
      <w:r>
        <w:rPr>
          <w:rFonts w:hint="eastAsia" w:ascii="宋体" w:hAnsi="宋体" w:eastAsia="宋体"/>
          <w:sz w:val="24"/>
        </w:rPr>
        <w:t>的</w:t>
      </w:r>
      <w:r>
        <w:rPr>
          <w:rFonts w:ascii="宋体" w:hAnsi="宋体" w:eastAsia="宋体"/>
          <w:sz w:val="24"/>
        </w:rPr>
        <w:t>地址</w:t>
      </w:r>
      <w:r>
        <w:rPr>
          <w:rFonts w:hint="eastAsia" w:ascii="宋体" w:hAnsi="宋体" w:eastAsia="宋体"/>
          <w:sz w:val="24"/>
        </w:rPr>
        <w:t>为</w:t>
      </w:r>
      <w:r>
        <w:rPr>
          <w:rFonts w:ascii="宋体" w:hAnsi="宋体" w:eastAsia="宋体"/>
          <w:sz w:val="24"/>
        </w:rPr>
        <w:t>德国柏林</w:t>
      </w:r>
      <w:r>
        <w:rPr>
          <w:rFonts w:hint="eastAsia" w:ascii="宋体" w:hAnsi="宋体" w:eastAsia="宋体"/>
          <w:sz w:val="24"/>
        </w:rPr>
        <w:t>。</w:t>
      </w:r>
      <w:r>
        <w:rPr>
          <w:rStyle w:val="24"/>
        </w:rPr>
        <w:footnoteReference w:id="59"/>
      </w:r>
      <w:r>
        <w:rPr>
          <w:rFonts w:hint="eastAsia" w:ascii="宋体" w:hAnsi="宋体" w:eastAsia="宋体"/>
          <w:sz w:val="24"/>
        </w:rPr>
        <w:t>此外，部分专利公报甚</w:t>
      </w:r>
      <w:r>
        <w:rPr>
          <w:rFonts w:ascii="宋体" w:hAnsi="宋体" w:eastAsia="宋体"/>
          <w:sz w:val="24"/>
        </w:rPr>
        <w:t>至</w:t>
      </w:r>
      <w:r>
        <w:rPr>
          <w:rFonts w:hint="eastAsia" w:ascii="宋体" w:hAnsi="宋体" w:eastAsia="宋体"/>
          <w:sz w:val="24"/>
        </w:rPr>
        <w:t>对外国公司的地址仅公开国家名称，这相当于没有公开地址信息。例如，国家知识产权局于</w:t>
      </w:r>
      <w:r>
        <w:rPr>
          <w:rFonts w:ascii="宋体" w:hAnsi="宋体" w:eastAsia="宋体"/>
          <w:sz w:val="24"/>
        </w:rPr>
        <w:t>2025</w:t>
      </w:r>
      <w:r>
        <w:rPr>
          <w:rFonts w:hint="eastAsia" w:ascii="宋体" w:hAnsi="宋体" w:eastAsia="宋体"/>
          <w:sz w:val="24"/>
        </w:rPr>
        <w:t>年</w:t>
      </w:r>
      <w:r>
        <w:rPr>
          <w:rFonts w:ascii="宋体" w:hAnsi="宋体" w:eastAsia="宋体"/>
          <w:sz w:val="24"/>
        </w:rPr>
        <w:t>1</w:t>
      </w:r>
      <w:r>
        <w:rPr>
          <w:rFonts w:hint="eastAsia" w:ascii="宋体" w:hAnsi="宋体" w:eastAsia="宋体"/>
          <w:sz w:val="24"/>
        </w:rPr>
        <w:t>1月07日出版的</w:t>
      </w:r>
      <w:r>
        <w:rPr>
          <w:rFonts w:ascii="宋体" w:hAnsi="宋体" w:eastAsia="宋体"/>
          <w:sz w:val="24"/>
        </w:rPr>
        <w:t>《发明专利公报》第</w:t>
      </w:r>
      <w:r>
        <w:rPr>
          <w:rFonts w:hint="eastAsia" w:ascii="宋体" w:hAnsi="宋体" w:eastAsia="宋体"/>
          <w:sz w:val="24"/>
        </w:rPr>
        <w:t>4989</w:t>
      </w:r>
      <w:r>
        <w:rPr>
          <w:rFonts w:ascii="宋体" w:hAnsi="宋体" w:eastAsia="宋体"/>
          <w:sz w:val="24"/>
        </w:rPr>
        <w:t>页</w:t>
      </w:r>
      <w:r>
        <w:rPr>
          <w:rFonts w:hint="eastAsia" w:ascii="宋体" w:hAnsi="宋体" w:eastAsia="宋体"/>
          <w:sz w:val="24"/>
        </w:rPr>
        <w:t>的</w:t>
      </w:r>
      <w:r>
        <w:rPr>
          <w:rFonts w:ascii="宋体" w:hAnsi="宋体" w:eastAsia="宋体"/>
          <w:sz w:val="24"/>
        </w:rPr>
        <w:t>申请人昂特拉克</w:t>
      </w:r>
      <w:r>
        <w:rPr>
          <w:rFonts w:hint="eastAsia" w:ascii="宋体" w:hAnsi="宋体" w:eastAsia="宋体"/>
          <w:sz w:val="24"/>
        </w:rPr>
        <w:t>治疗</w:t>
      </w:r>
      <w:r>
        <w:rPr>
          <w:rFonts w:ascii="宋体" w:hAnsi="宋体" w:eastAsia="宋体"/>
          <w:sz w:val="24"/>
        </w:rPr>
        <w:t>有限公司</w:t>
      </w:r>
      <w:r>
        <w:rPr>
          <w:rFonts w:hint="eastAsia" w:ascii="宋体" w:hAnsi="宋体" w:eastAsia="宋体"/>
          <w:sz w:val="24"/>
        </w:rPr>
        <w:t>的</w:t>
      </w:r>
      <w:r>
        <w:rPr>
          <w:rFonts w:ascii="宋体" w:hAnsi="宋体" w:eastAsia="宋体"/>
          <w:sz w:val="24"/>
        </w:rPr>
        <w:t>地址</w:t>
      </w:r>
      <w:r>
        <w:rPr>
          <w:rFonts w:hint="eastAsia" w:ascii="宋体" w:hAnsi="宋体" w:eastAsia="宋体"/>
          <w:sz w:val="24"/>
        </w:rPr>
        <w:t>为英国。</w:t>
      </w:r>
      <w:r>
        <w:rPr>
          <w:rStyle w:val="24"/>
          <w:rFonts w:hint="eastAsia" w:ascii="宋体" w:hAnsi="宋体" w:eastAsia="宋体"/>
          <w:sz w:val="24"/>
        </w:rPr>
        <w:footnoteReference w:id="60"/>
      </w:r>
      <w:r>
        <w:rPr>
          <w:rFonts w:hint="eastAsia" w:ascii="宋体" w:hAnsi="宋体" w:eastAsia="宋体"/>
          <w:sz w:val="24"/>
        </w:rPr>
        <w:t>由此可见，在实践中，涉及外国自然人、外国公司的专利公报存在公开部分地址或不公开地址（仅公开国家名称）的情形，仍然没有影响专利权的授予和行使，这恰恰说明自然人的地址并非必须公开的信息。</w:t>
      </w:r>
    </w:p>
    <w:p w14:paraId="1A50EA6B">
      <w:pPr>
        <w:spacing w:line="360" w:lineRule="auto"/>
        <w:ind w:firstLine="420"/>
        <w:rPr>
          <w:rFonts w:ascii="宋体" w:hAnsi="宋体" w:eastAsia="宋体"/>
          <w:sz w:val="24"/>
        </w:rPr>
      </w:pPr>
      <w:r>
        <w:rPr>
          <w:rFonts w:hint="eastAsia" w:ascii="宋体" w:hAnsi="宋体" w:eastAsia="宋体"/>
          <w:sz w:val="24"/>
        </w:rPr>
        <w:t>最后，从国际条约来看，《</w:t>
      </w:r>
      <w:r>
        <w:rPr>
          <w:rFonts w:ascii="宋体" w:hAnsi="宋体" w:eastAsia="宋体"/>
          <w:sz w:val="24"/>
        </w:rPr>
        <w:t>保护工业产权巴黎公约</w:t>
      </w:r>
      <w:r>
        <w:rPr>
          <w:rFonts w:hint="eastAsia" w:ascii="宋体" w:hAnsi="宋体" w:eastAsia="宋体"/>
          <w:sz w:val="24"/>
        </w:rPr>
        <w:t>》第12条</w:t>
      </w:r>
      <w:r>
        <w:rPr>
          <w:rStyle w:val="24"/>
          <w:rFonts w:ascii="宋体" w:hAnsi="宋体" w:eastAsia="宋体"/>
          <w:sz w:val="24"/>
        </w:rPr>
        <w:footnoteReference w:id="61"/>
      </w:r>
      <w:r>
        <w:rPr>
          <w:rFonts w:hint="eastAsia" w:ascii="宋体" w:hAnsi="宋体" w:eastAsia="宋体"/>
          <w:sz w:val="24"/>
        </w:rPr>
        <w:t>规定</w:t>
      </w:r>
      <w:r>
        <w:rPr>
          <w:rFonts w:ascii="宋体" w:hAnsi="宋体" w:eastAsia="宋体"/>
          <w:sz w:val="24"/>
        </w:rPr>
        <w:t>成员国都应专门成立工业产权机构向公众公布发明专利、实用新型、工业品外观设计和商标</w:t>
      </w:r>
      <w:r>
        <w:rPr>
          <w:rFonts w:hint="eastAsia" w:ascii="宋体" w:hAnsi="宋体" w:eastAsia="宋体"/>
          <w:sz w:val="24"/>
        </w:rPr>
        <w:t>，</w:t>
      </w:r>
      <w:r>
        <w:rPr>
          <w:rFonts w:ascii="宋体" w:hAnsi="宋体" w:eastAsia="宋体"/>
          <w:sz w:val="24"/>
        </w:rPr>
        <w:t>公布</w:t>
      </w:r>
      <w:r>
        <w:rPr>
          <w:rFonts w:hint="eastAsia" w:ascii="宋体" w:hAnsi="宋体" w:eastAsia="宋体"/>
          <w:sz w:val="24"/>
        </w:rPr>
        <w:t>的内容包括</w:t>
      </w:r>
      <w:r>
        <w:rPr>
          <w:rFonts w:ascii="宋体" w:hAnsi="宋体" w:eastAsia="宋体"/>
          <w:sz w:val="24"/>
        </w:rPr>
        <w:t>专利权所有者姓名及其发明的概要</w:t>
      </w:r>
      <w:r>
        <w:rPr>
          <w:rFonts w:hint="eastAsia" w:ascii="宋体" w:hAnsi="宋体" w:eastAsia="宋体"/>
          <w:sz w:val="24"/>
        </w:rPr>
        <w:t>、</w:t>
      </w:r>
      <w:r>
        <w:rPr>
          <w:rFonts w:ascii="宋体" w:hAnsi="宋体" w:eastAsia="宋体"/>
          <w:sz w:val="24"/>
        </w:rPr>
        <w:t>注册商标的图样。</w:t>
      </w:r>
      <w:r>
        <w:rPr>
          <w:rFonts w:hint="eastAsia" w:ascii="宋体" w:hAnsi="宋体" w:eastAsia="宋体"/>
          <w:sz w:val="24"/>
        </w:rPr>
        <w:t>同时，《</w:t>
      </w:r>
      <w:r>
        <w:rPr>
          <w:rFonts w:ascii="宋体" w:hAnsi="宋体" w:eastAsia="宋体"/>
          <w:sz w:val="24"/>
        </w:rPr>
        <w:t>保护工业产权巴黎公约</w:t>
      </w:r>
      <w:r>
        <w:rPr>
          <w:rFonts w:hint="eastAsia" w:ascii="宋体" w:hAnsi="宋体" w:eastAsia="宋体"/>
          <w:sz w:val="24"/>
        </w:rPr>
        <w:t>指南》</w:t>
      </w:r>
      <w:r>
        <w:rPr>
          <w:rStyle w:val="24"/>
          <w:rFonts w:ascii="宋体" w:hAnsi="宋体" w:eastAsia="宋体"/>
          <w:sz w:val="24"/>
        </w:rPr>
        <w:footnoteReference w:id="62"/>
      </w:r>
      <w:r>
        <w:rPr>
          <w:rFonts w:hint="eastAsia" w:ascii="宋体" w:hAnsi="宋体" w:eastAsia="宋体"/>
          <w:sz w:val="24"/>
        </w:rPr>
        <w:t>对</w:t>
      </w:r>
      <w:r>
        <w:rPr>
          <w:rFonts w:ascii="宋体" w:hAnsi="宋体" w:eastAsia="宋体"/>
          <w:sz w:val="24"/>
        </w:rPr>
        <w:t>该条</w:t>
      </w:r>
      <w:r>
        <w:rPr>
          <w:rFonts w:hint="eastAsia" w:ascii="宋体" w:hAnsi="宋体" w:eastAsia="宋体"/>
          <w:sz w:val="24"/>
        </w:rPr>
        <w:t>进一步明确“</w:t>
      </w:r>
      <w:r>
        <w:rPr>
          <w:rFonts w:ascii="宋体" w:hAnsi="宋体" w:eastAsia="宋体"/>
          <w:sz w:val="24"/>
        </w:rPr>
        <w:t>每个国家的管理机构尤其必须定期公布有关工业产权的最重要对象，即发明专利和商标的主要资料。这些资料包括专利权人的姓名及取得专利的发明的简短名称，以及注册商标的复制。</w:t>
      </w:r>
      <w:r>
        <w:rPr>
          <w:rFonts w:hint="eastAsia" w:ascii="宋体" w:hAnsi="宋体" w:eastAsia="宋体"/>
          <w:sz w:val="24"/>
        </w:rPr>
        <w:t>”以及“</w:t>
      </w:r>
      <w:r>
        <w:rPr>
          <w:rFonts w:ascii="宋体" w:hAnsi="宋体" w:eastAsia="宋体"/>
          <w:sz w:val="24"/>
        </w:rPr>
        <w:t>管理机构还可以而且也常常公布更多的资料，例如，颁发专利证书和注册的日期，申请日，以及关于实用新型、外观设计、服务商标和适用本公约第6条之三的资料（参看第6条之三第（3）款（a）项），等等。</w:t>
      </w:r>
      <w:r>
        <w:rPr>
          <w:rFonts w:hint="eastAsia" w:ascii="宋体" w:hAnsi="宋体" w:eastAsia="宋体"/>
          <w:sz w:val="24"/>
        </w:rPr>
        <w:t>”可见，《</w:t>
      </w:r>
      <w:r>
        <w:rPr>
          <w:rFonts w:ascii="宋体" w:hAnsi="宋体" w:eastAsia="宋体"/>
          <w:sz w:val="24"/>
        </w:rPr>
        <w:t>保护工业产权巴黎公约</w:t>
      </w:r>
      <w:r>
        <w:rPr>
          <w:rFonts w:hint="eastAsia" w:ascii="宋体" w:hAnsi="宋体" w:eastAsia="宋体"/>
          <w:sz w:val="24"/>
        </w:rPr>
        <w:t>》要求成员国</w:t>
      </w:r>
      <w:r>
        <w:rPr>
          <w:rFonts w:ascii="宋体" w:hAnsi="宋体" w:eastAsia="宋体"/>
          <w:sz w:val="24"/>
        </w:rPr>
        <w:t>必须定期公布有关工业产权的主要资料</w:t>
      </w:r>
      <w:r>
        <w:rPr>
          <w:rFonts w:hint="eastAsia" w:ascii="宋体" w:hAnsi="宋体" w:eastAsia="宋体"/>
          <w:sz w:val="24"/>
        </w:rPr>
        <w:t>，但并没有将自然人的地址列为必须公开的内容。</w:t>
      </w:r>
    </w:p>
    <w:p w14:paraId="089BA6CB">
      <w:pPr>
        <w:spacing w:line="360" w:lineRule="auto"/>
        <w:ind w:firstLine="420"/>
        <w:outlineLvl w:val="3"/>
        <w:rPr>
          <w:rFonts w:ascii="宋体" w:hAnsi="宋体" w:eastAsia="宋体"/>
          <w:sz w:val="24"/>
        </w:rPr>
      </w:pPr>
      <w:r>
        <w:rPr>
          <w:rFonts w:hint="eastAsia" w:ascii="宋体" w:hAnsi="宋体" w:eastAsia="宋体"/>
          <w:sz w:val="24"/>
        </w:rPr>
        <w:t>（3）自然人的身份证号、护照号等证件号</w:t>
      </w:r>
    </w:p>
    <w:p w14:paraId="63AE4DB4">
      <w:pPr>
        <w:spacing w:line="360" w:lineRule="auto"/>
        <w:ind w:firstLine="420"/>
        <w:rPr>
          <w:rFonts w:ascii="宋体" w:hAnsi="宋体" w:eastAsia="宋体"/>
          <w:sz w:val="24"/>
        </w:rPr>
      </w:pPr>
      <w:r>
        <w:rPr>
          <w:rFonts w:hint="eastAsia" w:ascii="宋体" w:hAnsi="宋体" w:eastAsia="宋体"/>
          <w:sz w:val="24"/>
        </w:rPr>
        <w:t>在专利公报中，国家知识产权局没有公开自然人的身份证号、护照号等证件号。但在商标公告中，国家知识产权局公开了自然人的全部或部分身份证号、护照号等证件号，这是明显是不合理的。第一，与上述理由相同，自然人的证件号既不是《</w:t>
      </w:r>
      <w:r>
        <w:rPr>
          <w:rFonts w:ascii="宋体" w:hAnsi="宋体" w:eastAsia="宋体"/>
          <w:sz w:val="24"/>
        </w:rPr>
        <w:t>保护工业产权巴黎公约</w:t>
      </w:r>
      <w:r>
        <w:rPr>
          <w:rFonts w:hint="eastAsia" w:ascii="宋体" w:hAnsi="宋体" w:eastAsia="宋体"/>
          <w:sz w:val="24"/>
        </w:rPr>
        <w:t>》要求必须公开的信息，又不影响专有权利的内容，更与知识产权信息的公开目的没有直接关联。第二，注册商标专用权与专利权都是法律拟制的权利，都需要经过国家审批授权。既然专利公报可以不公开自然人的证件号，同理，商标公告也可以不公开自然人的证件号。第三，根据</w:t>
      </w:r>
      <w:r>
        <w:rPr>
          <w:rFonts w:ascii="宋体" w:hAnsi="宋体" w:eastAsia="宋体"/>
          <w:sz w:val="24"/>
        </w:rPr>
        <w:t>表1</w:t>
      </w:r>
      <w:r>
        <w:rPr>
          <w:rFonts w:hint="eastAsia" w:ascii="宋体" w:hAnsi="宋体" w:eastAsia="宋体"/>
          <w:sz w:val="24"/>
        </w:rPr>
        <w:t>的内容可知，几乎每一类公告都同时存在“没有公开证件号”和“公开证件号”这两种情形。其中，公开证件号的情形又存在部分公开（显示部分数字）和全部公开（显示全部数字）两种情形。毫无疑问，这足以说明证件号本就不属于商标公告的必要信息。因此，国家知识产权局在商标公告中公开自然人的身份证号、护照号等证件号，不论是部分公开还是全部公开，均</w:t>
      </w:r>
      <w:r>
        <w:rPr>
          <w:rFonts w:ascii="宋体" w:hAnsi="宋体" w:eastAsia="宋体"/>
          <w:sz w:val="24"/>
        </w:rPr>
        <w:t>超出履行法定职责所必需的范围和限度。</w:t>
      </w:r>
    </w:p>
    <w:p w14:paraId="040F5CCD">
      <w:pPr>
        <w:spacing w:line="360" w:lineRule="auto"/>
        <w:ind w:firstLine="420"/>
        <w:rPr>
          <w:rFonts w:ascii="宋体" w:hAnsi="宋体" w:eastAsia="宋体"/>
          <w:sz w:val="24"/>
        </w:rPr>
      </w:pPr>
    </w:p>
    <w:p w14:paraId="151FC3C3">
      <w:pPr>
        <w:spacing w:line="360" w:lineRule="auto"/>
        <w:outlineLvl w:val="0"/>
        <w:rPr>
          <w:rFonts w:ascii="宋体" w:hAnsi="宋体" w:eastAsia="宋体"/>
          <w:b/>
          <w:bCs/>
          <w:sz w:val="24"/>
        </w:rPr>
      </w:pPr>
      <w:r>
        <w:rPr>
          <w:rFonts w:hint="eastAsia" w:ascii="宋体" w:hAnsi="宋体" w:eastAsia="宋体"/>
          <w:b/>
          <w:bCs/>
          <w:sz w:val="24"/>
        </w:rPr>
        <w:t>三、完善路径</w:t>
      </w:r>
    </w:p>
    <w:p w14:paraId="39B87B49">
      <w:pPr>
        <w:spacing w:line="360" w:lineRule="auto"/>
        <w:ind w:firstLine="420"/>
        <w:rPr>
          <w:rFonts w:ascii="宋体" w:hAnsi="宋体" w:eastAsia="宋体"/>
          <w:sz w:val="24"/>
        </w:rPr>
      </w:pPr>
      <w:r>
        <w:rPr>
          <w:rFonts w:hint="eastAsia" w:ascii="宋体" w:hAnsi="宋体" w:eastAsia="宋体"/>
          <w:sz w:val="24"/>
        </w:rPr>
        <w:t>根据上述分析，在商</w:t>
      </w:r>
      <w:r>
        <w:rPr>
          <w:rFonts w:ascii="宋体" w:hAnsi="宋体" w:eastAsia="宋体"/>
          <w:sz w:val="24"/>
        </w:rPr>
        <w:t>标公告与专利公报</w:t>
      </w:r>
      <w:r>
        <w:rPr>
          <w:rFonts w:hint="eastAsia" w:ascii="宋体" w:hAnsi="宋体" w:eastAsia="宋体"/>
          <w:sz w:val="24"/>
        </w:rPr>
        <w:t>中，国家知识产权局公开个人信息时存在处理个人信息的规则不透明、标准不统一、超过必要范围、异议制度不完善等问题。基于此，国家知识产权局在信息公开中应当重视个人信息保护问题，可以采取如下措施：</w:t>
      </w:r>
    </w:p>
    <w:p w14:paraId="45201862">
      <w:pPr>
        <w:spacing w:line="360" w:lineRule="auto"/>
        <w:ind w:firstLine="420"/>
        <w:rPr>
          <w:rFonts w:ascii="宋体" w:hAnsi="宋体" w:eastAsia="宋体"/>
          <w:sz w:val="24"/>
        </w:rPr>
      </w:pPr>
      <w:r>
        <w:rPr>
          <w:rFonts w:hint="eastAsia" w:ascii="宋体" w:hAnsi="宋体" w:eastAsia="宋体"/>
          <w:sz w:val="24"/>
        </w:rPr>
        <w:t>第一，公开个人信息的处理规则。虽然《商标法》《商标法实施条例》规定了国家知识产权局</w:t>
      </w:r>
      <w:r>
        <w:rPr>
          <w:rStyle w:val="24"/>
          <w:rFonts w:ascii="宋体" w:hAnsi="宋体" w:eastAsia="宋体"/>
          <w:sz w:val="24"/>
        </w:rPr>
        <w:footnoteReference w:id="63"/>
      </w:r>
      <w:r>
        <w:rPr>
          <w:rFonts w:hint="eastAsia" w:ascii="宋体" w:hAnsi="宋体" w:eastAsia="宋体"/>
          <w:sz w:val="24"/>
        </w:rPr>
        <w:t>发布商标公告的情形，并在《商标审查审理指南》明确了30类具体的商标公告。但是，《商标审查审理指南》并没有详细规定每一类公告需要公开的信息，尤其是个人信息问题。同理，《专利法》规定了国家知识产权局</w:t>
      </w:r>
      <w:r>
        <w:rPr>
          <w:rFonts w:ascii="宋体" w:hAnsi="宋体" w:eastAsia="宋体"/>
          <w:sz w:val="24"/>
        </w:rPr>
        <w:t>定期出版专利公报</w:t>
      </w:r>
      <w:r>
        <w:rPr>
          <w:rFonts w:hint="eastAsia" w:ascii="宋体" w:hAnsi="宋体" w:eastAsia="宋体"/>
          <w:sz w:val="24"/>
        </w:rPr>
        <w:t>，并在《专利法实施细则》《专利审查指南》明确了专利公报的内容，但仍然没有规定自然人需要公开的具体信息。根据《民法典》</w:t>
      </w:r>
      <w:r>
        <w:rPr>
          <w:rFonts w:ascii="宋体" w:hAnsi="宋体" w:eastAsia="宋体"/>
          <w:sz w:val="24"/>
        </w:rPr>
        <w:t>第</w:t>
      </w:r>
      <w:r>
        <w:rPr>
          <w:rFonts w:hint="eastAsia" w:ascii="宋体" w:hAnsi="宋体" w:eastAsia="宋体"/>
          <w:sz w:val="24"/>
        </w:rPr>
        <w:t>1035</w:t>
      </w:r>
      <w:r>
        <w:rPr>
          <w:rFonts w:ascii="宋体" w:hAnsi="宋体" w:eastAsia="宋体"/>
          <w:sz w:val="24"/>
        </w:rPr>
        <w:t>条</w:t>
      </w:r>
      <w:r>
        <w:rPr>
          <w:rFonts w:hint="eastAsia" w:ascii="宋体" w:hAnsi="宋体" w:eastAsia="宋体"/>
          <w:sz w:val="24"/>
        </w:rPr>
        <w:t>第1款第2项：“</w:t>
      </w:r>
      <w:r>
        <w:rPr>
          <w:rFonts w:ascii="宋体" w:hAnsi="宋体" w:eastAsia="宋体"/>
          <w:sz w:val="24"/>
        </w:rPr>
        <w:t>公开处理信息的规则</w:t>
      </w:r>
      <w:r>
        <w:rPr>
          <w:rFonts w:hint="eastAsia" w:ascii="宋体" w:hAnsi="宋体" w:eastAsia="宋体"/>
          <w:sz w:val="24"/>
        </w:rPr>
        <w:t>”以及《个人信息保护法》第7条：“</w:t>
      </w:r>
      <w:r>
        <w:rPr>
          <w:rFonts w:ascii="宋体" w:hAnsi="宋体" w:eastAsia="宋体"/>
          <w:sz w:val="24"/>
        </w:rPr>
        <w:t>处理个人信息应当遵循公开、透明原则，公开个人信息处理规则，明示处理的目的、方式和范围。</w:t>
      </w:r>
      <w:r>
        <w:rPr>
          <w:rFonts w:hint="eastAsia" w:ascii="宋体" w:hAnsi="宋体" w:eastAsia="宋体"/>
          <w:sz w:val="24"/>
        </w:rPr>
        <w:t>”的规定，处理个人信息应当坚持</w:t>
      </w:r>
      <w:r>
        <w:rPr>
          <w:rFonts w:ascii="宋体" w:hAnsi="宋体" w:eastAsia="宋体"/>
          <w:sz w:val="24"/>
        </w:rPr>
        <w:t>公开透明原则</w:t>
      </w:r>
      <w:r>
        <w:rPr>
          <w:rFonts w:hint="eastAsia" w:ascii="宋体" w:hAnsi="宋体" w:eastAsia="宋体"/>
          <w:sz w:val="24"/>
        </w:rPr>
        <w:t>，该原则要求处理者对个人信息处理活动相关的重要事项予以全面披露，并贯彻于包括公开在内的各个环节，促进个人对个人信息处理事项的知情与理解。</w:t>
      </w:r>
      <w:r>
        <w:rPr>
          <w:rStyle w:val="24"/>
          <w:rFonts w:hint="eastAsia" w:ascii="宋体" w:hAnsi="宋体" w:eastAsia="宋体"/>
          <w:sz w:val="24"/>
        </w:rPr>
        <w:footnoteReference w:id="64"/>
      </w:r>
      <w:r>
        <w:rPr>
          <w:rFonts w:hint="eastAsia" w:ascii="宋体" w:hAnsi="宋体" w:eastAsia="宋体"/>
          <w:sz w:val="24"/>
        </w:rPr>
        <w:t>因此，国家知识产权局在商标公告和专利公报中公开个人信息属于处理个人信息的活动，应当</w:t>
      </w:r>
      <w:r>
        <w:rPr>
          <w:rFonts w:ascii="宋体" w:hAnsi="宋体" w:eastAsia="宋体"/>
          <w:sz w:val="24"/>
        </w:rPr>
        <w:t>遵循公开透明原则</w:t>
      </w:r>
      <w:r>
        <w:rPr>
          <w:rFonts w:hint="eastAsia" w:ascii="宋体" w:hAnsi="宋体" w:eastAsia="宋体"/>
          <w:sz w:val="24"/>
        </w:rPr>
        <w:t>。而《商标审查审理指南》《专利审查指南》作为国家知识产权局制定、发布用于规范商标和专利审查工作的部门规章，理应明确商标公告和专利公报的个人信息处理规则。事实上，根据《个人信息保护法》第17条以及第35条的规定，国家知识产权局在部门规章公开个人信息的处理规则也是履行告知义务的方式。</w:t>
      </w:r>
    </w:p>
    <w:p w14:paraId="18E1CA00">
      <w:pPr>
        <w:spacing w:line="360" w:lineRule="auto"/>
        <w:ind w:firstLine="420"/>
        <w:rPr>
          <w:rFonts w:ascii="宋体" w:hAnsi="宋体" w:eastAsia="宋体"/>
          <w:sz w:val="24"/>
        </w:rPr>
      </w:pPr>
      <w:r>
        <w:rPr>
          <w:rFonts w:hint="eastAsia" w:ascii="宋体" w:hAnsi="宋体" w:eastAsia="宋体"/>
          <w:sz w:val="24"/>
        </w:rPr>
        <w:t>第二，统一处理个人信息的标准。在专利公报中，申请人/专利权人若为中国境内的自然人，都会被公开详细地址即具体到门牌号；若为中国境外的自然人，可能只会被公开国家名称或仅具体到</w:t>
      </w:r>
      <w:r>
        <w:rPr>
          <w:rFonts w:ascii="宋体" w:hAnsi="宋体" w:eastAsia="宋体"/>
          <w:sz w:val="24"/>
        </w:rPr>
        <w:t>某国某州、某国某市或某国某县</w:t>
      </w:r>
      <w:r>
        <w:rPr>
          <w:rFonts w:hint="eastAsia" w:ascii="宋体" w:hAnsi="宋体" w:eastAsia="宋体"/>
          <w:sz w:val="24"/>
        </w:rPr>
        <w:t>。可见，中国境内外的自然人在专利公报中被公开的地址信息存在差异，这明显违反同等原则，没有按照相同标准处理个人信息。因此，对于中国境内外的自然人，国家知识产权局在信息公开时应当采取统一的标准。</w:t>
      </w:r>
    </w:p>
    <w:p w14:paraId="744C01E8">
      <w:pPr>
        <w:spacing w:line="360" w:lineRule="auto"/>
        <w:ind w:firstLine="420"/>
        <w:rPr>
          <w:rFonts w:ascii="宋体" w:hAnsi="宋体" w:eastAsia="宋体"/>
          <w:sz w:val="24"/>
        </w:rPr>
      </w:pPr>
      <w:r>
        <w:rPr>
          <w:rFonts w:hint="eastAsia" w:ascii="宋体" w:hAnsi="宋体" w:eastAsia="宋体"/>
          <w:sz w:val="24"/>
        </w:rPr>
        <w:t>第三，优化和调整个人信息的公开内容。对于自然人的姓名，国家知识产权局应当继续在商标公告和专利公报中完整公开，这也是信息公开应有之义和最低要求。对于自然人的地址，除涉及境外个人的专利公报外，国家知识产权局往往都公开了自然人的完整、详细地址。因此，国家知识产权局应当采取屏蔽部分地址信息的措施，换言之，仅公开自然人的地址到某区或某县，而不披露具体的街道、小区以及门牌号。对于自然人的身份证号、护照号等证件号，商标公告存在过渡公开自然人的证件号以及公开标准不统一等问题。因此，国家知识产权局应当统一清理、删除商标公告中的各类证件号；若确实有必要公开，也应当屏蔽证件号中部分数字（部分公开）。</w:t>
      </w:r>
    </w:p>
    <w:p w14:paraId="451A06CB">
      <w:pPr>
        <w:spacing w:line="360" w:lineRule="auto"/>
        <w:ind w:firstLine="420"/>
        <w:rPr>
          <w:rFonts w:ascii="宋体" w:hAnsi="宋体" w:eastAsia="宋体"/>
          <w:sz w:val="24"/>
        </w:rPr>
      </w:pPr>
      <w:r>
        <w:rPr>
          <w:rFonts w:hint="eastAsia" w:ascii="宋体" w:hAnsi="宋体" w:eastAsia="宋体"/>
          <w:sz w:val="24"/>
        </w:rPr>
        <w:t>第四，建立有效的异议受理和处理机制。《个人信息保护法》第50条规定了个人信息处理者应当建立便捷的个人行使权利的申请受理和处理机制。该条款规范意义在于保障以知情同意为核心的信息自决权得以实现。</w:t>
      </w:r>
      <w:r>
        <w:rPr>
          <w:rStyle w:val="24"/>
          <w:rFonts w:hint="eastAsia" w:ascii="宋体" w:hAnsi="宋体" w:eastAsia="宋体"/>
          <w:sz w:val="24"/>
        </w:rPr>
        <w:footnoteReference w:id="65"/>
      </w:r>
      <w:r>
        <w:rPr>
          <w:rFonts w:hint="eastAsia" w:ascii="宋体" w:hAnsi="宋体" w:eastAsia="宋体"/>
          <w:sz w:val="24"/>
        </w:rPr>
        <w:t>一方面，根据《个人信息保护法》</w:t>
      </w:r>
      <w:r>
        <w:rPr>
          <w:rFonts w:ascii="宋体" w:hAnsi="宋体" w:eastAsia="宋体"/>
          <w:sz w:val="24"/>
        </w:rPr>
        <w:t>第</w:t>
      </w:r>
      <w:r>
        <w:rPr>
          <w:rFonts w:hint="eastAsia" w:ascii="宋体" w:hAnsi="宋体" w:eastAsia="宋体"/>
          <w:sz w:val="24"/>
        </w:rPr>
        <w:t>44</w:t>
      </w:r>
      <w:r>
        <w:rPr>
          <w:rFonts w:ascii="宋体" w:hAnsi="宋体" w:eastAsia="宋体"/>
          <w:sz w:val="24"/>
        </w:rPr>
        <w:t>条</w:t>
      </w:r>
      <w:r>
        <w:rPr>
          <w:rFonts w:hint="eastAsia" w:ascii="宋体" w:hAnsi="宋体" w:eastAsia="宋体"/>
          <w:sz w:val="24"/>
        </w:rPr>
        <w:t>、第47的规定，个人对其个人信息享有</w:t>
      </w:r>
      <w:r>
        <w:rPr>
          <w:rFonts w:ascii="宋体" w:hAnsi="宋体" w:eastAsia="宋体"/>
          <w:sz w:val="24"/>
        </w:rPr>
        <w:t>知情权</w:t>
      </w:r>
      <w:r>
        <w:rPr>
          <w:rFonts w:hint="eastAsia" w:ascii="宋体" w:hAnsi="宋体" w:eastAsia="宋体"/>
          <w:sz w:val="24"/>
        </w:rPr>
        <w:t>、</w:t>
      </w:r>
      <w:r>
        <w:rPr>
          <w:rFonts w:ascii="宋体" w:hAnsi="宋体" w:eastAsia="宋体"/>
          <w:sz w:val="24"/>
        </w:rPr>
        <w:t>决定权</w:t>
      </w:r>
      <w:r>
        <w:rPr>
          <w:rFonts w:hint="eastAsia" w:ascii="宋体" w:hAnsi="宋体" w:eastAsia="宋体"/>
          <w:sz w:val="24"/>
        </w:rPr>
        <w:t>和删除权，</w:t>
      </w:r>
      <w:r>
        <w:rPr>
          <w:rFonts w:ascii="宋体" w:hAnsi="宋体" w:eastAsia="宋体"/>
          <w:sz w:val="24"/>
        </w:rPr>
        <w:t>有权限制或者拒绝他人对其个人信息进行处理</w:t>
      </w:r>
      <w:r>
        <w:rPr>
          <w:rFonts w:hint="eastAsia" w:ascii="宋体" w:hAnsi="宋体" w:eastAsia="宋体"/>
          <w:sz w:val="24"/>
        </w:rPr>
        <w:t>，以及请求他人</w:t>
      </w:r>
      <w:r>
        <w:rPr>
          <w:rFonts w:ascii="宋体" w:hAnsi="宋体" w:eastAsia="宋体"/>
          <w:sz w:val="24"/>
        </w:rPr>
        <w:t>删除</w:t>
      </w:r>
      <w:r>
        <w:rPr>
          <w:rFonts w:hint="eastAsia" w:ascii="宋体" w:hAnsi="宋体" w:eastAsia="宋体"/>
          <w:sz w:val="24"/>
        </w:rPr>
        <w:t>其</w:t>
      </w:r>
      <w:r>
        <w:rPr>
          <w:rFonts w:ascii="宋体" w:hAnsi="宋体" w:eastAsia="宋体"/>
          <w:sz w:val="24"/>
        </w:rPr>
        <w:t>个人信息</w:t>
      </w:r>
      <w:r>
        <w:rPr>
          <w:rFonts w:hint="eastAsia" w:ascii="宋体" w:hAnsi="宋体" w:eastAsia="宋体"/>
          <w:sz w:val="24"/>
        </w:rPr>
        <w:t>。即便国家知识产权局为履行法定职责有权公开个人信息，但也要符合必要、目的限制、</w:t>
      </w:r>
      <w:r>
        <w:rPr>
          <w:rFonts w:ascii="宋体" w:hAnsi="宋体" w:eastAsia="宋体"/>
          <w:sz w:val="24"/>
        </w:rPr>
        <w:t>最小化处理</w:t>
      </w:r>
      <w:r>
        <w:rPr>
          <w:rFonts w:hint="eastAsia" w:ascii="宋体" w:hAnsi="宋体" w:eastAsia="宋体"/>
          <w:sz w:val="24"/>
        </w:rPr>
        <w:t>等原则和相关规定；否则，个人有权提出删除其个人信息的请求。另一方面，根据《个人信息保护法》</w:t>
      </w:r>
      <w:r>
        <w:rPr>
          <w:rFonts w:ascii="宋体" w:hAnsi="宋体" w:eastAsia="宋体"/>
          <w:sz w:val="24"/>
        </w:rPr>
        <w:t>第</w:t>
      </w:r>
      <w:r>
        <w:rPr>
          <w:rFonts w:hint="eastAsia" w:ascii="宋体" w:hAnsi="宋体" w:eastAsia="宋体"/>
          <w:sz w:val="24"/>
        </w:rPr>
        <w:t>46</w:t>
      </w:r>
      <w:r>
        <w:rPr>
          <w:rFonts w:ascii="宋体" w:hAnsi="宋体" w:eastAsia="宋体"/>
          <w:sz w:val="24"/>
        </w:rPr>
        <w:t>条</w:t>
      </w:r>
      <w:r>
        <w:rPr>
          <w:rFonts w:hint="eastAsia" w:ascii="宋体" w:hAnsi="宋体" w:eastAsia="宋体"/>
          <w:sz w:val="24"/>
        </w:rPr>
        <w:t>的规定，个人对其个人信息享有</w:t>
      </w:r>
      <w:r>
        <w:rPr>
          <w:rFonts w:ascii="宋体" w:hAnsi="宋体" w:eastAsia="宋体"/>
          <w:sz w:val="24"/>
        </w:rPr>
        <w:t>更正权和补充权</w:t>
      </w:r>
      <w:r>
        <w:rPr>
          <w:rFonts w:hint="eastAsia" w:ascii="宋体" w:hAnsi="宋体" w:eastAsia="宋体"/>
          <w:sz w:val="24"/>
        </w:rPr>
        <w:t>，</w:t>
      </w:r>
      <w:r>
        <w:rPr>
          <w:rFonts w:ascii="宋体" w:hAnsi="宋体" w:eastAsia="宋体"/>
          <w:sz w:val="24"/>
        </w:rPr>
        <w:t>有权请求个人信息处理者更正、补充</w:t>
      </w:r>
      <w:r>
        <w:rPr>
          <w:rFonts w:hint="eastAsia" w:ascii="宋体" w:hAnsi="宋体" w:eastAsia="宋体"/>
          <w:sz w:val="24"/>
        </w:rPr>
        <w:t>其</w:t>
      </w:r>
      <w:r>
        <w:rPr>
          <w:rFonts w:ascii="宋体" w:hAnsi="宋体" w:eastAsia="宋体"/>
          <w:sz w:val="24"/>
        </w:rPr>
        <w:t>个人信息</w:t>
      </w:r>
      <w:r>
        <w:rPr>
          <w:rFonts w:hint="eastAsia" w:ascii="宋体" w:hAnsi="宋体" w:eastAsia="宋体"/>
          <w:sz w:val="24"/>
        </w:rPr>
        <w:t>。实践中，国家知识产权局公开的个人信息难免存在不准确的情况，此时需要及时更正，但因《个人信息保护法》第46条并没有明确规定个人信息处理者有主动更正的义务，</w:t>
      </w:r>
      <w:r>
        <w:rPr>
          <w:rFonts w:ascii="宋体" w:hAnsi="宋体" w:eastAsia="宋体"/>
          <w:sz w:val="24"/>
        </w:rPr>
        <w:t>而是特别规定了个人要先提出异议并请求更正，然后经个人信息处理者核实后，再由其及时更正</w:t>
      </w:r>
      <w:r>
        <w:rPr>
          <w:rFonts w:hint="eastAsia" w:ascii="宋体" w:hAnsi="宋体" w:eastAsia="宋体"/>
          <w:sz w:val="24"/>
        </w:rPr>
        <w:t>。</w:t>
      </w:r>
      <w:r>
        <w:rPr>
          <w:rStyle w:val="24"/>
          <w:rFonts w:hint="eastAsia" w:ascii="宋体" w:hAnsi="宋体" w:eastAsia="宋体"/>
          <w:sz w:val="24"/>
        </w:rPr>
        <w:footnoteReference w:id="66"/>
      </w:r>
      <w:r>
        <w:rPr>
          <w:rFonts w:hint="eastAsia" w:ascii="宋体" w:hAnsi="宋体" w:eastAsia="宋体"/>
          <w:sz w:val="24"/>
        </w:rPr>
        <w:t>因此，国家知识产权局应当设置合理有效的程序机制，专门受理和处理</w:t>
      </w:r>
      <w:r>
        <w:rPr>
          <w:rFonts w:ascii="宋体" w:hAnsi="宋体" w:eastAsia="宋体"/>
          <w:sz w:val="24"/>
        </w:rPr>
        <w:t>个人</w:t>
      </w:r>
      <w:r>
        <w:rPr>
          <w:rFonts w:hint="eastAsia" w:ascii="宋体" w:hAnsi="宋体" w:eastAsia="宋体"/>
          <w:sz w:val="24"/>
        </w:rPr>
        <w:t>提出的删除、更正其个人信息的请求。</w:t>
      </w:r>
    </w:p>
    <w:p w14:paraId="592EE630">
      <w:pPr>
        <w:spacing w:line="360" w:lineRule="auto"/>
        <w:rPr>
          <w:rFonts w:ascii="宋体" w:hAnsi="宋体" w:eastAsia="宋体"/>
          <w:sz w:val="24"/>
        </w:rPr>
      </w:pPr>
    </w:p>
    <w:p w14:paraId="18A65F7E">
      <w:pPr>
        <w:spacing w:line="360" w:lineRule="auto"/>
        <w:outlineLvl w:val="0"/>
        <w:rPr>
          <w:rFonts w:ascii="宋体" w:hAnsi="宋体" w:eastAsia="宋体"/>
          <w:b/>
          <w:bCs/>
          <w:sz w:val="24"/>
        </w:rPr>
      </w:pPr>
      <w:r>
        <w:rPr>
          <w:rFonts w:hint="eastAsia" w:ascii="宋体" w:hAnsi="宋体" w:eastAsia="宋体"/>
          <w:b/>
          <w:bCs/>
          <w:sz w:val="24"/>
        </w:rPr>
        <w:t>结语</w:t>
      </w:r>
    </w:p>
    <w:p w14:paraId="381791ED">
      <w:pPr>
        <w:spacing w:line="360" w:lineRule="auto"/>
        <w:ind w:firstLine="420"/>
        <w:rPr>
          <w:rFonts w:ascii="宋体" w:hAnsi="宋体" w:eastAsia="宋体"/>
          <w:sz w:val="24"/>
        </w:rPr>
      </w:pPr>
      <w:r>
        <w:rPr>
          <w:rFonts w:hint="eastAsia" w:ascii="宋体" w:hAnsi="宋体" w:eastAsia="宋体"/>
          <w:sz w:val="24"/>
        </w:rPr>
        <w:t>综上所述，国家知识产权局在商标公告与专利公报中发布商标信息、专利信息与个人信息保护在价值取向上存在一定冲突。但是，国家知识产权局应当遵守《个人信息保护法》的规定，按照必要、目的限制、</w:t>
      </w:r>
      <w:r>
        <w:rPr>
          <w:rFonts w:ascii="宋体" w:hAnsi="宋体" w:eastAsia="宋体"/>
          <w:sz w:val="24"/>
        </w:rPr>
        <w:t>最小化处理</w:t>
      </w:r>
      <w:r>
        <w:rPr>
          <w:rFonts w:hint="eastAsia" w:ascii="宋体" w:hAnsi="宋体" w:eastAsia="宋体"/>
          <w:sz w:val="24"/>
        </w:rPr>
        <w:t>等原则的要求，及时采取公开个人信息的处理规则、统一处理个人信息的标准、</w:t>
      </w:r>
      <w:r>
        <w:rPr>
          <w:rFonts w:ascii="宋体" w:hAnsi="宋体" w:eastAsia="宋体"/>
          <w:sz w:val="24"/>
        </w:rPr>
        <w:t>优化和调整个人信息的</w:t>
      </w:r>
      <w:r>
        <w:rPr>
          <w:rFonts w:hint="eastAsia" w:ascii="宋体" w:hAnsi="宋体" w:eastAsia="宋体"/>
          <w:sz w:val="24"/>
        </w:rPr>
        <w:t>公开</w:t>
      </w:r>
      <w:r>
        <w:rPr>
          <w:rFonts w:ascii="宋体" w:hAnsi="宋体" w:eastAsia="宋体"/>
          <w:sz w:val="24"/>
        </w:rPr>
        <w:t>内容</w:t>
      </w:r>
      <w:r>
        <w:rPr>
          <w:rFonts w:hint="eastAsia" w:ascii="宋体" w:hAnsi="宋体" w:eastAsia="宋体"/>
          <w:sz w:val="24"/>
        </w:rPr>
        <w:t>、建立有效的异议受理和处理机制等措施，加强对当事人的个人信息保护，避免给当事人的日常生活和生产经营带来困扰。最终实现既向社会</w:t>
      </w:r>
      <w:r>
        <w:rPr>
          <w:rFonts w:ascii="宋体" w:hAnsi="宋体" w:eastAsia="宋体"/>
          <w:sz w:val="24"/>
        </w:rPr>
        <w:t>完整、准确、及时</w:t>
      </w:r>
      <w:r>
        <w:rPr>
          <w:rFonts w:hint="eastAsia" w:ascii="宋体" w:hAnsi="宋体" w:eastAsia="宋体"/>
          <w:sz w:val="24"/>
        </w:rPr>
        <w:t>发布知识产权信息，又充分保护当事人的个人信息。</w:t>
      </w:r>
    </w:p>
    <w:sectPr>
      <w:footerReference r:id="rId4" w:type="default"/>
      <w:footerReference r:id="rId5" w:type="even"/>
      <w:footnotePr>
        <w:numFmt w:val="decimalEnclosedCircleChinese"/>
        <w:numRestart w:val="eachPage"/>
      </w:footnotePr>
      <w:pgSz w:w="11900" w:h="16840"/>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FangSong">
    <w:altName w:val="方正仿宋_GBK"/>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0"/>
      </w:rPr>
      <w:id w:val="564688077"/>
    </w:sdtPr>
    <w:sdtEndPr>
      <w:rPr>
        <w:rStyle w:val="20"/>
      </w:rPr>
    </w:sdtEndPr>
    <w:sdtContent>
      <w:p w14:paraId="1AFEBFD2">
        <w:pPr>
          <w:pStyle w:val="12"/>
          <w:framePr w:wrap="auto" w:vAnchor="text" w:hAnchor="margin" w:xAlign="center" w:y="1"/>
          <w:rPr>
            <w:rStyle w:val="20"/>
          </w:rPr>
        </w:pPr>
        <w:r>
          <w:rPr>
            <w:rStyle w:val="20"/>
          </w:rPr>
          <w:fldChar w:fldCharType="begin"/>
        </w:r>
        <w:r>
          <w:rPr>
            <w:rStyle w:val="20"/>
          </w:rPr>
          <w:instrText xml:space="preserve"> PAGE </w:instrText>
        </w:r>
        <w:r>
          <w:rPr>
            <w:rStyle w:val="20"/>
          </w:rPr>
          <w:fldChar w:fldCharType="separate"/>
        </w:r>
        <w:r>
          <w:rPr>
            <w:rStyle w:val="20"/>
            <w:rFonts w:hint="eastAsia" w:eastAsia="宋体"/>
          </w:rPr>
          <w:t>九</w:t>
        </w:r>
        <w:r>
          <w:rPr>
            <w:rStyle w:val="20"/>
          </w:rPr>
          <w:fldChar w:fldCharType="end"/>
        </w:r>
      </w:p>
    </w:sdtContent>
  </w:sdt>
  <w:p w14:paraId="35519201">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0"/>
      </w:rPr>
      <w:id w:val="1636917049"/>
    </w:sdtPr>
    <w:sdtEndPr>
      <w:rPr>
        <w:rStyle w:val="20"/>
      </w:rPr>
    </w:sdtEndPr>
    <w:sdtContent>
      <w:p w14:paraId="637AA356">
        <w:pPr>
          <w:pStyle w:val="12"/>
          <w:framePr w:wrap="auto" w:vAnchor="text" w:hAnchor="margin" w:xAlign="center" w:y="1"/>
          <w:rPr>
            <w:rStyle w:val="20"/>
          </w:rPr>
        </w:pPr>
        <w:r>
          <w:rPr>
            <w:rStyle w:val="20"/>
          </w:rPr>
          <w:fldChar w:fldCharType="begin"/>
        </w:r>
        <w:r>
          <w:rPr>
            <w:rStyle w:val="20"/>
          </w:rPr>
          <w:instrText xml:space="preserve"> PAGE </w:instrText>
        </w:r>
        <w:r>
          <w:rPr>
            <w:rStyle w:val="20"/>
          </w:rPr>
          <w:fldChar w:fldCharType="end"/>
        </w:r>
      </w:p>
    </w:sdtContent>
  </w:sdt>
  <w:p w14:paraId="2399EF36">
    <w:pPr>
      <w:pStyle w:val="12"/>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34">
    <w:p>
      <w:r>
        <w:separator/>
      </w:r>
    </w:p>
  </w:footnote>
  <w:footnote w:type="continuationSeparator" w:id="135">
    <w:p>
      <w:r>
        <w:continuationSeparator/>
      </w:r>
    </w:p>
  </w:footnote>
  <w:footnote w:id="0">
    <w:p w14:paraId="6843D93F">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第62624031号</w:t>
      </w:r>
      <w:r>
        <w:rPr>
          <w:rFonts w:hint="eastAsia" w:ascii="仿宋" w:hAnsi="仿宋" w:eastAsia="仿宋" w:cs="仿宋"/>
        </w:rPr>
        <w:t>商标，于2025年10月27日刊登在中国商标网第</w:t>
      </w:r>
      <w:r>
        <w:rPr>
          <w:rFonts w:ascii="仿宋" w:hAnsi="仿宋" w:eastAsia="仿宋" w:cs="仿宋"/>
        </w:rPr>
        <w:t>1957期《商标初步审定公告</w:t>
      </w:r>
      <w:r>
        <w:rPr>
          <w:rFonts w:hint="eastAsia" w:ascii="仿宋" w:hAnsi="仿宋" w:eastAsia="仿宋" w:cs="仿宋"/>
        </w:rPr>
        <w:t>》。</w:t>
      </w:r>
    </w:p>
  </w:footnote>
  <w:footnote w:id="1">
    <w:p w14:paraId="2BA2592E">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第73113221号</w:t>
      </w:r>
      <w:r>
        <w:rPr>
          <w:rFonts w:hint="eastAsia" w:ascii="仿宋" w:hAnsi="仿宋" w:eastAsia="仿宋" w:cs="仿宋"/>
        </w:rPr>
        <w:t>商标，于</w:t>
      </w:r>
      <w:r>
        <w:rPr>
          <w:rFonts w:ascii="仿宋" w:hAnsi="仿宋" w:eastAsia="仿宋" w:cs="仿宋"/>
        </w:rPr>
        <w:t>2024</w:t>
      </w:r>
      <w:r>
        <w:rPr>
          <w:rFonts w:hint="eastAsia" w:ascii="仿宋" w:hAnsi="仿宋" w:eastAsia="仿宋" w:cs="仿宋"/>
        </w:rPr>
        <w:t>年</w:t>
      </w:r>
      <w:r>
        <w:rPr>
          <w:rFonts w:ascii="仿宋" w:hAnsi="仿宋" w:eastAsia="仿宋" w:cs="仿宋"/>
        </w:rPr>
        <w:t>8</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1901期《商标初步审定公告</w:t>
      </w:r>
      <w:r>
        <w:rPr>
          <w:rFonts w:hint="eastAsia" w:ascii="仿宋" w:hAnsi="仿宋" w:eastAsia="仿宋" w:cs="仿宋"/>
        </w:rPr>
        <w:t>》。</w:t>
      </w:r>
    </w:p>
  </w:footnote>
  <w:footnote w:id="2">
    <w:p w14:paraId="7624D5D0">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第73263484号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年7月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1945期《商标初步审定公告</w:t>
      </w:r>
      <w:r>
        <w:rPr>
          <w:rFonts w:hint="eastAsia" w:ascii="仿宋" w:hAnsi="仿宋" w:eastAsia="仿宋" w:cs="仿宋"/>
        </w:rPr>
        <w:t>》。</w:t>
      </w:r>
    </w:p>
  </w:footnote>
  <w:footnote w:id="3">
    <w:p w14:paraId="0BE37366">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第59981623号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1957期《商标注册公告（一）</w:t>
      </w:r>
      <w:r>
        <w:rPr>
          <w:rFonts w:hint="eastAsia" w:ascii="仿宋" w:hAnsi="仿宋" w:eastAsia="仿宋" w:cs="仿宋"/>
        </w:rPr>
        <w:t>》。</w:t>
      </w:r>
    </w:p>
  </w:footnote>
  <w:footnote w:id="4">
    <w:p w14:paraId="2DF11053">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第73113221号</w:t>
      </w:r>
      <w:r>
        <w:rPr>
          <w:rFonts w:hint="eastAsia" w:ascii="仿宋" w:hAnsi="仿宋" w:eastAsia="仿宋" w:cs="仿宋"/>
        </w:rPr>
        <w:t>商标，于</w:t>
      </w:r>
      <w:r>
        <w:rPr>
          <w:rFonts w:ascii="仿宋" w:hAnsi="仿宋" w:eastAsia="仿宋" w:cs="仿宋"/>
        </w:rPr>
        <w:t>2024</w:t>
      </w:r>
      <w:r>
        <w:rPr>
          <w:rFonts w:hint="eastAsia" w:ascii="仿宋" w:hAnsi="仿宋" w:eastAsia="仿宋" w:cs="仿宋"/>
        </w:rPr>
        <w:t>年</w:t>
      </w:r>
      <w:r>
        <w:rPr>
          <w:rFonts w:ascii="仿宋" w:hAnsi="仿宋" w:eastAsia="仿宋" w:cs="仿宋"/>
        </w:rPr>
        <w:t>11</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1913期《商标注册公告（一）</w:t>
      </w:r>
      <w:r>
        <w:rPr>
          <w:rFonts w:hint="eastAsia" w:ascii="仿宋" w:hAnsi="仿宋" w:eastAsia="仿宋" w:cs="仿宋"/>
        </w:rPr>
        <w:t>》。</w:t>
      </w:r>
    </w:p>
  </w:footnote>
  <w:footnote w:id="5">
    <w:p w14:paraId="0147F022">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第73263484号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w:t>
      </w:r>
      <w:r>
        <w:rPr>
          <w:rFonts w:hint="eastAsia" w:ascii="仿宋" w:hAnsi="仿宋" w:eastAsia="仿宋" w:cs="仿宋"/>
        </w:rPr>
        <w:t>期《</w:t>
      </w:r>
      <w:r>
        <w:rPr>
          <w:rFonts w:ascii="仿宋" w:hAnsi="仿宋" w:eastAsia="仿宋" w:cs="仿宋"/>
        </w:rPr>
        <w:t>商标注册公告（一）</w:t>
      </w:r>
      <w:r>
        <w:rPr>
          <w:rFonts w:hint="eastAsia" w:ascii="仿宋" w:hAnsi="仿宋" w:eastAsia="仿宋" w:cs="仿宋"/>
        </w:rPr>
        <w:t>》。</w:t>
      </w:r>
    </w:p>
  </w:footnote>
  <w:footnote w:id="6">
    <w:p w14:paraId="5C43E060">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第69612088号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w:t>
      </w:r>
      <w:r>
        <w:rPr>
          <w:rFonts w:hint="eastAsia" w:ascii="仿宋" w:hAnsi="仿宋" w:eastAsia="仿宋" w:cs="仿宋"/>
        </w:rPr>
        <w:t>期《</w:t>
      </w:r>
      <w:r>
        <w:rPr>
          <w:rFonts w:ascii="仿宋" w:hAnsi="仿宋" w:eastAsia="仿宋" w:cs="仿宋"/>
        </w:rPr>
        <w:t>商标注册公告（</w:t>
      </w:r>
      <w:r>
        <w:rPr>
          <w:rFonts w:hint="eastAsia" w:ascii="仿宋" w:hAnsi="仿宋" w:eastAsia="仿宋" w:cs="仿宋"/>
        </w:rPr>
        <w:t>二</w:t>
      </w:r>
      <w:r>
        <w:rPr>
          <w:rFonts w:ascii="仿宋" w:hAnsi="仿宋" w:eastAsia="仿宋" w:cs="仿宋"/>
        </w:rPr>
        <w:t>）</w:t>
      </w:r>
      <w:r>
        <w:rPr>
          <w:rFonts w:hint="eastAsia" w:ascii="仿宋" w:hAnsi="仿宋" w:eastAsia="仿宋" w:cs="仿宋"/>
        </w:rPr>
        <w:t>》。</w:t>
      </w:r>
    </w:p>
  </w:footnote>
  <w:footnote w:id="7">
    <w:p w14:paraId="6CBB5B92">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第69204598号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w:t>
      </w:r>
      <w:r>
        <w:rPr>
          <w:rFonts w:hint="eastAsia" w:ascii="仿宋" w:hAnsi="仿宋" w:eastAsia="仿宋" w:cs="仿宋"/>
        </w:rPr>
        <w:t>期《</w:t>
      </w:r>
      <w:r>
        <w:rPr>
          <w:rFonts w:ascii="仿宋" w:hAnsi="仿宋" w:eastAsia="仿宋" w:cs="仿宋"/>
        </w:rPr>
        <w:t>商标注册公告（</w:t>
      </w:r>
      <w:r>
        <w:rPr>
          <w:rFonts w:hint="eastAsia" w:ascii="仿宋" w:hAnsi="仿宋" w:eastAsia="仿宋" w:cs="仿宋"/>
        </w:rPr>
        <w:t>二</w:t>
      </w:r>
      <w:r>
        <w:rPr>
          <w:rFonts w:ascii="仿宋" w:hAnsi="仿宋" w:eastAsia="仿宋" w:cs="仿宋"/>
        </w:rPr>
        <w:t>）</w:t>
      </w:r>
      <w:r>
        <w:rPr>
          <w:rFonts w:hint="eastAsia" w:ascii="仿宋" w:hAnsi="仿宋" w:eastAsia="仿宋" w:cs="仿宋"/>
        </w:rPr>
        <w:t>》。</w:t>
      </w:r>
    </w:p>
  </w:footnote>
  <w:footnote w:id="8">
    <w:p w14:paraId="5FE0BD86">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第3638552号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w:t>
      </w:r>
      <w:r>
        <w:rPr>
          <w:rFonts w:hint="eastAsia" w:ascii="仿宋" w:hAnsi="仿宋" w:eastAsia="仿宋" w:cs="仿宋"/>
        </w:rPr>
        <w:t>期《</w:t>
      </w:r>
      <w:r>
        <w:rPr>
          <w:rFonts w:ascii="仿宋" w:hAnsi="仿宋" w:eastAsia="仿宋" w:cs="仿宋"/>
        </w:rPr>
        <w:t>商标转让/移转公告</w:t>
      </w:r>
      <w:r>
        <w:rPr>
          <w:rFonts w:hint="eastAsia" w:ascii="仿宋" w:hAnsi="仿宋" w:eastAsia="仿宋" w:cs="仿宋"/>
        </w:rPr>
        <w:t>》。</w:t>
      </w:r>
    </w:p>
  </w:footnote>
  <w:footnote w:id="9">
    <w:p w14:paraId="275FF1DD">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第755290号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w:t>
      </w:r>
      <w:r>
        <w:rPr>
          <w:rFonts w:hint="eastAsia" w:ascii="仿宋" w:hAnsi="仿宋" w:eastAsia="仿宋" w:cs="仿宋"/>
        </w:rPr>
        <w:t>期《</w:t>
      </w:r>
      <w:r>
        <w:rPr>
          <w:rFonts w:ascii="仿宋" w:hAnsi="仿宋" w:eastAsia="仿宋" w:cs="仿宋"/>
        </w:rPr>
        <w:t>商标转让/移转公告</w:t>
      </w:r>
      <w:r>
        <w:rPr>
          <w:rFonts w:hint="eastAsia" w:ascii="仿宋" w:hAnsi="仿宋" w:eastAsia="仿宋" w:cs="仿宋"/>
        </w:rPr>
        <w:t>》。</w:t>
      </w:r>
    </w:p>
  </w:footnote>
  <w:footnote w:id="10">
    <w:p w14:paraId="21A2E886">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第3783723号</w:t>
      </w:r>
      <w:r>
        <w:rPr>
          <w:rFonts w:hint="eastAsia" w:ascii="仿宋" w:hAnsi="仿宋" w:eastAsia="仿宋" w:cs="仿宋"/>
        </w:rPr>
        <w:t>商标，于</w:t>
      </w:r>
      <w:r>
        <w:rPr>
          <w:rFonts w:ascii="仿宋" w:hAnsi="仿宋" w:eastAsia="仿宋" w:cs="仿宋"/>
        </w:rPr>
        <w:t>2013</w:t>
      </w:r>
      <w:r>
        <w:rPr>
          <w:rFonts w:hint="eastAsia" w:ascii="仿宋" w:hAnsi="仿宋" w:eastAsia="仿宋" w:cs="仿宋"/>
        </w:rPr>
        <w:t>年</w:t>
      </w:r>
      <w:r>
        <w:rPr>
          <w:rFonts w:ascii="仿宋" w:hAnsi="仿宋" w:eastAsia="仿宋" w:cs="仿宋"/>
        </w:rPr>
        <w:t>5</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1361</w:t>
      </w:r>
      <w:r>
        <w:rPr>
          <w:rFonts w:hint="eastAsia" w:ascii="仿宋" w:hAnsi="仿宋" w:eastAsia="仿宋" w:cs="仿宋"/>
        </w:rPr>
        <w:t>期《</w:t>
      </w:r>
      <w:r>
        <w:rPr>
          <w:rFonts w:ascii="仿宋" w:hAnsi="仿宋" w:eastAsia="仿宋" w:cs="仿宋"/>
        </w:rPr>
        <w:t>商标转让/移转公告</w:t>
      </w:r>
      <w:r>
        <w:rPr>
          <w:rFonts w:hint="eastAsia" w:ascii="仿宋" w:hAnsi="仿宋" w:eastAsia="仿宋" w:cs="仿宋"/>
        </w:rPr>
        <w:t>》。</w:t>
      </w:r>
    </w:p>
  </w:footnote>
  <w:footnote w:id="11">
    <w:p w14:paraId="5077C0E5">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第1967643号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1957期《商标注册人/申请人名义及地址变更公告</w:t>
      </w:r>
      <w:r>
        <w:rPr>
          <w:rFonts w:hint="eastAsia" w:ascii="仿宋" w:hAnsi="仿宋" w:eastAsia="仿宋" w:cs="仿宋"/>
        </w:rPr>
        <w:t>》。</w:t>
      </w:r>
    </w:p>
  </w:footnote>
  <w:footnote w:id="12">
    <w:p w14:paraId="1C7666A7">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第4078914号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1957期《商标注册人/申请人名义及地址变更公告</w:t>
      </w:r>
      <w:r>
        <w:rPr>
          <w:rFonts w:hint="eastAsia" w:ascii="仿宋" w:hAnsi="仿宋" w:eastAsia="仿宋" w:cs="仿宋"/>
        </w:rPr>
        <w:t>》。</w:t>
      </w:r>
    </w:p>
  </w:footnote>
  <w:footnote w:id="13">
    <w:p w14:paraId="6DB3A2E9">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第3775176号</w:t>
      </w:r>
      <w:r>
        <w:rPr>
          <w:rFonts w:hint="eastAsia" w:ascii="仿宋" w:hAnsi="仿宋" w:eastAsia="仿宋" w:cs="仿宋"/>
        </w:rPr>
        <w:t>商标，于</w:t>
      </w:r>
      <w:r>
        <w:rPr>
          <w:rFonts w:ascii="仿宋" w:hAnsi="仿宋" w:eastAsia="仿宋" w:cs="仿宋"/>
        </w:rPr>
        <w:t>2014</w:t>
      </w:r>
      <w:r>
        <w:rPr>
          <w:rFonts w:hint="eastAsia" w:ascii="仿宋" w:hAnsi="仿宋" w:eastAsia="仿宋" w:cs="仿宋"/>
        </w:rPr>
        <w:t>年</w:t>
      </w:r>
      <w:r>
        <w:rPr>
          <w:rFonts w:ascii="仿宋" w:hAnsi="仿宋" w:eastAsia="仿宋" w:cs="仿宋"/>
        </w:rPr>
        <w:t>3</w:t>
      </w:r>
      <w:r>
        <w:rPr>
          <w:rFonts w:hint="eastAsia" w:ascii="仿宋" w:hAnsi="仿宋" w:eastAsia="仿宋" w:cs="仿宋"/>
        </w:rPr>
        <w:t>月</w:t>
      </w:r>
      <w:r>
        <w:rPr>
          <w:rFonts w:ascii="仿宋" w:hAnsi="仿宋" w:eastAsia="仿宋" w:cs="仿宋"/>
        </w:rPr>
        <w:t>6</w:t>
      </w:r>
      <w:r>
        <w:rPr>
          <w:rFonts w:hint="eastAsia" w:ascii="仿宋" w:hAnsi="仿宋" w:eastAsia="仿宋" w:cs="仿宋"/>
        </w:rPr>
        <w:t>日刊登在中国商标网第</w:t>
      </w:r>
      <w:r>
        <w:rPr>
          <w:rFonts w:ascii="仿宋" w:hAnsi="仿宋" w:eastAsia="仿宋" w:cs="仿宋"/>
        </w:rPr>
        <w:t>1398</w:t>
      </w:r>
      <w:r>
        <w:rPr>
          <w:rFonts w:hint="eastAsia" w:ascii="仿宋" w:hAnsi="仿宋" w:eastAsia="仿宋" w:cs="仿宋"/>
        </w:rPr>
        <w:t>期《</w:t>
      </w:r>
      <w:r>
        <w:rPr>
          <w:rFonts w:ascii="仿宋" w:hAnsi="仿宋" w:eastAsia="仿宋" w:cs="仿宋"/>
        </w:rPr>
        <w:t>商标注册人/申请人名义及地址变更公告</w:t>
      </w:r>
      <w:r>
        <w:rPr>
          <w:rFonts w:hint="eastAsia" w:ascii="仿宋" w:hAnsi="仿宋" w:eastAsia="仿宋" w:cs="仿宋"/>
        </w:rPr>
        <w:t>》。</w:t>
      </w:r>
    </w:p>
  </w:footnote>
  <w:footnote w:id="14">
    <w:p w14:paraId="5E58781C">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第8332997号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7</w:t>
      </w:r>
      <w:r>
        <w:rPr>
          <w:rFonts w:hint="eastAsia" w:ascii="仿宋" w:hAnsi="仿宋" w:eastAsia="仿宋" w:cs="仿宋"/>
        </w:rPr>
        <w:t>月</w:t>
      </w:r>
      <w:r>
        <w:rPr>
          <w:rFonts w:ascii="仿宋" w:hAnsi="仿宋" w:eastAsia="仿宋" w:cs="仿宋"/>
        </w:rPr>
        <w:t>13</w:t>
      </w:r>
      <w:r>
        <w:rPr>
          <w:rFonts w:hint="eastAsia" w:ascii="仿宋" w:hAnsi="仿宋" w:eastAsia="仿宋" w:cs="仿宋"/>
        </w:rPr>
        <w:t>日刊登在中国商标网第</w:t>
      </w:r>
      <w:r>
        <w:rPr>
          <w:rFonts w:ascii="仿宋" w:hAnsi="仿宋" w:eastAsia="仿宋" w:cs="仿宋"/>
        </w:rPr>
        <w:t>1943</w:t>
      </w:r>
      <w:r>
        <w:rPr>
          <w:rFonts w:hint="eastAsia" w:ascii="仿宋" w:hAnsi="仿宋" w:eastAsia="仿宋" w:cs="仿宋"/>
        </w:rPr>
        <w:t>期《</w:t>
      </w:r>
      <w:r>
        <w:rPr>
          <w:rFonts w:ascii="仿宋" w:hAnsi="仿宋" w:eastAsia="仿宋" w:cs="仿宋"/>
        </w:rPr>
        <w:t>商标注册人/申请人名义及地址变更公告</w:t>
      </w:r>
      <w:r>
        <w:rPr>
          <w:rFonts w:hint="eastAsia" w:ascii="仿宋" w:hAnsi="仿宋" w:eastAsia="仿宋" w:cs="仿宋"/>
        </w:rPr>
        <w:t>》。</w:t>
      </w:r>
    </w:p>
  </w:footnote>
  <w:footnote w:id="15">
    <w:p w14:paraId="3C0ECDEE">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第724317号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2</w:t>
      </w:r>
      <w:r>
        <w:rPr>
          <w:rFonts w:hint="eastAsia" w:ascii="仿宋" w:hAnsi="仿宋" w:eastAsia="仿宋" w:cs="仿宋"/>
        </w:rPr>
        <w:t>月</w:t>
      </w:r>
      <w:r>
        <w:rPr>
          <w:rFonts w:ascii="仿宋" w:hAnsi="仿宋" w:eastAsia="仿宋" w:cs="仿宋"/>
        </w:rPr>
        <w:t>6</w:t>
      </w:r>
      <w:r>
        <w:rPr>
          <w:rFonts w:hint="eastAsia" w:ascii="仿宋" w:hAnsi="仿宋" w:eastAsia="仿宋" w:cs="仿宋"/>
        </w:rPr>
        <w:t>日刊登在中国商标网第</w:t>
      </w:r>
      <w:r>
        <w:rPr>
          <w:rFonts w:ascii="仿宋" w:hAnsi="仿宋" w:eastAsia="仿宋" w:cs="仿宋"/>
        </w:rPr>
        <w:t>1922期《变更商标代理机构公告</w:t>
      </w:r>
      <w:r>
        <w:rPr>
          <w:rFonts w:hint="eastAsia" w:ascii="仿宋" w:hAnsi="仿宋" w:eastAsia="仿宋" w:cs="仿宋"/>
        </w:rPr>
        <w:t>》。</w:t>
      </w:r>
    </w:p>
  </w:footnote>
  <w:footnote w:id="16">
    <w:p w14:paraId="1B315682">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第16172106号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13</w:t>
      </w:r>
      <w:r>
        <w:rPr>
          <w:rFonts w:hint="eastAsia" w:ascii="仿宋" w:hAnsi="仿宋" w:eastAsia="仿宋" w:cs="仿宋"/>
        </w:rPr>
        <w:t>日刊登在中国商标网第</w:t>
      </w:r>
      <w:r>
        <w:rPr>
          <w:rFonts w:ascii="仿宋" w:hAnsi="仿宋" w:eastAsia="仿宋" w:cs="仿宋"/>
        </w:rPr>
        <w:t>1955期《商标更正公告</w:t>
      </w:r>
      <w:r>
        <w:rPr>
          <w:rFonts w:hint="eastAsia" w:ascii="仿宋" w:hAnsi="仿宋" w:eastAsia="仿宋" w:cs="仿宋"/>
        </w:rPr>
        <w:t>》。</w:t>
      </w:r>
    </w:p>
  </w:footnote>
  <w:footnote w:id="17">
    <w:p w14:paraId="6D168357">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第23855169号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1957期《商标更正公告</w:t>
      </w:r>
      <w:r>
        <w:rPr>
          <w:rFonts w:hint="eastAsia" w:ascii="仿宋" w:hAnsi="仿宋" w:eastAsia="仿宋" w:cs="仿宋"/>
        </w:rPr>
        <w:t>》。</w:t>
      </w:r>
    </w:p>
  </w:footnote>
  <w:footnote w:id="18">
    <w:p w14:paraId="5B366C50">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第3487918号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1957期《注册商标续展公告</w:t>
      </w:r>
      <w:r>
        <w:rPr>
          <w:rFonts w:hint="eastAsia" w:ascii="仿宋" w:hAnsi="仿宋" w:eastAsia="仿宋" w:cs="仿宋"/>
        </w:rPr>
        <w:t>》。</w:t>
      </w:r>
    </w:p>
  </w:footnote>
  <w:footnote w:id="19">
    <w:p w14:paraId="5E891814">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第871262号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年1</w:t>
      </w:r>
      <w:r>
        <w:rPr>
          <w:rFonts w:ascii="仿宋" w:hAnsi="仿宋" w:eastAsia="仿宋" w:cs="仿宋"/>
        </w:rPr>
        <w:t>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1957期《注册商标续展公告</w:t>
      </w:r>
      <w:r>
        <w:rPr>
          <w:rFonts w:hint="eastAsia" w:ascii="仿宋" w:hAnsi="仿宋" w:eastAsia="仿宋" w:cs="仿宋"/>
        </w:rPr>
        <w:t>》。</w:t>
      </w:r>
    </w:p>
  </w:footnote>
  <w:footnote w:id="20">
    <w:p w14:paraId="69026CD7">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第7824626号</w:t>
      </w:r>
      <w:r>
        <w:rPr>
          <w:rFonts w:hint="eastAsia" w:ascii="仿宋" w:hAnsi="仿宋" w:eastAsia="仿宋" w:cs="仿宋"/>
        </w:rPr>
        <w:t>商标，于</w:t>
      </w:r>
      <w:r>
        <w:rPr>
          <w:rFonts w:ascii="仿宋" w:hAnsi="仿宋" w:eastAsia="仿宋" w:cs="仿宋"/>
        </w:rPr>
        <w:t>2021</w:t>
      </w:r>
      <w:r>
        <w:rPr>
          <w:rFonts w:hint="eastAsia" w:ascii="仿宋" w:hAnsi="仿宋" w:eastAsia="仿宋" w:cs="仿宋"/>
        </w:rPr>
        <w:t>年</w:t>
      </w:r>
      <w:r>
        <w:rPr>
          <w:rFonts w:ascii="仿宋" w:hAnsi="仿宋" w:eastAsia="仿宋" w:cs="仿宋"/>
        </w:rPr>
        <w:t>1</w:t>
      </w:r>
      <w:r>
        <w:rPr>
          <w:rFonts w:hint="eastAsia" w:ascii="仿宋" w:hAnsi="仿宋" w:eastAsia="仿宋" w:cs="仿宋"/>
        </w:rPr>
        <w:t>月6日刊登在中国商标网第</w:t>
      </w:r>
      <w:r>
        <w:rPr>
          <w:rFonts w:ascii="仿宋" w:hAnsi="仿宋" w:eastAsia="仿宋" w:cs="仿宋"/>
        </w:rPr>
        <w:t>1726期《注册商标续展公告</w:t>
      </w:r>
      <w:r>
        <w:rPr>
          <w:rFonts w:hint="eastAsia" w:ascii="仿宋" w:hAnsi="仿宋" w:eastAsia="仿宋" w:cs="仿宋"/>
        </w:rPr>
        <w:t>》。</w:t>
      </w:r>
    </w:p>
  </w:footnote>
  <w:footnote w:id="21">
    <w:p w14:paraId="275C4A58">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第71495193号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1957期《商标使用许可备案公告</w:t>
      </w:r>
      <w:r>
        <w:rPr>
          <w:rFonts w:hint="eastAsia" w:ascii="仿宋" w:hAnsi="仿宋" w:eastAsia="仿宋" w:cs="仿宋"/>
        </w:rPr>
        <w:t>》。</w:t>
      </w:r>
    </w:p>
  </w:footnote>
  <w:footnote w:id="22">
    <w:p w14:paraId="6C075843">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第67623324号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w:t>
      </w:r>
      <w:r>
        <w:rPr>
          <w:rFonts w:ascii="仿宋" w:hAnsi="仿宋" w:eastAsia="仿宋" w:cs="仿宋"/>
        </w:rPr>
        <w:t>10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1957期《商标使用许可备案公告</w:t>
      </w:r>
      <w:r>
        <w:rPr>
          <w:rFonts w:hint="eastAsia" w:ascii="仿宋" w:hAnsi="仿宋" w:eastAsia="仿宋" w:cs="仿宋"/>
        </w:rPr>
        <w:t>》。</w:t>
      </w:r>
    </w:p>
  </w:footnote>
  <w:footnote w:id="23">
    <w:p w14:paraId="01F235E6">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第17035154号</w:t>
      </w:r>
      <w:r>
        <w:rPr>
          <w:rFonts w:hint="eastAsia" w:ascii="仿宋" w:hAnsi="仿宋" w:eastAsia="仿宋" w:cs="仿宋"/>
        </w:rPr>
        <w:t>商标，于</w:t>
      </w:r>
      <w:r>
        <w:rPr>
          <w:rFonts w:ascii="仿宋" w:hAnsi="仿宋" w:eastAsia="仿宋" w:cs="仿宋"/>
        </w:rPr>
        <w:t>2025</w:t>
      </w:r>
      <w:r>
        <w:rPr>
          <w:rFonts w:hint="eastAsia" w:ascii="仿宋" w:hAnsi="仿宋" w:eastAsia="仿宋" w:cs="仿宋"/>
        </w:rPr>
        <w:t>年1</w:t>
      </w:r>
      <w:r>
        <w:rPr>
          <w:rFonts w:ascii="仿宋" w:hAnsi="仿宋" w:eastAsia="仿宋" w:cs="仿宋"/>
        </w:rPr>
        <w:t>0</w:t>
      </w:r>
      <w:r>
        <w:rPr>
          <w:rFonts w:hint="eastAsia" w:ascii="仿宋" w:hAnsi="仿宋" w:eastAsia="仿宋" w:cs="仿宋"/>
        </w:rPr>
        <w:t>月</w:t>
      </w:r>
      <w:r>
        <w:rPr>
          <w:rFonts w:ascii="仿宋" w:hAnsi="仿宋" w:eastAsia="仿宋" w:cs="仿宋"/>
        </w:rPr>
        <w:t>27</w:t>
      </w:r>
      <w:r>
        <w:rPr>
          <w:rFonts w:hint="eastAsia" w:ascii="仿宋" w:hAnsi="仿宋" w:eastAsia="仿宋" w:cs="仿宋"/>
        </w:rPr>
        <w:t>日刊登在中国商标网第</w:t>
      </w:r>
      <w:r>
        <w:rPr>
          <w:rFonts w:ascii="仿宋" w:hAnsi="仿宋" w:eastAsia="仿宋" w:cs="仿宋"/>
        </w:rPr>
        <w:t>1957期《商标使用许可备案公告</w:t>
      </w:r>
      <w:r>
        <w:rPr>
          <w:rFonts w:hint="eastAsia" w:ascii="仿宋" w:hAnsi="仿宋" w:eastAsia="仿宋" w:cs="仿宋"/>
        </w:rPr>
        <w:t>》。</w:t>
      </w:r>
    </w:p>
  </w:footnote>
  <w:footnote w:id="24">
    <w:p w14:paraId="02B6F6E6">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第4167051号</w:t>
      </w:r>
      <w:r>
        <w:rPr>
          <w:rFonts w:hint="eastAsia" w:ascii="仿宋" w:hAnsi="仿宋" w:eastAsia="仿宋" w:cs="仿宋"/>
        </w:rPr>
        <w:t>商标，于</w:t>
      </w:r>
      <w:r>
        <w:rPr>
          <w:rFonts w:ascii="仿宋" w:hAnsi="仿宋" w:eastAsia="仿宋" w:cs="仿宋"/>
        </w:rPr>
        <w:t>2022</w:t>
      </w:r>
      <w:r>
        <w:rPr>
          <w:rFonts w:hint="eastAsia" w:ascii="仿宋" w:hAnsi="仿宋" w:eastAsia="仿宋" w:cs="仿宋"/>
        </w:rPr>
        <w:t>年</w:t>
      </w:r>
      <w:r>
        <w:rPr>
          <w:rFonts w:ascii="仿宋" w:hAnsi="仿宋" w:eastAsia="仿宋" w:cs="仿宋"/>
        </w:rPr>
        <w:t>11</w:t>
      </w:r>
      <w:r>
        <w:rPr>
          <w:rFonts w:hint="eastAsia" w:ascii="仿宋" w:hAnsi="仿宋" w:eastAsia="仿宋" w:cs="仿宋"/>
        </w:rPr>
        <w:t>月</w:t>
      </w:r>
      <w:r>
        <w:rPr>
          <w:rFonts w:ascii="仿宋" w:hAnsi="仿宋" w:eastAsia="仿宋" w:cs="仿宋"/>
        </w:rPr>
        <w:t>20</w:t>
      </w:r>
      <w:r>
        <w:rPr>
          <w:rFonts w:hint="eastAsia" w:ascii="仿宋" w:hAnsi="仿宋" w:eastAsia="仿宋" w:cs="仿宋"/>
        </w:rPr>
        <w:t>日刊登在中国商标网第</w:t>
      </w:r>
      <w:r>
        <w:rPr>
          <w:rFonts w:ascii="仿宋" w:hAnsi="仿宋" w:eastAsia="仿宋" w:cs="仿宋"/>
        </w:rPr>
        <w:t>1816期《商标使用许可</w:t>
      </w:r>
      <w:r>
        <w:rPr>
          <w:rFonts w:hint="eastAsia" w:ascii="仿宋" w:hAnsi="仿宋" w:eastAsia="仿宋" w:cs="仿宋"/>
        </w:rPr>
        <w:t>变更</w:t>
      </w:r>
      <w:r>
        <w:rPr>
          <w:rFonts w:ascii="仿宋" w:hAnsi="仿宋" w:eastAsia="仿宋" w:cs="仿宋"/>
        </w:rPr>
        <w:t>公告</w:t>
      </w:r>
      <w:r>
        <w:rPr>
          <w:rFonts w:hint="eastAsia" w:ascii="仿宋" w:hAnsi="仿宋" w:eastAsia="仿宋" w:cs="仿宋"/>
        </w:rPr>
        <w:t>》。</w:t>
      </w:r>
    </w:p>
  </w:footnote>
  <w:footnote w:id="25">
    <w:p w14:paraId="427E8F2C">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第50700477号</w:t>
      </w:r>
      <w:r>
        <w:rPr>
          <w:rFonts w:hint="eastAsia" w:ascii="仿宋" w:hAnsi="仿宋" w:eastAsia="仿宋" w:cs="仿宋"/>
        </w:rPr>
        <w:t>商标，于2025年10月13日刊登在中国商标网第</w:t>
      </w:r>
      <w:r>
        <w:rPr>
          <w:rFonts w:ascii="仿宋" w:hAnsi="仿宋" w:eastAsia="仿宋" w:cs="仿宋"/>
        </w:rPr>
        <w:t>1955期《商标使用许可</w:t>
      </w:r>
      <w:r>
        <w:rPr>
          <w:rFonts w:hint="eastAsia" w:ascii="仿宋" w:hAnsi="仿宋" w:eastAsia="仿宋" w:cs="仿宋"/>
        </w:rPr>
        <w:t>终止</w:t>
      </w:r>
      <w:r>
        <w:rPr>
          <w:rFonts w:ascii="仿宋" w:hAnsi="仿宋" w:eastAsia="仿宋" w:cs="仿宋"/>
        </w:rPr>
        <w:t>公告</w:t>
      </w:r>
      <w:r>
        <w:rPr>
          <w:rFonts w:hint="eastAsia" w:ascii="仿宋" w:hAnsi="仿宋" w:eastAsia="仿宋" w:cs="仿宋"/>
        </w:rPr>
        <w:t>》。</w:t>
      </w:r>
    </w:p>
  </w:footnote>
  <w:footnote w:id="26">
    <w:p w14:paraId="2FA5DAB9">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第23565550号</w:t>
      </w:r>
      <w:r>
        <w:rPr>
          <w:rFonts w:hint="eastAsia" w:ascii="仿宋" w:hAnsi="仿宋" w:eastAsia="仿宋" w:cs="仿宋"/>
        </w:rPr>
        <w:t>商标，于2025年7月6日刊登在中国商标网第</w:t>
      </w:r>
      <w:r>
        <w:rPr>
          <w:rFonts w:ascii="仿宋" w:hAnsi="仿宋" w:eastAsia="仿宋" w:cs="仿宋"/>
        </w:rPr>
        <w:t>1942期《商标使用许可</w:t>
      </w:r>
      <w:r>
        <w:rPr>
          <w:rFonts w:hint="eastAsia" w:ascii="仿宋" w:hAnsi="仿宋" w:eastAsia="仿宋" w:cs="仿宋"/>
        </w:rPr>
        <w:t>终止</w:t>
      </w:r>
      <w:r>
        <w:rPr>
          <w:rFonts w:ascii="仿宋" w:hAnsi="仿宋" w:eastAsia="仿宋" w:cs="仿宋"/>
        </w:rPr>
        <w:t>公告</w:t>
      </w:r>
      <w:r>
        <w:rPr>
          <w:rFonts w:hint="eastAsia" w:ascii="仿宋" w:hAnsi="仿宋" w:eastAsia="仿宋" w:cs="仿宋"/>
        </w:rPr>
        <w:t>》。</w:t>
      </w:r>
    </w:p>
  </w:footnote>
  <w:footnote w:id="27">
    <w:p w14:paraId="5753B7EC">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第61211221号</w:t>
      </w:r>
      <w:r>
        <w:rPr>
          <w:rFonts w:hint="eastAsia" w:ascii="仿宋" w:hAnsi="仿宋" w:eastAsia="仿宋" w:cs="仿宋"/>
        </w:rPr>
        <w:t>商标，于2025年10月27日刊登在中国商标网第</w:t>
      </w:r>
      <w:r>
        <w:rPr>
          <w:rFonts w:ascii="仿宋" w:hAnsi="仿宋" w:eastAsia="仿宋" w:cs="仿宋"/>
        </w:rPr>
        <w:t>1957期《商标质权登记公告</w:t>
      </w:r>
      <w:r>
        <w:rPr>
          <w:rFonts w:hint="eastAsia" w:ascii="仿宋" w:hAnsi="仿宋" w:eastAsia="仿宋" w:cs="仿宋"/>
        </w:rPr>
        <w:t>》。</w:t>
      </w:r>
    </w:p>
  </w:footnote>
  <w:footnote w:id="28">
    <w:p w14:paraId="75DDC4B1">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第4437498号</w:t>
      </w:r>
      <w:r>
        <w:rPr>
          <w:rFonts w:hint="eastAsia" w:ascii="仿宋" w:hAnsi="仿宋" w:eastAsia="仿宋" w:cs="仿宋"/>
        </w:rPr>
        <w:t>商标，于2025年1月20日刊登在中国商标网第</w:t>
      </w:r>
      <w:r>
        <w:rPr>
          <w:rFonts w:ascii="仿宋" w:hAnsi="仿宋" w:eastAsia="仿宋" w:cs="仿宋"/>
        </w:rPr>
        <w:t>1920期《商标质权登记公告</w:t>
      </w:r>
      <w:r>
        <w:rPr>
          <w:rFonts w:hint="eastAsia" w:ascii="仿宋" w:hAnsi="仿宋" w:eastAsia="仿宋" w:cs="仿宋"/>
        </w:rPr>
        <w:t>》。</w:t>
      </w:r>
    </w:p>
  </w:footnote>
  <w:footnote w:id="29">
    <w:p w14:paraId="4F6CF63C">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第12699477号</w:t>
      </w:r>
      <w:r>
        <w:rPr>
          <w:rFonts w:hint="eastAsia" w:ascii="仿宋" w:hAnsi="仿宋" w:eastAsia="仿宋" w:cs="仿宋"/>
        </w:rPr>
        <w:t>商标，于2025年10月13日刊登在中国商标网第</w:t>
      </w:r>
      <w:r>
        <w:rPr>
          <w:rFonts w:ascii="仿宋" w:hAnsi="仿宋" w:eastAsia="仿宋" w:cs="仿宋"/>
        </w:rPr>
        <w:t>1955期《商标质权登记注销公告</w:t>
      </w:r>
      <w:r>
        <w:rPr>
          <w:rFonts w:hint="eastAsia" w:ascii="仿宋" w:hAnsi="仿宋" w:eastAsia="仿宋" w:cs="仿宋"/>
        </w:rPr>
        <w:t>》。</w:t>
      </w:r>
    </w:p>
  </w:footnote>
  <w:footnote w:id="30">
    <w:p w14:paraId="07646053">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第806840号</w:t>
      </w:r>
      <w:r>
        <w:rPr>
          <w:rFonts w:hint="eastAsia" w:ascii="仿宋" w:hAnsi="仿宋" w:eastAsia="仿宋" w:cs="仿宋"/>
        </w:rPr>
        <w:t>商标，于2025年10月27日刊登在中国商标网第</w:t>
      </w:r>
      <w:r>
        <w:rPr>
          <w:rFonts w:ascii="仿宋" w:hAnsi="仿宋" w:eastAsia="仿宋" w:cs="仿宋"/>
        </w:rPr>
        <w:t>1957期《注册商标注销公告</w:t>
      </w:r>
      <w:r>
        <w:rPr>
          <w:rFonts w:hint="eastAsia" w:ascii="仿宋" w:hAnsi="仿宋" w:eastAsia="仿宋" w:cs="仿宋"/>
        </w:rPr>
        <w:t>》。</w:t>
      </w:r>
    </w:p>
  </w:footnote>
  <w:footnote w:id="31">
    <w:p w14:paraId="341FCEF5">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第1408234号</w:t>
      </w:r>
      <w:r>
        <w:rPr>
          <w:rFonts w:hint="eastAsia" w:ascii="仿宋" w:hAnsi="仿宋" w:eastAsia="仿宋" w:cs="仿宋"/>
        </w:rPr>
        <w:t>商标，于2025年10月27日刊登在中国商标网第</w:t>
      </w:r>
      <w:r>
        <w:rPr>
          <w:rFonts w:ascii="仿宋" w:hAnsi="仿宋" w:eastAsia="仿宋" w:cs="仿宋"/>
        </w:rPr>
        <w:t>1957期《注册商标注销公告</w:t>
      </w:r>
      <w:r>
        <w:rPr>
          <w:rFonts w:hint="eastAsia" w:ascii="仿宋" w:hAnsi="仿宋" w:eastAsia="仿宋" w:cs="仿宋"/>
        </w:rPr>
        <w:t>》。</w:t>
      </w:r>
    </w:p>
  </w:footnote>
  <w:footnote w:id="32">
    <w:p w14:paraId="1F51D9D5">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第65448671号</w:t>
      </w:r>
      <w:r>
        <w:rPr>
          <w:rFonts w:hint="eastAsia" w:ascii="仿宋" w:hAnsi="仿宋" w:eastAsia="仿宋" w:cs="仿宋"/>
        </w:rPr>
        <w:t>商标，于2025年10月27日刊登在中国商标网第</w:t>
      </w:r>
      <w:r>
        <w:rPr>
          <w:rFonts w:ascii="仿宋" w:hAnsi="仿宋" w:eastAsia="仿宋" w:cs="仿宋"/>
        </w:rPr>
        <w:t>1957期《无效公告</w:t>
      </w:r>
      <w:r>
        <w:rPr>
          <w:rFonts w:hint="eastAsia" w:ascii="仿宋" w:hAnsi="仿宋" w:eastAsia="仿宋" w:cs="仿宋"/>
        </w:rPr>
        <w:t>》。</w:t>
      </w:r>
    </w:p>
  </w:footnote>
  <w:footnote w:id="33">
    <w:p w14:paraId="330926EF">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第4249520号</w:t>
      </w:r>
      <w:r>
        <w:rPr>
          <w:rFonts w:hint="eastAsia" w:ascii="仿宋" w:hAnsi="仿宋" w:eastAsia="仿宋" w:cs="仿宋"/>
        </w:rPr>
        <w:t>商标，于2025年10月20日刊登在中国商标网第</w:t>
      </w:r>
      <w:r>
        <w:rPr>
          <w:rFonts w:ascii="仿宋" w:hAnsi="仿宋" w:eastAsia="仿宋" w:cs="仿宋"/>
        </w:rPr>
        <w:t>1956期《无效公告</w:t>
      </w:r>
      <w:r>
        <w:rPr>
          <w:rFonts w:hint="eastAsia" w:ascii="仿宋" w:hAnsi="仿宋" w:eastAsia="仿宋" w:cs="仿宋"/>
        </w:rPr>
        <w:t>》。</w:t>
      </w:r>
    </w:p>
  </w:footnote>
  <w:footnote w:id="34">
    <w:p w14:paraId="28EC7A32">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第7824626号</w:t>
      </w:r>
      <w:r>
        <w:rPr>
          <w:rFonts w:hint="eastAsia" w:ascii="仿宋" w:hAnsi="仿宋" w:eastAsia="仿宋" w:cs="仿宋"/>
        </w:rPr>
        <w:t>商标，于2025年9月20日刊登在中国商标网第</w:t>
      </w:r>
      <w:r>
        <w:rPr>
          <w:rFonts w:ascii="仿宋" w:hAnsi="仿宋" w:eastAsia="仿宋" w:cs="仿宋"/>
        </w:rPr>
        <w:t>1952期《无效公告</w:t>
      </w:r>
      <w:r>
        <w:rPr>
          <w:rFonts w:hint="eastAsia" w:ascii="仿宋" w:hAnsi="仿宋" w:eastAsia="仿宋" w:cs="仿宋"/>
        </w:rPr>
        <w:t>》。</w:t>
      </w:r>
    </w:p>
  </w:footnote>
  <w:footnote w:id="35">
    <w:p w14:paraId="40170F56">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第7609673号</w:t>
      </w:r>
      <w:r>
        <w:rPr>
          <w:rFonts w:hint="eastAsia" w:ascii="仿宋" w:hAnsi="仿宋" w:eastAsia="仿宋" w:cs="仿宋"/>
        </w:rPr>
        <w:t>商标，于2021年2月20日刊登在中国商标网第</w:t>
      </w:r>
      <w:r>
        <w:rPr>
          <w:rFonts w:ascii="仿宋" w:hAnsi="仿宋" w:eastAsia="仿宋" w:cs="仿宋"/>
        </w:rPr>
        <w:t>1732期《商标注册证遗失声明公告</w:t>
      </w:r>
      <w:r>
        <w:rPr>
          <w:rFonts w:hint="eastAsia" w:ascii="仿宋" w:hAnsi="仿宋" w:eastAsia="仿宋" w:cs="仿宋"/>
        </w:rPr>
        <w:t>》。</w:t>
      </w:r>
    </w:p>
  </w:footnote>
  <w:footnote w:id="36">
    <w:p w14:paraId="34DAD4A5">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第4118622号</w:t>
      </w:r>
      <w:r>
        <w:rPr>
          <w:rFonts w:hint="eastAsia" w:ascii="仿宋" w:hAnsi="仿宋" w:eastAsia="仿宋" w:cs="仿宋"/>
        </w:rPr>
        <w:t>商标，于2025年10月27日刊登在中国商标网第</w:t>
      </w:r>
      <w:r>
        <w:rPr>
          <w:rFonts w:ascii="仿宋" w:hAnsi="仿宋" w:eastAsia="仿宋" w:cs="仿宋"/>
        </w:rPr>
        <w:t>1957期《商标注册证遗失声明公告</w:t>
      </w:r>
      <w:r>
        <w:rPr>
          <w:rFonts w:hint="eastAsia" w:ascii="仿宋" w:hAnsi="仿宋" w:eastAsia="仿宋" w:cs="仿宋"/>
        </w:rPr>
        <w:t>》。</w:t>
      </w:r>
    </w:p>
  </w:footnote>
  <w:footnote w:id="37">
    <w:p w14:paraId="5BA6C2DA">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第9582241号</w:t>
      </w:r>
      <w:r>
        <w:rPr>
          <w:rFonts w:hint="eastAsia" w:ascii="仿宋" w:hAnsi="仿宋" w:eastAsia="仿宋" w:cs="仿宋"/>
        </w:rPr>
        <w:t>商标，于2025年10月27日刊登在中国商标网第</w:t>
      </w:r>
      <w:r>
        <w:rPr>
          <w:rFonts w:ascii="仿宋" w:hAnsi="仿宋" w:eastAsia="仿宋" w:cs="仿宋"/>
        </w:rPr>
        <w:t>1957期《商标注册证遗失声明公告</w:t>
      </w:r>
      <w:r>
        <w:rPr>
          <w:rFonts w:hint="eastAsia" w:ascii="仿宋" w:hAnsi="仿宋" w:eastAsia="仿宋" w:cs="仿宋"/>
        </w:rPr>
        <w:t>》。</w:t>
      </w:r>
    </w:p>
  </w:footnote>
  <w:footnote w:id="38">
    <w:p w14:paraId="52BB6894">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第3953604号</w:t>
      </w:r>
      <w:r>
        <w:rPr>
          <w:rFonts w:hint="eastAsia" w:ascii="仿宋" w:hAnsi="仿宋" w:eastAsia="仿宋" w:cs="仿宋"/>
        </w:rPr>
        <w:t>商标，于2025年10月27日刊登在中国商标网第</w:t>
      </w:r>
      <w:r>
        <w:rPr>
          <w:rFonts w:ascii="仿宋" w:hAnsi="仿宋" w:eastAsia="仿宋" w:cs="仿宋"/>
        </w:rPr>
        <w:t>1957期《送达公告</w:t>
      </w:r>
      <w:r>
        <w:rPr>
          <w:rFonts w:hint="eastAsia" w:ascii="仿宋" w:hAnsi="仿宋" w:eastAsia="仿宋" w:cs="仿宋"/>
        </w:rPr>
        <w:t>》。</w:t>
      </w:r>
    </w:p>
  </w:footnote>
  <w:footnote w:id="39">
    <w:p w14:paraId="76ECC1FB">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第4279546号</w:t>
      </w:r>
      <w:r>
        <w:rPr>
          <w:rFonts w:hint="eastAsia" w:ascii="仿宋" w:hAnsi="仿宋" w:eastAsia="仿宋" w:cs="仿宋"/>
        </w:rPr>
        <w:t>商标，于2025年10月27日刊登在中国商标网第</w:t>
      </w:r>
      <w:r>
        <w:rPr>
          <w:rFonts w:ascii="仿宋" w:hAnsi="仿宋" w:eastAsia="仿宋" w:cs="仿宋"/>
        </w:rPr>
        <w:t>1957期《送达公告</w:t>
      </w:r>
      <w:r>
        <w:rPr>
          <w:rFonts w:hint="eastAsia" w:ascii="仿宋" w:hAnsi="仿宋" w:eastAsia="仿宋" w:cs="仿宋"/>
        </w:rPr>
        <w:t>》。</w:t>
      </w:r>
    </w:p>
  </w:footnote>
  <w:footnote w:id="40">
    <w:p w14:paraId="0944D4ED">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第7824626号</w:t>
      </w:r>
      <w:r>
        <w:rPr>
          <w:rFonts w:hint="eastAsia" w:ascii="仿宋" w:hAnsi="仿宋" w:eastAsia="仿宋" w:cs="仿宋"/>
        </w:rPr>
        <w:t>商标，于2025年1月27日刊登在中国商标网第</w:t>
      </w:r>
      <w:r>
        <w:rPr>
          <w:rFonts w:ascii="仿宋" w:hAnsi="仿宋" w:eastAsia="仿宋" w:cs="仿宋"/>
        </w:rPr>
        <w:t>1921期《送达公告</w:t>
      </w:r>
      <w:r>
        <w:rPr>
          <w:rFonts w:hint="eastAsia" w:ascii="仿宋" w:hAnsi="仿宋" w:eastAsia="仿宋" w:cs="仿宋"/>
        </w:rPr>
        <w:t>》。</w:t>
      </w:r>
    </w:p>
  </w:footnote>
  <w:footnote w:id="41">
    <w:p w14:paraId="35B24C68">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《专利审查指南》</w:t>
      </w:r>
      <w:r>
        <w:rPr>
          <w:rFonts w:ascii="仿宋" w:hAnsi="仿宋" w:eastAsia="仿宋" w:cs="仿宋"/>
        </w:rPr>
        <w:t>第一部分第一章</w:t>
      </w:r>
      <w:r>
        <w:rPr>
          <w:rFonts w:hint="eastAsia" w:ascii="仿宋" w:hAnsi="仿宋" w:eastAsia="仿宋" w:cs="仿宋"/>
        </w:rPr>
        <w:t>第</w:t>
      </w:r>
      <w:r>
        <w:rPr>
          <w:rFonts w:ascii="仿宋" w:hAnsi="仿宋" w:eastAsia="仿宋" w:cs="仿宋"/>
        </w:rPr>
        <w:t>6.7节。</w:t>
      </w:r>
    </w:p>
  </w:footnote>
  <w:footnote w:id="42">
    <w:p w14:paraId="286696E0">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参见《发明专利公报》（</w:t>
      </w:r>
      <w:r>
        <w:rPr>
          <w:rFonts w:ascii="仿宋" w:hAnsi="仿宋" w:eastAsia="仿宋" w:cs="仿宋"/>
        </w:rPr>
        <w:t>2025.10.28</w:t>
      </w:r>
      <w:r>
        <w:rPr>
          <w:rFonts w:hint="eastAsia" w:ascii="仿宋" w:hAnsi="仿宋" w:eastAsia="仿宋" w:cs="仿宋"/>
        </w:rPr>
        <w:t>），</w:t>
      </w:r>
      <w:r>
        <w:rPr>
          <w:rFonts w:ascii="仿宋" w:hAnsi="仿宋" w:eastAsia="仿宋" w:cs="仿宋"/>
        </w:rPr>
        <w:t>授权公告号</w:t>
      </w:r>
      <w:r>
        <w:rPr>
          <w:rFonts w:hint="eastAsia" w:ascii="仿宋" w:hAnsi="仿宋" w:eastAsia="仿宋" w:cs="仿宋"/>
        </w:rPr>
        <w:t>：</w:t>
      </w:r>
      <w:r>
        <w:rPr>
          <w:rFonts w:ascii="仿宋" w:hAnsi="仿宋" w:eastAsia="仿宋" w:cs="仿宋"/>
        </w:rPr>
        <w:t>CN116235796B</w:t>
      </w:r>
      <w:r>
        <w:rPr>
          <w:rFonts w:hint="eastAsia" w:ascii="仿宋" w:hAnsi="仿宋" w:eastAsia="仿宋" w:cs="仿宋"/>
        </w:rPr>
        <w:t>。</w:t>
      </w:r>
    </w:p>
  </w:footnote>
  <w:footnote w:id="43">
    <w:p w14:paraId="32AB8CFA">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参见《发明专利公报》（</w:t>
      </w:r>
      <w:r>
        <w:rPr>
          <w:rFonts w:ascii="仿宋" w:hAnsi="仿宋" w:eastAsia="仿宋" w:cs="仿宋"/>
        </w:rPr>
        <w:t>2025.11.07</w:t>
      </w:r>
      <w:r>
        <w:rPr>
          <w:rFonts w:hint="eastAsia" w:ascii="仿宋" w:hAnsi="仿宋" w:eastAsia="仿宋" w:cs="仿宋"/>
        </w:rPr>
        <w:t>），申请公布</w:t>
      </w:r>
      <w:r>
        <w:rPr>
          <w:rFonts w:ascii="仿宋" w:hAnsi="仿宋" w:eastAsia="仿宋" w:cs="仿宋"/>
        </w:rPr>
        <w:t>号</w:t>
      </w:r>
      <w:r>
        <w:rPr>
          <w:rFonts w:hint="eastAsia" w:ascii="仿宋" w:hAnsi="仿宋" w:eastAsia="仿宋" w:cs="仿宋"/>
        </w:rPr>
        <w:t>：</w:t>
      </w:r>
      <w:r>
        <w:rPr>
          <w:rFonts w:ascii="仿宋" w:hAnsi="仿宋" w:eastAsia="仿宋" w:cs="仿宋"/>
        </w:rPr>
        <w:t>CN120916805A</w:t>
      </w:r>
      <w:r>
        <w:rPr>
          <w:rFonts w:hint="eastAsia" w:ascii="仿宋" w:hAnsi="仿宋" w:eastAsia="仿宋" w:cs="仿宋"/>
        </w:rPr>
        <w:t>。</w:t>
      </w:r>
    </w:p>
  </w:footnote>
  <w:footnote w:id="44">
    <w:p w14:paraId="70487894">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《专利审查指南》</w:t>
      </w:r>
      <w:r>
        <w:rPr>
          <w:rFonts w:ascii="仿宋" w:hAnsi="仿宋" w:eastAsia="仿宋" w:cs="仿宋"/>
        </w:rPr>
        <w:t>第一部分第一章</w:t>
      </w:r>
      <w:r>
        <w:rPr>
          <w:rFonts w:hint="eastAsia" w:ascii="仿宋" w:hAnsi="仿宋" w:eastAsia="仿宋" w:cs="仿宋"/>
        </w:rPr>
        <w:t>第</w:t>
      </w:r>
      <w:r>
        <w:rPr>
          <w:rFonts w:ascii="仿宋" w:hAnsi="仿宋" w:eastAsia="仿宋" w:cs="仿宋"/>
        </w:rPr>
        <w:t>4.1.2节。</w:t>
      </w:r>
    </w:p>
  </w:footnote>
  <w:footnote w:id="45">
    <w:p w14:paraId="784DC04F">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网红敬汉卿姓名被抢注商标，不改名就侵权？回应：这是我真名</w:t>
      </w:r>
      <w:r>
        <w:rPr>
          <w:rFonts w:hint="eastAsia" w:ascii="仿宋" w:hAnsi="仿宋" w:eastAsia="仿宋" w:cs="仿宋"/>
        </w:rPr>
        <w:t>》，载红星新闻，</w:t>
      </w:r>
      <w:r>
        <w:rPr>
          <w:rFonts w:ascii="仿宋" w:hAnsi="仿宋" w:eastAsia="仿宋" w:cs="仿宋"/>
        </w:rPr>
        <w:t>https://baijiahao.baidu.com/s?id=1641123419441184840&amp;wfr=spider&amp;for=pc</w:t>
      </w:r>
      <w:r>
        <w:rPr>
          <w:rFonts w:hint="eastAsia" w:ascii="仿宋" w:hAnsi="仿宋" w:eastAsia="仿宋" w:cs="仿宋"/>
        </w:rPr>
        <w:t>，</w:t>
      </w:r>
      <w:r>
        <w:rPr>
          <w:rFonts w:ascii="仿宋" w:hAnsi="仿宋" w:eastAsia="仿宋" w:cs="仿宋"/>
        </w:rPr>
        <w:t>2025年11月8日访问。</w:t>
      </w:r>
    </w:p>
  </w:footnote>
  <w:footnote w:id="46">
    <w:p w14:paraId="7926BFE1">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参见诺一：《</w:t>
      </w:r>
      <w:r>
        <w:rPr>
          <w:rFonts w:ascii="仿宋" w:hAnsi="仿宋" w:eastAsia="仿宋" w:cs="仿宋"/>
        </w:rPr>
        <w:t>当UP主因为申请商标泄露隐私</w:t>
      </w:r>
      <w:r>
        <w:rPr>
          <w:rFonts w:hint="eastAsia" w:ascii="仿宋" w:hAnsi="仿宋" w:eastAsia="仿宋" w:cs="仿宋"/>
        </w:rPr>
        <w:t>》，载搜狐新闻，</w:t>
      </w:r>
      <w:r>
        <w:rPr>
          <w:rFonts w:ascii="仿宋" w:hAnsi="仿宋" w:eastAsia="仿宋" w:cs="仿宋"/>
        </w:rPr>
        <w:t>https://www.sohu.com/a/387081818_221481</w:t>
      </w:r>
      <w:r>
        <w:rPr>
          <w:rFonts w:hint="eastAsia" w:ascii="仿宋" w:hAnsi="仿宋" w:eastAsia="仿宋" w:cs="仿宋"/>
        </w:rPr>
        <w:t>，</w:t>
      </w:r>
      <w:r>
        <w:rPr>
          <w:rFonts w:ascii="仿宋" w:hAnsi="仿宋" w:eastAsia="仿宋" w:cs="仿宋"/>
        </w:rPr>
        <w:t>2025年11月8日访问。</w:t>
      </w:r>
    </w:p>
  </w:footnote>
  <w:footnote w:id="47">
    <w:p w14:paraId="748549BA">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商标公示中个人信息泄露被人肉和寄包裹的问题说明和求助</w:t>
      </w:r>
      <w:r>
        <w:rPr>
          <w:rFonts w:hint="eastAsia" w:ascii="仿宋" w:hAnsi="仿宋" w:eastAsia="仿宋" w:cs="仿宋"/>
        </w:rPr>
        <w:t>》，载企基商标网，</w:t>
      </w:r>
      <w:r>
        <w:rPr>
          <w:rFonts w:ascii="仿宋" w:hAnsi="仿宋" w:eastAsia="仿宋" w:cs="仿宋"/>
        </w:rPr>
        <w:t>https://shangbiao.qijifuwu.com/wenda/76764.html</w:t>
      </w:r>
      <w:r>
        <w:rPr>
          <w:rFonts w:hint="eastAsia" w:ascii="仿宋" w:hAnsi="仿宋" w:eastAsia="仿宋" w:cs="仿宋"/>
        </w:rPr>
        <w:t>，</w:t>
      </w:r>
      <w:r>
        <w:rPr>
          <w:rFonts w:ascii="仿宋" w:hAnsi="仿宋" w:eastAsia="仿宋" w:cs="仿宋"/>
        </w:rPr>
        <w:t>2025年11月8日访问。</w:t>
      </w:r>
    </w:p>
  </w:footnote>
  <w:footnote w:id="48">
    <w:p w14:paraId="457A6681">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ascii="仿宋" w:hAnsi="仿宋" w:eastAsia="仿宋" w:cs="仿宋"/>
          <w:i/>
          <w:iCs/>
        </w:rPr>
        <w:t xml:space="preserve">See </w:t>
      </w:r>
      <w:r>
        <w:rPr>
          <w:rFonts w:ascii="仿宋" w:hAnsi="仿宋" w:eastAsia="仿宋" w:cs="仿宋"/>
          <w:i w:val="0"/>
          <w:iCs w:val="0"/>
        </w:rPr>
        <w:t>Tim Lince</w:t>
      </w:r>
      <w:r>
        <w:rPr>
          <w:rFonts w:ascii="仿宋" w:hAnsi="仿宋" w:eastAsia="仿宋" w:cs="仿宋"/>
          <w:i/>
          <w:iCs/>
        </w:rPr>
        <w:t>: Privacy alarm as applicant passport details</w:t>
      </w:r>
      <w:r>
        <w:rPr>
          <w:rFonts w:ascii="仿宋" w:hAnsi="仿宋" w:eastAsia="仿宋" w:cs="仿宋"/>
        </w:rPr>
        <w:t xml:space="preserve"> published by China National Intellectual Property Administration(WTR), available at https://www.worldtrademarkreview.com/article/privacy-alarm-applicant-passport-details-published-china-national-intellectual-property-administration, last visited on Nov. 8th, 2025.</w:t>
      </w:r>
    </w:p>
  </w:footnote>
  <w:footnote w:id="49">
    <w:p w14:paraId="2CE23328">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程啸</w:t>
      </w:r>
      <w:r>
        <w:rPr>
          <w:rFonts w:hint="eastAsia" w:ascii="仿宋" w:hAnsi="仿宋" w:eastAsia="仿宋" w:cs="仿宋"/>
        </w:rPr>
        <w:t>：</w:t>
      </w:r>
      <w:r>
        <w:rPr>
          <w:rFonts w:ascii="仿宋" w:hAnsi="仿宋" w:eastAsia="仿宋" w:cs="仿宋"/>
        </w:rPr>
        <w:t>《论我国个人信息保护法中的个人信息处理规则》，载《清华法学》2021年第3期。</w:t>
      </w:r>
    </w:p>
  </w:footnote>
  <w:footnote w:id="50">
    <w:p w14:paraId="7330C7CB">
      <w:pPr>
        <w:pStyle w:val="14"/>
        <w:jc w:val="both"/>
      </w:pPr>
      <w:r>
        <w:rPr>
          <w:rStyle w:val="24"/>
        </w:rPr>
        <w:footnoteRef/>
      </w:r>
      <w:r>
        <w:t xml:space="preserve"> </w:t>
      </w:r>
      <w:r>
        <w:rPr>
          <w:rFonts w:ascii="仿宋" w:hAnsi="仿宋" w:eastAsia="仿宋" w:cs="仿宋"/>
          <w:i/>
          <w:iCs/>
        </w:rPr>
        <w:t xml:space="preserve">See </w:t>
      </w:r>
      <w:r>
        <w:rPr>
          <w:rFonts w:hint="eastAsia"/>
        </w:rPr>
        <w:t xml:space="preserve">Robert R. Belair, </w:t>
      </w:r>
      <w:r>
        <w:rPr>
          <w:i/>
          <w:iCs/>
        </w:rPr>
        <w:t>Agency Implementation of the Privacy Act and the Freedom of Information Act: Impact on the Government's Collection. Maintenance and Dissemination of Personally Identifiable Information</w:t>
      </w:r>
      <w:r>
        <w:rPr>
          <w:rFonts w:hint="eastAsia"/>
        </w:rPr>
        <w:t>, 10 J. Marshall J. Prac. &amp; Proc. 465 (1977).</w:t>
      </w:r>
    </w:p>
  </w:footnote>
  <w:footnote w:id="51">
    <w:p w14:paraId="71E47EAD">
      <w:pPr>
        <w:pStyle w:val="14"/>
        <w:jc w:val="both"/>
      </w:pPr>
      <w:r>
        <w:rPr>
          <w:rStyle w:val="24"/>
        </w:rPr>
        <w:footnoteRef/>
      </w:r>
      <w:r>
        <w:t xml:space="preserve"> </w:t>
      </w:r>
      <w:r>
        <w:rPr>
          <w:rFonts w:hint="eastAsia"/>
        </w:rPr>
        <w:t>General Data Protection Regulation §</w:t>
      </w:r>
      <w:r>
        <w:t>Article 6 1(c).</w:t>
      </w:r>
    </w:p>
  </w:footnote>
  <w:footnote w:id="52">
    <w:p w14:paraId="71198945">
      <w:pPr>
        <w:pStyle w:val="14"/>
        <w:jc w:val="both"/>
        <w:rPr>
          <w:rFonts w:ascii="仿宋" w:hAnsi="仿宋" w:eastAsia="仿宋" w:cs="仿宋"/>
        </w:rPr>
      </w:pPr>
      <w:r>
        <w:rPr>
          <w:rStyle w:val="24"/>
        </w:rPr>
        <w:footnoteRef/>
      </w:r>
      <w:r>
        <w:t xml:space="preserve"> </w:t>
      </w:r>
      <w:r>
        <w:rPr>
          <w:rFonts w:hint="eastAsia" w:ascii="仿宋" w:hAnsi="仿宋" w:eastAsia="仿宋" w:cs="仿宋"/>
        </w:rPr>
        <w:t>参见周海源：《“民法典时代”行政法规创设民事制度的正当性及其限度》，载《行政法学研究》2021年第3期；参见王锡锌：《行政机关处理个人信息活动的合法性分析框架》</w:t>
      </w:r>
      <w:r>
        <w:rPr>
          <w:rFonts w:ascii="仿宋" w:hAnsi="仿宋" w:eastAsia="仿宋" w:cs="仿宋"/>
        </w:rPr>
        <w:t>,</w:t>
      </w:r>
      <w:r>
        <w:rPr>
          <w:rFonts w:hint="eastAsia" w:ascii="仿宋" w:hAnsi="仿宋" w:eastAsia="仿宋" w:cs="仿宋"/>
        </w:rPr>
        <w:t>载《比较法研究》</w:t>
      </w:r>
      <w:r>
        <w:rPr>
          <w:rFonts w:ascii="仿宋" w:hAnsi="仿宋" w:eastAsia="仿宋" w:cs="仿宋"/>
        </w:rPr>
        <w:t>2022年第3期</w:t>
      </w:r>
      <w:r>
        <w:rPr>
          <w:rFonts w:hint="eastAsia" w:ascii="仿宋" w:hAnsi="仿宋" w:eastAsia="仿宋" w:cs="仿宋"/>
        </w:rPr>
        <w:t>。</w:t>
      </w:r>
    </w:p>
  </w:footnote>
  <w:footnote w:id="53">
    <w:p w14:paraId="2AB0D3FA">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程啸：《论国家机关为履行法定职责所必需的个人信息处理活动》，载《东岳论丛》2025年第6期</w:t>
      </w:r>
      <w:r>
        <w:rPr>
          <w:rFonts w:hint="eastAsia" w:ascii="仿宋" w:hAnsi="仿宋" w:eastAsia="仿宋" w:cs="仿宋"/>
        </w:rPr>
        <w:t>；《关于办理侵犯公民个人信息刑事案件适用法律若干问题的解释》第</w:t>
      </w:r>
      <w:r>
        <w:rPr>
          <w:rFonts w:ascii="仿宋" w:hAnsi="仿宋" w:eastAsia="仿宋" w:cs="仿宋"/>
        </w:rPr>
        <w:t>2条规定，“违反法律、行政法规、部门规章有关公民个人信息保护的规定的，应当认定为《刑法》第253条之一规定的‘违反国家有关规定’。”</w:t>
      </w:r>
      <w:r>
        <w:rPr>
          <w:rFonts w:hint="eastAsia" w:ascii="仿宋" w:hAnsi="仿宋" w:eastAsia="仿宋" w:cs="仿宋"/>
        </w:rPr>
        <w:t>此处亦采取了广义的概念。</w:t>
      </w:r>
    </w:p>
  </w:footnote>
  <w:footnote w:id="54">
    <w:p w14:paraId="359C58D6">
      <w:pPr>
        <w:pStyle w:val="14"/>
        <w:jc w:val="both"/>
      </w:pPr>
      <w:r>
        <w:rPr>
          <w:rStyle w:val="24"/>
        </w:rPr>
        <w:footnoteRef/>
      </w:r>
      <w:r>
        <w:t xml:space="preserve"> </w:t>
      </w:r>
      <w:r>
        <w:rPr>
          <w:rFonts w:hint="eastAsia" w:ascii="仿宋" w:hAnsi="仿宋" w:eastAsia="仿宋" w:cs="仿宋"/>
        </w:rPr>
        <w:t>参见郑春燕：《法定职责作为国家机关处理个人信息的边界》，载《中外法学》</w:t>
      </w:r>
      <w:r>
        <w:rPr>
          <w:rFonts w:ascii="仿宋" w:hAnsi="仿宋" w:eastAsia="仿宋" w:cs="仿宋"/>
        </w:rPr>
        <w:t>2025年</w:t>
      </w:r>
      <w:r>
        <w:rPr>
          <w:rFonts w:hint="eastAsia" w:ascii="仿宋" w:hAnsi="仿宋" w:eastAsia="仿宋" w:cs="仿宋"/>
        </w:rPr>
        <w:t>第</w:t>
      </w:r>
      <w:r>
        <w:rPr>
          <w:rFonts w:ascii="仿宋" w:hAnsi="仿宋" w:eastAsia="仿宋" w:cs="仿宋"/>
        </w:rPr>
        <w:t>6</w:t>
      </w:r>
      <w:r>
        <w:rPr>
          <w:rFonts w:hint="eastAsia" w:ascii="仿宋" w:hAnsi="仿宋" w:eastAsia="仿宋" w:cs="仿宋"/>
        </w:rPr>
        <w:t>期。</w:t>
      </w:r>
    </w:p>
  </w:footnote>
  <w:footnote w:id="55">
    <w:p w14:paraId="6BCE241D">
      <w:pPr>
        <w:pStyle w:val="14"/>
        <w:jc w:val="both"/>
      </w:pPr>
      <w:r>
        <w:rPr>
          <w:rStyle w:val="24"/>
        </w:rPr>
        <w:footnoteRef/>
      </w:r>
      <w:r>
        <w:rPr>
          <w:rFonts w:ascii="仿宋" w:hAnsi="仿宋" w:eastAsia="仿宋" w:cs="仿宋"/>
        </w:rPr>
        <w:t xml:space="preserve"> </w:t>
      </w:r>
      <w:r>
        <w:rPr>
          <w:rFonts w:hint="eastAsia" w:ascii="仿宋" w:hAnsi="仿宋" w:eastAsia="仿宋" w:cs="仿宋"/>
        </w:rPr>
        <w:t>参见程啸：《论为履行法定义务所必需的个人信息处理活动》，在《当代法学》</w:t>
      </w:r>
      <w:r>
        <w:rPr>
          <w:rFonts w:ascii="仿宋" w:hAnsi="仿宋" w:eastAsia="仿宋" w:cs="仿宋"/>
        </w:rPr>
        <w:t>2024</w:t>
      </w:r>
      <w:r>
        <w:rPr>
          <w:rFonts w:hint="eastAsia" w:ascii="仿宋" w:hAnsi="仿宋" w:eastAsia="仿宋" w:cs="仿宋"/>
        </w:rPr>
        <w:t>年第</w:t>
      </w:r>
      <w:r>
        <w:rPr>
          <w:rFonts w:ascii="仿宋" w:hAnsi="仿宋" w:eastAsia="仿宋" w:cs="仿宋"/>
        </w:rPr>
        <w:t>6</w:t>
      </w:r>
      <w:r>
        <w:rPr>
          <w:rFonts w:hint="eastAsia" w:ascii="仿宋" w:hAnsi="仿宋" w:eastAsia="仿宋" w:cs="仿宋"/>
        </w:rPr>
        <w:t>期。</w:t>
      </w:r>
    </w:p>
  </w:footnote>
  <w:footnote w:id="56">
    <w:p w14:paraId="29F74B5A">
      <w:pPr>
        <w:pStyle w:val="14"/>
        <w:jc w:val="both"/>
      </w:pPr>
      <w:r>
        <w:rPr>
          <w:rStyle w:val="24"/>
        </w:rPr>
        <w:footnoteRef/>
      </w:r>
      <w:r>
        <w:t xml:space="preserve"> </w:t>
      </w:r>
      <w:r>
        <w:rPr>
          <w:rFonts w:hint="eastAsia" w:ascii="仿宋" w:hAnsi="仿宋" w:eastAsia="仿宋" w:cs="仿宋"/>
        </w:rPr>
        <w:t>参见孙莹：《论已公开个人信息合理处理范围的认定》，载《法律科学（西北政法大学学报）》</w:t>
      </w:r>
      <w:r>
        <w:rPr>
          <w:rFonts w:ascii="仿宋" w:hAnsi="仿宋" w:eastAsia="仿宋" w:cs="仿宋"/>
        </w:rPr>
        <w:t>2025年</w:t>
      </w:r>
      <w:r>
        <w:rPr>
          <w:rFonts w:hint="eastAsia" w:ascii="仿宋" w:hAnsi="仿宋" w:eastAsia="仿宋" w:cs="仿宋"/>
        </w:rPr>
        <w:t>第</w:t>
      </w:r>
      <w:r>
        <w:rPr>
          <w:rFonts w:ascii="仿宋" w:hAnsi="仿宋" w:eastAsia="仿宋" w:cs="仿宋"/>
        </w:rPr>
        <w:t>6期</w:t>
      </w:r>
      <w:r>
        <w:rPr>
          <w:rFonts w:hint="eastAsia" w:ascii="仿宋" w:hAnsi="仿宋" w:eastAsia="仿宋" w:cs="仿宋"/>
        </w:rPr>
        <w:t>。</w:t>
      </w:r>
    </w:p>
  </w:footnote>
  <w:footnote w:id="57">
    <w:p w14:paraId="63FF9C25">
      <w:pPr>
        <w:pStyle w:val="14"/>
        <w:rPr>
          <w:rFonts w:hint="eastAsia"/>
        </w:rPr>
      </w:pPr>
      <w:r>
        <w:rPr>
          <w:rStyle w:val="24"/>
        </w:rPr>
        <w:footnoteRef/>
      </w:r>
      <w:r>
        <w:t xml:space="preserve"> </w:t>
      </w:r>
      <w:r>
        <w:rPr>
          <w:rFonts w:ascii="仿宋" w:hAnsi="仿宋" w:eastAsia="仿宋" w:cs="仿宋"/>
        </w:rPr>
        <w:t>参见康铭：《私密信息保护：法律属性阐释及其规范体系解释论》，载《中国政法大学研究生学报》2024年第1辑。</w:t>
      </w:r>
    </w:p>
  </w:footnote>
  <w:footnote w:id="58">
    <w:p w14:paraId="093940DC">
      <w:pPr>
        <w:pStyle w:val="14"/>
        <w:jc w:val="both"/>
      </w:pPr>
      <w:r>
        <w:rPr>
          <w:rStyle w:val="24"/>
        </w:rPr>
        <w:footnoteRef/>
      </w:r>
      <w:r>
        <w:t xml:space="preserve"> </w:t>
      </w:r>
      <w:r>
        <w:rPr>
          <w:rFonts w:ascii="仿宋" w:hAnsi="仿宋" w:eastAsia="仿宋" w:cs="仿宋"/>
          <w:i/>
          <w:iCs/>
        </w:rPr>
        <w:t xml:space="preserve">See </w:t>
      </w:r>
      <w:r>
        <w:rPr>
          <w:rFonts w:hint="eastAsia"/>
        </w:rPr>
        <w:t>Lawrence J. Leigh,</w:t>
      </w:r>
      <w:r>
        <w:rPr>
          <w:i/>
          <w:iCs/>
        </w:rPr>
        <w:t xml:space="preserve"> Informational Privacy: Constitutional Challenges to the Collection and Dissemination of Personal Information by Government Agencies</w:t>
      </w:r>
      <w:r>
        <w:rPr>
          <w:rFonts w:hint="eastAsia"/>
        </w:rPr>
        <w:t>, 3 Hastings. Const. L.Q. 229 (1976).</w:t>
      </w:r>
    </w:p>
  </w:footnote>
  <w:footnote w:id="59">
    <w:p w14:paraId="69BA9FD6">
      <w:pPr>
        <w:pStyle w:val="14"/>
        <w:jc w:val="both"/>
      </w:pPr>
      <w:r>
        <w:rPr>
          <w:rStyle w:val="24"/>
        </w:rPr>
        <w:footnoteRef/>
      </w:r>
      <w:r>
        <w:t xml:space="preserve"> </w:t>
      </w:r>
      <w:r>
        <w:rPr>
          <w:rFonts w:hint="eastAsia" w:ascii="仿宋" w:hAnsi="仿宋" w:eastAsia="仿宋" w:cs="仿宋"/>
        </w:rPr>
        <w:t>参见《发明专利公报》（</w:t>
      </w:r>
      <w:r>
        <w:rPr>
          <w:rFonts w:ascii="仿宋" w:hAnsi="仿宋" w:eastAsia="仿宋" w:cs="仿宋"/>
        </w:rPr>
        <w:t>2025.11.07</w:t>
      </w:r>
      <w:r>
        <w:rPr>
          <w:rFonts w:hint="eastAsia" w:ascii="仿宋" w:hAnsi="仿宋" w:eastAsia="仿宋" w:cs="仿宋"/>
        </w:rPr>
        <w:t>），申请公布</w:t>
      </w:r>
      <w:r>
        <w:rPr>
          <w:rFonts w:ascii="仿宋" w:hAnsi="仿宋" w:eastAsia="仿宋" w:cs="仿宋"/>
        </w:rPr>
        <w:t>号</w:t>
      </w:r>
      <w:r>
        <w:rPr>
          <w:rFonts w:hint="eastAsia" w:ascii="仿宋" w:hAnsi="仿宋" w:eastAsia="仿宋" w:cs="仿宋"/>
        </w:rPr>
        <w:t>：</w:t>
      </w:r>
      <w:r>
        <w:rPr>
          <w:rFonts w:ascii="仿宋" w:hAnsi="仿宋" w:eastAsia="仿宋" w:cs="仿宋"/>
        </w:rPr>
        <w:t>CN120916805A</w:t>
      </w:r>
      <w:r>
        <w:rPr>
          <w:rFonts w:hint="eastAsia" w:ascii="仿宋" w:hAnsi="仿宋" w:eastAsia="仿宋" w:cs="仿宋"/>
        </w:rPr>
        <w:t>。</w:t>
      </w:r>
    </w:p>
  </w:footnote>
  <w:footnote w:id="60">
    <w:p w14:paraId="4ED81086">
      <w:pPr>
        <w:pStyle w:val="14"/>
        <w:jc w:val="both"/>
      </w:pPr>
      <w:r>
        <w:rPr>
          <w:rStyle w:val="24"/>
        </w:rPr>
        <w:footnoteRef/>
      </w:r>
      <w:r>
        <w:t xml:space="preserve"> </w:t>
      </w:r>
      <w:r>
        <w:rPr>
          <w:rFonts w:hint="eastAsia" w:ascii="仿宋" w:hAnsi="仿宋" w:eastAsia="仿宋" w:cs="仿宋"/>
        </w:rPr>
        <w:t>参见《发明专利公报》（</w:t>
      </w:r>
      <w:r>
        <w:rPr>
          <w:rFonts w:ascii="仿宋" w:hAnsi="仿宋" w:eastAsia="仿宋" w:cs="仿宋"/>
        </w:rPr>
        <w:t>2025.1</w:t>
      </w:r>
      <w:r>
        <w:rPr>
          <w:rFonts w:hint="eastAsia" w:ascii="仿宋" w:hAnsi="仿宋" w:eastAsia="仿宋" w:cs="仿宋"/>
        </w:rPr>
        <w:t>1</w:t>
      </w:r>
      <w:r>
        <w:rPr>
          <w:rFonts w:ascii="仿宋" w:hAnsi="仿宋" w:eastAsia="仿宋" w:cs="仿宋"/>
        </w:rPr>
        <w:t>.</w:t>
      </w:r>
      <w:r>
        <w:rPr>
          <w:rFonts w:hint="eastAsia" w:ascii="仿宋" w:hAnsi="仿宋" w:eastAsia="仿宋" w:cs="仿宋"/>
        </w:rPr>
        <w:t>7）</w:t>
      </w:r>
      <w:r>
        <w:rPr>
          <w:rFonts w:ascii="仿宋" w:hAnsi="仿宋" w:eastAsia="仿宋" w:cs="仿宋"/>
        </w:rPr>
        <w:t>，</w:t>
      </w:r>
      <w:r>
        <w:rPr>
          <w:rFonts w:hint="eastAsia" w:ascii="仿宋" w:hAnsi="仿宋" w:eastAsia="仿宋" w:cs="仿宋"/>
        </w:rPr>
        <w:t>申请公布</w:t>
      </w:r>
      <w:r>
        <w:rPr>
          <w:rFonts w:ascii="仿宋" w:hAnsi="仿宋" w:eastAsia="仿宋" w:cs="仿宋"/>
        </w:rPr>
        <w:t>号</w:t>
      </w:r>
      <w:r>
        <w:rPr>
          <w:rFonts w:hint="eastAsia" w:ascii="仿宋" w:hAnsi="仿宋" w:eastAsia="仿宋" w:cs="仿宋"/>
        </w:rPr>
        <w:t>：</w:t>
      </w:r>
      <w:r>
        <w:rPr>
          <w:rFonts w:ascii="仿宋" w:hAnsi="仿宋" w:eastAsia="仿宋" w:cs="仿宋"/>
        </w:rPr>
        <w:t>CN120916766A</w:t>
      </w:r>
      <w:r>
        <w:rPr>
          <w:rFonts w:hint="eastAsia" w:ascii="仿宋" w:hAnsi="仿宋" w:eastAsia="仿宋" w:cs="仿宋"/>
        </w:rPr>
        <w:t>。</w:t>
      </w:r>
    </w:p>
  </w:footnote>
  <w:footnote w:id="61">
    <w:p w14:paraId="5D033EC7">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参见《保护工业产权巴黎公约》第12条。</w:t>
      </w:r>
    </w:p>
  </w:footnote>
  <w:footnote w:id="62">
    <w:p w14:paraId="1664DD0A">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w:t>
      </w:r>
      <w:r>
        <w:rPr>
          <w:rFonts w:hint="eastAsia" w:ascii="仿宋" w:hAnsi="仿宋" w:eastAsia="仿宋" w:cs="仿宋"/>
        </w:rPr>
        <w:t>奥地利</w:t>
      </w:r>
      <w:r>
        <w:rPr>
          <w:rFonts w:ascii="仿宋" w:hAnsi="仿宋" w:eastAsia="仿宋" w:cs="仿宋"/>
        </w:rPr>
        <w:t>]</w:t>
      </w:r>
      <w:r>
        <w:rPr>
          <w:rFonts w:hint="eastAsia" w:ascii="仿宋" w:hAnsi="仿宋" w:eastAsia="仿宋" w:cs="仿宋"/>
        </w:rPr>
        <w:t>博登浩森：《</w:t>
      </w:r>
      <w:r>
        <w:rPr>
          <w:rFonts w:ascii="仿宋" w:hAnsi="仿宋" w:eastAsia="仿宋" w:cs="仿宋"/>
        </w:rPr>
        <w:t>保护工业产权巴黎公约</w:t>
      </w:r>
      <w:r>
        <w:rPr>
          <w:rFonts w:hint="eastAsia" w:ascii="仿宋" w:hAnsi="仿宋" w:eastAsia="仿宋" w:cs="仿宋"/>
        </w:rPr>
        <w:t>指南》</w:t>
      </w:r>
      <w:r>
        <w:rPr>
          <w:rFonts w:ascii="仿宋" w:hAnsi="仿宋" w:eastAsia="仿宋" w:cs="仿宋"/>
        </w:rPr>
        <w:t>,汤宗舜</w:t>
      </w:r>
      <w:r>
        <w:rPr>
          <w:rFonts w:hint="eastAsia" w:ascii="仿宋" w:hAnsi="仿宋" w:eastAsia="仿宋" w:cs="仿宋"/>
        </w:rPr>
        <w:t>、</w:t>
      </w:r>
      <w:r>
        <w:rPr>
          <w:rFonts w:ascii="仿宋" w:hAnsi="仿宋" w:eastAsia="仿宋" w:cs="仿宋"/>
        </w:rPr>
        <w:t>段瑞林译</w:t>
      </w:r>
      <w:r>
        <w:rPr>
          <w:rFonts w:hint="eastAsia" w:ascii="仿宋" w:hAnsi="仿宋" w:eastAsia="仿宋" w:cs="仿宋"/>
        </w:rPr>
        <w:t>，中国人民大学出版社</w:t>
      </w:r>
      <w:r>
        <w:rPr>
          <w:rFonts w:ascii="仿宋" w:hAnsi="仿宋" w:eastAsia="仿宋" w:cs="仿宋"/>
        </w:rPr>
        <w:t>2003年版</w:t>
      </w:r>
      <w:r>
        <w:rPr>
          <w:rFonts w:hint="eastAsia" w:ascii="仿宋" w:hAnsi="仿宋" w:eastAsia="仿宋" w:cs="仿宋"/>
        </w:rPr>
        <w:t>，第102一103页</w:t>
      </w:r>
      <w:r>
        <w:rPr>
          <w:rFonts w:ascii="仿宋" w:hAnsi="仿宋" w:eastAsia="仿宋" w:cs="仿宋"/>
        </w:rPr>
        <w:t>。</w:t>
      </w:r>
    </w:p>
  </w:footnote>
  <w:footnote w:id="63">
    <w:p w14:paraId="2B31AC34">
      <w:pPr>
        <w:pStyle w:val="14"/>
        <w:jc w:val="both"/>
        <w:rPr>
          <w:rFonts w:ascii="仿宋" w:hAnsi="仿宋" w:eastAsia="仿宋" w:cs="仿宋"/>
        </w:rPr>
      </w:pPr>
      <w:r>
        <w:rPr>
          <w:rStyle w:val="24"/>
          <w:rFonts w:ascii="仿宋" w:hAnsi="仿宋" w:eastAsia="仿宋" w:cs="仿宋"/>
        </w:rPr>
        <w:footnoteRef/>
      </w:r>
      <w:r>
        <w:rPr>
          <w:rFonts w:ascii="仿宋" w:hAnsi="仿宋" w:eastAsia="仿宋" w:cs="仿宋"/>
        </w:rPr>
        <w:t xml:space="preserve"> </w:t>
      </w:r>
      <w:r>
        <w:rPr>
          <w:rFonts w:hint="eastAsia" w:ascii="仿宋" w:hAnsi="仿宋" w:eastAsia="仿宋" w:cs="仿宋"/>
        </w:rPr>
        <w:t>注：</w:t>
      </w:r>
      <w:r>
        <w:rPr>
          <w:rFonts w:ascii="仿宋" w:hAnsi="仿宋" w:eastAsia="仿宋" w:cs="仿宋"/>
        </w:rPr>
        <w:t>《商标法》《商标法实施条例》</w:t>
      </w:r>
      <w:r>
        <w:rPr>
          <w:rFonts w:hint="eastAsia" w:ascii="仿宋" w:hAnsi="仿宋" w:eastAsia="仿宋" w:cs="仿宋"/>
        </w:rPr>
        <w:t>表述为“商标局”，但实际上是国家知识产权局在行使相关职能。</w:t>
      </w:r>
    </w:p>
  </w:footnote>
  <w:footnote w:id="64">
    <w:p w14:paraId="769FEBD3">
      <w:pPr>
        <w:pStyle w:val="14"/>
        <w:jc w:val="both"/>
        <w:rPr>
          <w:rFonts w:ascii="仿宋" w:hAnsi="仿宋" w:eastAsia="仿宋" w:cs="仿宋"/>
        </w:rPr>
      </w:pPr>
      <w:r>
        <w:rPr>
          <w:rStyle w:val="24"/>
        </w:rPr>
        <w:footnoteRef/>
      </w:r>
      <w:r>
        <w:rPr>
          <w:rFonts w:ascii="仿宋" w:hAnsi="仿宋" w:eastAsia="仿宋" w:cs="仿宋"/>
        </w:rPr>
        <w:t xml:space="preserve"> </w:t>
      </w:r>
      <w:r>
        <w:rPr>
          <w:rFonts w:hint="eastAsia" w:ascii="仿宋" w:hAnsi="仿宋" w:eastAsia="仿宋" w:cs="仿宋"/>
        </w:rPr>
        <w:t>参见张新宝：《个人信息处理的基本原则》，载《中国法律评论》</w:t>
      </w:r>
      <w:r>
        <w:rPr>
          <w:rFonts w:ascii="仿宋" w:hAnsi="仿宋" w:eastAsia="仿宋" w:cs="仿宋"/>
        </w:rPr>
        <w:t>2021年</w:t>
      </w:r>
      <w:r>
        <w:rPr>
          <w:rFonts w:hint="eastAsia" w:ascii="仿宋" w:hAnsi="仿宋" w:eastAsia="仿宋" w:cs="仿宋"/>
        </w:rPr>
        <w:t>第</w:t>
      </w:r>
      <w:r>
        <w:rPr>
          <w:rFonts w:ascii="仿宋" w:hAnsi="仿宋" w:eastAsia="仿宋" w:cs="仿宋"/>
        </w:rPr>
        <w:t>5期</w:t>
      </w:r>
      <w:r>
        <w:rPr>
          <w:rFonts w:hint="eastAsia" w:ascii="仿宋" w:hAnsi="仿宋" w:eastAsia="仿宋" w:cs="仿宋"/>
        </w:rPr>
        <w:t>。</w:t>
      </w:r>
    </w:p>
  </w:footnote>
  <w:footnote w:id="65">
    <w:p w14:paraId="06102A12">
      <w:pPr>
        <w:pStyle w:val="14"/>
        <w:jc w:val="both"/>
        <w:rPr>
          <w:rFonts w:ascii="仿宋" w:hAnsi="仿宋" w:eastAsia="仿宋" w:cs="仿宋"/>
        </w:rPr>
      </w:pPr>
      <w:r>
        <w:rPr>
          <w:rStyle w:val="24"/>
        </w:rPr>
        <w:footnoteRef/>
      </w:r>
      <w:r>
        <w:rPr>
          <w:rFonts w:ascii="仿宋" w:hAnsi="仿宋" w:eastAsia="仿宋" w:cs="仿宋"/>
        </w:rPr>
        <w:t xml:space="preserve"> </w:t>
      </w:r>
      <w:r>
        <w:rPr>
          <w:rFonts w:hint="eastAsia" w:ascii="仿宋" w:hAnsi="仿宋" w:eastAsia="仿宋" w:cs="仿宋"/>
        </w:rPr>
        <w:t>参见</w:t>
      </w:r>
      <w:r>
        <w:rPr>
          <w:rFonts w:ascii="仿宋" w:hAnsi="仿宋" w:eastAsia="仿宋" w:cs="仿宋"/>
        </w:rPr>
        <w:t>郭旨龙：《</w:t>
      </w:r>
      <w:r>
        <w:rPr>
          <w:rFonts w:hint="eastAsia" w:ascii="仿宋" w:hAnsi="仿宋" w:eastAsia="仿宋" w:cs="仿宋"/>
        </w:rPr>
        <w:t>〈</w:t>
      </w:r>
      <w:r>
        <w:rPr>
          <w:rFonts w:ascii="仿宋" w:hAnsi="仿宋" w:eastAsia="仿宋" w:cs="仿宋"/>
        </w:rPr>
        <w:t>个人信息保护法</w:t>
      </w:r>
      <w:r>
        <w:rPr>
          <w:rFonts w:hint="eastAsia" w:ascii="仿宋" w:hAnsi="仿宋" w:eastAsia="仿宋" w:cs="仿宋"/>
        </w:rPr>
        <w:t>〉</w:t>
      </w:r>
      <w:r>
        <w:rPr>
          <w:rFonts w:ascii="仿宋" w:hAnsi="仿宋" w:eastAsia="仿宋" w:cs="仿宋"/>
        </w:rPr>
        <w:t>第50条（个人信息权利行使保障机制）评注》，载《中国应用法学》2024年第4期。</w:t>
      </w:r>
    </w:p>
  </w:footnote>
  <w:footnote w:id="66">
    <w:p w14:paraId="24EFE895">
      <w:pPr>
        <w:pStyle w:val="14"/>
        <w:jc w:val="both"/>
        <w:rPr>
          <w:rFonts w:ascii="仿宋" w:hAnsi="仿宋" w:eastAsia="仿宋" w:cs="仿宋"/>
        </w:rPr>
      </w:pPr>
      <w:r>
        <w:rPr>
          <w:rStyle w:val="24"/>
        </w:rPr>
        <w:footnoteRef/>
      </w:r>
      <w:r>
        <w:t xml:space="preserve"> </w:t>
      </w:r>
      <w:r>
        <w:rPr>
          <w:rFonts w:hint="eastAsia" w:ascii="仿宋" w:hAnsi="仿宋" w:eastAsia="仿宋" w:cs="仿宋"/>
        </w:rPr>
        <w:t>参见萧鑫：《个人信息更正权的双重规则构造与定位》，载《现代法学》</w:t>
      </w:r>
      <w:r>
        <w:rPr>
          <w:rFonts w:ascii="仿宋" w:hAnsi="仿宋" w:eastAsia="仿宋" w:cs="仿宋"/>
        </w:rPr>
        <w:t>2025</w:t>
      </w:r>
      <w:r>
        <w:rPr>
          <w:rFonts w:hint="eastAsia" w:ascii="仿宋" w:hAnsi="仿宋" w:eastAsia="仿宋" w:cs="仿宋"/>
        </w:rPr>
        <w:t>年第</w:t>
      </w:r>
      <w:r>
        <w:rPr>
          <w:rFonts w:ascii="仿宋" w:hAnsi="仿宋" w:eastAsia="仿宋" w:cs="仿宋"/>
        </w:rPr>
        <w:t>2</w:t>
      </w:r>
      <w:r>
        <w:rPr>
          <w:rFonts w:hint="eastAsia" w:ascii="仿宋" w:hAnsi="仿宋" w:eastAsia="仿宋" w:cs="仿宋"/>
        </w:rPr>
        <w:t>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bordersDoNotSurroundHeader w:val="1"/>
  <w:bordersDoNotSurroundFooter w:val="1"/>
  <w:documentProtection w:enforcement="0"/>
  <w:defaultTabStop w:val="420"/>
  <w:drawingGridVerticalSpacing w:val="156"/>
  <w:noPunctuationKerning w:val="1"/>
  <w:characterSpacingControl w:val="compressPunctuation"/>
  <w:footnotePr>
    <w:numFmt w:val="decimalEnclosedCircleChinese"/>
    <w:numRestart w:val="eachPage"/>
    <w:footnote w:id="134"/>
    <w:footnote w:id="135"/>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DF8"/>
    <w:rsid w:val="000012FB"/>
    <w:rsid w:val="00006167"/>
    <w:rsid w:val="00007BEC"/>
    <w:rsid w:val="000128EC"/>
    <w:rsid w:val="000136F9"/>
    <w:rsid w:val="00015229"/>
    <w:rsid w:val="00021B07"/>
    <w:rsid w:val="00022AD7"/>
    <w:rsid w:val="0002649B"/>
    <w:rsid w:val="00033E0D"/>
    <w:rsid w:val="00034A82"/>
    <w:rsid w:val="00034D8F"/>
    <w:rsid w:val="0003785C"/>
    <w:rsid w:val="000421D2"/>
    <w:rsid w:val="00053FA5"/>
    <w:rsid w:val="0005478B"/>
    <w:rsid w:val="000554CC"/>
    <w:rsid w:val="00063351"/>
    <w:rsid w:val="00074923"/>
    <w:rsid w:val="00074BBA"/>
    <w:rsid w:val="00076CA2"/>
    <w:rsid w:val="000836E9"/>
    <w:rsid w:val="000855A1"/>
    <w:rsid w:val="00086063"/>
    <w:rsid w:val="000905E3"/>
    <w:rsid w:val="00091412"/>
    <w:rsid w:val="000922F8"/>
    <w:rsid w:val="00092E25"/>
    <w:rsid w:val="0009340D"/>
    <w:rsid w:val="00094F2F"/>
    <w:rsid w:val="00097364"/>
    <w:rsid w:val="000A2A26"/>
    <w:rsid w:val="000A4752"/>
    <w:rsid w:val="000A4A79"/>
    <w:rsid w:val="000B44D2"/>
    <w:rsid w:val="000B4AF4"/>
    <w:rsid w:val="000B56F9"/>
    <w:rsid w:val="000C54E4"/>
    <w:rsid w:val="000C6070"/>
    <w:rsid w:val="000C6AD2"/>
    <w:rsid w:val="000C6E75"/>
    <w:rsid w:val="000D0CBF"/>
    <w:rsid w:val="000D1CAF"/>
    <w:rsid w:val="000D6A2E"/>
    <w:rsid w:val="000D71B3"/>
    <w:rsid w:val="000E34EB"/>
    <w:rsid w:val="000E3DA8"/>
    <w:rsid w:val="000E452F"/>
    <w:rsid w:val="000E514A"/>
    <w:rsid w:val="000E517E"/>
    <w:rsid w:val="000E6B5F"/>
    <w:rsid w:val="000E7B84"/>
    <w:rsid w:val="000F0050"/>
    <w:rsid w:val="000F0D31"/>
    <w:rsid w:val="000F4286"/>
    <w:rsid w:val="000F5450"/>
    <w:rsid w:val="00100B3B"/>
    <w:rsid w:val="00101D90"/>
    <w:rsid w:val="0010412B"/>
    <w:rsid w:val="00104CB8"/>
    <w:rsid w:val="001063E5"/>
    <w:rsid w:val="00111AF3"/>
    <w:rsid w:val="00112D13"/>
    <w:rsid w:val="00113901"/>
    <w:rsid w:val="001171AA"/>
    <w:rsid w:val="00117520"/>
    <w:rsid w:val="00117C17"/>
    <w:rsid w:val="0012317D"/>
    <w:rsid w:val="00123E3F"/>
    <w:rsid w:val="00124DF8"/>
    <w:rsid w:val="00125AC7"/>
    <w:rsid w:val="00125FA6"/>
    <w:rsid w:val="00127854"/>
    <w:rsid w:val="0013072E"/>
    <w:rsid w:val="00131073"/>
    <w:rsid w:val="0013369E"/>
    <w:rsid w:val="00135703"/>
    <w:rsid w:val="00135C46"/>
    <w:rsid w:val="00136F00"/>
    <w:rsid w:val="00140E90"/>
    <w:rsid w:val="001417CC"/>
    <w:rsid w:val="0015387F"/>
    <w:rsid w:val="001551E5"/>
    <w:rsid w:val="00161519"/>
    <w:rsid w:val="00167FA1"/>
    <w:rsid w:val="00170BAC"/>
    <w:rsid w:val="00171736"/>
    <w:rsid w:val="0017349B"/>
    <w:rsid w:val="0017443B"/>
    <w:rsid w:val="00176E98"/>
    <w:rsid w:val="00180737"/>
    <w:rsid w:val="00181626"/>
    <w:rsid w:val="001829A4"/>
    <w:rsid w:val="00187444"/>
    <w:rsid w:val="00190DED"/>
    <w:rsid w:val="0019495A"/>
    <w:rsid w:val="001959CD"/>
    <w:rsid w:val="00197F38"/>
    <w:rsid w:val="001A00D6"/>
    <w:rsid w:val="001A0A4C"/>
    <w:rsid w:val="001A0E01"/>
    <w:rsid w:val="001A117B"/>
    <w:rsid w:val="001A21EF"/>
    <w:rsid w:val="001A32C8"/>
    <w:rsid w:val="001A6D74"/>
    <w:rsid w:val="001B1015"/>
    <w:rsid w:val="001B37B5"/>
    <w:rsid w:val="001B3B15"/>
    <w:rsid w:val="001B3EF9"/>
    <w:rsid w:val="001B4B44"/>
    <w:rsid w:val="001B6A4D"/>
    <w:rsid w:val="001B72C1"/>
    <w:rsid w:val="001B733C"/>
    <w:rsid w:val="001B74ED"/>
    <w:rsid w:val="001C1C15"/>
    <w:rsid w:val="001C369F"/>
    <w:rsid w:val="001C49EC"/>
    <w:rsid w:val="001D2859"/>
    <w:rsid w:val="001D4558"/>
    <w:rsid w:val="001E2891"/>
    <w:rsid w:val="001E3E9A"/>
    <w:rsid w:val="001E64A0"/>
    <w:rsid w:val="001F07A6"/>
    <w:rsid w:val="00204046"/>
    <w:rsid w:val="00207410"/>
    <w:rsid w:val="0020763E"/>
    <w:rsid w:val="002103F8"/>
    <w:rsid w:val="002119FE"/>
    <w:rsid w:val="0021458A"/>
    <w:rsid w:val="00216273"/>
    <w:rsid w:val="002175BB"/>
    <w:rsid w:val="00226457"/>
    <w:rsid w:val="00231F9E"/>
    <w:rsid w:val="00234295"/>
    <w:rsid w:val="00236357"/>
    <w:rsid w:val="0024168A"/>
    <w:rsid w:val="0024215B"/>
    <w:rsid w:val="00242591"/>
    <w:rsid w:val="00242B42"/>
    <w:rsid w:val="00244119"/>
    <w:rsid w:val="0024655C"/>
    <w:rsid w:val="002527C4"/>
    <w:rsid w:val="002566AC"/>
    <w:rsid w:val="00257EC2"/>
    <w:rsid w:val="00262394"/>
    <w:rsid w:val="00267A00"/>
    <w:rsid w:val="0027151C"/>
    <w:rsid w:val="00272249"/>
    <w:rsid w:val="00272EF8"/>
    <w:rsid w:val="00277ADE"/>
    <w:rsid w:val="002824E3"/>
    <w:rsid w:val="0028308E"/>
    <w:rsid w:val="00286F71"/>
    <w:rsid w:val="00294CCC"/>
    <w:rsid w:val="00295812"/>
    <w:rsid w:val="00296537"/>
    <w:rsid w:val="002971F5"/>
    <w:rsid w:val="00297353"/>
    <w:rsid w:val="002A23C5"/>
    <w:rsid w:val="002A332D"/>
    <w:rsid w:val="002A3B6B"/>
    <w:rsid w:val="002A5622"/>
    <w:rsid w:val="002A74D3"/>
    <w:rsid w:val="002B1BA0"/>
    <w:rsid w:val="002B371F"/>
    <w:rsid w:val="002B5A02"/>
    <w:rsid w:val="002B6279"/>
    <w:rsid w:val="002B6ED2"/>
    <w:rsid w:val="002C5600"/>
    <w:rsid w:val="002C5DD8"/>
    <w:rsid w:val="002C7645"/>
    <w:rsid w:val="002C7C6A"/>
    <w:rsid w:val="002C7D02"/>
    <w:rsid w:val="002D09F7"/>
    <w:rsid w:val="002D37F3"/>
    <w:rsid w:val="002D508C"/>
    <w:rsid w:val="002D6429"/>
    <w:rsid w:val="002D68C8"/>
    <w:rsid w:val="002E1E73"/>
    <w:rsid w:val="002E2F53"/>
    <w:rsid w:val="002E351D"/>
    <w:rsid w:val="002E3900"/>
    <w:rsid w:val="002F6CBF"/>
    <w:rsid w:val="00300426"/>
    <w:rsid w:val="00300E70"/>
    <w:rsid w:val="00302343"/>
    <w:rsid w:val="00302EB1"/>
    <w:rsid w:val="0030399B"/>
    <w:rsid w:val="00304DBA"/>
    <w:rsid w:val="00306E22"/>
    <w:rsid w:val="00310941"/>
    <w:rsid w:val="00311765"/>
    <w:rsid w:val="00311B0A"/>
    <w:rsid w:val="00311E03"/>
    <w:rsid w:val="00315252"/>
    <w:rsid w:val="003224AB"/>
    <w:rsid w:val="003260F9"/>
    <w:rsid w:val="003303D8"/>
    <w:rsid w:val="0033074E"/>
    <w:rsid w:val="0033250B"/>
    <w:rsid w:val="00332801"/>
    <w:rsid w:val="00335DFF"/>
    <w:rsid w:val="00336CCB"/>
    <w:rsid w:val="0034200B"/>
    <w:rsid w:val="0034425A"/>
    <w:rsid w:val="0034495A"/>
    <w:rsid w:val="00344991"/>
    <w:rsid w:val="003458AB"/>
    <w:rsid w:val="00351104"/>
    <w:rsid w:val="003579A8"/>
    <w:rsid w:val="0036255C"/>
    <w:rsid w:val="00363FC3"/>
    <w:rsid w:val="003640D5"/>
    <w:rsid w:val="003659E6"/>
    <w:rsid w:val="00371B5F"/>
    <w:rsid w:val="00374128"/>
    <w:rsid w:val="00381392"/>
    <w:rsid w:val="003845D1"/>
    <w:rsid w:val="00387D06"/>
    <w:rsid w:val="00390B3B"/>
    <w:rsid w:val="0039122E"/>
    <w:rsid w:val="00393725"/>
    <w:rsid w:val="00394A0C"/>
    <w:rsid w:val="00395F4A"/>
    <w:rsid w:val="0039793C"/>
    <w:rsid w:val="003A250E"/>
    <w:rsid w:val="003A3B87"/>
    <w:rsid w:val="003A63EC"/>
    <w:rsid w:val="003B5EEB"/>
    <w:rsid w:val="003B7480"/>
    <w:rsid w:val="003C20C9"/>
    <w:rsid w:val="003C6DC7"/>
    <w:rsid w:val="003D192F"/>
    <w:rsid w:val="003D25BE"/>
    <w:rsid w:val="003D3A47"/>
    <w:rsid w:val="003D5206"/>
    <w:rsid w:val="003E0318"/>
    <w:rsid w:val="003E3F64"/>
    <w:rsid w:val="003E4DF9"/>
    <w:rsid w:val="003E5337"/>
    <w:rsid w:val="003E6ECD"/>
    <w:rsid w:val="003F585A"/>
    <w:rsid w:val="0040056A"/>
    <w:rsid w:val="004041F0"/>
    <w:rsid w:val="00406489"/>
    <w:rsid w:val="00412A44"/>
    <w:rsid w:val="00414B4D"/>
    <w:rsid w:val="00414C3E"/>
    <w:rsid w:val="00420C2E"/>
    <w:rsid w:val="00424A13"/>
    <w:rsid w:val="00426B94"/>
    <w:rsid w:val="004277CE"/>
    <w:rsid w:val="004277D3"/>
    <w:rsid w:val="00432C00"/>
    <w:rsid w:val="00433D4D"/>
    <w:rsid w:val="00435FC2"/>
    <w:rsid w:val="00441227"/>
    <w:rsid w:val="004438EE"/>
    <w:rsid w:val="0044406B"/>
    <w:rsid w:val="00446881"/>
    <w:rsid w:val="00447091"/>
    <w:rsid w:val="004470E5"/>
    <w:rsid w:val="004536EE"/>
    <w:rsid w:val="004552C9"/>
    <w:rsid w:val="00456518"/>
    <w:rsid w:val="004570C0"/>
    <w:rsid w:val="004610AB"/>
    <w:rsid w:val="00462A50"/>
    <w:rsid w:val="004637BE"/>
    <w:rsid w:val="00464E8F"/>
    <w:rsid w:val="0047609F"/>
    <w:rsid w:val="00477C9A"/>
    <w:rsid w:val="0048166D"/>
    <w:rsid w:val="00483EA2"/>
    <w:rsid w:val="00485AE8"/>
    <w:rsid w:val="00486676"/>
    <w:rsid w:val="004919AF"/>
    <w:rsid w:val="00494434"/>
    <w:rsid w:val="0049593B"/>
    <w:rsid w:val="004B01F9"/>
    <w:rsid w:val="004B2120"/>
    <w:rsid w:val="004B29C9"/>
    <w:rsid w:val="004B2DC1"/>
    <w:rsid w:val="004B2EB4"/>
    <w:rsid w:val="004B5FAD"/>
    <w:rsid w:val="004C1311"/>
    <w:rsid w:val="004C188F"/>
    <w:rsid w:val="004C1C11"/>
    <w:rsid w:val="004C2D4C"/>
    <w:rsid w:val="004C3822"/>
    <w:rsid w:val="004C70BE"/>
    <w:rsid w:val="004D1AC0"/>
    <w:rsid w:val="004E2974"/>
    <w:rsid w:val="004E3A0F"/>
    <w:rsid w:val="004E505C"/>
    <w:rsid w:val="004F1962"/>
    <w:rsid w:val="004F2F47"/>
    <w:rsid w:val="004F3EE1"/>
    <w:rsid w:val="004F6807"/>
    <w:rsid w:val="00502826"/>
    <w:rsid w:val="00506AA8"/>
    <w:rsid w:val="00510433"/>
    <w:rsid w:val="00513AEF"/>
    <w:rsid w:val="00516546"/>
    <w:rsid w:val="00517CD6"/>
    <w:rsid w:val="0052211C"/>
    <w:rsid w:val="005236C5"/>
    <w:rsid w:val="00523BF0"/>
    <w:rsid w:val="00530A0C"/>
    <w:rsid w:val="0053302C"/>
    <w:rsid w:val="00533403"/>
    <w:rsid w:val="00537757"/>
    <w:rsid w:val="0054325B"/>
    <w:rsid w:val="0054357F"/>
    <w:rsid w:val="0054586D"/>
    <w:rsid w:val="00550F45"/>
    <w:rsid w:val="00551FFF"/>
    <w:rsid w:val="005537FC"/>
    <w:rsid w:val="00553A1A"/>
    <w:rsid w:val="00554D7D"/>
    <w:rsid w:val="00555B14"/>
    <w:rsid w:val="00557CAD"/>
    <w:rsid w:val="00560A25"/>
    <w:rsid w:val="00564CAE"/>
    <w:rsid w:val="005672CA"/>
    <w:rsid w:val="00570849"/>
    <w:rsid w:val="005715CD"/>
    <w:rsid w:val="00571ED8"/>
    <w:rsid w:val="00581EBB"/>
    <w:rsid w:val="00582FE6"/>
    <w:rsid w:val="00583B9E"/>
    <w:rsid w:val="00584854"/>
    <w:rsid w:val="005855C6"/>
    <w:rsid w:val="0058683C"/>
    <w:rsid w:val="00586AF4"/>
    <w:rsid w:val="00590E48"/>
    <w:rsid w:val="005923AB"/>
    <w:rsid w:val="00594A11"/>
    <w:rsid w:val="00596B9F"/>
    <w:rsid w:val="005A3EA0"/>
    <w:rsid w:val="005A4997"/>
    <w:rsid w:val="005A77CC"/>
    <w:rsid w:val="005B0DA5"/>
    <w:rsid w:val="005B120A"/>
    <w:rsid w:val="005B2BD9"/>
    <w:rsid w:val="005B3531"/>
    <w:rsid w:val="005C2506"/>
    <w:rsid w:val="005C2A81"/>
    <w:rsid w:val="005C3653"/>
    <w:rsid w:val="005C66F6"/>
    <w:rsid w:val="005D0466"/>
    <w:rsid w:val="005D2586"/>
    <w:rsid w:val="005E27F9"/>
    <w:rsid w:val="005F1697"/>
    <w:rsid w:val="005F303C"/>
    <w:rsid w:val="005F67F4"/>
    <w:rsid w:val="00600AD6"/>
    <w:rsid w:val="00601B06"/>
    <w:rsid w:val="00602135"/>
    <w:rsid w:val="006031DA"/>
    <w:rsid w:val="00604C78"/>
    <w:rsid w:val="00604F03"/>
    <w:rsid w:val="00605502"/>
    <w:rsid w:val="0060608A"/>
    <w:rsid w:val="00606AC5"/>
    <w:rsid w:val="0061051A"/>
    <w:rsid w:val="00610548"/>
    <w:rsid w:val="00613906"/>
    <w:rsid w:val="0061486E"/>
    <w:rsid w:val="00617842"/>
    <w:rsid w:val="00621966"/>
    <w:rsid w:val="00622981"/>
    <w:rsid w:val="006241BC"/>
    <w:rsid w:val="00626635"/>
    <w:rsid w:val="00633319"/>
    <w:rsid w:val="00633ACF"/>
    <w:rsid w:val="006363DA"/>
    <w:rsid w:val="006411CE"/>
    <w:rsid w:val="006424C6"/>
    <w:rsid w:val="00645427"/>
    <w:rsid w:val="00654763"/>
    <w:rsid w:val="00655184"/>
    <w:rsid w:val="006578B3"/>
    <w:rsid w:val="006578F2"/>
    <w:rsid w:val="006621C4"/>
    <w:rsid w:val="00662A00"/>
    <w:rsid w:val="00662AAB"/>
    <w:rsid w:val="00662C16"/>
    <w:rsid w:val="00666B33"/>
    <w:rsid w:val="0067207C"/>
    <w:rsid w:val="0067574A"/>
    <w:rsid w:val="00676D5C"/>
    <w:rsid w:val="00682CC4"/>
    <w:rsid w:val="0068673B"/>
    <w:rsid w:val="006874F2"/>
    <w:rsid w:val="006928ED"/>
    <w:rsid w:val="00694C17"/>
    <w:rsid w:val="00694F6B"/>
    <w:rsid w:val="006971F8"/>
    <w:rsid w:val="00697EE1"/>
    <w:rsid w:val="006A1838"/>
    <w:rsid w:val="006B60F0"/>
    <w:rsid w:val="006C0ACB"/>
    <w:rsid w:val="006C6271"/>
    <w:rsid w:val="006C69BD"/>
    <w:rsid w:val="006D6299"/>
    <w:rsid w:val="006D6AC2"/>
    <w:rsid w:val="006D6AD2"/>
    <w:rsid w:val="006D6E4B"/>
    <w:rsid w:val="006E01F1"/>
    <w:rsid w:val="006E5591"/>
    <w:rsid w:val="006E602B"/>
    <w:rsid w:val="006E6D9B"/>
    <w:rsid w:val="006F192A"/>
    <w:rsid w:val="006F5928"/>
    <w:rsid w:val="00700EF2"/>
    <w:rsid w:val="00707CBA"/>
    <w:rsid w:val="00722713"/>
    <w:rsid w:val="00723ECE"/>
    <w:rsid w:val="007249DB"/>
    <w:rsid w:val="00725878"/>
    <w:rsid w:val="007279D6"/>
    <w:rsid w:val="0073043B"/>
    <w:rsid w:val="00730875"/>
    <w:rsid w:val="00731739"/>
    <w:rsid w:val="007319E7"/>
    <w:rsid w:val="0074224D"/>
    <w:rsid w:val="00743D3B"/>
    <w:rsid w:val="0074564E"/>
    <w:rsid w:val="00747E46"/>
    <w:rsid w:val="00751F71"/>
    <w:rsid w:val="0075691E"/>
    <w:rsid w:val="007615EA"/>
    <w:rsid w:val="0076418C"/>
    <w:rsid w:val="00772792"/>
    <w:rsid w:val="00775F1B"/>
    <w:rsid w:val="00776F16"/>
    <w:rsid w:val="007777EB"/>
    <w:rsid w:val="00781F6D"/>
    <w:rsid w:val="007830F3"/>
    <w:rsid w:val="00783529"/>
    <w:rsid w:val="007861CD"/>
    <w:rsid w:val="0078695E"/>
    <w:rsid w:val="00786FA3"/>
    <w:rsid w:val="00795D41"/>
    <w:rsid w:val="00796828"/>
    <w:rsid w:val="007A2F86"/>
    <w:rsid w:val="007A4D24"/>
    <w:rsid w:val="007A7611"/>
    <w:rsid w:val="007B1D6B"/>
    <w:rsid w:val="007B568B"/>
    <w:rsid w:val="007C03C5"/>
    <w:rsid w:val="007C2984"/>
    <w:rsid w:val="007C3749"/>
    <w:rsid w:val="007C4B65"/>
    <w:rsid w:val="007C5893"/>
    <w:rsid w:val="007C6219"/>
    <w:rsid w:val="007D04FF"/>
    <w:rsid w:val="007D2B67"/>
    <w:rsid w:val="007D4B4C"/>
    <w:rsid w:val="007D598C"/>
    <w:rsid w:val="007D78BA"/>
    <w:rsid w:val="007E0916"/>
    <w:rsid w:val="007E19B2"/>
    <w:rsid w:val="007E2181"/>
    <w:rsid w:val="007E2E25"/>
    <w:rsid w:val="007E3AB2"/>
    <w:rsid w:val="007E40B7"/>
    <w:rsid w:val="007E4B9F"/>
    <w:rsid w:val="007E4C57"/>
    <w:rsid w:val="007E5DCA"/>
    <w:rsid w:val="007E762F"/>
    <w:rsid w:val="007F0E29"/>
    <w:rsid w:val="007F22F6"/>
    <w:rsid w:val="007F7810"/>
    <w:rsid w:val="0080480F"/>
    <w:rsid w:val="00805A14"/>
    <w:rsid w:val="00807D18"/>
    <w:rsid w:val="00807E8A"/>
    <w:rsid w:val="008120C9"/>
    <w:rsid w:val="00825064"/>
    <w:rsid w:val="00832AA2"/>
    <w:rsid w:val="008353A1"/>
    <w:rsid w:val="008354DD"/>
    <w:rsid w:val="008377FF"/>
    <w:rsid w:val="00837A9E"/>
    <w:rsid w:val="00837DF7"/>
    <w:rsid w:val="00840E2D"/>
    <w:rsid w:val="00845CE4"/>
    <w:rsid w:val="008465FB"/>
    <w:rsid w:val="008476DF"/>
    <w:rsid w:val="0085051C"/>
    <w:rsid w:val="00851A80"/>
    <w:rsid w:val="008552C3"/>
    <w:rsid w:val="008560F6"/>
    <w:rsid w:val="0085657F"/>
    <w:rsid w:val="00867F8C"/>
    <w:rsid w:val="008749CF"/>
    <w:rsid w:val="00874EC2"/>
    <w:rsid w:val="008764C3"/>
    <w:rsid w:val="00882D8E"/>
    <w:rsid w:val="008908EE"/>
    <w:rsid w:val="00891D61"/>
    <w:rsid w:val="00895F6B"/>
    <w:rsid w:val="00896A25"/>
    <w:rsid w:val="00896CCD"/>
    <w:rsid w:val="00897A5E"/>
    <w:rsid w:val="008A1EA7"/>
    <w:rsid w:val="008A2440"/>
    <w:rsid w:val="008A254E"/>
    <w:rsid w:val="008A79F1"/>
    <w:rsid w:val="008B35F9"/>
    <w:rsid w:val="008B56C1"/>
    <w:rsid w:val="008C3ECD"/>
    <w:rsid w:val="008C53B5"/>
    <w:rsid w:val="008D1009"/>
    <w:rsid w:val="008D1AFB"/>
    <w:rsid w:val="008D3BE2"/>
    <w:rsid w:val="008E0B57"/>
    <w:rsid w:val="008E302F"/>
    <w:rsid w:val="008E38B5"/>
    <w:rsid w:val="008E4150"/>
    <w:rsid w:val="008E5CFC"/>
    <w:rsid w:val="008F04B8"/>
    <w:rsid w:val="008F3148"/>
    <w:rsid w:val="008F4C9A"/>
    <w:rsid w:val="0090075A"/>
    <w:rsid w:val="009056C3"/>
    <w:rsid w:val="0091257A"/>
    <w:rsid w:val="00920770"/>
    <w:rsid w:val="0092137C"/>
    <w:rsid w:val="0092224A"/>
    <w:rsid w:val="0092374D"/>
    <w:rsid w:val="009249B7"/>
    <w:rsid w:val="00924F1F"/>
    <w:rsid w:val="00927D95"/>
    <w:rsid w:val="00927E0C"/>
    <w:rsid w:val="0093205B"/>
    <w:rsid w:val="00935E28"/>
    <w:rsid w:val="00942270"/>
    <w:rsid w:val="00942E3E"/>
    <w:rsid w:val="00943454"/>
    <w:rsid w:val="0094623F"/>
    <w:rsid w:val="009508C3"/>
    <w:rsid w:val="00950E78"/>
    <w:rsid w:val="00951689"/>
    <w:rsid w:val="00951B7A"/>
    <w:rsid w:val="00951E2A"/>
    <w:rsid w:val="009535BA"/>
    <w:rsid w:val="00953B99"/>
    <w:rsid w:val="00955C53"/>
    <w:rsid w:val="0095691C"/>
    <w:rsid w:val="00957BD7"/>
    <w:rsid w:val="009612EB"/>
    <w:rsid w:val="009615CC"/>
    <w:rsid w:val="00963DBC"/>
    <w:rsid w:val="00964479"/>
    <w:rsid w:val="00973FE4"/>
    <w:rsid w:val="00976365"/>
    <w:rsid w:val="0098034E"/>
    <w:rsid w:val="009805DB"/>
    <w:rsid w:val="0098542D"/>
    <w:rsid w:val="00987934"/>
    <w:rsid w:val="0099346D"/>
    <w:rsid w:val="00994FB0"/>
    <w:rsid w:val="009A53B7"/>
    <w:rsid w:val="009B0A22"/>
    <w:rsid w:val="009B2639"/>
    <w:rsid w:val="009B44AA"/>
    <w:rsid w:val="009B45BB"/>
    <w:rsid w:val="009B5F3D"/>
    <w:rsid w:val="009C34FC"/>
    <w:rsid w:val="009C3DFB"/>
    <w:rsid w:val="009D052C"/>
    <w:rsid w:val="009D09A1"/>
    <w:rsid w:val="009D3B0B"/>
    <w:rsid w:val="009E093C"/>
    <w:rsid w:val="009E31AF"/>
    <w:rsid w:val="009E533A"/>
    <w:rsid w:val="009E61AC"/>
    <w:rsid w:val="009F142F"/>
    <w:rsid w:val="009F7A11"/>
    <w:rsid w:val="00A00376"/>
    <w:rsid w:val="00A046EE"/>
    <w:rsid w:val="00A04B66"/>
    <w:rsid w:val="00A11166"/>
    <w:rsid w:val="00A12E17"/>
    <w:rsid w:val="00A14FAA"/>
    <w:rsid w:val="00A17D68"/>
    <w:rsid w:val="00A200D9"/>
    <w:rsid w:val="00A249B0"/>
    <w:rsid w:val="00A25228"/>
    <w:rsid w:val="00A30836"/>
    <w:rsid w:val="00A30888"/>
    <w:rsid w:val="00A332EA"/>
    <w:rsid w:val="00A337C8"/>
    <w:rsid w:val="00A34BAD"/>
    <w:rsid w:val="00A413A4"/>
    <w:rsid w:val="00A4280F"/>
    <w:rsid w:val="00A45AB6"/>
    <w:rsid w:val="00A46AD4"/>
    <w:rsid w:val="00A47235"/>
    <w:rsid w:val="00A47C05"/>
    <w:rsid w:val="00A51D90"/>
    <w:rsid w:val="00A5330F"/>
    <w:rsid w:val="00A535CE"/>
    <w:rsid w:val="00A55D1E"/>
    <w:rsid w:val="00A57FDC"/>
    <w:rsid w:val="00A6072A"/>
    <w:rsid w:val="00A62AC5"/>
    <w:rsid w:val="00A62D6A"/>
    <w:rsid w:val="00A64D83"/>
    <w:rsid w:val="00A64F18"/>
    <w:rsid w:val="00A6772B"/>
    <w:rsid w:val="00A701FF"/>
    <w:rsid w:val="00A72B0C"/>
    <w:rsid w:val="00A75D5F"/>
    <w:rsid w:val="00A81564"/>
    <w:rsid w:val="00A824F6"/>
    <w:rsid w:val="00A82F8C"/>
    <w:rsid w:val="00A86B7C"/>
    <w:rsid w:val="00A902B3"/>
    <w:rsid w:val="00A90E16"/>
    <w:rsid w:val="00A90EDD"/>
    <w:rsid w:val="00A90F44"/>
    <w:rsid w:val="00A92192"/>
    <w:rsid w:val="00A929F6"/>
    <w:rsid w:val="00A92EA0"/>
    <w:rsid w:val="00A97296"/>
    <w:rsid w:val="00A97FBB"/>
    <w:rsid w:val="00AA2FE1"/>
    <w:rsid w:val="00AA33B7"/>
    <w:rsid w:val="00AA34A4"/>
    <w:rsid w:val="00AA6270"/>
    <w:rsid w:val="00AB0672"/>
    <w:rsid w:val="00AB07A1"/>
    <w:rsid w:val="00AB5CDC"/>
    <w:rsid w:val="00AC0421"/>
    <w:rsid w:val="00AC1526"/>
    <w:rsid w:val="00AC4BD0"/>
    <w:rsid w:val="00AC69B3"/>
    <w:rsid w:val="00AD195F"/>
    <w:rsid w:val="00AD612B"/>
    <w:rsid w:val="00AE4907"/>
    <w:rsid w:val="00AE7B02"/>
    <w:rsid w:val="00AF26F7"/>
    <w:rsid w:val="00AF4FD4"/>
    <w:rsid w:val="00AF72BB"/>
    <w:rsid w:val="00AF7A3D"/>
    <w:rsid w:val="00B05818"/>
    <w:rsid w:val="00B05F3F"/>
    <w:rsid w:val="00B0641C"/>
    <w:rsid w:val="00B065AF"/>
    <w:rsid w:val="00B22573"/>
    <w:rsid w:val="00B24591"/>
    <w:rsid w:val="00B246C2"/>
    <w:rsid w:val="00B24D7D"/>
    <w:rsid w:val="00B25F3D"/>
    <w:rsid w:val="00B30B62"/>
    <w:rsid w:val="00B37827"/>
    <w:rsid w:val="00B40154"/>
    <w:rsid w:val="00B44408"/>
    <w:rsid w:val="00B4708F"/>
    <w:rsid w:val="00B50783"/>
    <w:rsid w:val="00B56731"/>
    <w:rsid w:val="00B56A44"/>
    <w:rsid w:val="00B56D25"/>
    <w:rsid w:val="00B614E3"/>
    <w:rsid w:val="00B70912"/>
    <w:rsid w:val="00B7171A"/>
    <w:rsid w:val="00B75746"/>
    <w:rsid w:val="00B80DAA"/>
    <w:rsid w:val="00B82697"/>
    <w:rsid w:val="00B83A47"/>
    <w:rsid w:val="00B86554"/>
    <w:rsid w:val="00B87481"/>
    <w:rsid w:val="00B878BA"/>
    <w:rsid w:val="00B90C15"/>
    <w:rsid w:val="00B93F58"/>
    <w:rsid w:val="00B96731"/>
    <w:rsid w:val="00B978A2"/>
    <w:rsid w:val="00BA0103"/>
    <w:rsid w:val="00BA4A3F"/>
    <w:rsid w:val="00BB0D40"/>
    <w:rsid w:val="00BB1A1B"/>
    <w:rsid w:val="00BB4C3E"/>
    <w:rsid w:val="00BB6DCA"/>
    <w:rsid w:val="00BB7041"/>
    <w:rsid w:val="00BB733B"/>
    <w:rsid w:val="00BB775B"/>
    <w:rsid w:val="00BC0094"/>
    <w:rsid w:val="00BC68B6"/>
    <w:rsid w:val="00BD2F47"/>
    <w:rsid w:val="00BD3F01"/>
    <w:rsid w:val="00BD41C2"/>
    <w:rsid w:val="00BD4929"/>
    <w:rsid w:val="00BD622D"/>
    <w:rsid w:val="00BD63C9"/>
    <w:rsid w:val="00BE1B5B"/>
    <w:rsid w:val="00BE1FD4"/>
    <w:rsid w:val="00BE4145"/>
    <w:rsid w:val="00BE549D"/>
    <w:rsid w:val="00BE713C"/>
    <w:rsid w:val="00BE77B6"/>
    <w:rsid w:val="00BE7DE9"/>
    <w:rsid w:val="00BF5AA3"/>
    <w:rsid w:val="00C002E3"/>
    <w:rsid w:val="00C019CC"/>
    <w:rsid w:val="00C02F34"/>
    <w:rsid w:val="00C0419B"/>
    <w:rsid w:val="00C06D50"/>
    <w:rsid w:val="00C06FF3"/>
    <w:rsid w:val="00C1229C"/>
    <w:rsid w:val="00C135A7"/>
    <w:rsid w:val="00C141AF"/>
    <w:rsid w:val="00C206D5"/>
    <w:rsid w:val="00C225B8"/>
    <w:rsid w:val="00C243A8"/>
    <w:rsid w:val="00C26F68"/>
    <w:rsid w:val="00C27011"/>
    <w:rsid w:val="00C270A3"/>
    <w:rsid w:val="00C314C8"/>
    <w:rsid w:val="00C34CD8"/>
    <w:rsid w:val="00C40668"/>
    <w:rsid w:val="00C428D8"/>
    <w:rsid w:val="00C42D5A"/>
    <w:rsid w:val="00C4547A"/>
    <w:rsid w:val="00C5303F"/>
    <w:rsid w:val="00C54DB6"/>
    <w:rsid w:val="00C57752"/>
    <w:rsid w:val="00C60D18"/>
    <w:rsid w:val="00C63638"/>
    <w:rsid w:val="00C651A6"/>
    <w:rsid w:val="00C66673"/>
    <w:rsid w:val="00C671B5"/>
    <w:rsid w:val="00C73990"/>
    <w:rsid w:val="00C7527C"/>
    <w:rsid w:val="00C767B8"/>
    <w:rsid w:val="00C814A6"/>
    <w:rsid w:val="00C8154B"/>
    <w:rsid w:val="00C96BA6"/>
    <w:rsid w:val="00CA0281"/>
    <w:rsid w:val="00CA38BA"/>
    <w:rsid w:val="00CA5F8D"/>
    <w:rsid w:val="00CA6DA4"/>
    <w:rsid w:val="00CA7178"/>
    <w:rsid w:val="00CB1B87"/>
    <w:rsid w:val="00CB4391"/>
    <w:rsid w:val="00CC00D8"/>
    <w:rsid w:val="00CC06A9"/>
    <w:rsid w:val="00CC2484"/>
    <w:rsid w:val="00CC2DA7"/>
    <w:rsid w:val="00CC31AF"/>
    <w:rsid w:val="00CC5308"/>
    <w:rsid w:val="00CC6400"/>
    <w:rsid w:val="00CC7033"/>
    <w:rsid w:val="00CC7A5C"/>
    <w:rsid w:val="00CD0857"/>
    <w:rsid w:val="00CD10A0"/>
    <w:rsid w:val="00CD71C8"/>
    <w:rsid w:val="00CD71F3"/>
    <w:rsid w:val="00CE0732"/>
    <w:rsid w:val="00CE0B3D"/>
    <w:rsid w:val="00CE378F"/>
    <w:rsid w:val="00CE7440"/>
    <w:rsid w:val="00CF2341"/>
    <w:rsid w:val="00CF3250"/>
    <w:rsid w:val="00CF388E"/>
    <w:rsid w:val="00D02E80"/>
    <w:rsid w:val="00D03066"/>
    <w:rsid w:val="00D033AA"/>
    <w:rsid w:val="00D033CC"/>
    <w:rsid w:val="00D107C4"/>
    <w:rsid w:val="00D11A11"/>
    <w:rsid w:val="00D158B1"/>
    <w:rsid w:val="00D15FE6"/>
    <w:rsid w:val="00D16443"/>
    <w:rsid w:val="00D17697"/>
    <w:rsid w:val="00D2491A"/>
    <w:rsid w:val="00D258F7"/>
    <w:rsid w:val="00D27B45"/>
    <w:rsid w:val="00D33EDC"/>
    <w:rsid w:val="00D340A9"/>
    <w:rsid w:val="00D342C8"/>
    <w:rsid w:val="00D35E8B"/>
    <w:rsid w:val="00D36496"/>
    <w:rsid w:val="00D378DF"/>
    <w:rsid w:val="00D41309"/>
    <w:rsid w:val="00D413DB"/>
    <w:rsid w:val="00D41D1C"/>
    <w:rsid w:val="00D456C7"/>
    <w:rsid w:val="00D5105A"/>
    <w:rsid w:val="00D514D0"/>
    <w:rsid w:val="00D53AB4"/>
    <w:rsid w:val="00D53E6C"/>
    <w:rsid w:val="00D5620B"/>
    <w:rsid w:val="00D602A3"/>
    <w:rsid w:val="00D60913"/>
    <w:rsid w:val="00D610ED"/>
    <w:rsid w:val="00D63FD8"/>
    <w:rsid w:val="00D6439D"/>
    <w:rsid w:val="00D655CA"/>
    <w:rsid w:val="00D7050C"/>
    <w:rsid w:val="00D72B3B"/>
    <w:rsid w:val="00D7767B"/>
    <w:rsid w:val="00D77F14"/>
    <w:rsid w:val="00D81960"/>
    <w:rsid w:val="00D82D0D"/>
    <w:rsid w:val="00D84C3B"/>
    <w:rsid w:val="00D852F7"/>
    <w:rsid w:val="00D90522"/>
    <w:rsid w:val="00D909EA"/>
    <w:rsid w:val="00DA208A"/>
    <w:rsid w:val="00DA371B"/>
    <w:rsid w:val="00DA5448"/>
    <w:rsid w:val="00DA6626"/>
    <w:rsid w:val="00DA6645"/>
    <w:rsid w:val="00DB4040"/>
    <w:rsid w:val="00DB40CF"/>
    <w:rsid w:val="00DB503D"/>
    <w:rsid w:val="00DC2417"/>
    <w:rsid w:val="00DC6F46"/>
    <w:rsid w:val="00DC6FE2"/>
    <w:rsid w:val="00DD3A30"/>
    <w:rsid w:val="00DE121F"/>
    <w:rsid w:val="00DE27D3"/>
    <w:rsid w:val="00DE3F53"/>
    <w:rsid w:val="00DE48F5"/>
    <w:rsid w:val="00DE5E43"/>
    <w:rsid w:val="00DE6C87"/>
    <w:rsid w:val="00DE7870"/>
    <w:rsid w:val="00DE7A6F"/>
    <w:rsid w:val="00DF368A"/>
    <w:rsid w:val="00DF5B66"/>
    <w:rsid w:val="00DF5FDB"/>
    <w:rsid w:val="00E0169A"/>
    <w:rsid w:val="00E02DC4"/>
    <w:rsid w:val="00E04A42"/>
    <w:rsid w:val="00E0593B"/>
    <w:rsid w:val="00E06507"/>
    <w:rsid w:val="00E066A1"/>
    <w:rsid w:val="00E071F5"/>
    <w:rsid w:val="00E10113"/>
    <w:rsid w:val="00E11B77"/>
    <w:rsid w:val="00E125D0"/>
    <w:rsid w:val="00E12F47"/>
    <w:rsid w:val="00E149E0"/>
    <w:rsid w:val="00E15353"/>
    <w:rsid w:val="00E16523"/>
    <w:rsid w:val="00E16DFC"/>
    <w:rsid w:val="00E22095"/>
    <w:rsid w:val="00E24A5E"/>
    <w:rsid w:val="00E272D6"/>
    <w:rsid w:val="00E3004F"/>
    <w:rsid w:val="00E328C5"/>
    <w:rsid w:val="00E32920"/>
    <w:rsid w:val="00E33B2C"/>
    <w:rsid w:val="00E37EDB"/>
    <w:rsid w:val="00E40C51"/>
    <w:rsid w:val="00E431D4"/>
    <w:rsid w:val="00E45AF8"/>
    <w:rsid w:val="00E476CA"/>
    <w:rsid w:val="00E47EEB"/>
    <w:rsid w:val="00E54D74"/>
    <w:rsid w:val="00E54F53"/>
    <w:rsid w:val="00E5665A"/>
    <w:rsid w:val="00E5766B"/>
    <w:rsid w:val="00E60930"/>
    <w:rsid w:val="00E60C84"/>
    <w:rsid w:val="00E62246"/>
    <w:rsid w:val="00E64274"/>
    <w:rsid w:val="00E65755"/>
    <w:rsid w:val="00E65DF1"/>
    <w:rsid w:val="00E67F54"/>
    <w:rsid w:val="00E72B9D"/>
    <w:rsid w:val="00E758F1"/>
    <w:rsid w:val="00E764FE"/>
    <w:rsid w:val="00E76681"/>
    <w:rsid w:val="00E76975"/>
    <w:rsid w:val="00E81B72"/>
    <w:rsid w:val="00E82905"/>
    <w:rsid w:val="00E85136"/>
    <w:rsid w:val="00E86F3D"/>
    <w:rsid w:val="00E91800"/>
    <w:rsid w:val="00E922E6"/>
    <w:rsid w:val="00E9378B"/>
    <w:rsid w:val="00E9394E"/>
    <w:rsid w:val="00E94A46"/>
    <w:rsid w:val="00E959FF"/>
    <w:rsid w:val="00E97B78"/>
    <w:rsid w:val="00EA430D"/>
    <w:rsid w:val="00EA4A03"/>
    <w:rsid w:val="00EA5CD8"/>
    <w:rsid w:val="00EA7BF7"/>
    <w:rsid w:val="00EB329D"/>
    <w:rsid w:val="00EB3F49"/>
    <w:rsid w:val="00EB7E27"/>
    <w:rsid w:val="00EC1193"/>
    <w:rsid w:val="00EC5F4C"/>
    <w:rsid w:val="00EC6C32"/>
    <w:rsid w:val="00ED2778"/>
    <w:rsid w:val="00ED36BF"/>
    <w:rsid w:val="00ED404F"/>
    <w:rsid w:val="00ED4D7A"/>
    <w:rsid w:val="00ED700D"/>
    <w:rsid w:val="00EE0B73"/>
    <w:rsid w:val="00EE1201"/>
    <w:rsid w:val="00EE2EA9"/>
    <w:rsid w:val="00EE35CF"/>
    <w:rsid w:val="00EE3C58"/>
    <w:rsid w:val="00EE3FBF"/>
    <w:rsid w:val="00EE40FD"/>
    <w:rsid w:val="00EE5E43"/>
    <w:rsid w:val="00EF051C"/>
    <w:rsid w:val="00EF4B24"/>
    <w:rsid w:val="00EF4BD8"/>
    <w:rsid w:val="00EF5A83"/>
    <w:rsid w:val="00EF5F54"/>
    <w:rsid w:val="00F01E9D"/>
    <w:rsid w:val="00F07B32"/>
    <w:rsid w:val="00F10DE6"/>
    <w:rsid w:val="00F1130E"/>
    <w:rsid w:val="00F12B4A"/>
    <w:rsid w:val="00F12BC1"/>
    <w:rsid w:val="00F12E50"/>
    <w:rsid w:val="00F2098F"/>
    <w:rsid w:val="00F21BD2"/>
    <w:rsid w:val="00F25370"/>
    <w:rsid w:val="00F342EE"/>
    <w:rsid w:val="00F3622C"/>
    <w:rsid w:val="00F373D1"/>
    <w:rsid w:val="00F4561D"/>
    <w:rsid w:val="00F50006"/>
    <w:rsid w:val="00F51101"/>
    <w:rsid w:val="00F540F1"/>
    <w:rsid w:val="00F55D61"/>
    <w:rsid w:val="00F56938"/>
    <w:rsid w:val="00F61230"/>
    <w:rsid w:val="00F61837"/>
    <w:rsid w:val="00F62C62"/>
    <w:rsid w:val="00F63F0A"/>
    <w:rsid w:val="00F661B4"/>
    <w:rsid w:val="00F67C98"/>
    <w:rsid w:val="00F70580"/>
    <w:rsid w:val="00F70E77"/>
    <w:rsid w:val="00F773F3"/>
    <w:rsid w:val="00F90230"/>
    <w:rsid w:val="00F913F5"/>
    <w:rsid w:val="00F92E62"/>
    <w:rsid w:val="00F94095"/>
    <w:rsid w:val="00F94C62"/>
    <w:rsid w:val="00F95B55"/>
    <w:rsid w:val="00FA362D"/>
    <w:rsid w:val="00FA6416"/>
    <w:rsid w:val="00FB1450"/>
    <w:rsid w:val="00FB167A"/>
    <w:rsid w:val="00FB2ED0"/>
    <w:rsid w:val="00FB51FB"/>
    <w:rsid w:val="00FB734C"/>
    <w:rsid w:val="00FC4194"/>
    <w:rsid w:val="00FC67D3"/>
    <w:rsid w:val="00FC71F9"/>
    <w:rsid w:val="00FC7CC7"/>
    <w:rsid w:val="00FD0218"/>
    <w:rsid w:val="00FD0F50"/>
    <w:rsid w:val="00FD29C9"/>
    <w:rsid w:val="00FD76B6"/>
    <w:rsid w:val="00FF0009"/>
    <w:rsid w:val="00FF0E22"/>
    <w:rsid w:val="00FF47C6"/>
    <w:rsid w:val="00FF58CA"/>
    <w:rsid w:val="00FF6994"/>
    <w:rsid w:val="00FF767B"/>
    <w:rsid w:val="03B4D992"/>
    <w:rsid w:val="07FE7D6F"/>
    <w:rsid w:val="09837DCB"/>
    <w:rsid w:val="11FFEC81"/>
    <w:rsid w:val="1DEA29A5"/>
    <w:rsid w:val="1F9F5E9B"/>
    <w:rsid w:val="206933B7"/>
    <w:rsid w:val="2533229F"/>
    <w:rsid w:val="2AD7BEDF"/>
    <w:rsid w:val="2DCF0F7A"/>
    <w:rsid w:val="2F5F7B61"/>
    <w:rsid w:val="2F76003F"/>
    <w:rsid w:val="353FFF9B"/>
    <w:rsid w:val="367EBF15"/>
    <w:rsid w:val="373DC554"/>
    <w:rsid w:val="3B3F4F50"/>
    <w:rsid w:val="3BFBE81A"/>
    <w:rsid w:val="3D77AB40"/>
    <w:rsid w:val="3DFFC88B"/>
    <w:rsid w:val="3F7D69E8"/>
    <w:rsid w:val="3FDE07D1"/>
    <w:rsid w:val="3FDF3BC9"/>
    <w:rsid w:val="3FEF0A16"/>
    <w:rsid w:val="3FFD89E9"/>
    <w:rsid w:val="3FFDD432"/>
    <w:rsid w:val="3FFEAC51"/>
    <w:rsid w:val="47A96024"/>
    <w:rsid w:val="4BF71B2D"/>
    <w:rsid w:val="4EFB16F4"/>
    <w:rsid w:val="4F2A0F38"/>
    <w:rsid w:val="4FDABD35"/>
    <w:rsid w:val="576FEBF0"/>
    <w:rsid w:val="5BA6F25A"/>
    <w:rsid w:val="5BFB2745"/>
    <w:rsid w:val="5F1F1F70"/>
    <w:rsid w:val="5FBB7FF6"/>
    <w:rsid w:val="5FF7EBB6"/>
    <w:rsid w:val="6757E23E"/>
    <w:rsid w:val="677D66E4"/>
    <w:rsid w:val="67BE19B3"/>
    <w:rsid w:val="67E4B37E"/>
    <w:rsid w:val="67FD3781"/>
    <w:rsid w:val="693F89B3"/>
    <w:rsid w:val="697EB174"/>
    <w:rsid w:val="6B9C74F3"/>
    <w:rsid w:val="6BD753F2"/>
    <w:rsid w:val="6BE711CF"/>
    <w:rsid w:val="6C7E4D3A"/>
    <w:rsid w:val="6D1F01AE"/>
    <w:rsid w:val="6DAEF3CA"/>
    <w:rsid w:val="6E5FB793"/>
    <w:rsid w:val="6E7F0A7F"/>
    <w:rsid w:val="6EEFA253"/>
    <w:rsid w:val="6EEFF286"/>
    <w:rsid w:val="6EF46752"/>
    <w:rsid w:val="6F3987BF"/>
    <w:rsid w:val="6F6F8E86"/>
    <w:rsid w:val="6F776B50"/>
    <w:rsid w:val="6F7F8029"/>
    <w:rsid w:val="6F8B15D8"/>
    <w:rsid w:val="6F9F19DA"/>
    <w:rsid w:val="6FBF983B"/>
    <w:rsid w:val="6FFEAF03"/>
    <w:rsid w:val="706A7EF5"/>
    <w:rsid w:val="75EEBA46"/>
    <w:rsid w:val="75FF4D85"/>
    <w:rsid w:val="76C6CA15"/>
    <w:rsid w:val="76D7616D"/>
    <w:rsid w:val="77F36BA1"/>
    <w:rsid w:val="77FE7BAB"/>
    <w:rsid w:val="77FE9754"/>
    <w:rsid w:val="783F60B5"/>
    <w:rsid w:val="7A1F82EA"/>
    <w:rsid w:val="7A6E1023"/>
    <w:rsid w:val="7AEEE114"/>
    <w:rsid w:val="7AFD7D22"/>
    <w:rsid w:val="7B3AA5EB"/>
    <w:rsid w:val="7B6F88EB"/>
    <w:rsid w:val="7BAD5391"/>
    <w:rsid w:val="7BB343FC"/>
    <w:rsid w:val="7BBC22F4"/>
    <w:rsid w:val="7BEF2096"/>
    <w:rsid w:val="7BF7F4DB"/>
    <w:rsid w:val="7CC524D6"/>
    <w:rsid w:val="7D13785E"/>
    <w:rsid w:val="7DFD8EE9"/>
    <w:rsid w:val="7E1D6916"/>
    <w:rsid w:val="7E73EE2A"/>
    <w:rsid w:val="7E8F4F5F"/>
    <w:rsid w:val="7EDCF73B"/>
    <w:rsid w:val="7EECB78C"/>
    <w:rsid w:val="7EFFEF37"/>
    <w:rsid w:val="7F2F637C"/>
    <w:rsid w:val="7F3F2145"/>
    <w:rsid w:val="7FAD2B04"/>
    <w:rsid w:val="7FB813AF"/>
    <w:rsid w:val="7FBD45FA"/>
    <w:rsid w:val="7FC1AB32"/>
    <w:rsid w:val="7FDF9008"/>
    <w:rsid w:val="7FE5D16F"/>
    <w:rsid w:val="7FFAD612"/>
    <w:rsid w:val="7FFE7CDC"/>
    <w:rsid w:val="7FFEC88C"/>
    <w:rsid w:val="8BFF41B0"/>
    <w:rsid w:val="91BF23E1"/>
    <w:rsid w:val="9D7B6933"/>
    <w:rsid w:val="9E7D0B7A"/>
    <w:rsid w:val="9F6F4A9D"/>
    <w:rsid w:val="9FF9339D"/>
    <w:rsid w:val="AFBE2EBD"/>
    <w:rsid w:val="AFF64286"/>
    <w:rsid w:val="B7F76BCA"/>
    <w:rsid w:val="BA7FA8DE"/>
    <w:rsid w:val="BBFAF38D"/>
    <w:rsid w:val="BD5F2704"/>
    <w:rsid w:val="BD87E14D"/>
    <w:rsid w:val="BDFF8E52"/>
    <w:rsid w:val="BF17C820"/>
    <w:rsid w:val="BF3F06AA"/>
    <w:rsid w:val="C79FB727"/>
    <w:rsid w:val="C7FF1D49"/>
    <w:rsid w:val="CBFFEEB1"/>
    <w:rsid w:val="CFBADBE5"/>
    <w:rsid w:val="CFEF0BBD"/>
    <w:rsid w:val="D33F042F"/>
    <w:rsid w:val="D5BF1CCC"/>
    <w:rsid w:val="D5D7EDF2"/>
    <w:rsid w:val="DB59F901"/>
    <w:rsid w:val="DB6F28F4"/>
    <w:rsid w:val="DBD89F04"/>
    <w:rsid w:val="DD77E655"/>
    <w:rsid w:val="DE7DFAB1"/>
    <w:rsid w:val="DEDD3A9A"/>
    <w:rsid w:val="DF3F9120"/>
    <w:rsid w:val="DF7F3168"/>
    <w:rsid w:val="DFAF75DC"/>
    <w:rsid w:val="DFBFA2FE"/>
    <w:rsid w:val="DFF4F9C8"/>
    <w:rsid w:val="DFFEC700"/>
    <w:rsid w:val="E2FD1F05"/>
    <w:rsid w:val="E5763744"/>
    <w:rsid w:val="E57B7F97"/>
    <w:rsid w:val="E5BEE7C3"/>
    <w:rsid w:val="E7DF51BE"/>
    <w:rsid w:val="E7F9B29B"/>
    <w:rsid w:val="E9EF7F59"/>
    <w:rsid w:val="EA2D64D0"/>
    <w:rsid w:val="EB7CD8B7"/>
    <w:rsid w:val="EBF76F9D"/>
    <w:rsid w:val="ECBFF4AD"/>
    <w:rsid w:val="EDB7B8C9"/>
    <w:rsid w:val="EDBFC35F"/>
    <w:rsid w:val="EDCE6496"/>
    <w:rsid w:val="EE2FF76E"/>
    <w:rsid w:val="EEF9AA17"/>
    <w:rsid w:val="EF35FBA6"/>
    <w:rsid w:val="EF8F369A"/>
    <w:rsid w:val="EFEF913A"/>
    <w:rsid w:val="EFFF91F6"/>
    <w:rsid w:val="F157CD47"/>
    <w:rsid w:val="F25F64C4"/>
    <w:rsid w:val="F3312A19"/>
    <w:rsid w:val="F579664F"/>
    <w:rsid w:val="F67E8905"/>
    <w:rsid w:val="F73E55DC"/>
    <w:rsid w:val="F7BF1389"/>
    <w:rsid w:val="F7C73242"/>
    <w:rsid w:val="F8FE8638"/>
    <w:rsid w:val="F9FEF619"/>
    <w:rsid w:val="FABC4505"/>
    <w:rsid w:val="FB75A4AB"/>
    <w:rsid w:val="FBDC2268"/>
    <w:rsid w:val="FBFB6806"/>
    <w:rsid w:val="FBFF6A51"/>
    <w:rsid w:val="FBFFE25E"/>
    <w:rsid w:val="FC5B6372"/>
    <w:rsid w:val="FCDB0D95"/>
    <w:rsid w:val="FD5E9FD5"/>
    <w:rsid w:val="FD77A178"/>
    <w:rsid w:val="FD9FC648"/>
    <w:rsid w:val="FDFE4D8D"/>
    <w:rsid w:val="FDFF7248"/>
    <w:rsid w:val="FE3FF777"/>
    <w:rsid w:val="FEAC409C"/>
    <w:rsid w:val="FEAFC31A"/>
    <w:rsid w:val="FEDFA135"/>
    <w:rsid w:val="FEFF8DC5"/>
    <w:rsid w:val="FF34ABA1"/>
    <w:rsid w:val="FF6B12B3"/>
    <w:rsid w:val="FF7F930B"/>
    <w:rsid w:val="FF7FD990"/>
    <w:rsid w:val="FF9FB9FA"/>
    <w:rsid w:val="FFB69C4A"/>
    <w:rsid w:val="FFBB0F66"/>
    <w:rsid w:val="FFBFA233"/>
    <w:rsid w:val="FFDF8245"/>
    <w:rsid w:val="FFFA5E8B"/>
    <w:rsid w:val="FFFF3CEF"/>
    <w:rsid w:val="FFFF4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footer"/>
    <w:basedOn w:val="1"/>
    <w:link w:val="45"/>
    <w:unhideWhenUsed/>
    <w:qFormat/>
    <w:uiPriority w:val="99"/>
    <w:pPr>
      <w:tabs>
        <w:tab w:val="center" w:pos="4153"/>
        <w:tab w:val="right" w:pos="8306"/>
      </w:tabs>
      <w:snapToGrid w:val="0"/>
      <w:jc w:val="left"/>
    </w:pPr>
    <w:rPr>
      <w:sz w:val="18"/>
      <w:szCs w:val="18"/>
    </w:rPr>
  </w:style>
  <w:style w:type="paragraph" w:styleId="13">
    <w:name w:val="Subtitle"/>
    <w:basedOn w:val="1"/>
    <w:next w:val="1"/>
    <w:link w:val="3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footnote text"/>
    <w:basedOn w:val="1"/>
    <w:link w:val="43"/>
    <w:unhideWhenUsed/>
    <w:qFormat/>
    <w:uiPriority w:val="99"/>
    <w:pPr>
      <w:snapToGrid w:val="0"/>
      <w:jc w:val="left"/>
    </w:pPr>
    <w:rPr>
      <w:sz w:val="18"/>
      <w:szCs w:val="18"/>
    </w:rPr>
  </w:style>
  <w:style w:type="paragraph" w:styleId="15">
    <w:name w:val="Normal (Web)"/>
    <w:basedOn w:val="1"/>
    <w:semiHidden/>
    <w:unhideWhenUsed/>
    <w:qFormat/>
    <w:uiPriority w:val="99"/>
    <w:pPr>
      <w:spacing w:beforeAutospacing="1" w:afterAutospacing="1"/>
      <w:jc w:val="left"/>
    </w:pPr>
    <w:rPr>
      <w:rFonts w:cs="Times New Roman"/>
      <w:kern w:val="0"/>
      <w:sz w:val="24"/>
    </w:rPr>
  </w:style>
  <w:style w:type="paragraph" w:styleId="16">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basedOn w:val="19"/>
    <w:semiHidden/>
    <w:unhideWhenUsed/>
    <w:qFormat/>
    <w:uiPriority w:val="99"/>
  </w:style>
  <w:style w:type="character" w:styleId="21">
    <w:name w:val="FollowedHyperlink"/>
    <w:basedOn w:val="19"/>
    <w:semiHidden/>
    <w:unhideWhenUsed/>
    <w:qFormat/>
    <w:uiPriority w:val="99"/>
    <w:rPr>
      <w:color w:val="96607D" w:themeColor="followedHyperlink"/>
      <w:u w:val="single"/>
      <w14:textFill>
        <w14:solidFill>
          <w14:schemeClr w14:val="folHlink"/>
        </w14:solidFill>
      </w14:textFill>
    </w:rPr>
  </w:style>
  <w:style w:type="character" w:styleId="22">
    <w:name w:val="Hyperlink"/>
    <w:basedOn w:val="19"/>
    <w:unhideWhenUsed/>
    <w:qFormat/>
    <w:uiPriority w:val="99"/>
    <w:rPr>
      <w:color w:val="467886" w:themeColor="hyperlink"/>
      <w:u w:val="single"/>
      <w14:textFill>
        <w14:solidFill>
          <w14:schemeClr w14:val="hlink"/>
        </w14:solidFill>
      </w14:textFill>
    </w:rPr>
  </w:style>
  <w:style w:type="character" w:styleId="23">
    <w:name w:val="annotation reference"/>
    <w:basedOn w:val="19"/>
    <w:semiHidden/>
    <w:unhideWhenUsed/>
    <w:qFormat/>
    <w:uiPriority w:val="99"/>
    <w:rPr>
      <w:sz w:val="21"/>
      <w:szCs w:val="21"/>
    </w:rPr>
  </w:style>
  <w:style w:type="character" w:styleId="24">
    <w:name w:val="footnote reference"/>
    <w:basedOn w:val="19"/>
    <w:semiHidden/>
    <w:unhideWhenUsed/>
    <w:qFormat/>
    <w:uiPriority w:val="99"/>
    <w:rPr>
      <w:vertAlign w:val="superscript"/>
    </w:rPr>
  </w:style>
  <w:style w:type="character" w:customStyle="1" w:styleId="25">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6">
    <w:name w:val="标题 2 字符"/>
    <w:basedOn w:val="19"/>
    <w:link w:val="3"/>
    <w:qFormat/>
    <w:uiPriority w:val="9"/>
    <w:rPr>
      <w:rFonts w:asciiTheme="majorHAnsi" w:hAnsiTheme="majorHAnsi" w:eastAsiaTheme="majorEastAsia" w:cstheme="majorBidi"/>
      <w:color w:val="104862" w:themeColor="accent1" w:themeShade="BF"/>
      <w:sz w:val="40"/>
      <w:szCs w:val="40"/>
    </w:rPr>
  </w:style>
  <w:style w:type="character" w:customStyle="1" w:styleId="27">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标题 4 字符"/>
    <w:basedOn w:val="19"/>
    <w:link w:val="5"/>
    <w:semiHidden/>
    <w:qFormat/>
    <w:uiPriority w:val="9"/>
    <w:rPr>
      <w:rFonts w:cstheme="majorBidi"/>
      <w:color w:val="104862" w:themeColor="accent1" w:themeShade="BF"/>
      <w:sz w:val="28"/>
      <w:szCs w:val="28"/>
    </w:rPr>
  </w:style>
  <w:style w:type="character" w:customStyle="1" w:styleId="29">
    <w:name w:val="标题 5 字符"/>
    <w:basedOn w:val="19"/>
    <w:link w:val="6"/>
    <w:semiHidden/>
    <w:qFormat/>
    <w:uiPriority w:val="9"/>
    <w:rPr>
      <w:rFonts w:cstheme="majorBidi"/>
      <w:color w:val="104862" w:themeColor="accent1" w:themeShade="BF"/>
      <w:sz w:val="24"/>
    </w:rPr>
  </w:style>
  <w:style w:type="character" w:customStyle="1" w:styleId="30">
    <w:name w:val="标题 6 字符"/>
    <w:basedOn w:val="19"/>
    <w:link w:val="7"/>
    <w:semiHidden/>
    <w:qFormat/>
    <w:uiPriority w:val="9"/>
    <w:rPr>
      <w:rFonts w:cstheme="majorBidi"/>
      <w:b/>
      <w:bCs/>
      <w:color w:val="104862" w:themeColor="accent1" w:themeShade="BF"/>
    </w:rPr>
  </w:style>
  <w:style w:type="character" w:customStyle="1" w:styleId="31">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19"/>
    <w:link w:val="16"/>
    <w:qFormat/>
    <w:uiPriority w:val="10"/>
    <w:rPr>
      <w:rFonts w:asciiTheme="majorHAnsi" w:hAnsiTheme="majorHAnsi" w:eastAsiaTheme="majorEastAsia" w:cstheme="majorBidi"/>
      <w:spacing w:val="-10"/>
      <w:kern w:val="28"/>
      <w:sz w:val="56"/>
      <w:szCs w:val="56"/>
    </w:rPr>
  </w:style>
  <w:style w:type="character" w:customStyle="1" w:styleId="35">
    <w:name w:val="副标题 字符"/>
    <w:basedOn w:val="19"/>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19"/>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明显强调1"/>
    <w:basedOn w:val="19"/>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明显引用 字符"/>
    <w:basedOn w:val="19"/>
    <w:link w:val="40"/>
    <w:qFormat/>
    <w:uiPriority w:val="30"/>
    <w:rPr>
      <w:i/>
      <w:iCs/>
      <w:color w:val="104862" w:themeColor="accent1" w:themeShade="BF"/>
    </w:rPr>
  </w:style>
  <w:style w:type="character" w:customStyle="1" w:styleId="42">
    <w:name w:val="明显参考1"/>
    <w:basedOn w:val="19"/>
    <w:qFormat/>
    <w:uiPriority w:val="32"/>
    <w:rPr>
      <w:b/>
      <w:bCs/>
      <w:smallCaps/>
      <w:color w:val="104862" w:themeColor="accent1" w:themeShade="BF"/>
      <w:spacing w:val="5"/>
    </w:rPr>
  </w:style>
  <w:style w:type="character" w:customStyle="1" w:styleId="43">
    <w:name w:val="脚注文本 字符"/>
    <w:basedOn w:val="19"/>
    <w:link w:val="14"/>
    <w:qFormat/>
    <w:uiPriority w:val="99"/>
    <w:rPr>
      <w:sz w:val="18"/>
      <w:szCs w:val="18"/>
    </w:rPr>
  </w:style>
  <w:style w:type="character" w:customStyle="1" w:styleId="44">
    <w:name w:val="未处理的提及1"/>
    <w:basedOn w:val="19"/>
    <w:semiHidden/>
    <w:unhideWhenUsed/>
    <w:qFormat/>
    <w:uiPriority w:val="99"/>
    <w:rPr>
      <w:color w:val="605E5C"/>
      <w:shd w:val="clear" w:color="auto" w:fill="E1DFDD"/>
    </w:rPr>
  </w:style>
  <w:style w:type="character" w:customStyle="1" w:styleId="45">
    <w:name w:val="页脚 字符"/>
    <w:basedOn w:val="19"/>
    <w:link w:val="12"/>
    <w:qFormat/>
    <w:uiPriority w:val="99"/>
    <w:rPr>
      <w:sz w:val="18"/>
      <w:szCs w:val="18"/>
    </w:rPr>
  </w:style>
  <w:style w:type="paragraph" w:customStyle="1" w:styleId="46">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47">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48">
    <w:name w:val="修订3"/>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49">
    <w:name w:val="修订4"/>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50">
    <w:name w:val="修订5"/>
    <w:hidden/>
    <w:unhideWhenUsed/>
    <w:uiPriority w:val="99"/>
    <w:rPr>
      <w:rFonts w:asciiTheme="minorHAnsi" w:hAnsiTheme="minorHAnsi" w:eastAsiaTheme="minorEastAsia" w:cstheme="minorBidi"/>
      <w:kern w:val="2"/>
      <w:sz w:val="21"/>
      <w:szCs w:val="24"/>
      <w:lang w:val="en-US" w:eastAsia="zh-CN" w:bidi="ar-SA"/>
    </w:rPr>
  </w:style>
  <w:style w:type="paragraph" w:customStyle="1" w:styleId="51">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C7F8503B-4A58-A148-8D81-635611B35D5F}">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1807</Words>
  <Characters>10302</Characters>
  <Lines>85</Lines>
  <Paragraphs>24</Paragraphs>
  <TotalTime>1</TotalTime>
  <ScaleCrop>false</ScaleCrop>
  <LinksUpToDate>false</LinksUpToDate>
  <CharactersWithSpaces>12085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2025-12-05T20:47:00Z</dcterms:created>
  <dc:creator>sgjt</dc:creator>
  <cp:lastModifiedBy>LAW</cp:lastModifiedBy>
  <cp:lastPrinted>2025-12-05T20:47:00Z</cp:lastPrinted>
  <dcterms:modified xsi:type="dcterms:W3CDTF">2026-04-11T19:47:00Z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E641504E8E1B532FB434DA690A633A7F_43</vt:lpwstr>
  </property>
  <property fmtid="{D5CDD505-2E9C-101B-9397-08002B2CF9AE}" pid="4" name="KSOTemplateDocerSaveRecord">
    <vt:lpwstr>eyJoZGlkIjoiZThhMzU5ZDVkN2NlM2MyNzE2NjgzOGYwMTVhNDgwZDkiLCJ1c2VySWQiOiI0MTI5NzIyMTMifQ==</vt:lpwstr>
  </property>
</Properties>
</file>