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76D93">
      <w:pPr>
        <w:jc w:val="center"/>
        <w:rPr>
          <w:rFonts w:ascii="黑体" w:hAnsi="黑体" w:eastAsia="黑体"/>
          <w:b/>
          <w:sz w:val="30"/>
          <w:szCs w:val="30"/>
        </w:rPr>
      </w:pPr>
      <w:r>
        <w:rPr>
          <w:rFonts w:hint="eastAsia" w:ascii="黑体" w:hAnsi="黑体" w:eastAsia="黑体"/>
          <w:b/>
          <w:sz w:val="30"/>
          <w:szCs w:val="30"/>
        </w:rPr>
        <w:t>中国政法大学研究生学报审稿评分表</w:t>
      </w:r>
    </w:p>
    <w:p w14:paraId="140363C4">
      <w:pPr>
        <w:rPr>
          <w:rFonts w:hint="eastAsia" w:eastAsia="宋体"/>
          <w:sz w:val="24"/>
          <w:lang w:eastAsia="zh-CN"/>
        </w:rPr>
      </w:pPr>
      <w:r>
        <w:rPr>
          <w:rFonts w:hint="eastAsia"/>
          <w:sz w:val="24"/>
        </w:rPr>
        <w:t>论文题目：</w:t>
      </w:r>
      <w:r>
        <w:rPr>
          <w:rFonts w:hint="eastAsia"/>
          <w:sz w:val="24"/>
          <w:lang w:eastAsia="zh-CN"/>
        </w:rPr>
        <w:t>《</w:t>
      </w:r>
      <w:r>
        <w:rPr>
          <w:rFonts w:hint="eastAsia"/>
          <w:sz w:val="24"/>
          <w:lang w:val="en-US" w:eastAsia="zh-CN"/>
        </w:rPr>
        <w:t>行政嵌入下地理标志专用权的资格化转向——以赤壁青砖茶国家地理标志产品保护示范区筹建为例</w:t>
      </w:r>
      <w:r>
        <w:rPr>
          <w:rFonts w:hint="eastAsia"/>
          <w:sz w:val="24"/>
          <w:lang w:eastAsia="zh-CN"/>
        </w:rPr>
        <w:t>》</w:t>
      </w:r>
    </w:p>
    <w:p w14:paraId="6117207E">
      <w:pPr>
        <w:rPr>
          <w:sz w:val="24"/>
        </w:rPr>
      </w:pPr>
      <w:r>
        <w:rPr>
          <w:rFonts w:hint="eastAsia"/>
          <w:sz w:val="24"/>
        </w:rPr>
        <w:t>论文作者：                                  学生编辑：</w:t>
      </w:r>
      <w:r>
        <w:rPr>
          <w:rFonts w:hint="eastAsia"/>
          <w:sz w:val="24"/>
          <w:lang w:val="en-US" w:eastAsia="zh-CN"/>
        </w:rPr>
        <w:t>李研</w:t>
      </w:r>
      <w:r>
        <w:rPr>
          <w:rFonts w:hint="eastAsia"/>
          <w:sz w:val="24"/>
        </w:rPr>
        <w:t xml:space="preserve"> </w:t>
      </w:r>
    </w:p>
    <w:tbl>
      <w:tblPr>
        <w:tblStyle w:val="5"/>
        <w:tblW w:w="87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901"/>
        <w:gridCol w:w="5767"/>
        <w:gridCol w:w="1442"/>
      </w:tblGrid>
      <w:tr w14:paraId="4E28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649" w:type="dxa"/>
          </w:tcPr>
          <w:p w14:paraId="4F467281">
            <w:pPr>
              <w:rPr>
                <w:b/>
                <w:sz w:val="18"/>
                <w:szCs w:val="18"/>
              </w:rPr>
            </w:pPr>
            <w:r>
              <w:rPr>
                <w:rFonts w:hint="eastAsia"/>
                <w:b/>
                <w:sz w:val="18"/>
                <w:szCs w:val="18"/>
              </w:rPr>
              <w:t>序号</w:t>
            </w:r>
          </w:p>
        </w:tc>
        <w:tc>
          <w:tcPr>
            <w:tcW w:w="901" w:type="dxa"/>
          </w:tcPr>
          <w:p w14:paraId="5CA3903C">
            <w:pPr>
              <w:rPr>
                <w:b/>
                <w:sz w:val="18"/>
                <w:szCs w:val="18"/>
              </w:rPr>
            </w:pPr>
            <w:r>
              <w:rPr>
                <w:rFonts w:hint="eastAsia"/>
                <w:b/>
                <w:sz w:val="18"/>
                <w:szCs w:val="18"/>
              </w:rPr>
              <w:t>评价</w:t>
            </w:r>
          </w:p>
          <w:p w14:paraId="09E131AE">
            <w:pPr>
              <w:rPr>
                <w:b/>
                <w:sz w:val="18"/>
                <w:szCs w:val="18"/>
              </w:rPr>
            </w:pPr>
            <w:r>
              <w:rPr>
                <w:rFonts w:hint="eastAsia"/>
                <w:b/>
                <w:sz w:val="18"/>
                <w:szCs w:val="18"/>
              </w:rPr>
              <w:t>指标</w:t>
            </w:r>
          </w:p>
        </w:tc>
        <w:tc>
          <w:tcPr>
            <w:tcW w:w="5767" w:type="dxa"/>
          </w:tcPr>
          <w:p w14:paraId="1F3B988F">
            <w:pPr>
              <w:jc w:val="center"/>
              <w:rPr>
                <w:b/>
                <w:sz w:val="18"/>
                <w:szCs w:val="18"/>
              </w:rPr>
            </w:pPr>
            <w:r>
              <w:rPr>
                <w:rFonts w:hint="eastAsia"/>
                <w:b/>
                <w:sz w:val="18"/>
                <w:szCs w:val="18"/>
              </w:rPr>
              <w:t>评价标准</w:t>
            </w:r>
          </w:p>
        </w:tc>
        <w:tc>
          <w:tcPr>
            <w:tcW w:w="1442" w:type="dxa"/>
          </w:tcPr>
          <w:p w14:paraId="4C587034">
            <w:pPr>
              <w:jc w:val="center"/>
              <w:rPr>
                <w:b/>
                <w:sz w:val="18"/>
                <w:szCs w:val="18"/>
              </w:rPr>
            </w:pPr>
            <w:r>
              <w:rPr>
                <w:rFonts w:hint="eastAsia"/>
                <w:b/>
                <w:sz w:val="18"/>
                <w:szCs w:val="18"/>
              </w:rPr>
              <w:t>分值</w:t>
            </w:r>
          </w:p>
          <w:p w14:paraId="77D554F4">
            <w:pPr>
              <w:rPr>
                <w:b/>
                <w:sz w:val="18"/>
                <w:szCs w:val="18"/>
              </w:rPr>
            </w:pPr>
          </w:p>
        </w:tc>
      </w:tr>
      <w:tr w14:paraId="6C24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649" w:type="dxa"/>
            <w:vMerge w:val="restart"/>
          </w:tcPr>
          <w:p w14:paraId="153A6073">
            <w:pPr>
              <w:jc w:val="center"/>
              <w:rPr>
                <w:sz w:val="18"/>
                <w:szCs w:val="18"/>
              </w:rPr>
            </w:pPr>
          </w:p>
          <w:p w14:paraId="7B92CBBA">
            <w:pPr>
              <w:jc w:val="center"/>
              <w:rPr>
                <w:sz w:val="18"/>
                <w:szCs w:val="18"/>
              </w:rPr>
            </w:pPr>
            <w:r>
              <w:rPr>
                <w:rFonts w:hint="eastAsia"/>
                <w:b/>
                <w:sz w:val="18"/>
                <w:szCs w:val="18"/>
              </w:rPr>
              <w:t>1</w:t>
            </w:r>
          </w:p>
        </w:tc>
        <w:tc>
          <w:tcPr>
            <w:tcW w:w="901" w:type="dxa"/>
            <w:vMerge w:val="restart"/>
          </w:tcPr>
          <w:p w14:paraId="499EA85D">
            <w:pPr>
              <w:jc w:val="center"/>
              <w:rPr>
                <w:sz w:val="18"/>
                <w:szCs w:val="18"/>
              </w:rPr>
            </w:pPr>
            <w:r>
              <w:rPr>
                <w:rFonts w:hint="eastAsia"/>
                <w:sz w:val="18"/>
                <w:szCs w:val="18"/>
              </w:rPr>
              <w:t>论文</w:t>
            </w:r>
          </w:p>
          <w:p w14:paraId="66ADD31F">
            <w:pPr>
              <w:jc w:val="center"/>
              <w:rPr>
                <w:sz w:val="18"/>
                <w:szCs w:val="18"/>
              </w:rPr>
            </w:pPr>
            <w:r>
              <w:rPr>
                <w:rFonts w:hint="eastAsia"/>
                <w:sz w:val="18"/>
                <w:szCs w:val="18"/>
              </w:rPr>
              <w:t>选题</w:t>
            </w:r>
          </w:p>
          <w:p w14:paraId="35893636">
            <w:pPr>
              <w:jc w:val="center"/>
              <w:rPr>
                <w:rFonts w:hint="eastAsia"/>
                <w:sz w:val="18"/>
                <w:szCs w:val="18"/>
              </w:rPr>
            </w:pPr>
            <w:r>
              <w:rPr>
                <w:rFonts w:hint="eastAsia"/>
                <w:sz w:val="18"/>
                <w:szCs w:val="18"/>
              </w:rPr>
              <w:t>（</w:t>
            </w:r>
            <w:r>
              <w:rPr>
                <w:rFonts w:hint="eastAsia"/>
                <w:b/>
                <w:sz w:val="18"/>
                <w:szCs w:val="18"/>
              </w:rPr>
              <w:t>10</w:t>
            </w:r>
            <w:r>
              <w:rPr>
                <w:rFonts w:hint="eastAsia"/>
                <w:sz w:val="18"/>
                <w:szCs w:val="18"/>
              </w:rPr>
              <w:t>分）</w:t>
            </w:r>
          </w:p>
          <w:p w14:paraId="18E23AA4">
            <w:pPr>
              <w:jc w:val="center"/>
              <w:rPr>
                <w:rFonts w:hint="default" w:eastAsia="宋体"/>
                <w:sz w:val="18"/>
                <w:szCs w:val="18"/>
                <w:lang w:val="en-US" w:eastAsia="zh-CN"/>
              </w:rPr>
            </w:pPr>
            <w:r>
              <w:rPr>
                <w:rFonts w:hint="eastAsia"/>
                <w:sz w:val="18"/>
                <w:szCs w:val="18"/>
                <w:lang w:val="en-US" w:eastAsia="zh-CN"/>
              </w:rPr>
              <w:t>8分</w:t>
            </w:r>
          </w:p>
        </w:tc>
        <w:tc>
          <w:tcPr>
            <w:tcW w:w="5767" w:type="dxa"/>
          </w:tcPr>
          <w:p w14:paraId="6BF1894F">
            <w:pPr>
              <w:rPr>
                <w:sz w:val="18"/>
                <w:szCs w:val="18"/>
              </w:rPr>
            </w:pPr>
            <w:r>
              <w:rPr>
                <w:rFonts w:hint="eastAsia"/>
                <w:sz w:val="18"/>
                <w:szCs w:val="18"/>
              </w:rPr>
              <w:t>具有较高学术性、创新性、实践性和可行性</w:t>
            </w:r>
          </w:p>
        </w:tc>
        <w:tc>
          <w:tcPr>
            <w:tcW w:w="1442" w:type="dxa"/>
          </w:tcPr>
          <w:p w14:paraId="2C2D97C8">
            <w:pPr>
              <w:jc w:val="center"/>
              <w:rPr>
                <w:b/>
                <w:sz w:val="18"/>
                <w:szCs w:val="18"/>
              </w:rPr>
            </w:pPr>
            <w:r>
              <w:rPr>
                <w:rFonts w:hint="eastAsia"/>
                <w:b/>
                <w:sz w:val="18"/>
                <w:szCs w:val="18"/>
              </w:rPr>
              <w:t>8-10</w:t>
            </w:r>
          </w:p>
        </w:tc>
      </w:tr>
      <w:tr w14:paraId="331F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49" w:type="dxa"/>
            <w:vMerge w:val="continue"/>
          </w:tcPr>
          <w:p w14:paraId="54F5C042">
            <w:pPr>
              <w:jc w:val="center"/>
              <w:rPr>
                <w:sz w:val="18"/>
                <w:szCs w:val="18"/>
              </w:rPr>
            </w:pPr>
          </w:p>
        </w:tc>
        <w:tc>
          <w:tcPr>
            <w:tcW w:w="901" w:type="dxa"/>
            <w:vMerge w:val="continue"/>
          </w:tcPr>
          <w:p w14:paraId="72DD841B">
            <w:pPr>
              <w:jc w:val="center"/>
              <w:rPr>
                <w:sz w:val="18"/>
                <w:szCs w:val="18"/>
              </w:rPr>
            </w:pPr>
          </w:p>
        </w:tc>
        <w:tc>
          <w:tcPr>
            <w:tcW w:w="5767" w:type="dxa"/>
          </w:tcPr>
          <w:p w14:paraId="372201BC">
            <w:pPr>
              <w:rPr>
                <w:sz w:val="18"/>
                <w:szCs w:val="18"/>
              </w:rPr>
            </w:pPr>
            <w:r>
              <w:rPr>
                <w:rFonts w:hint="eastAsia"/>
                <w:sz w:val="18"/>
                <w:szCs w:val="18"/>
              </w:rPr>
              <w:t>有一定的学术性、实践性和可行性</w:t>
            </w:r>
          </w:p>
        </w:tc>
        <w:tc>
          <w:tcPr>
            <w:tcW w:w="1442" w:type="dxa"/>
          </w:tcPr>
          <w:p w14:paraId="2EA961F0">
            <w:pPr>
              <w:jc w:val="center"/>
              <w:rPr>
                <w:b/>
                <w:sz w:val="18"/>
                <w:szCs w:val="18"/>
              </w:rPr>
            </w:pPr>
            <w:r>
              <w:rPr>
                <w:rFonts w:hint="eastAsia"/>
                <w:b/>
                <w:sz w:val="18"/>
                <w:szCs w:val="18"/>
              </w:rPr>
              <w:t>4-7</w:t>
            </w:r>
          </w:p>
        </w:tc>
      </w:tr>
      <w:tr w14:paraId="6EF2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48BA9C1A">
            <w:pPr>
              <w:jc w:val="center"/>
              <w:rPr>
                <w:sz w:val="18"/>
                <w:szCs w:val="18"/>
              </w:rPr>
            </w:pPr>
          </w:p>
        </w:tc>
        <w:tc>
          <w:tcPr>
            <w:tcW w:w="901" w:type="dxa"/>
            <w:vMerge w:val="continue"/>
          </w:tcPr>
          <w:p w14:paraId="3A03800A">
            <w:pPr>
              <w:jc w:val="center"/>
              <w:rPr>
                <w:sz w:val="18"/>
                <w:szCs w:val="18"/>
              </w:rPr>
            </w:pPr>
          </w:p>
        </w:tc>
        <w:tc>
          <w:tcPr>
            <w:tcW w:w="5767" w:type="dxa"/>
          </w:tcPr>
          <w:p w14:paraId="3353DD5F">
            <w:pPr>
              <w:rPr>
                <w:sz w:val="18"/>
                <w:szCs w:val="18"/>
              </w:rPr>
            </w:pPr>
            <w:r>
              <w:rPr>
                <w:rFonts w:hint="eastAsia"/>
                <w:sz w:val="18"/>
                <w:szCs w:val="18"/>
              </w:rPr>
              <w:t>学术性、实践性、可行性较差</w:t>
            </w:r>
          </w:p>
        </w:tc>
        <w:tc>
          <w:tcPr>
            <w:tcW w:w="1442" w:type="dxa"/>
          </w:tcPr>
          <w:p w14:paraId="336041E8">
            <w:pPr>
              <w:jc w:val="center"/>
              <w:rPr>
                <w:b/>
                <w:sz w:val="18"/>
                <w:szCs w:val="18"/>
              </w:rPr>
            </w:pPr>
            <w:r>
              <w:rPr>
                <w:rFonts w:hint="eastAsia"/>
                <w:b/>
                <w:sz w:val="18"/>
                <w:szCs w:val="18"/>
              </w:rPr>
              <w:t>0-3</w:t>
            </w:r>
          </w:p>
          <w:p w14:paraId="0ECD2432">
            <w:pPr>
              <w:jc w:val="center"/>
              <w:rPr>
                <w:b/>
                <w:sz w:val="18"/>
                <w:szCs w:val="18"/>
              </w:rPr>
            </w:pPr>
          </w:p>
        </w:tc>
      </w:tr>
      <w:tr w14:paraId="17E8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649" w:type="dxa"/>
            <w:vMerge w:val="restart"/>
          </w:tcPr>
          <w:p w14:paraId="609448AB">
            <w:pPr>
              <w:rPr>
                <w:b/>
                <w:sz w:val="18"/>
                <w:szCs w:val="18"/>
              </w:rPr>
            </w:pPr>
          </w:p>
          <w:p w14:paraId="33B4BD3C">
            <w:pPr>
              <w:jc w:val="center"/>
              <w:rPr>
                <w:b/>
                <w:sz w:val="18"/>
                <w:szCs w:val="18"/>
              </w:rPr>
            </w:pPr>
            <w:r>
              <w:rPr>
                <w:rFonts w:hint="eastAsia"/>
                <w:b/>
                <w:sz w:val="18"/>
                <w:szCs w:val="18"/>
              </w:rPr>
              <w:t>2</w:t>
            </w:r>
          </w:p>
          <w:p w14:paraId="37CC7CF7">
            <w:pPr>
              <w:jc w:val="center"/>
              <w:rPr>
                <w:b/>
                <w:sz w:val="18"/>
                <w:szCs w:val="18"/>
              </w:rPr>
            </w:pPr>
          </w:p>
        </w:tc>
        <w:tc>
          <w:tcPr>
            <w:tcW w:w="901" w:type="dxa"/>
            <w:vMerge w:val="restart"/>
          </w:tcPr>
          <w:p w14:paraId="3AE2E539">
            <w:pPr>
              <w:jc w:val="center"/>
              <w:rPr>
                <w:sz w:val="18"/>
                <w:szCs w:val="18"/>
              </w:rPr>
            </w:pPr>
            <w:r>
              <w:rPr>
                <w:rFonts w:hint="eastAsia"/>
                <w:sz w:val="18"/>
                <w:szCs w:val="18"/>
              </w:rPr>
              <w:t>论文</w:t>
            </w:r>
          </w:p>
          <w:p w14:paraId="2D809F37">
            <w:pPr>
              <w:jc w:val="center"/>
              <w:rPr>
                <w:sz w:val="18"/>
                <w:szCs w:val="18"/>
              </w:rPr>
            </w:pPr>
            <w:r>
              <w:rPr>
                <w:rFonts w:hint="eastAsia"/>
                <w:sz w:val="18"/>
                <w:szCs w:val="18"/>
              </w:rPr>
              <w:t>观点</w:t>
            </w:r>
          </w:p>
          <w:p w14:paraId="3A68BCD9">
            <w:pPr>
              <w:jc w:val="center"/>
              <w:rPr>
                <w:rFonts w:hint="eastAsia"/>
                <w:sz w:val="18"/>
                <w:szCs w:val="18"/>
              </w:rPr>
            </w:pPr>
            <w:r>
              <w:rPr>
                <w:rFonts w:hint="eastAsia"/>
                <w:sz w:val="18"/>
                <w:szCs w:val="18"/>
              </w:rPr>
              <w:t>（</w:t>
            </w:r>
            <w:r>
              <w:rPr>
                <w:rFonts w:hint="eastAsia"/>
                <w:b/>
                <w:sz w:val="18"/>
                <w:szCs w:val="18"/>
              </w:rPr>
              <w:t>15</w:t>
            </w:r>
            <w:r>
              <w:rPr>
                <w:rFonts w:hint="eastAsia"/>
                <w:sz w:val="18"/>
                <w:szCs w:val="18"/>
              </w:rPr>
              <w:t>分）</w:t>
            </w:r>
          </w:p>
          <w:p w14:paraId="488B2DE3">
            <w:pPr>
              <w:jc w:val="center"/>
              <w:rPr>
                <w:rFonts w:hint="default" w:eastAsia="宋体"/>
                <w:sz w:val="18"/>
                <w:szCs w:val="18"/>
                <w:lang w:val="en-US" w:eastAsia="zh-CN"/>
              </w:rPr>
            </w:pPr>
            <w:r>
              <w:rPr>
                <w:rFonts w:hint="eastAsia"/>
                <w:sz w:val="18"/>
                <w:szCs w:val="18"/>
                <w:lang w:val="en-US" w:eastAsia="zh-CN"/>
              </w:rPr>
              <w:t>12分</w:t>
            </w:r>
          </w:p>
        </w:tc>
        <w:tc>
          <w:tcPr>
            <w:tcW w:w="5767" w:type="dxa"/>
          </w:tcPr>
          <w:p w14:paraId="5F21AFB1">
            <w:pPr>
              <w:rPr>
                <w:sz w:val="18"/>
                <w:szCs w:val="18"/>
              </w:rPr>
            </w:pPr>
            <w:r>
              <w:rPr>
                <w:rFonts w:hint="eastAsia"/>
                <w:sz w:val="18"/>
                <w:szCs w:val="18"/>
              </w:rPr>
              <w:t>论点鲜明，见解独到、有创新性</w:t>
            </w:r>
          </w:p>
        </w:tc>
        <w:tc>
          <w:tcPr>
            <w:tcW w:w="1442" w:type="dxa"/>
          </w:tcPr>
          <w:p w14:paraId="2A5DF17E">
            <w:pPr>
              <w:jc w:val="center"/>
              <w:rPr>
                <w:b/>
                <w:sz w:val="18"/>
                <w:szCs w:val="18"/>
              </w:rPr>
            </w:pPr>
            <w:r>
              <w:rPr>
                <w:rFonts w:hint="eastAsia"/>
                <w:b/>
                <w:sz w:val="18"/>
                <w:szCs w:val="18"/>
              </w:rPr>
              <w:t>13-15</w:t>
            </w:r>
          </w:p>
          <w:p w14:paraId="71064098">
            <w:pPr>
              <w:jc w:val="center"/>
              <w:rPr>
                <w:b/>
                <w:sz w:val="18"/>
                <w:szCs w:val="18"/>
              </w:rPr>
            </w:pPr>
          </w:p>
        </w:tc>
      </w:tr>
      <w:tr w14:paraId="6C359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5E1436EA">
            <w:pPr>
              <w:jc w:val="center"/>
              <w:rPr>
                <w:b/>
                <w:sz w:val="18"/>
                <w:szCs w:val="18"/>
              </w:rPr>
            </w:pPr>
          </w:p>
        </w:tc>
        <w:tc>
          <w:tcPr>
            <w:tcW w:w="901" w:type="dxa"/>
            <w:vMerge w:val="continue"/>
          </w:tcPr>
          <w:p w14:paraId="488BA8D7">
            <w:pPr>
              <w:jc w:val="center"/>
              <w:rPr>
                <w:sz w:val="18"/>
                <w:szCs w:val="18"/>
              </w:rPr>
            </w:pPr>
          </w:p>
        </w:tc>
        <w:tc>
          <w:tcPr>
            <w:tcW w:w="5767" w:type="dxa"/>
          </w:tcPr>
          <w:p w14:paraId="30D92748">
            <w:pPr>
              <w:rPr>
                <w:sz w:val="18"/>
                <w:szCs w:val="18"/>
              </w:rPr>
            </w:pPr>
            <w:r>
              <w:rPr>
                <w:rFonts w:hint="eastAsia"/>
                <w:sz w:val="18"/>
                <w:szCs w:val="18"/>
              </w:rPr>
              <w:t>论点明确，有一定新意对既有观点有较深的阐释</w:t>
            </w:r>
          </w:p>
        </w:tc>
        <w:tc>
          <w:tcPr>
            <w:tcW w:w="1442" w:type="dxa"/>
          </w:tcPr>
          <w:p w14:paraId="15C4D392">
            <w:pPr>
              <w:jc w:val="center"/>
              <w:rPr>
                <w:b/>
                <w:sz w:val="18"/>
                <w:szCs w:val="18"/>
              </w:rPr>
            </w:pPr>
            <w:r>
              <w:rPr>
                <w:rFonts w:hint="eastAsia"/>
                <w:b/>
                <w:sz w:val="18"/>
                <w:szCs w:val="18"/>
              </w:rPr>
              <w:t>5-12</w:t>
            </w:r>
          </w:p>
          <w:p w14:paraId="3AF5366C">
            <w:pPr>
              <w:jc w:val="center"/>
              <w:rPr>
                <w:b/>
                <w:sz w:val="18"/>
                <w:szCs w:val="18"/>
              </w:rPr>
            </w:pPr>
          </w:p>
        </w:tc>
      </w:tr>
      <w:tr w14:paraId="59E2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49" w:type="dxa"/>
            <w:vMerge w:val="continue"/>
          </w:tcPr>
          <w:p w14:paraId="5E189AF3">
            <w:pPr>
              <w:jc w:val="center"/>
              <w:rPr>
                <w:b/>
                <w:sz w:val="18"/>
                <w:szCs w:val="18"/>
              </w:rPr>
            </w:pPr>
          </w:p>
        </w:tc>
        <w:tc>
          <w:tcPr>
            <w:tcW w:w="901" w:type="dxa"/>
            <w:vMerge w:val="continue"/>
          </w:tcPr>
          <w:p w14:paraId="70FD3776">
            <w:pPr>
              <w:jc w:val="center"/>
              <w:rPr>
                <w:sz w:val="18"/>
                <w:szCs w:val="18"/>
              </w:rPr>
            </w:pPr>
          </w:p>
        </w:tc>
        <w:tc>
          <w:tcPr>
            <w:tcW w:w="5767" w:type="dxa"/>
          </w:tcPr>
          <w:p w14:paraId="3D45AC3E">
            <w:pPr>
              <w:rPr>
                <w:sz w:val="18"/>
                <w:szCs w:val="18"/>
              </w:rPr>
            </w:pPr>
            <w:r>
              <w:rPr>
                <w:rFonts w:hint="eastAsia"/>
                <w:sz w:val="18"/>
                <w:szCs w:val="18"/>
              </w:rPr>
              <w:t>论点不够明确</w:t>
            </w:r>
          </w:p>
        </w:tc>
        <w:tc>
          <w:tcPr>
            <w:tcW w:w="1442" w:type="dxa"/>
          </w:tcPr>
          <w:p w14:paraId="34EDA276">
            <w:pPr>
              <w:jc w:val="center"/>
              <w:rPr>
                <w:b/>
                <w:sz w:val="18"/>
                <w:szCs w:val="18"/>
              </w:rPr>
            </w:pPr>
            <w:r>
              <w:rPr>
                <w:rFonts w:hint="eastAsia"/>
                <w:b/>
                <w:sz w:val="18"/>
                <w:szCs w:val="18"/>
              </w:rPr>
              <w:t>0-4</w:t>
            </w:r>
          </w:p>
          <w:p w14:paraId="1B7E5DD7">
            <w:pPr>
              <w:jc w:val="center"/>
              <w:rPr>
                <w:b/>
                <w:sz w:val="18"/>
                <w:szCs w:val="18"/>
              </w:rPr>
            </w:pPr>
          </w:p>
        </w:tc>
      </w:tr>
      <w:tr w14:paraId="1F7F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restart"/>
          </w:tcPr>
          <w:p w14:paraId="6919CB18">
            <w:pPr>
              <w:rPr>
                <w:b/>
                <w:sz w:val="18"/>
                <w:szCs w:val="18"/>
              </w:rPr>
            </w:pPr>
          </w:p>
          <w:p w14:paraId="1D9133F5">
            <w:pPr>
              <w:jc w:val="center"/>
              <w:rPr>
                <w:b/>
                <w:sz w:val="18"/>
                <w:szCs w:val="18"/>
              </w:rPr>
            </w:pPr>
            <w:r>
              <w:rPr>
                <w:rFonts w:hint="eastAsia"/>
                <w:b/>
                <w:sz w:val="18"/>
                <w:szCs w:val="18"/>
              </w:rPr>
              <w:t>3</w:t>
            </w:r>
          </w:p>
        </w:tc>
        <w:tc>
          <w:tcPr>
            <w:tcW w:w="901" w:type="dxa"/>
            <w:vMerge w:val="restart"/>
          </w:tcPr>
          <w:p w14:paraId="6683087B">
            <w:pPr>
              <w:jc w:val="center"/>
              <w:rPr>
                <w:sz w:val="18"/>
                <w:szCs w:val="18"/>
              </w:rPr>
            </w:pPr>
          </w:p>
          <w:p w14:paraId="4BE945A7">
            <w:pPr>
              <w:jc w:val="center"/>
              <w:rPr>
                <w:sz w:val="18"/>
                <w:szCs w:val="18"/>
              </w:rPr>
            </w:pPr>
            <w:r>
              <w:rPr>
                <w:rFonts w:hint="eastAsia"/>
                <w:sz w:val="18"/>
                <w:szCs w:val="18"/>
              </w:rPr>
              <w:t>论文</w:t>
            </w:r>
          </w:p>
          <w:p w14:paraId="4F21F1E2">
            <w:pPr>
              <w:jc w:val="center"/>
              <w:rPr>
                <w:sz w:val="18"/>
                <w:szCs w:val="18"/>
              </w:rPr>
            </w:pPr>
            <w:r>
              <w:rPr>
                <w:rFonts w:hint="eastAsia"/>
                <w:sz w:val="18"/>
                <w:szCs w:val="18"/>
              </w:rPr>
              <w:t>论证</w:t>
            </w:r>
          </w:p>
          <w:p w14:paraId="64493940">
            <w:pPr>
              <w:jc w:val="center"/>
              <w:rPr>
                <w:rFonts w:hint="eastAsia"/>
                <w:sz w:val="18"/>
                <w:szCs w:val="18"/>
              </w:rPr>
            </w:pPr>
            <w:r>
              <w:rPr>
                <w:rFonts w:hint="eastAsia"/>
                <w:sz w:val="18"/>
                <w:szCs w:val="18"/>
              </w:rPr>
              <w:t>（</w:t>
            </w:r>
            <w:r>
              <w:rPr>
                <w:rFonts w:hint="eastAsia"/>
                <w:b/>
                <w:sz w:val="18"/>
                <w:szCs w:val="18"/>
              </w:rPr>
              <w:t>40</w:t>
            </w:r>
            <w:r>
              <w:rPr>
                <w:rFonts w:hint="eastAsia"/>
                <w:sz w:val="18"/>
                <w:szCs w:val="18"/>
              </w:rPr>
              <w:t>分）</w:t>
            </w:r>
          </w:p>
          <w:p w14:paraId="5D580674">
            <w:pPr>
              <w:jc w:val="center"/>
              <w:rPr>
                <w:rFonts w:hint="eastAsia"/>
                <w:sz w:val="18"/>
                <w:szCs w:val="18"/>
              </w:rPr>
            </w:pPr>
          </w:p>
          <w:p w14:paraId="03EB8A99">
            <w:pPr>
              <w:jc w:val="center"/>
              <w:rPr>
                <w:rFonts w:hint="default" w:eastAsia="宋体"/>
                <w:sz w:val="18"/>
                <w:szCs w:val="18"/>
                <w:lang w:val="en-US" w:eastAsia="zh-CN"/>
              </w:rPr>
            </w:pPr>
            <w:r>
              <w:rPr>
                <w:rFonts w:hint="eastAsia"/>
                <w:sz w:val="18"/>
                <w:szCs w:val="18"/>
                <w:lang w:val="en-US" w:eastAsia="zh-CN"/>
              </w:rPr>
              <w:t>32分</w:t>
            </w:r>
          </w:p>
        </w:tc>
        <w:tc>
          <w:tcPr>
            <w:tcW w:w="5767" w:type="dxa"/>
          </w:tcPr>
          <w:p w14:paraId="68263765">
            <w:pPr>
              <w:rPr>
                <w:sz w:val="18"/>
                <w:szCs w:val="18"/>
              </w:rPr>
            </w:pPr>
            <w:r>
              <w:rPr>
                <w:rFonts w:hint="eastAsia"/>
                <w:sz w:val="18"/>
                <w:szCs w:val="18"/>
              </w:rPr>
              <w:t>方法新颖，论证充分，论据确凿，逻辑性强，对问题有较深入的分析</w:t>
            </w:r>
          </w:p>
        </w:tc>
        <w:tc>
          <w:tcPr>
            <w:tcW w:w="1442" w:type="dxa"/>
          </w:tcPr>
          <w:p w14:paraId="1D281428">
            <w:pPr>
              <w:jc w:val="center"/>
              <w:rPr>
                <w:b/>
                <w:sz w:val="18"/>
                <w:szCs w:val="18"/>
              </w:rPr>
            </w:pPr>
            <w:r>
              <w:rPr>
                <w:rFonts w:hint="eastAsia"/>
                <w:b/>
                <w:sz w:val="18"/>
                <w:szCs w:val="18"/>
              </w:rPr>
              <w:t>35-40</w:t>
            </w:r>
          </w:p>
          <w:p w14:paraId="2599FCAD">
            <w:pPr>
              <w:jc w:val="center"/>
              <w:rPr>
                <w:b/>
                <w:sz w:val="18"/>
                <w:szCs w:val="18"/>
              </w:rPr>
            </w:pPr>
          </w:p>
        </w:tc>
      </w:tr>
      <w:tr w14:paraId="613B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724EFEB6">
            <w:pPr>
              <w:jc w:val="center"/>
              <w:rPr>
                <w:b/>
                <w:sz w:val="18"/>
                <w:szCs w:val="18"/>
              </w:rPr>
            </w:pPr>
          </w:p>
        </w:tc>
        <w:tc>
          <w:tcPr>
            <w:tcW w:w="901" w:type="dxa"/>
            <w:vMerge w:val="continue"/>
          </w:tcPr>
          <w:p w14:paraId="5B8E7BAF">
            <w:pPr>
              <w:jc w:val="center"/>
              <w:rPr>
                <w:sz w:val="18"/>
                <w:szCs w:val="18"/>
              </w:rPr>
            </w:pPr>
          </w:p>
        </w:tc>
        <w:tc>
          <w:tcPr>
            <w:tcW w:w="5767" w:type="dxa"/>
          </w:tcPr>
          <w:p w14:paraId="042BD440">
            <w:pPr>
              <w:rPr>
                <w:sz w:val="18"/>
                <w:szCs w:val="18"/>
              </w:rPr>
            </w:pPr>
            <w:r>
              <w:rPr>
                <w:rFonts w:hint="eastAsia"/>
                <w:sz w:val="18"/>
                <w:szCs w:val="18"/>
              </w:rPr>
              <w:t>方法得当，论证比较充分，论据可靠，逻辑性比较强，分析比较深入</w:t>
            </w:r>
          </w:p>
        </w:tc>
        <w:tc>
          <w:tcPr>
            <w:tcW w:w="1442" w:type="dxa"/>
          </w:tcPr>
          <w:p w14:paraId="207A4F67">
            <w:pPr>
              <w:jc w:val="center"/>
              <w:rPr>
                <w:b/>
                <w:sz w:val="18"/>
                <w:szCs w:val="18"/>
              </w:rPr>
            </w:pPr>
            <w:r>
              <w:rPr>
                <w:rFonts w:hint="eastAsia"/>
                <w:b/>
                <w:sz w:val="18"/>
                <w:szCs w:val="18"/>
              </w:rPr>
              <w:t>25-34</w:t>
            </w:r>
          </w:p>
          <w:p w14:paraId="0F44E615">
            <w:pPr>
              <w:jc w:val="center"/>
              <w:rPr>
                <w:b/>
                <w:sz w:val="18"/>
                <w:szCs w:val="18"/>
              </w:rPr>
            </w:pPr>
          </w:p>
        </w:tc>
      </w:tr>
      <w:tr w14:paraId="4D51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3F0EE70F">
            <w:pPr>
              <w:jc w:val="center"/>
              <w:rPr>
                <w:b/>
                <w:sz w:val="18"/>
                <w:szCs w:val="18"/>
              </w:rPr>
            </w:pPr>
          </w:p>
        </w:tc>
        <w:tc>
          <w:tcPr>
            <w:tcW w:w="901" w:type="dxa"/>
            <w:vMerge w:val="continue"/>
          </w:tcPr>
          <w:p w14:paraId="39C2FCDF">
            <w:pPr>
              <w:jc w:val="center"/>
              <w:rPr>
                <w:sz w:val="18"/>
                <w:szCs w:val="18"/>
              </w:rPr>
            </w:pPr>
          </w:p>
        </w:tc>
        <w:tc>
          <w:tcPr>
            <w:tcW w:w="5767" w:type="dxa"/>
          </w:tcPr>
          <w:p w14:paraId="086BC95D">
            <w:pPr>
              <w:rPr>
                <w:sz w:val="18"/>
                <w:szCs w:val="18"/>
              </w:rPr>
            </w:pPr>
            <w:r>
              <w:rPr>
                <w:rFonts w:hint="eastAsia"/>
                <w:sz w:val="18"/>
                <w:szCs w:val="18"/>
              </w:rPr>
              <w:t>对事物有一定的分析能力和概括能力，能运用所学理论和知识阐述问题</w:t>
            </w:r>
          </w:p>
        </w:tc>
        <w:tc>
          <w:tcPr>
            <w:tcW w:w="1442" w:type="dxa"/>
          </w:tcPr>
          <w:p w14:paraId="2A1899CD">
            <w:pPr>
              <w:jc w:val="center"/>
              <w:rPr>
                <w:b/>
                <w:sz w:val="18"/>
                <w:szCs w:val="18"/>
              </w:rPr>
            </w:pPr>
            <w:r>
              <w:rPr>
                <w:rFonts w:hint="eastAsia"/>
                <w:b/>
                <w:sz w:val="18"/>
                <w:szCs w:val="18"/>
              </w:rPr>
              <w:t>13-24</w:t>
            </w:r>
          </w:p>
          <w:p w14:paraId="0CD11CFA">
            <w:pPr>
              <w:jc w:val="center"/>
              <w:rPr>
                <w:b/>
                <w:sz w:val="18"/>
                <w:szCs w:val="18"/>
              </w:rPr>
            </w:pPr>
          </w:p>
        </w:tc>
      </w:tr>
      <w:tr w14:paraId="73C6D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42CD65C6">
            <w:pPr>
              <w:jc w:val="center"/>
              <w:rPr>
                <w:b/>
                <w:sz w:val="18"/>
                <w:szCs w:val="18"/>
              </w:rPr>
            </w:pPr>
          </w:p>
        </w:tc>
        <w:tc>
          <w:tcPr>
            <w:tcW w:w="901" w:type="dxa"/>
            <w:vMerge w:val="continue"/>
          </w:tcPr>
          <w:p w14:paraId="5CC6442E">
            <w:pPr>
              <w:jc w:val="center"/>
              <w:rPr>
                <w:sz w:val="18"/>
                <w:szCs w:val="18"/>
              </w:rPr>
            </w:pPr>
          </w:p>
        </w:tc>
        <w:tc>
          <w:tcPr>
            <w:tcW w:w="5767" w:type="dxa"/>
          </w:tcPr>
          <w:p w14:paraId="3D327E17">
            <w:pPr>
              <w:rPr>
                <w:sz w:val="18"/>
                <w:szCs w:val="18"/>
              </w:rPr>
            </w:pPr>
            <w:r>
              <w:rPr>
                <w:rFonts w:hint="eastAsia"/>
                <w:sz w:val="18"/>
                <w:szCs w:val="18"/>
              </w:rPr>
              <w:t>论证未充分说明论点</w:t>
            </w:r>
          </w:p>
        </w:tc>
        <w:tc>
          <w:tcPr>
            <w:tcW w:w="1442" w:type="dxa"/>
          </w:tcPr>
          <w:p w14:paraId="551C08FA">
            <w:pPr>
              <w:jc w:val="center"/>
              <w:rPr>
                <w:b/>
                <w:sz w:val="18"/>
                <w:szCs w:val="18"/>
              </w:rPr>
            </w:pPr>
            <w:r>
              <w:rPr>
                <w:rFonts w:hint="eastAsia"/>
                <w:b/>
                <w:sz w:val="18"/>
                <w:szCs w:val="18"/>
              </w:rPr>
              <w:t>1-12</w:t>
            </w:r>
          </w:p>
          <w:p w14:paraId="2F9149BF">
            <w:pPr>
              <w:jc w:val="center"/>
              <w:rPr>
                <w:b/>
                <w:sz w:val="18"/>
                <w:szCs w:val="18"/>
              </w:rPr>
            </w:pPr>
          </w:p>
        </w:tc>
      </w:tr>
      <w:tr w14:paraId="601E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649" w:type="dxa"/>
            <w:vMerge w:val="restart"/>
          </w:tcPr>
          <w:p w14:paraId="2F7C1DA3">
            <w:pPr>
              <w:jc w:val="center"/>
              <w:rPr>
                <w:b/>
                <w:sz w:val="18"/>
                <w:szCs w:val="18"/>
              </w:rPr>
            </w:pPr>
          </w:p>
          <w:p w14:paraId="4789CD35">
            <w:pPr>
              <w:jc w:val="center"/>
              <w:rPr>
                <w:b/>
                <w:sz w:val="18"/>
                <w:szCs w:val="18"/>
              </w:rPr>
            </w:pPr>
            <w:r>
              <w:rPr>
                <w:rFonts w:hint="eastAsia"/>
                <w:b/>
                <w:sz w:val="18"/>
                <w:szCs w:val="18"/>
              </w:rPr>
              <w:t>4</w:t>
            </w:r>
          </w:p>
        </w:tc>
        <w:tc>
          <w:tcPr>
            <w:tcW w:w="901" w:type="dxa"/>
            <w:vMerge w:val="restart"/>
          </w:tcPr>
          <w:p w14:paraId="0C923FAD">
            <w:pPr>
              <w:jc w:val="center"/>
              <w:rPr>
                <w:sz w:val="18"/>
                <w:szCs w:val="18"/>
              </w:rPr>
            </w:pPr>
            <w:r>
              <w:rPr>
                <w:rFonts w:hint="eastAsia"/>
                <w:sz w:val="18"/>
                <w:szCs w:val="18"/>
              </w:rPr>
              <w:t>论文</w:t>
            </w:r>
          </w:p>
          <w:p w14:paraId="61A18605">
            <w:pPr>
              <w:jc w:val="center"/>
              <w:rPr>
                <w:sz w:val="18"/>
                <w:szCs w:val="18"/>
              </w:rPr>
            </w:pPr>
            <w:r>
              <w:rPr>
                <w:rFonts w:hint="eastAsia"/>
                <w:sz w:val="18"/>
                <w:szCs w:val="18"/>
              </w:rPr>
              <w:t>规范性</w:t>
            </w:r>
          </w:p>
          <w:p w14:paraId="0C9F542C">
            <w:pPr>
              <w:jc w:val="center"/>
              <w:rPr>
                <w:rFonts w:hint="eastAsia"/>
                <w:sz w:val="18"/>
                <w:szCs w:val="18"/>
              </w:rPr>
            </w:pPr>
            <w:r>
              <w:rPr>
                <w:rFonts w:hint="eastAsia"/>
                <w:sz w:val="18"/>
                <w:szCs w:val="18"/>
              </w:rPr>
              <w:t>（</w:t>
            </w:r>
            <w:r>
              <w:rPr>
                <w:rFonts w:hint="eastAsia"/>
                <w:b/>
                <w:sz w:val="18"/>
                <w:szCs w:val="18"/>
              </w:rPr>
              <w:t>10</w:t>
            </w:r>
            <w:r>
              <w:rPr>
                <w:rFonts w:hint="eastAsia"/>
                <w:sz w:val="18"/>
                <w:szCs w:val="18"/>
              </w:rPr>
              <w:t>分）</w:t>
            </w:r>
          </w:p>
          <w:p w14:paraId="599D461C">
            <w:pPr>
              <w:jc w:val="center"/>
              <w:rPr>
                <w:rFonts w:hint="default" w:eastAsia="宋体"/>
                <w:sz w:val="18"/>
                <w:szCs w:val="18"/>
                <w:lang w:val="en-US" w:eastAsia="zh-CN"/>
              </w:rPr>
            </w:pPr>
            <w:r>
              <w:rPr>
                <w:rFonts w:hint="eastAsia"/>
                <w:sz w:val="18"/>
                <w:szCs w:val="18"/>
                <w:lang w:val="en-US" w:eastAsia="zh-CN"/>
              </w:rPr>
              <w:t>6分</w:t>
            </w:r>
          </w:p>
        </w:tc>
        <w:tc>
          <w:tcPr>
            <w:tcW w:w="5767" w:type="dxa"/>
          </w:tcPr>
          <w:p w14:paraId="576CD41B">
            <w:pPr>
              <w:rPr>
                <w:sz w:val="18"/>
                <w:szCs w:val="18"/>
              </w:rPr>
            </w:pPr>
            <w:r>
              <w:rPr>
                <w:rFonts w:hint="eastAsia"/>
                <w:sz w:val="18"/>
                <w:szCs w:val="18"/>
              </w:rPr>
              <w:t>论文的注释体例和参考文献规范、内容摘要和关键词，符合规范性</w:t>
            </w:r>
          </w:p>
        </w:tc>
        <w:tc>
          <w:tcPr>
            <w:tcW w:w="1442" w:type="dxa"/>
          </w:tcPr>
          <w:p w14:paraId="0511EB86">
            <w:pPr>
              <w:jc w:val="center"/>
              <w:rPr>
                <w:b/>
                <w:sz w:val="18"/>
                <w:szCs w:val="18"/>
              </w:rPr>
            </w:pPr>
            <w:r>
              <w:rPr>
                <w:rFonts w:hint="eastAsia"/>
                <w:b/>
                <w:sz w:val="18"/>
                <w:szCs w:val="18"/>
              </w:rPr>
              <w:t>6-10</w:t>
            </w:r>
          </w:p>
          <w:p w14:paraId="1B8533BF">
            <w:pPr>
              <w:jc w:val="center"/>
              <w:rPr>
                <w:b/>
                <w:sz w:val="18"/>
                <w:szCs w:val="18"/>
              </w:rPr>
            </w:pPr>
          </w:p>
        </w:tc>
      </w:tr>
      <w:tr w14:paraId="713B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649" w:type="dxa"/>
            <w:vMerge w:val="continue"/>
          </w:tcPr>
          <w:p w14:paraId="1C5650EA">
            <w:pPr>
              <w:jc w:val="center"/>
              <w:rPr>
                <w:b/>
                <w:sz w:val="18"/>
                <w:szCs w:val="18"/>
              </w:rPr>
            </w:pPr>
          </w:p>
        </w:tc>
        <w:tc>
          <w:tcPr>
            <w:tcW w:w="901" w:type="dxa"/>
            <w:vMerge w:val="continue"/>
          </w:tcPr>
          <w:p w14:paraId="366AE172">
            <w:pPr>
              <w:jc w:val="center"/>
              <w:rPr>
                <w:sz w:val="18"/>
                <w:szCs w:val="18"/>
              </w:rPr>
            </w:pPr>
          </w:p>
        </w:tc>
        <w:tc>
          <w:tcPr>
            <w:tcW w:w="5767" w:type="dxa"/>
          </w:tcPr>
          <w:p w14:paraId="3D57B459">
            <w:pPr>
              <w:rPr>
                <w:sz w:val="18"/>
                <w:szCs w:val="18"/>
              </w:rPr>
            </w:pPr>
            <w:r>
              <w:rPr>
                <w:rFonts w:hint="eastAsia"/>
                <w:sz w:val="18"/>
                <w:szCs w:val="18"/>
              </w:rPr>
              <w:t>论文的注释体例和参考文献基本符合规范、内容摘要和关键词，基本符合规范性</w:t>
            </w:r>
          </w:p>
        </w:tc>
        <w:tc>
          <w:tcPr>
            <w:tcW w:w="1442" w:type="dxa"/>
          </w:tcPr>
          <w:p w14:paraId="68AE7D51">
            <w:pPr>
              <w:jc w:val="center"/>
              <w:rPr>
                <w:b/>
                <w:sz w:val="18"/>
                <w:szCs w:val="18"/>
              </w:rPr>
            </w:pPr>
            <w:r>
              <w:rPr>
                <w:rFonts w:hint="eastAsia"/>
                <w:b/>
                <w:sz w:val="18"/>
                <w:szCs w:val="18"/>
              </w:rPr>
              <w:t>1-5</w:t>
            </w:r>
          </w:p>
          <w:p w14:paraId="090A751B">
            <w:pPr>
              <w:jc w:val="center"/>
              <w:rPr>
                <w:b/>
                <w:sz w:val="18"/>
                <w:szCs w:val="18"/>
              </w:rPr>
            </w:pPr>
          </w:p>
        </w:tc>
      </w:tr>
      <w:tr w14:paraId="4DC2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649" w:type="dxa"/>
            <w:vMerge w:val="restart"/>
          </w:tcPr>
          <w:p w14:paraId="07B0F29F">
            <w:pPr>
              <w:jc w:val="center"/>
              <w:rPr>
                <w:b/>
                <w:sz w:val="18"/>
                <w:szCs w:val="18"/>
              </w:rPr>
            </w:pPr>
          </w:p>
          <w:p w14:paraId="2A586327">
            <w:pPr>
              <w:jc w:val="center"/>
              <w:rPr>
                <w:b/>
                <w:sz w:val="18"/>
                <w:szCs w:val="18"/>
              </w:rPr>
            </w:pPr>
            <w:r>
              <w:rPr>
                <w:rFonts w:hint="eastAsia"/>
                <w:b/>
                <w:sz w:val="18"/>
                <w:szCs w:val="18"/>
              </w:rPr>
              <w:t>5</w:t>
            </w:r>
          </w:p>
        </w:tc>
        <w:tc>
          <w:tcPr>
            <w:tcW w:w="901" w:type="dxa"/>
            <w:vMerge w:val="restart"/>
          </w:tcPr>
          <w:p w14:paraId="1BE09B26">
            <w:pPr>
              <w:jc w:val="center"/>
              <w:rPr>
                <w:rFonts w:hint="eastAsia"/>
                <w:sz w:val="18"/>
                <w:szCs w:val="18"/>
              </w:rPr>
            </w:pPr>
            <w:r>
              <w:rPr>
                <w:rFonts w:hint="eastAsia"/>
                <w:sz w:val="18"/>
                <w:szCs w:val="18"/>
              </w:rPr>
              <w:t>资料引用与调查实证（</w:t>
            </w:r>
            <w:r>
              <w:rPr>
                <w:rFonts w:hint="eastAsia"/>
                <w:b/>
                <w:sz w:val="18"/>
                <w:szCs w:val="18"/>
              </w:rPr>
              <w:t>10</w:t>
            </w:r>
            <w:r>
              <w:rPr>
                <w:rFonts w:hint="eastAsia"/>
                <w:sz w:val="18"/>
                <w:szCs w:val="18"/>
              </w:rPr>
              <w:t>分）</w:t>
            </w:r>
          </w:p>
          <w:p w14:paraId="2BAED6A9">
            <w:pPr>
              <w:jc w:val="center"/>
              <w:rPr>
                <w:rFonts w:hint="default" w:eastAsia="宋体"/>
                <w:sz w:val="18"/>
                <w:szCs w:val="18"/>
                <w:lang w:val="en-US" w:eastAsia="zh-CN"/>
              </w:rPr>
            </w:pPr>
            <w:r>
              <w:rPr>
                <w:rFonts w:hint="eastAsia"/>
                <w:sz w:val="18"/>
                <w:szCs w:val="18"/>
                <w:lang w:val="en-US" w:eastAsia="zh-CN"/>
              </w:rPr>
              <w:t>5分</w:t>
            </w:r>
          </w:p>
        </w:tc>
        <w:tc>
          <w:tcPr>
            <w:tcW w:w="5767" w:type="dxa"/>
          </w:tcPr>
          <w:p w14:paraId="12ACBB54">
            <w:pPr>
              <w:rPr>
                <w:sz w:val="18"/>
                <w:szCs w:val="18"/>
              </w:rPr>
            </w:pPr>
            <w:r>
              <w:rPr>
                <w:rFonts w:hint="eastAsia"/>
                <w:sz w:val="18"/>
                <w:szCs w:val="18"/>
              </w:rPr>
              <w:t>参考文献具有相关性、准确性和一定的专业性、权威性，或有较充分的实证调查研究</w:t>
            </w:r>
          </w:p>
        </w:tc>
        <w:tc>
          <w:tcPr>
            <w:tcW w:w="1442" w:type="dxa"/>
          </w:tcPr>
          <w:p w14:paraId="079B33AD">
            <w:pPr>
              <w:jc w:val="center"/>
              <w:rPr>
                <w:b/>
                <w:sz w:val="18"/>
                <w:szCs w:val="18"/>
              </w:rPr>
            </w:pPr>
            <w:r>
              <w:rPr>
                <w:rFonts w:hint="eastAsia"/>
                <w:b/>
                <w:sz w:val="18"/>
                <w:szCs w:val="18"/>
              </w:rPr>
              <w:t>7-10</w:t>
            </w:r>
          </w:p>
          <w:p w14:paraId="681A2320">
            <w:pPr>
              <w:jc w:val="center"/>
              <w:rPr>
                <w:b/>
                <w:sz w:val="18"/>
                <w:szCs w:val="18"/>
              </w:rPr>
            </w:pPr>
          </w:p>
        </w:tc>
      </w:tr>
      <w:tr w14:paraId="7F4A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649" w:type="dxa"/>
            <w:vMerge w:val="continue"/>
          </w:tcPr>
          <w:p w14:paraId="37EB8A2A">
            <w:pPr>
              <w:jc w:val="center"/>
              <w:rPr>
                <w:b/>
                <w:sz w:val="18"/>
                <w:szCs w:val="18"/>
              </w:rPr>
            </w:pPr>
          </w:p>
        </w:tc>
        <w:tc>
          <w:tcPr>
            <w:tcW w:w="901" w:type="dxa"/>
            <w:vMerge w:val="continue"/>
          </w:tcPr>
          <w:p w14:paraId="62204CDD">
            <w:pPr>
              <w:jc w:val="center"/>
              <w:rPr>
                <w:sz w:val="18"/>
                <w:szCs w:val="18"/>
              </w:rPr>
            </w:pPr>
          </w:p>
        </w:tc>
        <w:tc>
          <w:tcPr>
            <w:tcW w:w="5767" w:type="dxa"/>
          </w:tcPr>
          <w:p w14:paraId="0C31B1CD">
            <w:pPr>
              <w:rPr>
                <w:sz w:val="18"/>
                <w:szCs w:val="18"/>
              </w:rPr>
            </w:pPr>
            <w:r>
              <w:rPr>
                <w:rFonts w:hint="eastAsia"/>
                <w:sz w:val="18"/>
                <w:szCs w:val="18"/>
              </w:rPr>
              <w:t>参考文献相关性、准确性、专业性较不足</w:t>
            </w:r>
          </w:p>
        </w:tc>
        <w:tc>
          <w:tcPr>
            <w:tcW w:w="1442" w:type="dxa"/>
          </w:tcPr>
          <w:p w14:paraId="697EAE15">
            <w:pPr>
              <w:jc w:val="center"/>
              <w:rPr>
                <w:b/>
                <w:sz w:val="18"/>
                <w:szCs w:val="18"/>
              </w:rPr>
            </w:pPr>
            <w:r>
              <w:rPr>
                <w:rFonts w:hint="eastAsia"/>
                <w:b/>
                <w:sz w:val="18"/>
                <w:szCs w:val="18"/>
              </w:rPr>
              <w:t>1-6</w:t>
            </w:r>
          </w:p>
          <w:p w14:paraId="3BE946B4">
            <w:pPr>
              <w:jc w:val="center"/>
              <w:rPr>
                <w:b/>
                <w:sz w:val="18"/>
                <w:szCs w:val="18"/>
              </w:rPr>
            </w:pPr>
          </w:p>
        </w:tc>
      </w:tr>
      <w:tr w14:paraId="3ABF8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649" w:type="dxa"/>
            <w:vMerge w:val="restart"/>
          </w:tcPr>
          <w:p w14:paraId="5C3442F2">
            <w:pPr>
              <w:jc w:val="center"/>
              <w:rPr>
                <w:b/>
                <w:sz w:val="18"/>
                <w:szCs w:val="18"/>
              </w:rPr>
            </w:pPr>
          </w:p>
          <w:p w14:paraId="5BF915A7">
            <w:pPr>
              <w:jc w:val="center"/>
              <w:rPr>
                <w:b/>
                <w:sz w:val="18"/>
                <w:szCs w:val="18"/>
              </w:rPr>
            </w:pPr>
            <w:r>
              <w:rPr>
                <w:rFonts w:hint="eastAsia"/>
                <w:b/>
                <w:sz w:val="18"/>
                <w:szCs w:val="18"/>
              </w:rPr>
              <w:t>6</w:t>
            </w:r>
          </w:p>
        </w:tc>
        <w:tc>
          <w:tcPr>
            <w:tcW w:w="901" w:type="dxa"/>
            <w:vMerge w:val="restart"/>
          </w:tcPr>
          <w:p w14:paraId="7DC09C67">
            <w:pPr>
              <w:jc w:val="center"/>
              <w:rPr>
                <w:sz w:val="18"/>
                <w:szCs w:val="18"/>
              </w:rPr>
            </w:pPr>
            <w:r>
              <w:rPr>
                <w:rFonts w:hint="eastAsia"/>
                <w:sz w:val="18"/>
                <w:szCs w:val="18"/>
              </w:rPr>
              <w:t>布局结构与文字表达</w:t>
            </w:r>
          </w:p>
          <w:p w14:paraId="613D1B78">
            <w:pPr>
              <w:jc w:val="center"/>
              <w:rPr>
                <w:rFonts w:hint="eastAsia"/>
                <w:sz w:val="18"/>
                <w:szCs w:val="18"/>
              </w:rPr>
            </w:pPr>
            <w:r>
              <w:rPr>
                <w:rFonts w:hint="eastAsia"/>
                <w:sz w:val="18"/>
                <w:szCs w:val="18"/>
              </w:rPr>
              <w:t>（</w:t>
            </w:r>
            <w:r>
              <w:rPr>
                <w:rFonts w:hint="eastAsia"/>
                <w:b/>
                <w:sz w:val="18"/>
                <w:szCs w:val="18"/>
              </w:rPr>
              <w:t>15</w:t>
            </w:r>
            <w:r>
              <w:rPr>
                <w:rFonts w:hint="eastAsia"/>
                <w:sz w:val="18"/>
                <w:szCs w:val="18"/>
              </w:rPr>
              <w:t>分）</w:t>
            </w:r>
          </w:p>
          <w:p w14:paraId="4863C903">
            <w:pPr>
              <w:jc w:val="center"/>
              <w:rPr>
                <w:rFonts w:hint="default" w:eastAsia="宋体"/>
                <w:sz w:val="18"/>
                <w:szCs w:val="18"/>
                <w:lang w:val="en-US" w:eastAsia="zh-CN"/>
              </w:rPr>
            </w:pPr>
            <w:r>
              <w:rPr>
                <w:rFonts w:hint="eastAsia"/>
                <w:sz w:val="18"/>
                <w:szCs w:val="18"/>
                <w:lang w:val="en-US" w:eastAsia="zh-CN"/>
              </w:rPr>
              <w:t>10分</w:t>
            </w:r>
          </w:p>
        </w:tc>
        <w:tc>
          <w:tcPr>
            <w:tcW w:w="5767" w:type="dxa"/>
          </w:tcPr>
          <w:p w14:paraId="0053B4C5">
            <w:pPr>
              <w:rPr>
                <w:sz w:val="18"/>
                <w:szCs w:val="18"/>
              </w:rPr>
            </w:pPr>
            <w:r>
              <w:rPr>
                <w:rFonts w:hint="eastAsia"/>
                <w:sz w:val="18"/>
                <w:szCs w:val="18"/>
              </w:rPr>
              <w:t>结构严谨，层次分明，论述清晰，语言流畅，表达准确</w:t>
            </w:r>
          </w:p>
        </w:tc>
        <w:tc>
          <w:tcPr>
            <w:tcW w:w="1442" w:type="dxa"/>
          </w:tcPr>
          <w:p w14:paraId="264AABCE">
            <w:pPr>
              <w:jc w:val="center"/>
              <w:rPr>
                <w:b/>
                <w:sz w:val="18"/>
                <w:szCs w:val="18"/>
              </w:rPr>
            </w:pPr>
            <w:r>
              <w:rPr>
                <w:rFonts w:hint="eastAsia"/>
                <w:b/>
                <w:sz w:val="18"/>
                <w:szCs w:val="18"/>
              </w:rPr>
              <w:t>12-15</w:t>
            </w:r>
          </w:p>
          <w:p w14:paraId="19ADC732">
            <w:pPr>
              <w:jc w:val="center"/>
              <w:rPr>
                <w:b/>
                <w:sz w:val="18"/>
                <w:szCs w:val="18"/>
              </w:rPr>
            </w:pPr>
          </w:p>
        </w:tc>
      </w:tr>
      <w:tr w14:paraId="7458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604583EE">
            <w:pPr>
              <w:jc w:val="center"/>
              <w:rPr>
                <w:sz w:val="18"/>
                <w:szCs w:val="18"/>
              </w:rPr>
            </w:pPr>
          </w:p>
        </w:tc>
        <w:tc>
          <w:tcPr>
            <w:tcW w:w="901" w:type="dxa"/>
            <w:vMerge w:val="continue"/>
          </w:tcPr>
          <w:p w14:paraId="65E31860">
            <w:pPr>
              <w:jc w:val="center"/>
              <w:rPr>
                <w:sz w:val="18"/>
                <w:szCs w:val="18"/>
              </w:rPr>
            </w:pPr>
          </w:p>
        </w:tc>
        <w:tc>
          <w:tcPr>
            <w:tcW w:w="5767" w:type="dxa"/>
          </w:tcPr>
          <w:p w14:paraId="542B0FB0">
            <w:pPr>
              <w:rPr>
                <w:sz w:val="18"/>
                <w:szCs w:val="18"/>
              </w:rPr>
            </w:pPr>
            <w:r>
              <w:rPr>
                <w:rFonts w:hint="eastAsia"/>
                <w:sz w:val="18"/>
                <w:szCs w:val="18"/>
              </w:rPr>
              <w:t>结构合理，符合逻辑，语言通顺，语言表达符合基本文法</w:t>
            </w:r>
          </w:p>
        </w:tc>
        <w:tc>
          <w:tcPr>
            <w:tcW w:w="1442" w:type="dxa"/>
          </w:tcPr>
          <w:p w14:paraId="1305B399">
            <w:pPr>
              <w:jc w:val="center"/>
              <w:rPr>
                <w:b/>
                <w:sz w:val="18"/>
                <w:szCs w:val="18"/>
              </w:rPr>
            </w:pPr>
            <w:r>
              <w:rPr>
                <w:rFonts w:hint="eastAsia"/>
                <w:b/>
                <w:sz w:val="18"/>
                <w:szCs w:val="18"/>
              </w:rPr>
              <w:t>6-11</w:t>
            </w:r>
          </w:p>
          <w:p w14:paraId="5CC7B432">
            <w:pPr>
              <w:jc w:val="center"/>
              <w:rPr>
                <w:b/>
                <w:sz w:val="18"/>
                <w:szCs w:val="18"/>
              </w:rPr>
            </w:pPr>
          </w:p>
        </w:tc>
      </w:tr>
      <w:tr w14:paraId="1E1D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649" w:type="dxa"/>
            <w:vMerge w:val="continue"/>
          </w:tcPr>
          <w:p w14:paraId="0C6A95F1">
            <w:pPr>
              <w:jc w:val="center"/>
              <w:rPr>
                <w:sz w:val="18"/>
                <w:szCs w:val="18"/>
              </w:rPr>
            </w:pPr>
          </w:p>
        </w:tc>
        <w:tc>
          <w:tcPr>
            <w:tcW w:w="901" w:type="dxa"/>
            <w:vMerge w:val="continue"/>
          </w:tcPr>
          <w:p w14:paraId="7006FCD0">
            <w:pPr>
              <w:jc w:val="center"/>
              <w:rPr>
                <w:sz w:val="18"/>
                <w:szCs w:val="18"/>
              </w:rPr>
            </w:pPr>
          </w:p>
        </w:tc>
        <w:tc>
          <w:tcPr>
            <w:tcW w:w="5767" w:type="dxa"/>
          </w:tcPr>
          <w:p w14:paraId="571DB597">
            <w:pPr>
              <w:rPr>
                <w:sz w:val="18"/>
                <w:szCs w:val="18"/>
              </w:rPr>
            </w:pPr>
            <w:r>
              <w:rPr>
                <w:rFonts w:hint="eastAsia"/>
                <w:sz w:val="18"/>
                <w:szCs w:val="18"/>
              </w:rPr>
              <w:t>结构不甚合理，文字语言表达较不清</w:t>
            </w:r>
          </w:p>
        </w:tc>
        <w:tc>
          <w:tcPr>
            <w:tcW w:w="1442" w:type="dxa"/>
          </w:tcPr>
          <w:p w14:paraId="29CC4FC7">
            <w:pPr>
              <w:jc w:val="center"/>
              <w:rPr>
                <w:b/>
                <w:sz w:val="18"/>
                <w:szCs w:val="18"/>
              </w:rPr>
            </w:pPr>
            <w:r>
              <w:rPr>
                <w:rFonts w:hint="eastAsia"/>
                <w:b/>
                <w:sz w:val="18"/>
                <w:szCs w:val="18"/>
              </w:rPr>
              <w:t>1-5</w:t>
            </w:r>
          </w:p>
        </w:tc>
      </w:tr>
      <w:tr w14:paraId="5BB7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550" w:type="dxa"/>
            <w:gridSpan w:val="2"/>
            <w:vAlign w:val="center"/>
          </w:tcPr>
          <w:p w14:paraId="64C6B054">
            <w:pPr>
              <w:jc w:val="center"/>
              <w:rPr>
                <w:sz w:val="18"/>
                <w:szCs w:val="18"/>
              </w:rPr>
            </w:pPr>
            <w:r>
              <w:rPr>
                <w:rFonts w:hint="eastAsia"/>
                <w:sz w:val="18"/>
                <w:szCs w:val="18"/>
              </w:rPr>
              <w:t>总分</w:t>
            </w:r>
          </w:p>
        </w:tc>
        <w:tc>
          <w:tcPr>
            <w:tcW w:w="7209" w:type="dxa"/>
            <w:gridSpan w:val="2"/>
            <w:vAlign w:val="center"/>
          </w:tcPr>
          <w:p w14:paraId="35676C6B">
            <w:pPr>
              <w:jc w:val="center"/>
              <w:rPr>
                <w:rFonts w:hint="default" w:eastAsia="宋体"/>
                <w:sz w:val="18"/>
                <w:szCs w:val="18"/>
                <w:lang w:val="en-US" w:eastAsia="zh-CN"/>
              </w:rPr>
            </w:pPr>
            <w:r>
              <w:rPr>
                <w:rFonts w:hint="eastAsia"/>
                <w:sz w:val="18"/>
                <w:szCs w:val="18"/>
                <w:lang w:val="en-US" w:eastAsia="zh-CN"/>
              </w:rPr>
              <w:t>73</w:t>
            </w:r>
          </w:p>
        </w:tc>
      </w:tr>
      <w:tr w14:paraId="3D860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550" w:type="dxa"/>
            <w:gridSpan w:val="2"/>
            <w:vAlign w:val="center"/>
          </w:tcPr>
          <w:p w14:paraId="1B4FFBB9">
            <w:pPr>
              <w:jc w:val="center"/>
              <w:rPr>
                <w:sz w:val="18"/>
                <w:szCs w:val="18"/>
              </w:rPr>
            </w:pPr>
            <w:r>
              <w:rPr>
                <w:rFonts w:hint="eastAsia"/>
                <w:sz w:val="18"/>
                <w:szCs w:val="18"/>
              </w:rPr>
              <w:t>审定意见</w:t>
            </w:r>
          </w:p>
        </w:tc>
        <w:tc>
          <w:tcPr>
            <w:tcW w:w="7209" w:type="dxa"/>
            <w:gridSpan w:val="2"/>
            <w:vAlign w:val="center"/>
          </w:tcPr>
          <w:p w14:paraId="6678A605">
            <w:pPr>
              <w:jc w:val="center"/>
              <w:rPr>
                <w:sz w:val="18"/>
                <w:szCs w:val="18"/>
              </w:rPr>
            </w:pPr>
            <w:r>
              <w:rPr>
                <w:rFonts w:hint="eastAsia"/>
                <w:sz w:val="18"/>
                <w:szCs w:val="18"/>
              </w:rPr>
              <w:t>返修</w:t>
            </w:r>
          </w:p>
        </w:tc>
      </w:tr>
      <w:tr w14:paraId="021F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550" w:type="dxa"/>
            <w:gridSpan w:val="2"/>
            <w:vAlign w:val="center"/>
          </w:tcPr>
          <w:p w14:paraId="5B5181E4">
            <w:pPr>
              <w:jc w:val="center"/>
              <w:rPr>
                <w:sz w:val="18"/>
                <w:szCs w:val="18"/>
              </w:rPr>
            </w:pPr>
          </w:p>
          <w:p w14:paraId="13507755">
            <w:pPr>
              <w:jc w:val="center"/>
              <w:rPr>
                <w:sz w:val="18"/>
                <w:szCs w:val="18"/>
              </w:rPr>
            </w:pPr>
          </w:p>
          <w:p w14:paraId="15738E8F">
            <w:pPr>
              <w:jc w:val="center"/>
              <w:rPr>
                <w:sz w:val="18"/>
                <w:szCs w:val="18"/>
              </w:rPr>
            </w:pPr>
          </w:p>
          <w:p w14:paraId="24F3347D">
            <w:pPr>
              <w:jc w:val="center"/>
              <w:rPr>
                <w:sz w:val="18"/>
                <w:szCs w:val="18"/>
              </w:rPr>
            </w:pPr>
          </w:p>
          <w:p w14:paraId="01CBE083">
            <w:pPr>
              <w:jc w:val="center"/>
              <w:rPr>
                <w:sz w:val="18"/>
                <w:szCs w:val="18"/>
              </w:rPr>
            </w:pPr>
          </w:p>
          <w:p w14:paraId="50A855CC">
            <w:pPr>
              <w:jc w:val="center"/>
              <w:rPr>
                <w:sz w:val="18"/>
                <w:szCs w:val="18"/>
              </w:rPr>
            </w:pPr>
          </w:p>
          <w:p w14:paraId="72291768">
            <w:pPr>
              <w:jc w:val="center"/>
              <w:rPr>
                <w:sz w:val="18"/>
                <w:szCs w:val="18"/>
              </w:rPr>
            </w:pPr>
          </w:p>
          <w:p w14:paraId="54F099B5">
            <w:pPr>
              <w:jc w:val="center"/>
              <w:rPr>
                <w:sz w:val="18"/>
                <w:szCs w:val="18"/>
              </w:rPr>
            </w:pPr>
          </w:p>
          <w:p w14:paraId="59FD1130">
            <w:pPr>
              <w:jc w:val="center"/>
              <w:rPr>
                <w:sz w:val="18"/>
                <w:szCs w:val="18"/>
              </w:rPr>
            </w:pPr>
            <w:r>
              <w:rPr>
                <w:rFonts w:hint="eastAsia"/>
                <w:sz w:val="18"/>
                <w:szCs w:val="18"/>
              </w:rPr>
              <w:t>论文评价（优点、存在问题、修改建议等）</w:t>
            </w:r>
          </w:p>
        </w:tc>
        <w:tc>
          <w:tcPr>
            <w:tcW w:w="7209" w:type="dxa"/>
            <w:gridSpan w:val="2"/>
            <w:vAlign w:val="center"/>
          </w:tcPr>
          <w:p w14:paraId="3CD146EB">
            <w:pPr>
              <w:ind w:firstLine="360" w:firstLineChars="200"/>
              <w:jc w:val="both"/>
              <w:rPr>
                <w:rFonts w:hint="eastAsia"/>
                <w:sz w:val="18"/>
                <w:szCs w:val="18"/>
                <w:lang w:val="en-US" w:eastAsia="zh-CN"/>
              </w:rPr>
            </w:pPr>
          </w:p>
          <w:p w14:paraId="5E7C5D44">
            <w:pPr>
              <w:ind w:firstLine="360" w:firstLineChars="200"/>
              <w:jc w:val="both"/>
              <w:rPr>
                <w:rFonts w:hint="eastAsia"/>
                <w:sz w:val="18"/>
                <w:szCs w:val="18"/>
                <w:lang w:val="en-US" w:eastAsia="zh-CN"/>
              </w:rPr>
            </w:pPr>
          </w:p>
          <w:p w14:paraId="6EE3B464">
            <w:pPr>
              <w:ind w:firstLine="360" w:firstLineChars="200"/>
              <w:jc w:val="both"/>
              <w:rPr>
                <w:rFonts w:hint="eastAsia"/>
                <w:sz w:val="18"/>
                <w:szCs w:val="18"/>
                <w:lang w:val="en-US" w:eastAsia="zh-CN"/>
              </w:rPr>
            </w:pPr>
            <w:r>
              <w:rPr>
                <w:rFonts w:hint="eastAsia"/>
                <w:sz w:val="18"/>
                <w:szCs w:val="18"/>
                <w:lang w:val="en-US" w:eastAsia="zh-CN"/>
              </w:rPr>
              <w:t>本文的选题聚焦于地理标志专用权的知识产权属性与行政程序之间的关系与衔接，观点新颖，逻辑明晰，结构鲜明，具有一定的理论意义和实践价值，</w:t>
            </w:r>
            <w:r>
              <w:rPr>
                <w:rFonts w:ascii="Segoe UI" w:hAnsi="Segoe UI" w:eastAsia="Segoe UI" w:cs="Segoe UI"/>
                <w:i w:val="0"/>
                <w:iCs w:val="0"/>
                <w:caps w:val="0"/>
                <w:color w:val="0F1115"/>
                <w:spacing w:val="0"/>
                <w:sz w:val="19"/>
                <w:szCs w:val="19"/>
                <w:shd w:val="clear" w:fill="FFFFFF"/>
              </w:rPr>
              <w:t>然而，本文在</w:t>
            </w:r>
            <w:r>
              <w:rPr>
                <w:rFonts w:hint="eastAsia" w:ascii="Segoe UI" w:hAnsi="Segoe UI" w:cs="Segoe UI"/>
                <w:i w:val="0"/>
                <w:iCs w:val="0"/>
                <w:caps w:val="0"/>
                <w:color w:val="0F1115"/>
                <w:spacing w:val="0"/>
                <w:sz w:val="19"/>
                <w:szCs w:val="19"/>
                <w:shd w:val="clear" w:fill="FFFFFF"/>
                <w:lang w:val="en-US" w:eastAsia="zh-CN"/>
              </w:rPr>
              <w:t>观点论证、学术规范</w:t>
            </w:r>
            <w:r>
              <w:rPr>
                <w:rFonts w:ascii="Segoe UI" w:hAnsi="Segoe UI" w:eastAsia="Segoe UI" w:cs="Segoe UI"/>
                <w:i w:val="0"/>
                <w:iCs w:val="0"/>
                <w:caps w:val="0"/>
                <w:color w:val="0F1115"/>
                <w:spacing w:val="0"/>
                <w:sz w:val="19"/>
                <w:szCs w:val="19"/>
                <w:shd w:val="clear" w:fill="FFFFFF"/>
              </w:rPr>
              <w:t>等方面仍存在不足，</w:t>
            </w:r>
            <w:r>
              <w:rPr>
                <w:rFonts w:hint="eastAsia"/>
                <w:sz w:val="18"/>
                <w:szCs w:val="18"/>
                <w:lang w:val="en-US" w:eastAsia="zh-CN"/>
              </w:rPr>
              <w:t>总体水平尚未达到刊用要求，详情如下：</w:t>
            </w:r>
          </w:p>
          <w:p w14:paraId="28B8D6AA">
            <w:pPr>
              <w:numPr>
                <w:ilvl w:val="0"/>
                <w:numId w:val="0"/>
              </w:numPr>
              <w:ind w:firstLine="361" w:firstLineChars="200"/>
              <w:jc w:val="both"/>
              <w:rPr>
                <w:rFonts w:hint="eastAsia" w:ascii="Times New Roman" w:hAnsi="Times New Roman" w:eastAsia="宋体" w:cs="Times New Roman"/>
                <w:b/>
                <w:bCs/>
                <w:kern w:val="2"/>
                <w:sz w:val="18"/>
                <w:szCs w:val="18"/>
                <w:lang w:val="en-US" w:eastAsia="zh-CN" w:bidi="ar-SA"/>
              </w:rPr>
            </w:pPr>
          </w:p>
          <w:p w14:paraId="64CFF9FC">
            <w:pPr>
              <w:numPr>
                <w:ilvl w:val="0"/>
                <w:numId w:val="0"/>
              </w:numPr>
              <w:ind w:firstLine="361" w:firstLineChars="200"/>
              <w:jc w:val="both"/>
              <w:rPr>
                <w:rFonts w:hint="eastAsia"/>
                <w:b/>
                <w:bCs/>
                <w:sz w:val="18"/>
                <w:szCs w:val="18"/>
                <w:lang w:val="en-US" w:eastAsia="zh-CN"/>
              </w:rPr>
            </w:pPr>
            <w:r>
              <w:rPr>
                <w:rFonts w:hint="eastAsia" w:ascii="Times New Roman" w:hAnsi="Times New Roman" w:eastAsia="宋体" w:cs="Times New Roman"/>
                <w:b/>
                <w:bCs/>
                <w:kern w:val="2"/>
                <w:sz w:val="18"/>
                <w:szCs w:val="18"/>
                <w:lang w:val="en-US" w:eastAsia="zh-CN" w:bidi="ar-SA"/>
              </w:rPr>
              <w:t>第一，</w:t>
            </w:r>
            <w:r>
              <w:rPr>
                <w:rFonts w:hint="eastAsia"/>
                <w:b/>
                <w:bCs/>
                <w:sz w:val="18"/>
                <w:szCs w:val="18"/>
                <w:lang w:val="en-US" w:eastAsia="zh-CN"/>
              </w:rPr>
              <w:t>以地区的“孤例”论述“地理标志专用权”这一整体制度，说服力不充分。</w:t>
            </w:r>
            <w:r>
              <w:rPr>
                <w:rFonts w:hint="eastAsia"/>
                <w:b w:val="0"/>
                <w:bCs w:val="0"/>
                <w:sz w:val="18"/>
                <w:szCs w:val="18"/>
                <w:lang w:val="en-US" w:eastAsia="zh-CN"/>
              </w:rPr>
              <w:t>我国地域辽阔，不同省市间的地方立法实践存在差异，不同地区对地理标志的保护模式、监管强度、救济程序存在一定程度的区别，仅以“赤壁青砖茶”单一地区样本推导全国层面的制度趋势，缺乏跨区域对比实证分析与充分的类案支撑，结论易受个案局限，普适性与代表性不足。建议补充其他地理标志示范区或典型省份实践进行横向对照，增强论证的普遍性与说服力。</w:t>
            </w:r>
          </w:p>
          <w:p w14:paraId="440EB3B4">
            <w:pPr>
              <w:numPr>
                <w:ilvl w:val="0"/>
                <w:numId w:val="0"/>
              </w:numPr>
              <w:ind w:firstLine="361" w:firstLineChars="200"/>
              <w:jc w:val="both"/>
              <w:rPr>
                <w:rFonts w:hint="default"/>
                <w:b w:val="0"/>
                <w:bCs w:val="0"/>
                <w:sz w:val="18"/>
                <w:szCs w:val="18"/>
                <w:lang w:val="en-US" w:eastAsia="zh-CN"/>
              </w:rPr>
            </w:pPr>
            <w:r>
              <w:rPr>
                <w:rFonts w:hint="eastAsia" w:ascii="Times New Roman" w:hAnsi="Times New Roman" w:eastAsia="宋体" w:cs="Times New Roman"/>
                <w:b/>
                <w:bCs/>
                <w:kern w:val="2"/>
                <w:sz w:val="18"/>
                <w:szCs w:val="18"/>
                <w:lang w:val="en-US" w:eastAsia="zh-CN" w:bidi="ar-SA"/>
              </w:rPr>
              <w:t>第二，部分</w:t>
            </w:r>
            <w:r>
              <w:rPr>
                <w:rFonts w:hint="eastAsia" w:cs="Times New Roman"/>
                <w:b/>
                <w:bCs/>
                <w:kern w:val="2"/>
                <w:sz w:val="18"/>
                <w:szCs w:val="18"/>
                <w:lang w:val="en-US" w:eastAsia="zh-CN" w:bidi="ar-SA"/>
              </w:rPr>
              <w:t>引证资料与论述内容之间的联系不明确或无意义</w:t>
            </w:r>
            <w:r>
              <w:rPr>
                <w:rFonts w:hint="eastAsia" w:ascii="Times New Roman" w:hAnsi="Times New Roman" w:eastAsia="宋体" w:cs="Times New Roman"/>
                <w:b/>
                <w:bCs/>
                <w:kern w:val="2"/>
                <w:sz w:val="18"/>
                <w:szCs w:val="18"/>
                <w:lang w:val="en-US" w:eastAsia="zh-CN" w:bidi="ar-SA"/>
              </w:rPr>
              <w:t>。</w:t>
            </w:r>
            <w:r>
              <w:rPr>
                <w:rFonts w:hint="eastAsia" w:ascii="Times New Roman" w:hAnsi="Times New Roman" w:eastAsia="宋体" w:cs="Times New Roman"/>
                <w:b w:val="0"/>
                <w:bCs w:val="0"/>
                <w:kern w:val="2"/>
                <w:sz w:val="18"/>
                <w:szCs w:val="18"/>
                <w:lang w:val="en-US" w:eastAsia="zh-CN" w:bidi="ar-SA"/>
              </w:rPr>
              <w:t>文中部分</w:t>
            </w:r>
            <w:r>
              <w:rPr>
                <w:rFonts w:hint="eastAsia" w:cs="Times New Roman"/>
                <w:b w:val="0"/>
                <w:bCs w:val="0"/>
                <w:kern w:val="2"/>
                <w:sz w:val="18"/>
                <w:szCs w:val="18"/>
                <w:lang w:val="en-US" w:eastAsia="zh-CN" w:bidi="ar-SA"/>
              </w:rPr>
              <w:t>论述内容所引用的</w:t>
            </w:r>
            <w:r>
              <w:rPr>
                <w:rFonts w:hint="eastAsia" w:ascii="Times New Roman" w:hAnsi="Times New Roman" w:eastAsia="宋体" w:cs="Times New Roman"/>
                <w:b w:val="0"/>
                <w:bCs w:val="0"/>
                <w:kern w:val="2"/>
                <w:sz w:val="18"/>
                <w:szCs w:val="18"/>
                <w:lang w:val="en-US" w:eastAsia="zh-CN" w:bidi="ar-SA"/>
              </w:rPr>
              <w:t>政策文件、标准文本、公示信息仅作简单罗列，未与“资格化转向”“行政嵌入” 等核心论点建立直接逻辑关联，未能起到支撑论证、强化说理的作用。</w:t>
            </w:r>
            <w:r>
              <w:rPr>
                <w:rFonts w:hint="eastAsia" w:cs="Times New Roman"/>
                <w:b w:val="0"/>
                <w:bCs w:val="0"/>
                <w:kern w:val="2"/>
                <w:sz w:val="18"/>
                <w:szCs w:val="18"/>
                <w:lang w:val="en-US" w:eastAsia="zh-CN" w:bidi="ar-SA"/>
              </w:rPr>
              <w:t>此外，未公开资料缺乏引用的必要性。</w:t>
            </w:r>
            <w:r>
              <w:rPr>
                <w:rFonts w:hint="eastAsia" w:ascii="Times New Roman" w:hAnsi="Times New Roman" w:eastAsia="宋体" w:cs="Times New Roman"/>
                <w:b w:val="0"/>
                <w:bCs w:val="0"/>
                <w:kern w:val="2"/>
                <w:sz w:val="18"/>
                <w:szCs w:val="18"/>
                <w:lang w:val="en-US" w:eastAsia="zh-CN" w:bidi="ar-SA"/>
              </w:rPr>
              <w:t>建议对所有引证资料逐一核查，明确资料与观点的对应关系，剔除无效引用，强化引证的针对性与必要性。</w:t>
            </w:r>
          </w:p>
          <w:p w14:paraId="673C5DFE">
            <w:pPr>
              <w:numPr>
                <w:ilvl w:val="0"/>
                <w:numId w:val="0"/>
              </w:numPr>
              <w:ind w:firstLine="361" w:firstLineChars="200"/>
              <w:jc w:val="both"/>
              <w:rPr>
                <w:rFonts w:hint="default"/>
                <w:sz w:val="18"/>
                <w:szCs w:val="18"/>
                <w:lang w:val="en-US" w:eastAsia="zh-CN"/>
              </w:rPr>
            </w:pPr>
            <w:r>
              <w:rPr>
                <w:rFonts w:hint="eastAsia" w:ascii="Times New Roman" w:hAnsi="Times New Roman" w:eastAsia="宋体" w:cs="Times New Roman"/>
                <w:b/>
                <w:bCs/>
                <w:kern w:val="2"/>
                <w:sz w:val="18"/>
                <w:szCs w:val="18"/>
                <w:lang w:val="en-US" w:eastAsia="zh-CN" w:bidi="ar-SA"/>
              </w:rPr>
              <w:t>第三，</w:t>
            </w:r>
            <w:r>
              <w:rPr>
                <w:rFonts w:hint="eastAsia" w:cs="Times New Roman"/>
                <w:b/>
                <w:bCs/>
                <w:kern w:val="2"/>
                <w:sz w:val="18"/>
                <w:szCs w:val="18"/>
                <w:lang w:val="en-US" w:eastAsia="zh-CN" w:bidi="ar-SA"/>
              </w:rPr>
              <w:t>文章提出的“资格化运行结构”并非既有的法律术语，从全文论述内容来看，其性质与行政许可高度近似，作者应对此加以区分</w:t>
            </w:r>
            <w:r>
              <w:rPr>
                <w:rFonts w:hint="eastAsia" w:ascii="Times New Roman" w:hAnsi="Times New Roman" w:eastAsia="宋体" w:cs="Times New Roman"/>
                <w:b/>
                <w:bCs/>
                <w:kern w:val="2"/>
                <w:sz w:val="18"/>
                <w:szCs w:val="18"/>
                <w:lang w:val="en-US" w:eastAsia="zh-CN" w:bidi="ar-SA"/>
              </w:rPr>
              <w:t>。</w:t>
            </w:r>
            <w:r>
              <w:rPr>
                <w:rFonts w:hint="eastAsia" w:ascii="Times New Roman" w:hAnsi="Times New Roman" w:eastAsia="宋体" w:cs="Times New Roman"/>
                <w:b w:val="0"/>
                <w:bCs w:val="0"/>
                <w:kern w:val="2"/>
                <w:sz w:val="18"/>
                <w:szCs w:val="18"/>
                <w:lang w:val="en-US" w:eastAsia="zh-CN" w:bidi="ar-SA"/>
              </w:rPr>
              <w:t>通读全文，该概念所描述的现象</w:t>
            </w:r>
            <w:r>
              <w:rPr>
                <w:rFonts w:hint="eastAsia" w:cs="Times New Roman"/>
                <w:b w:val="0"/>
                <w:bCs w:val="0"/>
                <w:kern w:val="2"/>
                <w:sz w:val="18"/>
                <w:szCs w:val="18"/>
                <w:lang w:val="en-US" w:eastAsia="zh-CN" w:bidi="ar-SA"/>
              </w:rPr>
              <w:t>：</w:t>
            </w:r>
            <w:r>
              <w:rPr>
                <w:rFonts w:hint="eastAsia" w:ascii="Times New Roman" w:hAnsi="Times New Roman" w:eastAsia="宋体" w:cs="Times New Roman"/>
                <w:b w:val="0"/>
                <w:bCs w:val="0"/>
                <w:kern w:val="2"/>
                <w:sz w:val="18"/>
                <w:szCs w:val="18"/>
                <w:lang w:val="en-US" w:eastAsia="zh-CN" w:bidi="ar-SA"/>
              </w:rPr>
              <w:t>由行政机关通过准入审查决定主体能否从事特定活动，以持续合规为保有该资格的条件，在不符合要求时由行政机关作出暂停或取消资格的决定——在行政法学上已存在成熟的制度框架与之对应，即行政许可制度。建议作者正面处理该概念与行政许可制度的学理关系，至少应回答：地理标志用标资格的取得与维持，在哪些方面与典型行政许可存在差异？若存在差异，这些差异是否足以支撑一个新概念的理论独立性？只有在完成这一区分作业之后，“资格化运行结构”</w:t>
            </w:r>
            <w:r>
              <w:rPr>
                <w:rFonts w:hint="eastAsia" w:cs="Times New Roman"/>
                <w:b w:val="0"/>
                <w:bCs w:val="0"/>
                <w:kern w:val="2"/>
                <w:sz w:val="18"/>
                <w:szCs w:val="18"/>
                <w:lang w:val="en-US" w:eastAsia="zh-CN" w:bidi="ar-SA"/>
              </w:rPr>
              <w:t>才</w:t>
            </w:r>
            <w:r>
              <w:rPr>
                <w:rFonts w:hint="eastAsia" w:ascii="Times New Roman" w:hAnsi="Times New Roman" w:eastAsia="宋体" w:cs="Times New Roman"/>
                <w:b w:val="0"/>
                <w:bCs w:val="0"/>
                <w:kern w:val="2"/>
                <w:sz w:val="18"/>
                <w:szCs w:val="18"/>
                <w:lang w:val="en-US" w:eastAsia="zh-CN" w:bidi="ar-SA"/>
              </w:rPr>
              <w:t>能作为一个有价值的分析</w:t>
            </w:r>
            <w:r>
              <w:rPr>
                <w:rFonts w:hint="eastAsia" w:cs="Times New Roman"/>
                <w:b w:val="0"/>
                <w:bCs w:val="0"/>
                <w:kern w:val="2"/>
                <w:sz w:val="18"/>
                <w:szCs w:val="18"/>
                <w:lang w:val="en-US" w:eastAsia="zh-CN" w:bidi="ar-SA"/>
              </w:rPr>
              <w:t>框架。此外，若将地理标志的保护纳入行政许可或“准行政许可”的范畴，将导致其私权的属性发生根本性变化。</w:t>
            </w:r>
          </w:p>
          <w:p w14:paraId="25C99FBD">
            <w:pPr>
              <w:numPr>
                <w:ilvl w:val="0"/>
                <w:numId w:val="0"/>
              </w:numPr>
              <w:ind w:firstLine="361" w:firstLineChars="200"/>
              <w:jc w:val="both"/>
              <w:rPr>
                <w:rFonts w:hint="default"/>
                <w:sz w:val="18"/>
                <w:szCs w:val="18"/>
                <w:lang w:val="en-US" w:eastAsia="zh-CN"/>
              </w:rPr>
            </w:pPr>
            <w:r>
              <w:rPr>
                <w:rFonts w:hint="eastAsia" w:ascii="Times New Roman" w:hAnsi="Times New Roman" w:eastAsia="宋体" w:cs="Times New Roman"/>
                <w:b/>
                <w:bCs/>
                <w:kern w:val="2"/>
                <w:sz w:val="18"/>
                <w:szCs w:val="18"/>
                <w:lang w:val="en-US" w:eastAsia="zh-CN" w:bidi="ar-SA"/>
              </w:rPr>
              <w:t>第四，</w:t>
            </w:r>
            <w:r>
              <w:rPr>
                <w:rFonts w:hint="eastAsia" w:cs="Times New Roman"/>
                <w:b/>
                <w:bCs/>
                <w:kern w:val="2"/>
                <w:sz w:val="18"/>
                <w:szCs w:val="18"/>
                <w:lang w:val="en-US" w:eastAsia="zh-CN" w:bidi="ar-SA"/>
              </w:rPr>
              <w:t>“对策与建议”部分的内容单薄。</w:t>
            </w:r>
            <w:r>
              <w:rPr>
                <w:rFonts w:hint="eastAsia" w:ascii="Times New Roman" w:hAnsi="Times New Roman" w:eastAsia="宋体" w:cs="Times New Roman"/>
                <w:b w:val="0"/>
                <w:bCs w:val="0"/>
                <w:kern w:val="2"/>
                <w:sz w:val="18"/>
                <w:szCs w:val="18"/>
                <w:lang w:val="en-US" w:eastAsia="zh-CN" w:bidi="ar-SA"/>
              </w:rPr>
              <w:t>论文在第四部分“资格化运行结构的规范后果”中，从</w:t>
            </w:r>
            <w:r>
              <w:rPr>
                <w:rFonts w:hint="eastAsia" w:cs="Times New Roman"/>
                <w:b w:val="0"/>
                <w:bCs w:val="0"/>
                <w:kern w:val="2"/>
                <w:sz w:val="18"/>
                <w:szCs w:val="18"/>
                <w:lang w:val="en-US" w:eastAsia="zh-CN" w:bidi="ar-SA"/>
              </w:rPr>
              <w:t>“资格争议的</w:t>
            </w:r>
            <w:r>
              <w:rPr>
                <w:rFonts w:hint="eastAsia" w:ascii="Times New Roman" w:hAnsi="Times New Roman" w:eastAsia="宋体" w:cs="Times New Roman"/>
                <w:b w:val="0"/>
                <w:bCs w:val="0"/>
                <w:kern w:val="2"/>
                <w:sz w:val="18"/>
                <w:szCs w:val="18"/>
                <w:lang w:val="en-US" w:eastAsia="zh-CN" w:bidi="ar-SA"/>
              </w:rPr>
              <w:t>司法审查</w:t>
            </w:r>
            <w:r>
              <w:rPr>
                <w:rFonts w:hint="eastAsia" w:cs="Times New Roman"/>
                <w:b w:val="0"/>
                <w:bCs w:val="0"/>
                <w:kern w:val="2"/>
                <w:sz w:val="18"/>
                <w:szCs w:val="18"/>
                <w:lang w:val="en-US" w:eastAsia="zh-CN" w:bidi="ar-SA"/>
              </w:rPr>
              <w:t>”</w:t>
            </w:r>
            <w:r>
              <w:rPr>
                <w:rFonts w:hint="eastAsia" w:ascii="Times New Roman" w:hAnsi="Times New Roman" w:eastAsia="宋体" w:cs="Times New Roman"/>
                <w:b w:val="0"/>
                <w:bCs w:val="0"/>
                <w:kern w:val="2"/>
                <w:sz w:val="18"/>
                <w:szCs w:val="18"/>
                <w:lang w:val="en-US" w:eastAsia="zh-CN" w:bidi="ar-SA"/>
              </w:rPr>
              <w:t>与</w:t>
            </w:r>
            <w:r>
              <w:rPr>
                <w:rFonts w:hint="eastAsia" w:cs="Times New Roman"/>
                <w:b w:val="0"/>
                <w:bCs w:val="0"/>
                <w:kern w:val="2"/>
                <w:sz w:val="18"/>
                <w:szCs w:val="18"/>
                <w:lang w:val="en-US" w:eastAsia="zh-CN" w:bidi="ar-SA"/>
              </w:rPr>
              <w:t>“</w:t>
            </w:r>
            <w:r>
              <w:rPr>
                <w:rFonts w:hint="eastAsia" w:ascii="Times New Roman" w:hAnsi="Times New Roman" w:eastAsia="宋体" w:cs="Times New Roman"/>
                <w:b w:val="0"/>
                <w:bCs w:val="0"/>
                <w:kern w:val="2"/>
                <w:sz w:val="18"/>
                <w:szCs w:val="18"/>
                <w:lang w:val="en-US" w:eastAsia="zh-CN" w:bidi="ar-SA"/>
              </w:rPr>
              <w:t>民事保护</w:t>
            </w:r>
            <w:r>
              <w:rPr>
                <w:rFonts w:hint="eastAsia" w:cs="Times New Roman"/>
                <w:b w:val="0"/>
                <w:bCs w:val="0"/>
                <w:kern w:val="2"/>
                <w:sz w:val="18"/>
                <w:szCs w:val="18"/>
                <w:lang w:val="en-US" w:eastAsia="zh-CN" w:bidi="ar-SA"/>
              </w:rPr>
              <w:t>—</w:t>
            </w:r>
            <w:r>
              <w:rPr>
                <w:rFonts w:hint="eastAsia" w:ascii="Times New Roman" w:hAnsi="Times New Roman" w:eastAsia="宋体" w:cs="Times New Roman"/>
                <w:b w:val="0"/>
                <w:bCs w:val="0"/>
                <w:kern w:val="2"/>
                <w:sz w:val="18"/>
                <w:szCs w:val="18"/>
                <w:lang w:val="en-US" w:eastAsia="zh-CN" w:bidi="ar-SA"/>
              </w:rPr>
              <w:t>行政程序功能分工</w:t>
            </w:r>
            <w:r>
              <w:rPr>
                <w:rFonts w:hint="eastAsia" w:cs="Times New Roman"/>
                <w:b w:val="0"/>
                <w:bCs w:val="0"/>
                <w:kern w:val="2"/>
                <w:sz w:val="18"/>
                <w:szCs w:val="18"/>
                <w:lang w:val="en-US" w:eastAsia="zh-CN" w:bidi="ar-SA"/>
              </w:rPr>
              <w:t>”</w:t>
            </w:r>
            <w:r>
              <w:rPr>
                <w:rFonts w:hint="eastAsia" w:ascii="Times New Roman" w:hAnsi="Times New Roman" w:eastAsia="宋体" w:cs="Times New Roman"/>
                <w:b w:val="0"/>
                <w:bCs w:val="0"/>
                <w:kern w:val="2"/>
                <w:sz w:val="18"/>
                <w:szCs w:val="18"/>
                <w:lang w:val="en-US" w:eastAsia="zh-CN" w:bidi="ar-SA"/>
              </w:rPr>
              <w:t>两个方面提出了规范层面的应对建议，这是全文直接回应制度完善问题的部分。然而，该部分内容相对单薄，具体表现在：</w:t>
            </w:r>
            <w:r>
              <w:rPr>
                <w:rFonts w:hint="eastAsia" w:cs="Times New Roman"/>
                <w:b w:val="0"/>
                <w:bCs w:val="0"/>
                <w:kern w:val="2"/>
                <w:sz w:val="18"/>
                <w:szCs w:val="18"/>
                <w:lang w:val="en-US" w:eastAsia="zh-CN" w:bidi="ar-SA"/>
              </w:rPr>
              <w:t>其</w:t>
            </w:r>
            <w:r>
              <w:rPr>
                <w:rFonts w:hint="eastAsia" w:ascii="Times New Roman" w:hAnsi="Times New Roman" w:eastAsia="宋体" w:cs="Times New Roman"/>
                <w:b w:val="0"/>
                <w:bCs w:val="0"/>
                <w:kern w:val="2"/>
                <w:sz w:val="18"/>
                <w:szCs w:val="18"/>
                <w:lang w:val="en-US" w:eastAsia="zh-CN" w:bidi="ar-SA"/>
              </w:rPr>
              <w:t>一，关于资格争议的司法审查，论文提出应审查程序合法性、实体标准与裁量合理性三个层面，但三层面的论述均为原则性勾勒，具体规则设计、程序安排或制度衔接方案，理论落地性不足。</w:t>
            </w:r>
            <w:r>
              <w:rPr>
                <w:rFonts w:hint="eastAsia" w:cs="Times New Roman"/>
                <w:b w:val="0"/>
                <w:bCs w:val="0"/>
                <w:kern w:val="2"/>
                <w:sz w:val="18"/>
                <w:szCs w:val="18"/>
                <w:lang w:val="en-US" w:eastAsia="zh-CN" w:bidi="ar-SA"/>
              </w:rPr>
              <w:t>其</w:t>
            </w:r>
            <w:r>
              <w:rPr>
                <w:rFonts w:hint="eastAsia" w:ascii="Times New Roman" w:hAnsi="Times New Roman" w:eastAsia="宋体" w:cs="Times New Roman"/>
                <w:b w:val="0"/>
                <w:bCs w:val="0"/>
                <w:kern w:val="2"/>
                <w:sz w:val="18"/>
                <w:szCs w:val="18"/>
                <w:lang w:val="en-US" w:eastAsia="zh-CN" w:bidi="ar-SA"/>
              </w:rPr>
              <w:t>二，关于民事保护与行政程序的功能分工，论文提出“行政程序负责‘谁可以用’，民事保护负责‘谁不可以滥用’”的二分框架，但未讨论二者在实践中可能产生的衔接问题，例如：当某一主体既未经行政确认进入用标名录、又实际使用地理标志标识时，行政执法与民事救济应如何协调？</w:t>
            </w:r>
            <w:r>
              <w:rPr>
                <w:rFonts w:hint="eastAsia" w:cs="Times New Roman"/>
                <w:b w:val="0"/>
                <w:bCs w:val="0"/>
                <w:kern w:val="2"/>
                <w:sz w:val="18"/>
                <w:szCs w:val="18"/>
                <w:lang w:val="en-US" w:eastAsia="zh-CN" w:bidi="ar-SA"/>
              </w:rPr>
              <w:t>又如：</w:t>
            </w:r>
            <w:r>
              <w:rPr>
                <w:rFonts w:hint="eastAsia" w:ascii="Times New Roman" w:hAnsi="Times New Roman" w:eastAsia="宋体" w:cs="Times New Roman"/>
                <w:b w:val="0"/>
                <w:bCs w:val="0"/>
                <w:kern w:val="2"/>
                <w:sz w:val="18"/>
                <w:szCs w:val="18"/>
                <w:lang w:val="en-US" w:eastAsia="zh-CN" w:bidi="ar-SA"/>
              </w:rPr>
              <w:t>行政程序中的资格认定结论对后续民事侵权诉讼是否具有拘束力？</w:t>
            </w:r>
            <w:r>
              <w:rPr>
                <w:rFonts w:hint="eastAsia" w:cs="Times New Roman"/>
                <w:b w:val="0"/>
                <w:bCs w:val="0"/>
                <w:kern w:val="2"/>
                <w:sz w:val="18"/>
                <w:szCs w:val="18"/>
                <w:lang w:val="en-US" w:eastAsia="zh-CN" w:bidi="ar-SA"/>
              </w:rPr>
              <w:t>建议围绕司法审查标准、行政监管程序、用标资格认定与民事侵权的协调、地方立法完善等方面展开细化，形成完整、可落地的对策体系。</w:t>
            </w:r>
          </w:p>
          <w:p w14:paraId="5D21CB7E">
            <w:pPr>
              <w:jc w:val="center"/>
              <w:rPr>
                <w:rFonts w:hint="default" w:eastAsia="宋体"/>
                <w:sz w:val="18"/>
                <w:szCs w:val="18"/>
                <w:lang w:val="en-US" w:eastAsia="zh-CN"/>
              </w:rPr>
            </w:pPr>
          </w:p>
          <w:p w14:paraId="1782EA7E">
            <w:pPr>
              <w:jc w:val="center"/>
              <w:rPr>
                <w:sz w:val="18"/>
                <w:szCs w:val="18"/>
              </w:rPr>
            </w:pPr>
          </w:p>
          <w:p w14:paraId="146AAB1C">
            <w:pPr>
              <w:jc w:val="center"/>
              <w:rPr>
                <w:sz w:val="18"/>
                <w:szCs w:val="18"/>
              </w:rPr>
            </w:pPr>
          </w:p>
          <w:p w14:paraId="5B3301A6">
            <w:pPr>
              <w:jc w:val="center"/>
              <w:rPr>
                <w:sz w:val="18"/>
                <w:szCs w:val="18"/>
              </w:rPr>
            </w:pPr>
          </w:p>
          <w:p w14:paraId="4ED32B26">
            <w:pPr>
              <w:jc w:val="center"/>
              <w:rPr>
                <w:sz w:val="18"/>
                <w:szCs w:val="18"/>
              </w:rPr>
            </w:pPr>
          </w:p>
          <w:p w14:paraId="3A08E402">
            <w:pPr>
              <w:jc w:val="both"/>
              <w:rPr>
                <w:sz w:val="18"/>
                <w:szCs w:val="18"/>
              </w:rPr>
            </w:pPr>
            <w:bookmarkStart w:id="0" w:name="_GoBack"/>
            <w:bookmarkEnd w:id="0"/>
          </w:p>
        </w:tc>
      </w:tr>
    </w:tbl>
    <w:p w14:paraId="7624B1E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9F8"/>
    <w:rsid w:val="00BB4F5D"/>
    <w:rsid w:val="00C17DEA"/>
    <w:rsid w:val="00C2247E"/>
    <w:rsid w:val="00C749F8"/>
    <w:rsid w:val="00CF60D9"/>
    <w:rsid w:val="00DD4CD6"/>
    <w:rsid w:val="44464F4F"/>
    <w:rsid w:val="455F39A5"/>
    <w:rsid w:val="490C1CEF"/>
    <w:rsid w:val="5FAD0307"/>
    <w:rsid w:val="6B8C5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9"/>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qFormat/>
    <w:uiPriority w:val="99"/>
    <w:pPr>
      <w:tabs>
        <w:tab w:val="center" w:pos="4153"/>
        <w:tab w:val="right" w:pos="8306"/>
      </w:tabs>
      <w:snapToGrid w:val="0"/>
      <w:jc w:val="center"/>
    </w:pPr>
    <w:rPr>
      <w:rFonts w:asciiTheme="minorHAnsi" w:hAnsiTheme="minorHAnsi" w:eastAsiaTheme="minorEastAsia" w:cstheme="minorBidi"/>
      <w:sz w:val="18"/>
      <w:szCs w:val="18"/>
    </w:rPr>
  </w:style>
  <w:style w:type="character" w:styleId="7">
    <w:name w:val="Strong"/>
    <w:basedOn w:val="6"/>
    <w:qFormat/>
    <w:uiPriority w:val="22"/>
    <w:rPr>
      <w:b/>
    </w:r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1309</Words>
  <Characters>1371</Characters>
  <Lines>5</Lines>
  <Paragraphs>1</Paragraphs>
  <TotalTime>1</TotalTime>
  <ScaleCrop>false</ScaleCrop>
  <LinksUpToDate>false</LinksUpToDate>
  <CharactersWithSpaces>1406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2024-01-10T00:17:00Z</dcterms:created>
  <dc:creator>admin</dc:creator>
  <cp:lastModifiedBy>Administrator
</cp:lastModifiedBy>
  <dcterms:modified xsi:type="dcterms:W3CDTF">2026-04-28T03:07:22Z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eyJoZGlkIjoiMzJkMWM4NTMwNWNhYzQzZGQ5MDVhM2FiMTQ3Y2RiNDMiLCJ1c2VySWQiOiIyNjIyNTA3ODMifQ==</vt:lpwstr>
  </property>
  <property fmtid="{D5CDD505-2E9C-101B-9397-08002B2CF9AE}" pid="3" name="KSOProductBuildVer">
    <vt:lpwstr>2052-12.1.0.19770</vt:lpwstr>
  </property>
  <property fmtid="{D5CDD505-2E9C-101B-9397-08002B2CF9AE}" pid="4" name="ICV">
    <vt:lpwstr>3A7981F8184B4E0BB10CF9607F2853B4_13</vt:lpwstr>
  </property>
</Properties>
</file>